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昌州河长办字〔2023 〕2 号</w:t>
      </w:r>
    </w:p>
    <w:p>
      <w:pPr>
        <w:pStyle w:val="11"/>
        <w:rPr>
          <w:rFonts w:hint="default"/>
          <w:lang w:val="en-US" w:eastAsia="zh-CN"/>
        </w:rPr>
      </w:pPr>
    </w:p>
    <w:p>
      <w:pPr>
        <w:pStyle w:val="4"/>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Times New Roman" w:hAnsi="Times New Roman" w:eastAsia="方正小标宋简体"/>
          <w:bCs/>
          <w:snapToGrid w:val="0"/>
          <w:spacing w:val="0"/>
          <w:kern w:val="0"/>
          <w:szCs w:val="44"/>
          <w:highlight w:val="none"/>
          <w:lang w:eastAsia="zh-CN"/>
        </w:rPr>
      </w:pPr>
      <w:r>
        <w:rPr>
          <w:rFonts w:hint="eastAsia" w:ascii="Times New Roman" w:hAnsi="Times New Roman" w:eastAsia="方正小标宋简体"/>
          <w:bCs/>
          <w:snapToGrid w:val="0"/>
          <w:spacing w:val="0"/>
          <w:kern w:val="0"/>
          <w:szCs w:val="44"/>
          <w:highlight w:val="none"/>
          <w:lang w:val="en-US" w:eastAsia="zh-CN"/>
        </w:rPr>
        <w:t>关于印发《</w:t>
      </w:r>
      <w:r>
        <w:rPr>
          <w:rFonts w:hint="eastAsia" w:ascii="Times New Roman" w:hAnsi="Times New Roman" w:eastAsia="方正小标宋简体"/>
          <w:bCs/>
          <w:snapToGrid w:val="0"/>
          <w:spacing w:val="16"/>
          <w:kern w:val="0"/>
          <w:szCs w:val="44"/>
          <w:highlight w:val="none"/>
          <w:lang w:val="en-US" w:eastAsia="zh-CN"/>
        </w:rPr>
        <w:t>昌吉</w:t>
      </w:r>
      <w:r>
        <w:rPr>
          <w:rFonts w:hint="eastAsia" w:ascii="Times New Roman" w:hAnsi="Times New Roman" w:eastAsia="方正小标宋简体"/>
          <w:bCs/>
          <w:snapToGrid w:val="0"/>
          <w:spacing w:val="0"/>
          <w:kern w:val="0"/>
          <w:szCs w:val="44"/>
          <w:highlight w:val="none"/>
          <w:lang w:val="en-US" w:eastAsia="zh-CN"/>
        </w:rPr>
        <w:t>州</w:t>
      </w:r>
      <w:r>
        <w:rPr>
          <w:rFonts w:hint="eastAsia" w:ascii="Times New Roman" w:hAnsi="Times New Roman" w:eastAsia="方正小标宋简体"/>
          <w:bCs/>
          <w:snapToGrid w:val="0"/>
          <w:spacing w:val="0"/>
          <w:kern w:val="0"/>
          <w:szCs w:val="44"/>
          <w:highlight w:val="none"/>
          <w:lang w:eastAsia="zh-CN"/>
        </w:rPr>
        <w:t>202</w:t>
      </w:r>
      <w:r>
        <w:rPr>
          <w:rFonts w:hint="eastAsia" w:ascii="Times New Roman" w:hAnsi="Times New Roman" w:eastAsia="方正小标宋简体"/>
          <w:bCs/>
          <w:snapToGrid w:val="0"/>
          <w:spacing w:val="0"/>
          <w:kern w:val="0"/>
          <w:szCs w:val="44"/>
          <w:highlight w:val="none"/>
          <w:lang w:val="en-US" w:eastAsia="zh-CN"/>
        </w:rPr>
        <w:t>3</w:t>
      </w:r>
      <w:r>
        <w:rPr>
          <w:rFonts w:hint="eastAsia" w:ascii="Times New Roman" w:hAnsi="Times New Roman" w:eastAsia="方正小标宋简体"/>
          <w:bCs/>
          <w:snapToGrid w:val="0"/>
          <w:spacing w:val="0"/>
          <w:kern w:val="0"/>
          <w:szCs w:val="44"/>
          <w:highlight w:val="none"/>
          <w:lang w:eastAsia="zh-CN"/>
        </w:rPr>
        <w:t>年全面推行</w:t>
      </w:r>
    </w:p>
    <w:p>
      <w:pPr>
        <w:pStyle w:val="4"/>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Times New Roman" w:hAnsi="Times New Roman" w:eastAsia="方正小标宋简体"/>
          <w:bCs/>
          <w:snapToGrid w:val="0"/>
          <w:spacing w:val="16"/>
          <w:kern w:val="0"/>
          <w:szCs w:val="44"/>
          <w:highlight w:val="none"/>
          <w:lang w:val="en-US" w:eastAsia="zh-CN"/>
        </w:rPr>
      </w:pPr>
      <w:r>
        <w:rPr>
          <w:rFonts w:hint="eastAsia" w:ascii="Times New Roman" w:hAnsi="Times New Roman" w:eastAsia="方正小标宋简体"/>
          <w:bCs/>
          <w:snapToGrid w:val="0"/>
          <w:spacing w:val="0"/>
          <w:kern w:val="0"/>
          <w:szCs w:val="44"/>
          <w:highlight w:val="none"/>
          <w:lang w:eastAsia="zh-CN"/>
        </w:rPr>
        <w:t>河湖长制工作计划》的通知</w:t>
      </w:r>
    </w:p>
    <w:p>
      <w:pPr>
        <w:pStyle w:val="4"/>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方正小标宋简体"/>
          <w:bCs/>
          <w:snapToGrid w:val="0"/>
          <w:spacing w:val="16"/>
          <w:kern w:val="0"/>
          <w:szCs w:val="4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州河湖长制各成员单位、各县市（农业园区）河长办：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现将《昌吉州2023年全面推行河湖长制工作计划》印发给你们，请结合实际认真落实。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附件：昌吉州2023年全面推行河湖长制工作计划</w:t>
      </w:r>
    </w:p>
    <w:p>
      <w:pPr>
        <w:pStyle w:val="11"/>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昌吉州全面实施河湖长制领导小组办公室</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2023年4月23日</w:t>
      </w:r>
    </w:p>
    <w:p>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Times New Roman" w:hAnsi="Times New Roman" w:eastAsia="方正小标宋简体"/>
          <w:bCs/>
          <w:snapToGrid w:val="0"/>
          <w:spacing w:val="16"/>
          <w:kern w:val="0"/>
          <w:szCs w:val="44"/>
          <w:highlight w:val="none"/>
          <w:lang w:val="en-US" w:eastAsia="zh-CN"/>
        </w:rPr>
        <w:sectPr>
          <w:footerReference r:id="rId3" w:type="default"/>
          <w:pgSz w:w="11906" w:h="16838"/>
          <w:pgMar w:top="2098" w:right="1587" w:bottom="1701" w:left="1587" w:header="851" w:footer="992" w:gutter="0"/>
          <w:cols w:space="0" w:num="1"/>
          <w:rtlGutter w:val="0"/>
          <w:docGrid w:type="lines" w:linePitch="319" w:charSpace="0"/>
        </w:sectPr>
      </w:pPr>
      <w:r>
        <w:rPr>
          <w:rFonts w:hint="eastAsia" w:ascii="仿宋" w:hAnsi="仿宋" w:eastAsia="仿宋" w:cs="仿宋"/>
          <w:kern w:val="2"/>
          <w:sz w:val="32"/>
          <w:szCs w:val="32"/>
          <w:highlight w:val="none"/>
          <w:lang w:val="en-US" w:eastAsia="zh-CN" w:bidi="ar-SA"/>
        </w:rPr>
        <w:t>抄送：兵团六师河湖长办、呼图壁河流域管理处</w:t>
      </w:r>
    </w:p>
    <w:p>
      <w:pPr>
        <w:pStyle w:val="4"/>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Times New Roman" w:hAnsi="Times New Roman" w:eastAsia="方正小标宋简体"/>
          <w:bCs/>
          <w:snapToGrid w:val="0"/>
          <w:spacing w:val="0"/>
          <w:kern w:val="0"/>
          <w:szCs w:val="44"/>
          <w:highlight w:val="none"/>
          <w:lang w:val="en-US" w:eastAsia="zh-CN"/>
        </w:rPr>
      </w:pPr>
      <w:r>
        <w:rPr>
          <w:rFonts w:hint="eastAsia" w:ascii="Times New Roman" w:hAnsi="Times New Roman" w:eastAsia="方正小标宋简体"/>
          <w:bCs/>
          <w:snapToGrid w:val="0"/>
          <w:spacing w:val="16"/>
          <w:kern w:val="0"/>
          <w:szCs w:val="44"/>
          <w:highlight w:val="none"/>
          <w:lang w:val="en-US" w:eastAsia="zh-CN"/>
        </w:rPr>
        <w:t>昌吉</w:t>
      </w:r>
      <w:r>
        <w:rPr>
          <w:rFonts w:hint="eastAsia" w:ascii="Times New Roman" w:hAnsi="Times New Roman" w:eastAsia="方正小标宋简体"/>
          <w:bCs/>
          <w:snapToGrid w:val="0"/>
          <w:spacing w:val="0"/>
          <w:kern w:val="0"/>
          <w:szCs w:val="44"/>
          <w:highlight w:val="none"/>
          <w:lang w:val="en-US" w:eastAsia="zh-CN"/>
        </w:rPr>
        <w:t>州</w:t>
      </w:r>
      <w:r>
        <w:rPr>
          <w:rFonts w:hint="eastAsia" w:ascii="Times New Roman" w:hAnsi="Times New Roman" w:eastAsia="方正小标宋简体"/>
          <w:bCs/>
          <w:snapToGrid w:val="0"/>
          <w:spacing w:val="0"/>
          <w:kern w:val="0"/>
          <w:szCs w:val="44"/>
          <w:highlight w:val="none"/>
          <w:lang w:eastAsia="zh-CN"/>
        </w:rPr>
        <w:t>202</w:t>
      </w:r>
      <w:r>
        <w:rPr>
          <w:rFonts w:hint="eastAsia" w:ascii="Times New Roman" w:hAnsi="Times New Roman" w:eastAsia="方正小标宋简体"/>
          <w:bCs/>
          <w:snapToGrid w:val="0"/>
          <w:spacing w:val="0"/>
          <w:kern w:val="0"/>
          <w:szCs w:val="44"/>
          <w:highlight w:val="none"/>
          <w:lang w:val="en-US" w:eastAsia="zh-CN"/>
        </w:rPr>
        <w:t>3</w:t>
      </w:r>
      <w:r>
        <w:rPr>
          <w:rFonts w:hint="eastAsia" w:ascii="Times New Roman" w:hAnsi="Times New Roman" w:eastAsia="方正小标宋简体"/>
          <w:bCs/>
          <w:snapToGrid w:val="0"/>
          <w:spacing w:val="0"/>
          <w:kern w:val="0"/>
          <w:szCs w:val="44"/>
          <w:highlight w:val="none"/>
          <w:lang w:eastAsia="zh-CN"/>
        </w:rPr>
        <w:t>年全面推行河湖长制工作计划</w:t>
      </w:r>
    </w:p>
    <w:p>
      <w:pPr>
        <w:pStyle w:val="4"/>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Times New Roman" w:hAnsi="Times New Roman" w:eastAsia="方正小标宋简体"/>
          <w:bCs/>
          <w:snapToGrid w:val="0"/>
          <w:spacing w:val="16"/>
          <w:kern w:val="0"/>
          <w:szCs w:val="4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2023年，自治州河湖长制工作将坚持以习近平新时代中国特色社会主义思想为指导，深入学习贯彻党的二十大精神，</w:t>
      </w:r>
      <w:r>
        <w:rPr>
          <w:rFonts w:hint="default" w:ascii="仿宋_GB2312" w:hAnsi="仿宋_GB2312" w:eastAsia="仿宋_GB2312" w:cs="仿宋_GB2312"/>
          <w:sz w:val="32"/>
          <w:szCs w:val="32"/>
          <w:u w:val="none"/>
          <w:lang w:eastAsia="zh-CN"/>
        </w:rPr>
        <w:t>完整准确贯彻</w:t>
      </w:r>
      <w:r>
        <w:rPr>
          <w:rFonts w:hint="default" w:ascii="仿宋_GB2312" w:hAnsi="仿宋_GB2312" w:eastAsia="仿宋_GB2312" w:cs="仿宋_GB2312"/>
          <w:sz w:val="32"/>
          <w:szCs w:val="32"/>
          <w:u w:val="none"/>
        </w:rPr>
        <w:t>新时代党的治疆方略，</w:t>
      </w:r>
      <w:r>
        <w:rPr>
          <w:rFonts w:hint="eastAsia" w:ascii="仿宋" w:hAnsi="仿宋" w:eastAsia="仿宋" w:cs="仿宋"/>
          <w:kern w:val="2"/>
          <w:sz w:val="32"/>
          <w:szCs w:val="32"/>
          <w:highlight w:val="none"/>
          <w:lang w:val="en-US" w:eastAsia="zh-CN" w:bidi="ar-SA"/>
        </w:rPr>
        <w:t>坚持“节水优先、空间均衡、系统治理、两手发力”治水思路，全面落实中央、自治区关于强化河湖长制的决策部署，统筹水资源、水环境、水生态，推动各级河湖长和相关部门履职尽责，着力建设维护安全河湖、健康河湖、美丽河湖、幸福河湖。</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kern w:val="2"/>
          <w:sz w:val="32"/>
          <w:szCs w:val="32"/>
          <w:highlight w:val="none"/>
          <w:u w:val="single"/>
          <w:lang w:val="en-US" w:eastAsia="zh-CN" w:bidi="ar-SA"/>
        </w:rPr>
      </w:pPr>
      <w:r>
        <w:rPr>
          <w:rFonts w:hint="eastAsia" w:ascii="黑体" w:hAnsi="黑体" w:eastAsia="黑体" w:cs="黑体"/>
          <w:kern w:val="2"/>
          <w:sz w:val="32"/>
          <w:szCs w:val="32"/>
          <w:highlight w:val="none"/>
          <w:lang w:val="en-US" w:eastAsia="zh-CN" w:bidi="ar-SA"/>
        </w:rPr>
        <w:t>一、强化河湖长制。</w:t>
      </w:r>
      <w:r>
        <w:rPr>
          <w:rFonts w:hint="eastAsia" w:ascii="楷体" w:hAnsi="楷体" w:eastAsia="楷体" w:cs="楷体"/>
          <w:b/>
          <w:bCs/>
          <w:kern w:val="2"/>
          <w:sz w:val="32"/>
          <w:szCs w:val="32"/>
          <w:highlight w:val="none"/>
          <w:lang w:val="en-US" w:eastAsia="zh-CN" w:bidi="ar-SA"/>
        </w:rPr>
        <w:t>一是强化履职尽责。</w:t>
      </w:r>
      <w:r>
        <w:rPr>
          <w:rFonts w:hint="eastAsia" w:ascii="仿宋" w:hAnsi="仿宋" w:eastAsia="仿宋" w:cs="仿宋"/>
          <w:kern w:val="2"/>
          <w:sz w:val="32"/>
          <w:szCs w:val="32"/>
          <w:highlight w:val="none"/>
          <w:lang w:val="en-US" w:eastAsia="zh-CN" w:bidi="ar-SA"/>
        </w:rPr>
        <w:t>突出总河湖长统领河湖长职责，压实各级河湖长及相关部门责任；完善河湖长动态调整机制和河湖长责任递补机制，进一步规范基层河湖长制组织体系；强化河长办组织、协调、分办、督办职责，推动各部门各司其职、协同配合。完成州</w:t>
      </w:r>
      <w:r>
        <w:rPr>
          <w:rFonts w:hint="default" w:ascii="仿宋" w:hAnsi="仿宋" w:eastAsia="仿宋" w:cs="仿宋"/>
          <w:kern w:val="2"/>
          <w:sz w:val="32"/>
          <w:szCs w:val="32"/>
          <w:highlight w:val="none"/>
          <w:lang w:val="en-US" w:eastAsia="zh-CN" w:bidi="ar-SA"/>
        </w:rPr>
        <w:t>县乡村四级河湖长巡河湖</w:t>
      </w:r>
      <w:r>
        <w:rPr>
          <w:rFonts w:hint="eastAsia" w:ascii="仿宋" w:hAnsi="仿宋" w:eastAsia="仿宋" w:cs="仿宋"/>
          <w:kern w:val="2"/>
          <w:sz w:val="32"/>
          <w:szCs w:val="32"/>
          <w:highlight w:val="none"/>
          <w:lang w:val="en-US" w:eastAsia="zh-CN" w:bidi="ar-SA"/>
        </w:rPr>
        <w:t>任务，强化巡河巡湖实效，</w:t>
      </w:r>
      <w:r>
        <w:rPr>
          <w:rFonts w:hint="default" w:ascii="仿宋" w:hAnsi="仿宋" w:eastAsia="仿宋" w:cs="仿宋"/>
          <w:kern w:val="2"/>
          <w:sz w:val="32"/>
          <w:szCs w:val="32"/>
          <w:highlight w:val="none"/>
          <w:lang w:val="en-US" w:eastAsia="zh-CN" w:bidi="ar-SA"/>
        </w:rPr>
        <w:t>发现问题闭环</w:t>
      </w:r>
      <w:r>
        <w:rPr>
          <w:rFonts w:hint="eastAsia" w:ascii="仿宋" w:hAnsi="仿宋" w:eastAsia="仿宋" w:cs="仿宋"/>
          <w:kern w:val="2"/>
          <w:sz w:val="32"/>
          <w:szCs w:val="32"/>
          <w:highlight w:val="none"/>
          <w:lang w:val="en-US" w:eastAsia="zh-CN" w:bidi="ar-SA"/>
        </w:rPr>
        <w:t>管理，推动落实河湖治理管护重点任务。</w:t>
      </w:r>
      <w:r>
        <w:rPr>
          <w:rFonts w:hint="eastAsia" w:ascii="楷体" w:hAnsi="楷体" w:eastAsia="楷体" w:cs="楷体"/>
          <w:b/>
          <w:bCs/>
          <w:kern w:val="2"/>
          <w:sz w:val="32"/>
          <w:szCs w:val="32"/>
          <w:highlight w:val="none"/>
          <w:lang w:val="en-US" w:eastAsia="zh-CN" w:bidi="ar-SA"/>
        </w:rPr>
        <w:t>二是强化统筹协调。</w:t>
      </w:r>
      <w:r>
        <w:rPr>
          <w:rFonts w:hint="eastAsia" w:ascii="仿宋" w:hAnsi="仿宋" w:eastAsia="仿宋" w:cs="仿宋"/>
          <w:kern w:val="2"/>
          <w:sz w:val="32"/>
          <w:szCs w:val="32"/>
          <w:highlight w:val="none"/>
          <w:lang w:val="en-US" w:eastAsia="zh-CN" w:bidi="ar-SA"/>
        </w:rPr>
        <w:t>组织召开全面推行河湖长制工作领导小组会议，强化对全州河湖长制工作的组织领导和统筹协调。完善党政领导、水利牵头、部门协同、社</w:t>
      </w:r>
      <w:r>
        <w:rPr>
          <w:rFonts w:hint="eastAsia" w:ascii="Times New Roman" w:hAnsi="Times New Roman" w:eastAsia="仿宋_GB2312"/>
          <w:sz w:val="32"/>
          <w:szCs w:val="32"/>
        </w:rPr>
        <w:t>会共治的河湖长制工作机制，强化流域与区域相协调的河湖管理保护机制；</w:t>
      </w:r>
      <w:r>
        <w:rPr>
          <w:rFonts w:hint="eastAsia" w:ascii="Times New Roman" w:hAnsi="Times New Roman" w:eastAsia="仿宋_GB2312"/>
          <w:sz w:val="32"/>
          <w:szCs w:val="32"/>
          <w:lang w:val="en-US" w:eastAsia="zh-CN"/>
        </w:rPr>
        <w:t>完善</w:t>
      </w:r>
      <w:r>
        <w:rPr>
          <w:rFonts w:hint="eastAsia" w:ascii="Times New Roman" w:hAnsi="Times New Roman" w:eastAsia="仿宋_GB2312"/>
          <w:sz w:val="32"/>
          <w:szCs w:val="32"/>
        </w:rPr>
        <w:t>跨行政区域重点河流联防联治工作机制，推动落实河长会议、联合</w:t>
      </w:r>
      <w:r>
        <w:rPr>
          <w:rFonts w:ascii="Times New Roman" w:hAnsi="Times New Roman" w:eastAsia="仿宋_GB2312"/>
          <w:sz w:val="32"/>
          <w:szCs w:val="32"/>
        </w:rPr>
        <w:t>巡河、</w:t>
      </w:r>
      <w:r>
        <w:rPr>
          <w:rFonts w:hint="eastAsia" w:ascii="Times New Roman" w:hAnsi="Times New Roman" w:eastAsia="仿宋_GB2312"/>
          <w:sz w:val="32"/>
          <w:szCs w:val="32"/>
        </w:rPr>
        <w:t>跨界巡河、信息共享等制度</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完善基层河湖管护巡查体系，鼓励设立巡（护）河员等公益岗位，解决河湖管护“最后一公里”问题</w:t>
      </w:r>
      <w:r>
        <w:rPr>
          <w:rFonts w:hint="eastAsia" w:ascii="Times New Roman" w:hAnsi="Times New Roman" w:eastAsia="仿宋_GB2312"/>
          <w:sz w:val="32"/>
          <w:szCs w:val="32"/>
          <w:highlight w:val="none"/>
        </w:rPr>
        <w:t>。</w:t>
      </w:r>
      <w:r>
        <w:rPr>
          <w:rFonts w:hint="eastAsia" w:ascii="楷体" w:hAnsi="楷体" w:eastAsia="楷体" w:cs="楷体"/>
          <w:b/>
          <w:bCs/>
          <w:kern w:val="2"/>
          <w:sz w:val="32"/>
          <w:szCs w:val="32"/>
          <w:highlight w:val="none"/>
          <w:lang w:val="en-US" w:eastAsia="zh-CN" w:bidi="ar-SA"/>
        </w:rPr>
        <w:t>三是强化监督检查。</w:t>
      </w:r>
      <w:r>
        <w:rPr>
          <w:rFonts w:hint="eastAsia" w:ascii="仿宋" w:hAnsi="仿宋" w:eastAsia="仿宋" w:cs="仿宋"/>
          <w:kern w:val="2"/>
          <w:sz w:val="32"/>
          <w:szCs w:val="32"/>
          <w:highlight w:val="none"/>
          <w:lang w:val="en-US" w:eastAsia="zh-CN" w:bidi="ar-SA"/>
        </w:rPr>
        <w:t>采取明察与暗访相结合等方式，对各级河湖长和相关部门履职情况、河湖长制工作落实情况、卫星遥感发现问题核查情况等开展核查检查。</w:t>
      </w:r>
      <w:r>
        <w:rPr>
          <w:rFonts w:hint="eastAsia" w:ascii="楷体" w:hAnsi="楷体" w:eastAsia="楷体" w:cs="楷体"/>
          <w:b/>
          <w:bCs/>
          <w:kern w:val="2"/>
          <w:sz w:val="32"/>
          <w:szCs w:val="32"/>
          <w:highlight w:val="none"/>
          <w:u w:val="none"/>
          <w:lang w:val="en-US" w:eastAsia="zh-CN" w:bidi="ar-SA"/>
        </w:rPr>
        <w:t>四是强化考核激励。</w:t>
      </w:r>
      <w:r>
        <w:rPr>
          <w:rFonts w:hint="eastAsia" w:ascii="仿宋" w:hAnsi="仿宋" w:eastAsia="仿宋" w:cs="仿宋"/>
          <w:kern w:val="2"/>
          <w:sz w:val="32"/>
          <w:szCs w:val="32"/>
          <w:highlight w:val="none"/>
          <w:u w:val="none"/>
          <w:lang w:val="en-US" w:eastAsia="zh-CN" w:bidi="ar-SA"/>
        </w:rPr>
        <w:t>严格落实河湖长制考核制度，组织对相关部门和县级河湖长目标任务完成情况进行考核，强化结果运用，发挥考核“指挥棒”作用。</w:t>
      </w:r>
      <w:r>
        <w:rPr>
          <w:rFonts w:hint="eastAsia" w:ascii="楷体" w:hAnsi="楷体" w:eastAsia="楷体" w:cs="楷体"/>
          <w:b/>
          <w:bCs/>
          <w:kern w:val="2"/>
          <w:sz w:val="32"/>
          <w:szCs w:val="32"/>
          <w:highlight w:val="none"/>
          <w:lang w:val="en-US" w:eastAsia="zh-CN" w:bidi="ar-SA"/>
        </w:rPr>
        <w:t>五是保障经费人员。</w:t>
      </w:r>
      <w:r>
        <w:rPr>
          <w:rFonts w:hint="eastAsia" w:ascii="仿宋" w:hAnsi="仿宋" w:eastAsia="仿宋" w:cs="仿宋"/>
          <w:kern w:val="2"/>
          <w:sz w:val="32"/>
          <w:szCs w:val="32"/>
          <w:highlight w:val="none"/>
          <w:lang w:val="en-US" w:eastAsia="zh-CN" w:bidi="ar-SA"/>
        </w:rPr>
        <w:t>各级财政要全力保障河湖长制年度办公经费并纳入财政预算，落实河湖长制重点工作专项</w:t>
      </w:r>
      <w:r>
        <w:rPr>
          <w:rFonts w:hint="default" w:ascii="仿宋" w:hAnsi="仿宋" w:eastAsia="仿宋" w:cs="仿宋"/>
          <w:kern w:val="2"/>
          <w:sz w:val="32"/>
          <w:szCs w:val="32"/>
          <w:highlight w:val="none"/>
          <w:lang w:val="en-US" w:eastAsia="zh-CN" w:bidi="ar-SA"/>
        </w:rPr>
        <w:t>经费</w:t>
      </w:r>
      <w:r>
        <w:rPr>
          <w:rFonts w:hint="eastAsia" w:ascii="仿宋" w:hAnsi="仿宋" w:eastAsia="仿宋" w:cs="仿宋"/>
          <w:kern w:val="2"/>
          <w:sz w:val="32"/>
          <w:szCs w:val="32"/>
          <w:highlight w:val="none"/>
          <w:lang w:val="en-US" w:eastAsia="zh-CN" w:bidi="ar-SA"/>
        </w:rPr>
        <w:t>。县</w:t>
      </w:r>
      <w:r>
        <w:rPr>
          <w:rFonts w:hint="default" w:ascii="仿宋" w:hAnsi="仿宋" w:eastAsia="仿宋" w:cs="仿宋"/>
          <w:kern w:val="2"/>
          <w:sz w:val="32"/>
          <w:szCs w:val="32"/>
          <w:highlight w:val="none"/>
          <w:lang w:val="en-US" w:eastAsia="zh-CN" w:bidi="ar-SA"/>
        </w:rPr>
        <w:t>级</w:t>
      </w:r>
      <w:r>
        <w:rPr>
          <w:rFonts w:hint="eastAsia" w:ascii="仿宋" w:hAnsi="仿宋" w:eastAsia="仿宋" w:cs="仿宋"/>
          <w:kern w:val="2"/>
          <w:sz w:val="32"/>
          <w:szCs w:val="32"/>
          <w:highlight w:val="none"/>
          <w:lang w:val="en-US" w:eastAsia="zh-CN" w:bidi="ar-SA"/>
        </w:rPr>
        <w:t>至少</w:t>
      </w:r>
      <w:r>
        <w:rPr>
          <w:rFonts w:hint="default" w:ascii="仿宋" w:hAnsi="仿宋" w:eastAsia="仿宋" w:cs="仿宋"/>
          <w:kern w:val="2"/>
          <w:sz w:val="32"/>
          <w:szCs w:val="32"/>
          <w:highlight w:val="none"/>
          <w:lang w:val="en-US" w:eastAsia="zh-CN" w:bidi="ar-SA"/>
        </w:rPr>
        <w:t>配备</w:t>
      </w:r>
      <w:r>
        <w:rPr>
          <w:rFonts w:hint="eastAsia" w:ascii="仿宋" w:hAnsi="仿宋" w:eastAsia="仿宋" w:cs="仿宋"/>
          <w:kern w:val="2"/>
          <w:sz w:val="32"/>
          <w:szCs w:val="32"/>
          <w:highlight w:val="none"/>
          <w:lang w:val="en-US" w:eastAsia="zh-CN" w:bidi="ar-SA"/>
        </w:rPr>
        <w:t>2</w:t>
      </w:r>
      <w:r>
        <w:rPr>
          <w:rFonts w:hint="default" w:ascii="仿宋" w:hAnsi="仿宋" w:eastAsia="仿宋" w:cs="仿宋"/>
          <w:kern w:val="2"/>
          <w:sz w:val="32"/>
          <w:szCs w:val="32"/>
          <w:highlight w:val="none"/>
          <w:lang w:val="en-US" w:eastAsia="zh-CN" w:bidi="ar-SA"/>
        </w:rPr>
        <w:t>名</w:t>
      </w:r>
      <w:r>
        <w:rPr>
          <w:rFonts w:hint="eastAsia" w:ascii="仿宋" w:hAnsi="仿宋" w:eastAsia="仿宋" w:cs="仿宋"/>
          <w:kern w:val="2"/>
          <w:sz w:val="32"/>
          <w:szCs w:val="32"/>
          <w:highlight w:val="none"/>
          <w:lang w:val="en-US" w:eastAsia="zh-CN" w:bidi="ar-SA"/>
        </w:rPr>
        <w:t>河湖长制</w:t>
      </w:r>
      <w:r>
        <w:rPr>
          <w:rFonts w:hint="default" w:ascii="仿宋" w:hAnsi="仿宋" w:eastAsia="仿宋" w:cs="仿宋"/>
          <w:kern w:val="2"/>
          <w:sz w:val="32"/>
          <w:szCs w:val="32"/>
          <w:highlight w:val="none"/>
          <w:lang w:val="en-US" w:eastAsia="zh-CN" w:bidi="ar-SA"/>
        </w:rPr>
        <w:t>固定工作人员（以日常与</w:t>
      </w:r>
      <w:r>
        <w:rPr>
          <w:rFonts w:hint="eastAsia" w:ascii="仿宋" w:hAnsi="仿宋" w:eastAsia="仿宋" w:cs="仿宋"/>
          <w:kern w:val="2"/>
          <w:sz w:val="32"/>
          <w:szCs w:val="32"/>
          <w:highlight w:val="none"/>
          <w:lang w:val="en-US" w:eastAsia="zh-CN" w:bidi="ar-SA"/>
        </w:rPr>
        <w:t>州河湖长制办公室</w:t>
      </w:r>
      <w:r>
        <w:rPr>
          <w:rFonts w:hint="default" w:ascii="仿宋" w:hAnsi="仿宋" w:eastAsia="仿宋" w:cs="仿宋"/>
          <w:kern w:val="2"/>
          <w:sz w:val="32"/>
          <w:szCs w:val="32"/>
          <w:highlight w:val="none"/>
          <w:lang w:val="en-US" w:eastAsia="zh-CN" w:bidi="ar-SA"/>
        </w:rPr>
        <w:t>对接工作的人员为准）。</w:t>
      </w:r>
      <w:r>
        <w:rPr>
          <w:rFonts w:hint="eastAsia" w:ascii="楷体" w:hAnsi="楷体" w:eastAsia="楷体" w:cs="楷体"/>
          <w:b/>
          <w:bCs/>
          <w:kern w:val="2"/>
          <w:sz w:val="32"/>
          <w:szCs w:val="32"/>
          <w:highlight w:val="none"/>
          <w:lang w:val="en-US" w:eastAsia="zh-CN" w:bidi="ar-SA"/>
        </w:rPr>
        <w:t>六是加强宣传培训。</w:t>
      </w:r>
      <w:r>
        <w:rPr>
          <w:rFonts w:hint="default" w:ascii="仿宋" w:hAnsi="仿宋" w:eastAsia="仿宋" w:cs="仿宋"/>
          <w:kern w:val="2"/>
          <w:sz w:val="32"/>
          <w:szCs w:val="32"/>
          <w:highlight w:val="none"/>
          <w:lang w:val="en-US" w:eastAsia="zh-CN" w:bidi="ar-SA"/>
        </w:rPr>
        <w:t>开展</w:t>
      </w:r>
      <w:r>
        <w:rPr>
          <w:rFonts w:hint="eastAsia" w:ascii="仿宋" w:hAnsi="仿宋" w:eastAsia="仿宋" w:cs="仿宋"/>
          <w:kern w:val="2"/>
          <w:sz w:val="32"/>
          <w:szCs w:val="32"/>
          <w:highlight w:val="none"/>
          <w:lang w:val="en-US" w:eastAsia="zh-CN" w:bidi="ar-SA"/>
        </w:rPr>
        <w:t>河湖长制</w:t>
      </w:r>
      <w:r>
        <w:rPr>
          <w:rFonts w:hint="default" w:ascii="仿宋" w:hAnsi="仿宋" w:eastAsia="仿宋" w:cs="仿宋"/>
          <w:kern w:val="2"/>
          <w:sz w:val="32"/>
          <w:szCs w:val="32"/>
          <w:highlight w:val="none"/>
          <w:lang w:val="en-US" w:eastAsia="zh-CN" w:bidi="ar-SA"/>
        </w:rPr>
        <w:t>专题培训</w:t>
      </w:r>
      <w:r>
        <w:rPr>
          <w:rFonts w:hint="eastAsia" w:ascii="仿宋" w:hAnsi="仿宋" w:eastAsia="仿宋" w:cs="仿宋"/>
          <w:kern w:val="2"/>
          <w:sz w:val="32"/>
          <w:szCs w:val="32"/>
          <w:highlight w:val="none"/>
          <w:lang w:val="en-US" w:eastAsia="zh-CN" w:bidi="ar-SA"/>
        </w:rPr>
        <w:t>，规范建立培训台账。及时更换破损公示牌，更新公示牌信息。</w:t>
      </w:r>
      <w:r>
        <w:rPr>
          <w:rFonts w:hint="eastAsia" w:ascii="Times New Roman" w:hAnsi="Times New Roman" w:eastAsia="仿宋_GB2312"/>
          <w:sz w:val="32"/>
          <w:szCs w:val="32"/>
          <w:highlight w:val="none"/>
        </w:rPr>
        <w:t>加强宣传教育和舆论引导。</w:t>
      </w:r>
      <w:r>
        <w:rPr>
          <w:rFonts w:hint="eastAsia" w:ascii="仿宋" w:hAnsi="仿宋" w:eastAsia="仿宋" w:cs="仿宋"/>
          <w:kern w:val="2"/>
          <w:sz w:val="32"/>
          <w:szCs w:val="32"/>
          <w:highlight w:val="none"/>
          <w:lang w:val="en-US" w:eastAsia="zh-CN" w:bidi="ar-SA"/>
        </w:rPr>
        <w:t>积极参加水利部“逐梦幸福河湖”主题实践活动和寻找“最美家乡河”活动。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color w:val="auto"/>
          <w:kern w:val="2"/>
          <w:sz w:val="32"/>
          <w:szCs w:val="32"/>
          <w:highlight w:val="none"/>
          <w:lang w:val="en-US" w:eastAsia="zh-CN" w:bidi="ar-SA"/>
        </w:rPr>
      </w:pPr>
      <w:r>
        <w:rPr>
          <w:rFonts w:hint="eastAsia" w:ascii="黑体" w:hAnsi="黑体" w:eastAsia="黑体" w:cs="黑体"/>
          <w:sz w:val="32"/>
          <w:szCs w:val="32"/>
          <w:lang w:val="en-US" w:eastAsia="zh-CN"/>
        </w:rPr>
        <w:t>二、强化水资源管理。</w:t>
      </w:r>
      <w:r>
        <w:rPr>
          <w:rFonts w:ascii="Times New Roman" w:hAnsi="Times New Roman" w:eastAsia="楷体_GB2312"/>
          <w:b/>
          <w:sz w:val="32"/>
          <w:szCs w:val="32"/>
        </w:rPr>
        <w:t>一</w:t>
      </w:r>
      <w:r>
        <w:rPr>
          <w:rFonts w:hint="eastAsia" w:ascii="Times New Roman" w:hAnsi="Times New Roman" w:eastAsia="楷体_GB2312"/>
          <w:b/>
          <w:sz w:val="32"/>
          <w:szCs w:val="32"/>
          <w:lang w:val="en-US" w:eastAsia="zh-CN"/>
        </w:rPr>
        <w:t>是</w:t>
      </w:r>
      <w:r>
        <w:rPr>
          <w:rFonts w:ascii="Times New Roman" w:hAnsi="Times New Roman" w:eastAsia="楷体_GB2312"/>
          <w:b/>
          <w:sz w:val="32"/>
          <w:szCs w:val="32"/>
        </w:rPr>
        <w:t>严格落实水资源管理制度</w:t>
      </w:r>
      <w:r>
        <w:rPr>
          <w:rFonts w:hint="eastAsia" w:ascii="Times New Roman" w:hAnsi="Times New Roman" w:eastAsia="楷体_GB2312"/>
          <w:b/>
          <w:sz w:val="32"/>
          <w:szCs w:val="32"/>
          <w:lang w:eastAsia="zh-CN"/>
        </w:rPr>
        <w:t>。</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年全州用水总量控制在24.77亿方内，地下水用水量控制在8.22亿方内，非常规水源利用量达到0.68亿方以上，灌溉水利用系数达到0.66，完成自治区下达的万元国内生产总值用水量、万元工业增加值用水量指标。</w:t>
      </w:r>
      <w:r>
        <w:rPr>
          <w:rFonts w:hint="eastAsia" w:ascii="Times New Roman" w:hAnsi="Times New Roman" w:eastAsia="楷体_GB2312"/>
          <w:b/>
          <w:sz w:val="32"/>
          <w:szCs w:val="32"/>
          <w:lang w:val="en-US" w:eastAsia="zh-CN"/>
        </w:rPr>
        <w:t>二是</w:t>
      </w:r>
      <w:r>
        <w:rPr>
          <w:rFonts w:ascii="Times New Roman" w:hAnsi="Times New Roman" w:eastAsia="楷体_GB2312"/>
          <w:b/>
          <w:sz w:val="32"/>
          <w:szCs w:val="32"/>
        </w:rPr>
        <w:t>扎实开展用水量核算</w:t>
      </w:r>
      <w:r>
        <w:rPr>
          <w:rFonts w:hint="eastAsia" w:ascii="Times New Roman" w:hAnsi="Times New Roman" w:eastAsia="黑体"/>
          <w:sz w:val="32"/>
          <w:szCs w:val="32"/>
          <w:lang w:eastAsia="zh-CN"/>
        </w:rPr>
        <w:t>。</w:t>
      </w:r>
      <w:r>
        <w:rPr>
          <w:rFonts w:ascii="Times New Roman" w:hAnsi="Times New Roman" w:eastAsia="仿宋_GB2312"/>
          <w:sz w:val="32"/>
          <w:szCs w:val="32"/>
        </w:rPr>
        <w:t>完成机电井“井电双控”用水用电量测算工作</w:t>
      </w:r>
      <w:r>
        <w:rPr>
          <w:rFonts w:hint="eastAsia" w:ascii="Times New Roman" w:hAnsi="Times New Roman" w:eastAsia="仿宋_GB2312"/>
          <w:sz w:val="32"/>
          <w:szCs w:val="32"/>
          <w:lang w:eastAsia="zh-CN"/>
        </w:rPr>
        <w:t>，</w:t>
      </w:r>
      <w:r>
        <w:rPr>
          <w:rFonts w:ascii="Times New Roman" w:hAnsi="Times New Roman" w:eastAsia="仿宋_GB2312"/>
          <w:sz w:val="32"/>
          <w:szCs w:val="32"/>
        </w:rPr>
        <w:t>实行监测水量通报机制</w:t>
      </w:r>
      <w:r>
        <w:rPr>
          <w:rFonts w:hint="eastAsia" w:ascii="Times New Roman" w:hAnsi="Times New Roman" w:eastAsia="仿宋_GB2312"/>
          <w:sz w:val="32"/>
          <w:szCs w:val="32"/>
          <w:lang w:eastAsia="zh-CN"/>
        </w:rPr>
        <w:t>，</w:t>
      </w:r>
      <w:r>
        <w:rPr>
          <w:rFonts w:ascii="Times New Roman" w:hAnsi="Times New Roman" w:eastAsia="仿宋_GB2312"/>
          <w:sz w:val="32"/>
          <w:szCs w:val="32"/>
        </w:rPr>
        <w:t>规范水资源费征收</w:t>
      </w:r>
      <w:r>
        <w:rPr>
          <w:rFonts w:hint="eastAsia" w:ascii="Times New Roman" w:hAnsi="Times New Roman" w:eastAsia="仿宋_GB2312"/>
          <w:sz w:val="32"/>
          <w:szCs w:val="32"/>
          <w:lang w:eastAsia="zh-CN"/>
        </w:rPr>
        <w:t>，</w:t>
      </w:r>
      <w:r>
        <w:rPr>
          <w:rFonts w:ascii="Times New Roman" w:hAnsi="Times New Roman" w:eastAsia="仿宋_GB2312"/>
          <w:sz w:val="32"/>
          <w:szCs w:val="32"/>
        </w:rPr>
        <w:t>坚持以电折水复核用水量。</w:t>
      </w:r>
      <w:r>
        <w:rPr>
          <w:rFonts w:ascii="Times New Roman" w:hAnsi="Times New Roman" w:eastAsia="楷体_GB2312"/>
          <w:b/>
          <w:sz w:val="32"/>
          <w:szCs w:val="32"/>
        </w:rPr>
        <w:t>三</w:t>
      </w:r>
      <w:r>
        <w:rPr>
          <w:rFonts w:hint="eastAsia" w:ascii="Times New Roman" w:hAnsi="Times New Roman" w:eastAsia="楷体_GB2312"/>
          <w:b/>
          <w:sz w:val="32"/>
          <w:szCs w:val="32"/>
          <w:lang w:val="en-US" w:eastAsia="zh-CN"/>
        </w:rPr>
        <w:t>是</w:t>
      </w:r>
      <w:r>
        <w:rPr>
          <w:rFonts w:ascii="Times New Roman" w:hAnsi="Times New Roman" w:eastAsia="楷体_GB2312"/>
          <w:b/>
          <w:sz w:val="32"/>
          <w:szCs w:val="32"/>
        </w:rPr>
        <w:t>持续强化取用水监督管理</w:t>
      </w:r>
      <w:r>
        <w:rPr>
          <w:rFonts w:hint="eastAsia" w:ascii="Times New Roman" w:hAnsi="Times New Roman" w:eastAsia="楷体_GB2312"/>
          <w:b/>
          <w:sz w:val="32"/>
          <w:szCs w:val="32"/>
          <w:lang w:eastAsia="zh-CN"/>
        </w:rPr>
        <w:t>。</w:t>
      </w:r>
      <w:r>
        <w:rPr>
          <w:rFonts w:ascii="Times New Roman" w:hAnsi="Times New Roman" w:eastAsia="仿宋_GB2312"/>
          <w:sz w:val="32"/>
          <w:szCs w:val="32"/>
        </w:rPr>
        <w:t>加强水资源论证和取水许可监督检查，持续推进电子证照整治行动。</w:t>
      </w:r>
      <w:r>
        <w:rPr>
          <w:rFonts w:hint="eastAsia" w:ascii="Times New Roman" w:hAnsi="Times New Roman" w:eastAsia="楷体_GB2312"/>
          <w:b/>
          <w:sz w:val="32"/>
          <w:szCs w:val="32"/>
        </w:rPr>
        <w:t>四</w:t>
      </w:r>
      <w:r>
        <w:rPr>
          <w:rFonts w:hint="eastAsia" w:ascii="Times New Roman" w:hAnsi="Times New Roman" w:eastAsia="楷体_GB2312"/>
          <w:b/>
          <w:sz w:val="32"/>
          <w:szCs w:val="32"/>
          <w:lang w:val="en-US" w:eastAsia="zh-CN"/>
        </w:rPr>
        <w:t>是</w:t>
      </w:r>
      <w:r>
        <w:rPr>
          <w:rFonts w:ascii="Times New Roman" w:hAnsi="Times New Roman" w:eastAsia="楷体_GB2312"/>
          <w:b/>
          <w:sz w:val="32"/>
          <w:szCs w:val="32"/>
        </w:rPr>
        <w:t>强力推进地下水超采治理</w:t>
      </w:r>
      <w:r>
        <w:rPr>
          <w:rFonts w:hint="eastAsia" w:ascii="Times New Roman" w:hAnsi="Times New Roman" w:eastAsia="楷体_GB2312"/>
          <w:b/>
          <w:sz w:val="32"/>
          <w:szCs w:val="32"/>
          <w:lang w:eastAsia="zh-CN"/>
        </w:rPr>
        <w:t>。</w:t>
      </w:r>
      <w:r>
        <w:rPr>
          <w:rFonts w:ascii="Times New Roman" w:hAnsi="Times New Roman" w:eastAsia="仿宋_GB2312"/>
          <w:bCs/>
          <w:sz w:val="32"/>
          <w:szCs w:val="32"/>
        </w:rPr>
        <w:t>推进《昌吉回族自治州地下水保护管理条例》颁布</w:t>
      </w:r>
      <w:r>
        <w:rPr>
          <w:rFonts w:hint="eastAsia" w:ascii="Times New Roman" w:hAnsi="Times New Roman" w:eastAsia="仿宋_GB2312"/>
          <w:bCs/>
          <w:sz w:val="32"/>
          <w:szCs w:val="32"/>
          <w:lang w:val="en-US" w:eastAsia="zh-CN"/>
        </w:rPr>
        <w:t>实施</w:t>
      </w:r>
      <w:r>
        <w:rPr>
          <w:rFonts w:hint="eastAsia" w:ascii="Times New Roman" w:hAnsi="Times New Roman" w:eastAsia="仿宋_GB2312"/>
          <w:bCs/>
          <w:sz w:val="32"/>
          <w:szCs w:val="32"/>
          <w:lang w:eastAsia="zh-CN"/>
        </w:rPr>
        <w:t>，</w:t>
      </w:r>
      <w:r>
        <w:rPr>
          <w:rFonts w:ascii="Times New Roman" w:hAnsi="Times New Roman" w:eastAsia="仿宋_GB2312"/>
          <w:bCs/>
          <w:sz w:val="32"/>
          <w:szCs w:val="32"/>
        </w:rPr>
        <w:t>开展全州地下水位埋深变化分析，全面推行电磁流量计等计量监管设备，对辖区内机电井“井电双控”计量设施进行升级改造，强化机电井停电管理，对年度超计划、超定额的机电井，坚定坚决予以停水断电。加强机电井更新</w:t>
      </w:r>
      <w:r>
        <w:rPr>
          <w:rFonts w:hint="eastAsia" w:ascii="Times New Roman" w:hAnsi="Times New Roman" w:eastAsia="仿宋_GB2312"/>
          <w:bCs/>
          <w:sz w:val="32"/>
          <w:szCs w:val="32"/>
          <w:lang w:val="en-US" w:eastAsia="zh-CN"/>
        </w:rPr>
        <w:t>和</w:t>
      </w:r>
      <w:r>
        <w:rPr>
          <w:rFonts w:ascii="Times New Roman" w:hAnsi="Times New Roman" w:eastAsia="仿宋_GB2312"/>
          <w:bCs/>
          <w:sz w:val="32"/>
          <w:szCs w:val="32"/>
        </w:rPr>
        <w:t>禁采区机电井管理。</w:t>
      </w:r>
      <w:r>
        <w:rPr>
          <w:rFonts w:hint="eastAsia" w:ascii="Times New Roman" w:hAnsi="Times New Roman" w:eastAsia="楷体_GB2312"/>
          <w:b/>
          <w:color w:val="auto"/>
          <w:sz w:val="32"/>
          <w:szCs w:val="32"/>
          <w:lang w:val="en-US" w:eastAsia="zh-CN"/>
        </w:rPr>
        <w:t>五是推进节水型社会建设。</w:t>
      </w:r>
      <w:r>
        <w:rPr>
          <w:rFonts w:hint="eastAsia" w:ascii="Times New Roman" w:hAnsi="Times New Roman" w:eastAsia="仿宋_GB2312"/>
          <w:color w:val="auto"/>
          <w:sz w:val="32"/>
          <w:szCs w:val="32"/>
          <w:lang w:val="en-US" w:eastAsia="zh-CN"/>
        </w:rPr>
        <w:t>推进呼图壁县县域节水型社会达标创建，</w:t>
      </w:r>
      <w:r>
        <w:rPr>
          <w:rFonts w:ascii="Times New Roman" w:hAnsi="Times New Roman" w:eastAsia="仿宋_GB2312"/>
          <w:color w:val="auto"/>
          <w:sz w:val="32"/>
          <w:szCs w:val="32"/>
        </w:rPr>
        <w:t>奇台县年内具备达标条件申报自治区验收，</w:t>
      </w:r>
      <w:r>
        <w:rPr>
          <w:rFonts w:hint="eastAsia" w:ascii="Times New Roman" w:hAnsi="Times New Roman" w:eastAsia="仿宋_GB2312"/>
          <w:color w:val="auto"/>
          <w:sz w:val="32"/>
          <w:szCs w:val="32"/>
          <w:lang w:val="en-US" w:eastAsia="zh-CN"/>
        </w:rPr>
        <w:t>试点推动</w:t>
      </w:r>
      <w:r>
        <w:rPr>
          <w:rFonts w:ascii="Times New Roman" w:hAnsi="Times New Roman" w:eastAsia="仿宋_GB2312"/>
          <w:color w:val="auto"/>
          <w:sz w:val="32"/>
          <w:szCs w:val="32"/>
        </w:rPr>
        <w:t>昌吉国家农业科技园区、高新技术产业园区节水型园区建</w:t>
      </w:r>
      <w:r>
        <w:rPr>
          <w:rFonts w:hint="eastAsia" w:ascii="Times New Roman" w:hAnsi="Times New Roman" w:eastAsia="仿宋_GB2312"/>
          <w:color w:val="auto"/>
          <w:sz w:val="32"/>
          <w:szCs w:val="32"/>
          <w:lang w:val="en-US" w:eastAsia="zh-CN"/>
        </w:rPr>
        <w:t>设</w:t>
      </w:r>
      <w:r>
        <w:rPr>
          <w:rFonts w:hint="eastAsia" w:ascii="Times New Roman" w:hAnsi="Times New Roman" w:eastAsia="仿宋_GB2312"/>
          <w:color w:val="auto"/>
          <w:sz w:val="32"/>
          <w:szCs w:val="32"/>
          <w:lang w:eastAsia="zh-CN"/>
        </w:rPr>
        <w:t>；</w:t>
      </w:r>
      <w:r>
        <w:rPr>
          <w:rFonts w:ascii="Times New Roman" w:hAnsi="Times New Roman" w:eastAsia="仿宋_GB2312"/>
          <w:color w:val="auto"/>
          <w:sz w:val="32"/>
          <w:szCs w:val="32"/>
        </w:rPr>
        <w:t>木垒县、吉木萨尔县、阜康市、玛纳斯县年内新增节水型单位、节水型小区、节水型企业比例不少于20%。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强化水域岸线空间管控</w:t>
      </w:r>
      <w:r>
        <w:rPr>
          <w:rFonts w:hint="eastAsia" w:ascii="黑体" w:hAnsi="黑体" w:eastAsia="黑体" w:cs="黑体"/>
          <w:sz w:val="32"/>
          <w:szCs w:val="32"/>
          <w:lang w:eastAsia="zh-CN"/>
        </w:rPr>
        <w:t>。</w:t>
      </w:r>
      <w:r>
        <w:rPr>
          <w:rFonts w:hint="eastAsia" w:ascii="楷体" w:hAnsi="楷体" w:eastAsia="楷体" w:cs="楷体"/>
          <w:b/>
          <w:bCs/>
          <w:sz w:val="32"/>
          <w:szCs w:val="32"/>
          <w:highlight w:val="none"/>
          <w:lang w:val="en-US" w:eastAsia="zh-CN"/>
        </w:rPr>
        <w:t>一是</w:t>
      </w:r>
      <w:r>
        <w:rPr>
          <w:rFonts w:hint="eastAsia" w:ascii="楷体" w:hAnsi="楷体" w:eastAsia="楷体" w:cs="楷体"/>
          <w:b/>
          <w:bCs/>
          <w:sz w:val="32"/>
          <w:szCs w:val="32"/>
          <w:highlight w:val="none"/>
        </w:rPr>
        <w:t>强化岸线规划约束。</w:t>
      </w:r>
      <w:r>
        <w:rPr>
          <w:rFonts w:hint="eastAsia" w:ascii="Times New Roman" w:hAnsi="Times New Roman" w:eastAsia="仿宋_GB2312"/>
          <w:sz w:val="32"/>
          <w:szCs w:val="32"/>
        </w:rPr>
        <w:t>严格落实河湖岸线保护与利用规划，强化岸线分区管控</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积极推进河湖自然资源确权登记</w:t>
      </w:r>
      <w:r>
        <w:rPr>
          <w:rFonts w:hint="eastAsia" w:ascii="仿宋" w:hAnsi="仿宋" w:eastAsia="仿宋" w:cs="仿宋"/>
          <w:sz w:val="32"/>
          <w:szCs w:val="32"/>
          <w:lang w:val="en-US" w:eastAsia="zh-CN"/>
        </w:rPr>
        <w:t>。</w:t>
      </w:r>
      <w:r>
        <w:rPr>
          <w:rFonts w:hint="eastAsia" w:ascii="楷体" w:hAnsi="楷体" w:eastAsia="楷体" w:cs="楷体"/>
          <w:b/>
          <w:bCs/>
          <w:sz w:val="32"/>
          <w:szCs w:val="32"/>
          <w:lang w:val="en-US" w:eastAsia="zh-CN"/>
        </w:rPr>
        <w:t>二是</w:t>
      </w:r>
      <w:r>
        <w:rPr>
          <w:rFonts w:hint="eastAsia" w:ascii="楷体" w:hAnsi="楷体" w:eastAsia="楷体" w:cs="楷体"/>
          <w:b/>
          <w:bCs/>
          <w:sz w:val="32"/>
          <w:szCs w:val="32"/>
        </w:rPr>
        <w:t>严格水域岸线空间管控。</w:t>
      </w:r>
      <w:r>
        <w:rPr>
          <w:rFonts w:hint="eastAsia" w:ascii="仿宋" w:hAnsi="仿宋" w:eastAsia="仿宋" w:cs="仿宋"/>
          <w:sz w:val="32"/>
          <w:szCs w:val="32"/>
          <w:lang w:val="en-US" w:eastAsia="zh-CN"/>
        </w:rPr>
        <w:t>认真贯彻落实水利部《关于加强河湖水域岸线空间管控的指导意见》，依法加强和规范涉河建设项目管理，严格涉河建设项目和活动方案审批；</w:t>
      </w:r>
      <w:r>
        <w:rPr>
          <w:rFonts w:hint="eastAsia" w:ascii="仿宋_GB2312" w:hAnsi="Times New Roman" w:eastAsia="仿宋_GB2312"/>
          <w:sz w:val="32"/>
          <w:szCs w:val="32"/>
          <w:lang w:val="en-US" w:eastAsia="zh-CN"/>
        </w:rPr>
        <w:t>开展涉河建设项目和有关活动排查登记，</w:t>
      </w:r>
      <w:r>
        <w:rPr>
          <w:rFonts w:hint="eastAsia" w:ascii="Times New Roman" w:hAnsi="Times New Roman" w:eastAsia="仿宋_GB2312"/>
          <w:sz w:val="32"/>
          <w:szCs w:val="32"/>
        </w:rPr>
        <w:t>切实加强涉河建设项目监管，及时整治河湖水域岸线范围</w:t>
      </w:r>
      <w:r>
        <w:rPr>
          <w:rFonts w:hint="eastAsia" w:ascii="仿宋_GB2312" w:hAnsi="Times New Roman" w:eastAsia="仿宋_GB2312"/>
          <w:sz w:val="32"/>
          <w:szCs w:val="32"/>
          <w:lang w:val="en-US" w:eastAsia="zh-CN"/>
        </w:rPr>
        <w:t>内违法违规问题。</w:t>
      </w:r>
      <w:r>
        <w:rPr>
          <w:rFonts w:hint="eastAsia" w:ascii="楷体" w:hAnsi="楷体" w:eastAsia="楷体" w:cs="楷体"/>
          <w:b/>
          <w:bCs/>
          <w:sz w:val="32"/>
          <w:szCs w:val="32"/>
          <w:lang w:val="en-US" w:eastAsia="zh-CN"/>
        </w:rPr>
        <w:t>三是</w:t>
      </w:r>
      <w:r>
        <w:rPr>
          <w:rFonts w:hint="eastAsia" w:ascii="楷体" w:hAnsi="楷体" w:eastAsia="楷体" w:cs="楷体"/>
          <w:b/>
          <w:bCs/>
          <w:sz w:val="32"/>
          <w:szCs w:val="32"/>
        </w:rPr>
        <w:t>推进“清四乱”常态化规范化。</w:t>
      </w:r>
      <w:r>
        <w:rPr>
          <w:rFonts w:hint="eastAsia" w:ascii="仿宋" w:hAnsi="仿宋" w:eastAsia="仿宋" w:cs="仿宋"/>
          <w:sz w:val="32"/>
          <w:szCs w:val="32"/>
        </w:rPr>
        <w:t>以清理整治妨碍河道行洪突出问题为重点，进一步压实河湖长责任，持续清理整治河湖“四乱”问题，坚决遏增量、清存量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发现问题年度整改清零</w:t>
      </w:r>
      <w:r>
        <w:rPr>
          <w:rFonts w:hint="eastAsia" w:ascii="仿宋" w:hAnsi="仿宋" w:eastAsia="仿宋" w:cs="仿宋"/>
          <w:sz w:val="32"/>
          <w:szCs w:val="32"/>
        </w:rPr>
        <w:t>。</w:t>
      </w:r>
      <w:r>
        <w:rPr>
          <w:rFonts w:hint="eastAsia" w:ascii="仿宋" w:hAnsi="仿宋" w:eastAsia="仿宋" w:cs="仿宋"/>
          <w:sz w:val="32"/>
          <w:szCs w:val="32"/>
          <w:lang w:val="en-US" w:eastAsia="zh-CN"/>
        </w:rPr>
        <w:t>完成水利部推送的285个“四乱”疑似图斑复核及整治工作，完成2021-2022年在全国河湖长制管理信息系统反馈“不是问题”图斑的信息补充工作。</w:t>
      </w:r>
      <w:r>
        <w:rPr>
          <w:rFonts w:hint="eastAsia" w:ascii="楷体" w:hAnsi="楷体" w:eastAsia="楷体" w:cs="楷体"/>
          <w:b/>
          <w:bCs/>
          <w:sz w:val="32"/>
          <w:szCs w:val="32"/>
          <w:lang w:val="en-US" w:eastAsia="zh-CN"/>
        </w:rPr>
        <w:t>四是</w:t>
      </w:r>
      <w:r>
        <w:rPr>
          <w:rFonts w:hint="eastAsia" w:ascii="楷体" w:hAnsi="楷体" w:eastAsia="楷体" w:cs="楷体"/>
          <w:b/>
          <w:bCs/>
          <w:sz w:val="32"/>
          <w:szCs w:val="32"/>
        </w:rPr>
        <w:t>梳理河湖名录，完善河湖管理范围划界成果。</w:t>
      </w:r>
      <w:r>
        <w:rPr>
          <w:rFonts w:hint="eastAsia" w:ascii="仿宋" w:hAnsi="仿宋" w:eastAsia="仿宋" w:cs="仿宋"/>
          <w:sz w:val="32"/>
          <w:szCs w:val="32"/>
          <w:lang w:val="en-US" w:eastAsia="zh-CN"/>
        </w:rPr>
        <w:t>组织开展120条河流和1个湖泊河湖名录核准，逐步</w:t>
      </w:r>
      <w:r>
        <w:rPr>
          <w:rFonts w:hint="eastAsia" w:ascii="仿宋" w:hAnsi="仿宋" w:eastAsia="仿宋" w:cs="仿宋"/>
          <w:sz w:val="32"/>
          <w:szCs w:val="32"/>
        </w:rPr>
        <w:t>推进水利普查外有管理任务的河湖管理范围划界</w:t>
      </w:r>
      <w:r>
        <w:rPr>
          <w:rFonts w:hint="eastAsia" w:ascii="仿宋" w:hAnsi="仿宋" w:eastAsia="仿宋" w:cs="仿宋"/>
          <w:sz w:val="32"/>
          <w:szCs w:val="32"/>
          <w:lang w:val="en-US" w:eastAsia="zh-CN"/>
        </w:rPr>
        <w:t>工作</w:t>
      </w:r>
      <w:r>
        <w:rPr>
          <w:rFonts w:hint="eastAsia" w:ascii="仿宋" w:hAnsi="仿宋" w:eastAsia="仿宋" w:cs="仿宋"/>
          <w:sz w:val="32"/>
          <w:szCs w:val="32"/>
        </w:rPr>
        <w:t>。</w:t>
      </w:r>
      <w:r>
        <w:rPr>
          <w:rFonts w:hint="eastAsia" w:ascii="楷体" w:hAnsi="楷体" w:eastAsia="楷体" w:cs="楷体"/>
          <w:b/>
          <w:bCs/>
          <w:sz w:val="32"/>
          <w:szCs w:val="32"/>
          <w:lang w:val="en-US" w:eastAsia="zh-CN"/>
        </w:rPr>
        <w:t>五是</w:t>
      </w:r>
      <w:r>
        <w:rPr>
          <w:rFonts w:hint="eastAsia" w:ascii="楷体" w:hAnsi="楷体" w:eastAsia="楷体" w:cs="楷体"/>
          <w:b/>
          <w:bCs/>
          <w:sz w:val="32"/>
          <w:szCs w:val="32"/>
        </w:rPr>
        <w:t>强化河道采砂管理</w:t>
      </w:r>
      <w:r>
        <w:rPr>
          <w:rFonts w:hint="eastAsia" w:ascii="楷体" w:hAnsi="楷体" w:eastAsia="楷体" w:cs="楷体"/>
          <w:b/>
          <w:bCs/>
          <w:sz w:val="32"/>
          <w:szCs w:val="32"/>
          <w:lang w:eastAsia="zh-CN"/>
        </w:rPr>
        <w:t>。</w:t>
      </w:r>
      <w:r>
        <w:rPr>
          <w:rFonts w:hint="eastAsia" w:ascii="仿宋" w:hAnsi="仿宋" w:eastAsia="仿宋" w:cs="仿宋"/>
          <w:sz w:val="32"/>
          <w:szCs w:val="32"/>
        </w:rPr>
        <w:t>严格落实采砂管理责任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按要求</w:t>
      </w:r>
      <w:r>
        <w:rPr>
          <w:rFonts w:hint="eastAsia" w:ascii="仿宋" w:hAnsi="仿宋" w:eastAsia="仿宋" w:cs="仿宋"/>
          <w:sz w:val="32"/>
          <w:szCs w:val="32"/>
        </w:rPr>
        <w:t>公告采砂管理河长、主管部门、现场监管和行政执法4个责任人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启动</w:t>
      </w:r>
      <w:r>
        <w:rPr>
          <w:rFonts w:hint="eastAsia" w:ascii="仿宋" w:hAnsi="仿宋" w:eastAsia="仿宋" w:cs="仿宋"/>
          <w:sz w:val="32"/>
          <w:szCs w:val="32"/>
        </w:rPr>
        <w:t>河道采砂许可电子证照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会同</w:t>
      </w:r>
      <w:r>
        <w:rPr>
          <w:rFonts w:hint="eastAsia" w:ascii="仿宋" w:hAnsi="仿宋" w:eastAsia="仿宋" w:cs="仿宋"/>
          <w:sz w:val="32"/>
          <w:szCs w:val="32"/>
        </w:rPr>
        <w:t>交通运输等部门</w:t>
      </w:r>
      <w:r>
        <w:rPr>
          <w:rFonts w:hint="eastAsia" w:ascii="仿宋" w:hAnsi="仿宋" w:eastAsia="仿宋" w:cs="仿宋"/>
          <w:sz w:val="32"/>
          <w:szCs w:val="32"/>
          <w:lang w:val="en-US" w:eastAsia="zh-CN"/>
        </w:rPr>
        <w:t>推行</w:t>
      </w:r>
      <w:r>
        <w:rPr>
          <w:rFonts w:hint="eastAsia" w:ascii="仿宋" w:hAnsi="仿宋" w:eastAsia="仿宋" w:cs="仿宋"/>
          <w:sz w:val="32"/>
          <w:szCs w:val="32"/>
        </w:rPr>
        <w:t>河道砂石采运管理单制度，强化河道砂石开采、运输、堆存等全过程监管。规范河道疏浚砂利用，统筹好河道治理保护和砂石资源利用。</w:t>
      </w:r>
    </w:p>
    <w:p>
      <w:pPr>
        <w:pStyle w:val="4"/>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left"/>
        <w:textAlignment w:val="auto"/>
        <w:rPr>
          <w:rFonts w:hint="default" w:ascii="仿宋" w:hAnsi="仿宋" w:eastAsia="仿宋" w:cs="仿宋"/>
          <w:kern w:val="2"/>
          <w:sz w:val="32"/>
          <w:szCs w:val="32"/>
          <w:highlight w:val="none"/>
          <w:lang w:val="en-US" w:eastAsia="zh-CN" w:bidi="ar-SA"/>
        </w:rPr>
      </w:pPr>
      <w:r>
        <w:rPr>
          <w:rFonts w:hint="eastAsia" w:ascii="黑体" w:hAnsi="黑体" w:eastAsia="黑体" w:cs="黑体"/>
          <w:kern w:val="2"/>
          <w:sz w:val="32"/>
          <w:szCs w:val="32"/>
          <w:lang w:val="en-US" w:eastAsia="zh-CN" w:bidi="ar-SA"/>
        </w:rPr>
        <w:t>四、强化水污染防治。</w:t>
      </w:r>
      <w:r>
        <w:rPr>
          <w:rFonts w:hint="eastAsia" w:ascii="楷体" w:hAnsi="楷体" w:eastAsia="楷体" w:cs="楷体"/>
          <w:b/>
          <w:bCs/>
          <w:sz w:val="32"/>
          <w:szCs w:val="32"/>
          <w:lang w:val="en-US" w:eastAsia="zh-CN"/>
        </w:rPr>
        <w:t>一是加强入河湖排污口排查整治。</w:t>
      </w:r>
      <w:r>
        <w:rPr>
          <w:rFonts w:hint="eastAsia" w:ascii="仿宋_GB2312" w:eastAsia="仿宋_GB2312"/>
          <w:sz w:val="32"/>
          <w:szCs w:val="32"/>
          <w:highlight w:val="none"/>
          <w:shd w:val="clear" w:color="auto" w:fill="FFFFFF"/>
          <w:lang w:val="en-US" w:eastAsia="zh-CN"/>
        </w:rPr>
        <w:t>完成州级河流（湖泊）入河湖排污口排查</w:t>
      </w:r>
      <w:r>
        <w:rPr>
          <w:rFonts w:hint="eastAsia" w:ascii="仿宋_GB2312" w:eastAsia="仿宋_GB2312"/>
          <w:sz w:val="32"/>
          <w:szCs w:val="32"/>
          <w:highlight w:val="none"/>
          <w:shd w:val="clear" w:color="auto" w:fill="FFFFFF"/>
        </w:rPr>
        <w:t>，</w:t>
      </w:r>
      <w:r>
        <w:rPr>
          <w:rFonts w:hint="eastAsia" w:ascii="仿宋_GB2312" w:eastAsia="仿宋_GB2312"/>
          <w:sz w:val="32"/>
          <w:szCs w:val="32"/>
          <w:highlight w:val="none"/>
          <w:shd w:val="clear" w:color="auto" w:fill="FFFFFF"/>
          <w:lang w:val="en-US" w:eastAsia="zh-CN"/>
        </w:rPr>
        <w:t>形成排污口名录及“一口一策”问题清单，完成80%溯源和30%整治任务。</w:t>
      </w:r>
      <w:r>
        <w:rPr>
          <w:rFonts w:hint="eastAsia" w:ascii="楷体" w:hAnsi="楷体" w:eastAsia="楷体" w:cs="楷体"/>
          <w:b/>
          <w:bCs/>
          <w:sz w:val="32"/>
          <w:szCs w:val="32"/>
          <w:lang w:val="en-US" w:eastAsia="zh-CN"/>
        </w:rPr>
        <w:t>二是加强入河湖污染源综合防治。</w:t>
      </w:r>
      <w:r>
        <w:rPr>
          <w:rFonts w:hint="eastAsia" w:ascii="仿宋_GB2312" w:eastAsia="仿宋_GB2312"/>
          <w:sz w:val="32"/>
          <w:szCs w:val="32"/>
          <w:highlight w:val="none"/>
          <w:shd w:val="clear" w:color="auto" w:fill="FFFFFF"/>
        </w:rPr>
        <w:t>严格治理工矿企业、工业园区、城镇生活等污染。</w:t>
      </w:r>
      <w:r>
        <w:rPr>
          <w:rFonts w:hint="eastAsia" w:ascii="Times New Roman" w:hAnsi="Times New Roman" w:eastAsia="仿宋_GB2312"/>
          <w:sz w:val="32"/>
          <w:szCs w:val="32"/>
          <w:highlight w:val="none"/>
        </w:rPr>
        <w:t>持续推进城镇生活污水处理，</w:t>
      </w:r>
      <w:r>
        <w:rPr>
          <w:rFonts w:hint="eastAsia" w:ascii="仿宋" w:hAnsi="仿宋" w:eastAsia="仿宋" w:cs="仿宋"/>
          <w:kern w:val="2"/>
          <w:sz w:val="32"/>
          <w:szCs w:val="32"/>
          <w:highlight w:val="none"/>
          <w:lang w:val="en-US" w:eastAsia="zh-CN" w:bidi="ar-SA"/>
        </w:rPr>
        <w:t>城镇生活污水再生利用率达到55%；加</w:t>
      </w:r>
      <w:r>
        <w:rPr>
          <w:rFonts w:hint="eastAsia" w:ascii="Times New Roman" w:hAnsi="Times New Roman" w:eastAsia="仿宋_GB2312"/>
          <w:sz w:val="32"/>
          <w:szCs w:val="32"/>
          <w:highlight w:val="none"/>
        </w:rPr>
        <w:t>快补齐城镇污水收集和处理设施短板，加强城镇生活污水处理厂运行监管，确保稳定运行，达标排放</w:t>
      </w:r>
      <w:r>
        <w:rPr>
          <w:rFonts w:hint="eastAsia" w:ascii="仿宋" w:hAnsi="仿宋" w:eastAsia="仿宋" w:cs="仿宋"/>
          <w:kern w:val="2"/>
          <w:sz w:val="32"/>
          <w:szCs w:val="32"/>
          <w:highlight w:val="none"/>
          <w:lang w:val="en-US" w:eastAsia="zh-CN" w:bidi="ar-SA"/>
        </w:rPr>
        <w:t>。</w:t>
      </w:r>
      <w:r>
        <w:rPr>
          <w:rFonts w:hint="eastAsia" w:ascii="楷体" w:hAnsi="楷体" w:eastAsia="楷体" w:cs="楷体"/>
          <w:b/>
          <w:bCs/>
          <w:sz w:val="32"/>
          <w:szCs w:val="32"/>
          <w:lang w:val="en-US" w:eastAsia="zh-CN"/>
        </w:rPr>
        <w:t>三是</w:t>
      </w:r>
      <w:r>
        <w:rPr>
          <w:rFonts w:hint="default" w:ascii="楷体" w:hAnsi="楷体" w:eastAsia="楷体" w:cs="楷体"/>
          <w:b/>
          <w:bCs/>
          <w:sz w:val="32"/>
          <w:szCs w:val="32"/>
          <w:lang w:val="en-US" w:eastAsia="zh-CN"/>
        </w:rPr>
        <w:t>加强农业面源污染治理。</w:t>
      </w:r>
      <w:r>
        <w:rPr>
          <w:rFonts w:hint="eastAsia" w:ascii="仿宋" w:hAnsi="仿宋" w:eastAsia="仿宋" w:cs="仿宋"/>
          <w:kern w:val="2"/>
          <w:sz w:val="32"/>
          <w:szCs w:val="32"/>
          <w:highlight w:val="none"/>
          <w:lang w:val="en-US" w:eastAsia="zh-CN" w:bidi="ar-SA"/>
        </w:rPr>
        <w:t>完成</w:t>
      </w:r>
      <w:r>
        <w:rPr>
          <w:rFonts w:hint="default" w:ascii="仿宋" w:hAnsi="仿宋" w:eastAsia="仿宋" w:cs="仿宋"/>
          <w:kern w:val="2"/>
          <w:sz w:val="32"/>
          <w:szCs w:val="32"/>
          <w:highlight w:val="none"/>
          <w:lang w:val="en-US" w:eastAsia="zh-CN" w:bidi="ar-SA"/>
        </w:rPr>
        <w:t>170万亩加厚高强度地膜推广任务，主要农作物测土配方施肥技术覆盖率达90%、病虫害绿色防控覆盖率达48%以上，农田当季地膜回收率达85%，畜禽粪污资源化利用率达80%以上，农作物秸秆综合利用率达95%以上。</w:t>
      </w:r>
      <w:r>
        <w:rPr>
          <w:rFonts w:hint="eastAsia" w:ascii="仿宋" w:hAnsi="仿宋" w:eastAsia="仿宋" w:cs="仿宋"/>
          <w:kern w:val="2"/>
          <w:sz w:val="32"/>
          <w:szCs w:val="32"/>
          <w:highlight w:val="none"/>
          <w:lang w:val="en-US" w:eastAsia="zh-CN" w:bidi="ar-SA"/>
        </w:rPr>
        <w:t>加强水生生物资源保护力度，维护河湖生物多样性，完成重要河流湖泊渔业增殖放流任务。</w:t>
      </w:r>
      <w:r>
        <w:rPr>
          <w:rFonts w:hint="eastAsia" w:ascii="楷体" w:hAnsi="楷体" w:eastAsia="楷体" w:cs="楷体"/>
          <w:b/>
          <w:bCs/>
          <w:sz w:val="32"/>
          <w:szCs w:val="32"/>
          <w:lang w:val="en-US" w:eastAsia="zh-CN"/>
        </w:rPr>
        <w:t>四是加强农村生活污水治理。</w:t>
      </w:r>
      <w:r>
        <w:rPr>
          <w:rFonts w:hint="default" w:ascii="仿宋" w:hAnsi="仿宋" w:eastAsia="仿宋" w:cs="仿宋"/>
          <w:kern w:val="2"/>
          <w:sz w:val="32"/>
          <w:szCs w:val="32"/>
          <w:highlight w:val="none"/>
          <w:lang w:val="en-US" w:eastAsia="zh-CN" w:bidi="ar-SA"/>
        </w:rPr>
        <w:t>因村制宜推进农村生活污水治理，完成18个农村污水治理设施建设，力争全州农村污水治理率达到25%。</w:t>
      </w:r>
      <w:r>
        <w:rPr>
          <w:rFonts w:hint="eastAsia" w:ascii="仿宋" w:hAnsi="仿宋" w:eastAsia="仿宋" w:cs="仿宋"/>
          <w:kern w:val="2"/>
          <w:sz w:val="32"/>
          <w:szCs w:val="32"/>
          <w:highlight w:val="none"/>
          <w:lang w:val="en-US" w:eastAsia="zh-CN" w:bidi="ar-SA"/>
        </w:rPr>
        <w:t>完成</w:t>
      </w:r>
      <w:r>
        <w:rPr>
          <w:rFonts w:hint="default" w:ascii="仿宋" w:hAnsi="仿宋" w:eastAsia="仿宋" w:cs="仿宋"/>
          <w:kern w:val="2"/>
          <w:sz w:val="32"/>
          <w:szCs w:val="32"/>
          <w:highlight w:val="none"/>
          <w:lang w:val="en-US" w:eastAsia="zh-CN" w:bidi="ar-SA"/>
        </w:rPr>
        <w:t>第三批农村粪污一体化4个项目实施工作和1个县市的中央预算内农村生活垃圾及生活污水处理建设项目。</w:t>
      </w:r>
    </w:p>
    <w:p>
      <w:pPr>
        <w:keepNext w:val="0"/>
        <w:keepLines w:val="0"/>
        <w:pageBreakBefore w:val="0"/>
        <w:widowControl w:val="0"/>
        <w:numPr>
          <w:ilvl w:val="0"/>
          <w:numId w:val="0"/>
        </w:numPr>
        <w:pBdr>
          <w:top w:val="single" w:color="FFFFFF" w:sz="4" w:space="0"/>
          <w:left w:val="single" w:color="FFFFFF" w:sz="4" w:space="0"/>
          <w:bottom w:val="single" w:color="FFFFFF" w:sz="4" w:space="31"/>
          <w:right w:val="single" w:color="FFFFFF" w:sz="4" w:space="9"/>
        </w:pBdr>
        <w:tabs>
          <w:tab w:val="right" w:pos="9070"/>
        </w:tabs>
        <w:kinsoku/>
        <w:wordWrap/>
        <w:overflowPunct/>
        <w:topLinePunct w:val="0"/>
        <w:autoSpaceDE/>
        <w:autoSpaceDN/>
        <w:bidi w:val="0"/>
        <w:adjustRightInd w:val="0"/>
        <w:snapToGrid/>
        <w:spacing w:line="540" w:lineRule="exact"/>
        <w:ind w:left="0" w:leftChars="0" w:right="0" w:rightChars="0" w:firstLine="640" w:firstLineChars="200"/>
        <w:contextualSpacing/>
        <w:jc w:val="both"/>
        <w:textAlignment w:val="auto"/>
        <w:outlineLvl w:val="9"/>
        <w:rPr>
          <w:rFonts w:hint="default" w:ascii="仿宋_GB2312" w:eastAsia="仿宋_GB2312"/>
          <w:sz w:val="32"/>
          <w:szCs w:val="32"/>
          <w:highlight w:val="none"/>
          <w:shd w:val="clear" w:color="auto" w:fill="FFFFFF"/>
        </w:rPr>
      </w:pPr>
      <w:r>
        <w:rPr>
          <w:rFonts w:hint="eastAsia" w:ascii="黑体" w:hAnsi="黑体" w:eastAsia="黑体" w:cs="黑体"/>
          <w:kern w:val="2"/>
          <w:sz w:val="32"/>
          <w:szCs w:val="32"/>
          <w:lang w:val="en-US" w:eastAsia="zh-CN" w:bidi="ar-SA"/>
        </w:rPr>
        <w:t>五、强化水环境治理。</w:t>
      </w:r>
      <w:r>
        <w:rPr>
          <w:rFonts w:hint="eastAsia" w:ascii="楷体" w:hAnsi="楷体" w:eastAsia="楷体" w:cs="楷体"/>
          <w:b/>
          <w:bCs/>
          <w:kern w:val="2"/>
          <w:sz w:val="32"/>
          <w:szCs w:val="32"/>
          <w:highlight w:val="none"/>
          <w:lang w:val="en-US" w:eastAsia="zh-CN" w:bidi="ar-SA"/>
        </w:rPr>
        <w:t>一是推进河湖水环境综合整治。</w:t>
      </w:r>
      <w:r>
        <w:rPr>
          <w:rFonts w:hint="eastAsia" w:ascii="仿宋_GB2312" w:eastAsia="仿宋_GB2312"/>
          <w:sz w:val="32"/>
          <w:szCs w:val="32"/>
          <w:highlight w:val="none"/>
          <w:shd w:val="clear" w:color="auto" w:fill="FFFFFF"/>
          <w:lang w:val="en-US" w:eastAsia="zh-CN"/>
        </w:rPr>
        <w:t>对</w:t>
      </w:r>
      <w:r>
        <w:rPr>
          <w:rFonts w:hint="eastAsia" w:ascii="仿宋_GB2312" w:eastAsia="仿宋_GB2312"/>
          <w:sz w:val="32"/>
          <w:szCs w:val="32"/>
          <w:highlight w:val="none"/>
          <w:shd w:val="clear" w:color="auto" w:fill="FFFFFF"/>
        </w:rPr>
        <w:t>全州9条主要河流17个监测断面</w:t>
      </w:r>
      <w:r>
        <w:rPr>
          <w:rFonts w:hint="eastAsia" w:ascii="仿宋_GB2312" w:eastAsia="仿宋_GB2312"/>
          <w:sz w:val="32"/>
          <w:szCs w:val="32"/>
          <w:highlight w:val="none"/>
          <w:shd w:val="clear" w:color="auto" w:fill="FFFFFF"/>
          <w:lang w:eastAsia="zh-CN"/>
        </w:rPr>
        <w:t>、</w:t>
      </w:r>
      <w:r>
        <w:rPr>
          <w:rFonts w:hint="eastAsia" w:ascii="仿宋_GB2312" w:eastAsia="仿宋_GB2312"/>
          <w:sz w:val="32"/>
          <w:szCs w:val="32"/>
          <w:highlight w:val="none"/>
          <w:shd w:val="clear" w:color="auto" w:fill="FFFFFF"/>
        </w:rPr>
        <w:t>天池湖库3个断面、城镇集中式饮用水水源地水质达标全过程监管，确保水质稳定向好。</w:t>
      </w:r>
      <w:r>
        <w:rPr>
          <w:rFonts w:hint="eastAsia" w:ascii="仿宋_GB2312" w:eastAsia="仿宋_GB2312"/>
          <w:sz w:val="32"/>
          <w:szCs w:val="32"/>
          <w:highlight w:val="none"/>
          <w:shd w:val="clear" w:color="auto" w:fill="FFFFFF"/>
          <w:lang w:val="en-US" w:eastAsia="zh-CN"/>
        </w:rPr>
        <w:t>防止黑臭水体。</w:t>
      </w:r>
      <w:r>
        <w:rPr>
          <w:rFonts w:hint="eastAsia" w:ascii="Times New Roman" w:hAnsi="Times New Roman" w:eastAsia="仿宋_GB2312"/>
          <w:sz w:val="32"/>
          <w:szCs w:val="32"/>
          <w:highlight w:val="none"/>
        </w:rPr>
        <w:t>推进乡镇级集中式饮用水水源和农村“千吨万人”水源保护区划定工作。</w:t>
      </w:r>
      <w:r>
        <w:rPr>
          <w:rFonts w:hint="eastAsia" w:ascii="仿宋_GB2312" w:eastAsia="仿宋_GB2312"/>
          <w:sz w:val="32"/>
          <w:szCs w:val="32"/>
          <w:highlight w:val="none"/>
          <w:shd w:val="clear" w:color="auto" w:fill="FFFFFF"/>
        </w:rPr>
        <w:t>加强饮用水水源保护。</w:t>
      </w:r>
      <w:r>
        <w:rPr>
          <w:rFonts w:hint="default" w:ascii="仿宋_GB2312" w:eastAsia="仿宋_GB2312"/>
          <w:sz w:val="32"/>
          <w:szCs w:val="32"/>
          <w:highlight w:val="none"/>
          <w:shd w:val="clear" w:color="auto" w:fill="FFFFFF"/>
          <w:lang w:val="en-US" w:eastAsia="zh-CN"/>
        </w:rPr>
        <w:t>加强集中式饮用水水源地规范化建设及影响水源地环境安全的问题排查整治</w:t>
      </w:r>
      <w:r>
        <w:rPr>
          <w:rFonts w:hint="eastAsia" w:ascii="仿宋_GB2312" w:eastAsia="仿宋_GB2312"/>
          <w:sz w:val="32"/>
          <w:szCs w:val="32"/>
          <w:highlight w:val="none"/>
          <w:shd w:val="clear" w:color="auto" w:fill="FFFFFF"/>
        </w:rPr>
        <w:t>。</w:t>
      </w:r>
      <w:r>
        <w:rPr>
          <w:rFonts w:hint="default" w:ascii="仿宋_GB2312" w:eastAsia="仿宋_GB2312"/>
          <w:sz w:val="32"/>
          <w:szCs w:val="32"/>
          <w:highlight w:val="none"/>
          <w:shd w:val="clear" w:color="auto" w:fill="FFFFFF"/>
          <w:lang w:val="en-US" w:eastAsia="zh-CN"/>
        </w:rPr>
        <w:t>推进乡镇级饮用水水源保护区划定，对水质不能稳定达标的饮用水水源开展溯源整治，强化区域水环境监管。</w:t>
      </w:r>
      <w:r>
        <w:rPr>
          <w:rFonts w:hint="eastAsia" w:ascii="仿宋_GB2312" w:eastAsia="仿宋_GB2312"/>
          <w:sz w:val="32"/>
          <w:szCs w:val="32"/>
          <w:highlight w:val="none"/>
          <w:shd w:val="clear" w:color="auto" w:fill="FFFFFF"/>
        </w:rPr>
        <w:t>城镇集中式饮用水水源水质达到或优于</w:t>
      </w:r>
      <w:r>
        <w:rPr>
          <w:rFonts w:hint="eastAsia" w:ascii="仿宋_GB2312" w:eastAsia="仿宋_GB2312"/>
          <w:sz w:val="32"/>
          <w:szCs w:val="32"/>
          <w:highlight w:val="none"/>
          <w:shd w:val="clear" w:color="auto" w:fill="FFFFFF"/>
          <w:lang w:eastAsia="zh-CN"/>
        </w:rPr>
        <w:t>Ⅲ</w:t>
      </w:r>
      <w:r>
        <w:rPr>
          <w:rFonts w:hint="eastAsia" w:ascii="仿宋_GB2312" w:eastAsia="仿宋_GB2312"/>
          <w:sz w:val="32"/>
          <w:szCs w:val="32"/>
          <w:highlight w:val="none"/>
          <w:shd w:val="clear" w:color="auto" w:fill="FFFFFF"/>
        </w:rPr>
        <w:t>类比例达到100%。严格实施从水源头到水龙头全过程的监管，定期公开县级饮水安全状况信息，切实保障生活饮用水水源安全。</w:t>
      </w:r>
      <w:r>
        <w:rPr>
          <w:rFonts w:hint="eastAsia" w:ascii="楷体" w:hAnsi="楷体" w:eastAsia="楷体" w:cs="楷体"/>
          <w:b/>
          <w:bCs/>
          <w:kern w:val="2"/>
          <w:sz w:val="32"/>
          <w:szCs w:val="32"/>
          <w:highlight w:val="none"/>
          <w:lang w:val="en-US" w:eastAsia="zh-CN" w:bidi="ar-SA"/>
        </w:rPr>
        <w:t>二是推进农村水环境整治。</w:t>
      </w:r>
      <w:r>
        <w:rPr>
          <w:rFonts w:hint="default" w:ascii="仿宋_GB2312" w:eastAsia="仿宋_GB2312"/>
          <w:sz w:val="32"/>
          <w:szCs w:val="32"/>
          <w:highlight w:val="none"/>
          <w:shd w:val="clear" w:color="auto" w:fill="FFFFFF"/>
        </w:rPr>
        <w:t>抓好农村问题户厕整改，实施13个村整村推进，</w:t>
      </w:r>
      <w:r>
        <w:rPr>
          <w:rFonts w:hint="eastAsia" w:ascii="仿宋_GB2312" w:eastAsia="仿宋_GB2312"/>
          <w:sz w:val="32"/>
          <w:szCs w:val="32"/>
          <w:highlight w:val="none"/>
          <w:shd w:val="clear" w:color="auto" w:fill="FFFFFF"/>
          <w:lang w:val="en-US" w:eastAsia="zh-CN"/>
        </w:rPr>
        <w:t>新改建农村</w:t>
      </w:r>
      <w:r>
        <w:rPr>
          <w:rFonts w:hint="default" w:ascii="仿宋_GB2312" w:eastAsia="仿宋_GB2312"/>
          <w:sz w:val="32"/>
          <w:szCs w:val="32"/>
          <w:highlight w:val="none"/>
          <w:shd w:val="clear" w:color="auto" w:fill="FFFFFF"/>
        </w:rPr>
        <w:t>户厕</w:t>
      </w:r>
      <w:r>
        <w:rPr>
          <w:rFonts w:hint="eastAsia" w:ascii="仿宋_GB2312" w:eastAsia="仿宋_GB2312"/>
          <w:sz w:val="32"/>
          <w:szCs w:val="32"/>
          <w:highlight w:val="none"/>
          <w:shd w:val="clear" w:color="auto" w:fill="FFFFFF"/>
          <w:lang w:val="en-US" w:eastAsia="zh-CN"/>
        </w:rPr>
        <w:t>800</w:t>
      </w:r>
      <w:r>
        <w:rPr>
          <w:rFonts w:hint="default" w:ascii="仿宋_GB2312" w:eastAsia="仿宋_GB2312"/>
          <w:sz w:val="32"/>
          <w:szCs w:val="32"/>
          <w:highlight w:val="none"/>
          <w:shd w:val="clear" w:color="auto" w:fill="FFFFFF"/>
        </w:rPr>
        <w:t>0座。在全州</w:t>
      </w:r>
      <w:r>
        <w:rPr>
          <w:rFonts w:hint="eastAsia" w:ascii="仿宋_GB2312" w:eastAsia="仿宋_GB2312"/>
          <w:sz w:val="32"/>
          <w:szCs w:val="32"/>
          <w:highlight w:val="none"/>
          <w:shd w:val="clear" w:color="auto" w:fill="FFFFFF"/>
          <w:lang w:eastAsia="zh-CN"/>
        </w:rPr>
        <w:t>打造</w:t>
      </w:r>
      <w:r>
        <w:rPr>
          <w:rFonts w:hint="default" w:ascii="仿宋_GB2312" w:eastAsia="仿宋_GB2312"/>
          <w:sz w:val="32"/>
          <w:szCs w:val="32"/>
          <w:highlight w:val="none"/>
          <w:shd w:val="clear" w:color="auto" w:fill="FFFFFF"/>
        </w:rPr>
        <w:t>40个垃圾分类减量示范</w:t>
      </w:r>
      <w:r>
        <w:rPr>
          <w:rFonts w:hint="eastAsia" w:ascii="仿宋_GB2312" w:eastAsia="仿宋_GB2312"/>
          <w:sz w:val="32"/>
          <w:szCs w:val="32"/>
          <w:highlight w:val="none"/>
          <w:shd w:val="clear" w:color="auto" w:fill="FFFFFF"/>
          <w:lang w:eastAsia="zh-CN"/>
        </w:rPr>
        <w:t>村</w:t>
      </w:r>
      <w:r>
        <w:rPr>
          <w:rFonts w:hint="default" w:ascii="仿宋_GB2312" w:eastAsia="仿宋_GB2312"/>
          <w:sz w:val="32"/>
          <w:szCs w:val="32"/>
          <w:highlight w:val="none"/>
          <w:shd w:val="clear" w:color="auto" w:fill="FFFFFF"/>
        </w:rPr>
        <w:t>，</w:t>
      </w:r>
      <w:r>
        <w:rPr>
          <w:rFonts w:hint="eastAsia" w:ascii="仿宋_GB2312" w:eastAsia="仿宋_GB2312"/>
          <w:sz w:val="32"/>
          <w:szCs w:val="32"/>
          <w:highlight w:val="none"/>
          <w:shd w:val="clear" w:color="auto" w:fill="FFFFFF"/>
          <w:lang w:val="en-US" w:eastAsia="zh-CN"/>
        </w:rPr>
        <w:t>实施</w:t>
      </w:r>
      <w:r>
        <w:rPr>
          <w:rFonts w:hint="default" w:ascii="仿宋_GB2312" w:eastAsia="仿宋_GB2312"/>
          <w:sz w:val="32"/>
          <w:szCs w:val="32"/>
          <w:highlight w:val="none"/>
          <w:shd w:val="clear" w:color="auto" w:fill="FFFFFF"/>
        </w:rPr>
        <w:t>66个</w:t>
      </w:r>
      <w:r>
        <w:rPr>
          <w:rFonts w:hint="eastAsia" w:ascii="仿宋_GB2312" w:eastAsia="仿宋_GB2312"/>
          <w:sz w:val="32"/>
          <w:szCs w:val="32"/>
          <w:highlight w:val="none"/>
          <w:shd w:val="clear" w:color="auto" w:fill="FFFFFF"/>
          <w:lang w:eastAsia="zh-CN"/>
        </w:rPr>
        <w:t>“</w:t>
      </w:r>
      <w:r>
        <w:rPr>
          <w:rFonts w:hint="default" w:ascii="仿宋_GB2312" w:eastAsia="仿宋_GB2312"/>
          <w:sz w:val="32"/>
          <w:szCs w:val="32"/>
          <w:highlight w:val="none"/>
          <w:shd w:val="clear" w:color="auto" w:fill="FFFFFF"/>
        </w:rPr>
        <w:t>一乡一村</w:t>
      </w:r>
      <w:r>
        <w:rPr>
          <w:rFonts w:hint="eastAsia" w:ascii="仿宋_GB2312" w:eastAsia="仿宋_GB2312"/>
          <w:sz w:val="32"/>
          <w:szCs w:val="32"/>
          <w:highlight w:val="none"/>
          <w:shd w:val="clear" w:color="auto" w:fill="FFFFFF"/>
          <w:lang w:eastAsia="zh-CN"/>
        </w:rPr>
        <w:t>”</w:t>
      </w:r>
      <w:r>
        <w:rPr>
          <w:rFonts w:hint="eastAsia" w:ascii="仿宋_GB2312" w:eastAsia="仿宋_GB2312"/>
          <w:sz w:val="32"/>
          <w:szCs w:val="32"/>
          <w:highlight w:val="none"/>
          <w:shd w:val="clear" w:color="auto" w:fill="FFFFFF"/>
          <w:lang w:val="en-US" w:eastAsia="zh-CN"/>
        </w:rPr>
        <w:t>乡村建设行动、25</w:t>
      </w:r>
      <w:r>
        <w:rPr>
          <w:rFonts w:hint="default" w:ascii="仿宋_GB2312" w:eastAsia="仿宋_GB2312"/>
          <w:sz w:val="32"/>
          <w:szCs w:val="32"/>
          <w:highlight w:val="none"/>
          <w:shd w:val="clear" w:color="auto" w:fill="FFFFFF"/>
        </w:rPr>
        <w:t>个宜居宜业和美乡村示范样板。</w:t>
      </w:r>
    </w:p>
    <w:p>
      <w:pPr>
        <w:keepNext w:val="0"/>
        <w:keepLines w:val="0"/>
        <w:pageBreakBefore w:val="0"/>
        <w:widowControl w:val="0"/>
        <w:numPr>
          <w:ilvl w:val="0"/>
          <w:numId w:val="0"/>
        </w:numPr>
        <w:pBdr>
          <w:top w:val="single" w:color="FFFFFF" w:sz="4" w:space="0"/>
          <w:left w:val="single" w:color="FFFFFF" w:sz="4" w:space="0"/>
          <w:bottom w:val="single" w:color="FFFFFF" w:sz="4" w:space="31"/>
          <w:right w:val="single" w:color="FFFFFF" w:sz="4" w:space="9"/>
        </w:pBdr>
        <w:tabs>
          <w:tab w:val="right" w:pos="9070"/>
        </w:tabs>
        <w:kinsoku/>
        <w:wordWrap/>
        <w:overflowPunct/>
        <w:topLinePunct w:val="0"/>
        <w:autoSpaceDE/>
        <w:autoSpaceDN/>
        <w:bidi w:val="0"/>
        <w:adjustRightInd w:val="0"/>
        <w:snapToGrid/>
        <w:spacing w:line="540" w:lineRule="exact"/>
        <w:ind w:left="0" w:leftChars="0" w:right="0" w:rightChars="0" w:firstLine="640" w:firstLineChars="200"/>
        <w:contextualSpacing/>
        <w:jc w:val="both"/>
        <w:textAlignment w:val="auto"/>
        <w:outlineLvl w:val="9"/>
        <w:rPr>
          <w:rFonts w:hint="eastAsia" w:ascii="Times New Roman" w:hAnsi="Times New Roman" w:eastAsia="仿宋_GB2312"/>
          <w:sz w:val="32"/>
          <w:szCs w:val="32"/>
          <w:u w:val="none"/>
          <w:lang w:val="en-US" w:eastAsia="zh-CN"/>
        </w:rPr>
      </w:pPr>
      <w:r>
        <w:rPr>
          <w:rFonts w:hint="eastAsia" w:ascii="黑体" w:hAnsi="黑体" w:eastAsia="黑体" w:cs="黑体"/>
          <w:kern w:val="2"/>
          <w:sz w:val="32"/>
          <w:szCs w:val="32"/>
          <w:lang w:val="en-US" w:eastAsia="zh-CN" w:bidi="ar-SA"/>
        </w:rPr>
        <w:t>六、强化</w:t>
      </w:r>
      <w:r>
        <w:rPr>
          <w:rFonts w:hint="default" w:ascii="黑体" w:hAnsi="黑体" w:eastAsia="黑体" w:cs="黑体"/>
          <w:kern w:val="2"/>
          <w:sz w:val="32"/>
          <w:szCs w:val="32"/>
          <w:lang w:val="en-US" w:eastAsia="zh-CN" w:bidi="ar-SA"/>
        </w:rPr>
        <w:t>水生态修复</w:t>
      </w:r>
      <w:r>
        <w:rPr>
          <w:rFonts w:hint="eastAsia" w:ascii="黑体" w:hAnsi="黑体" w:eastAsia="黑体" w:cs="黑体"/>
          <w:kern w:val="2"/>
          <w:sz w:val="32"/>
          <w:szCs w:val="32"/>
          <w:lang w:val="en-US" w:eastAsia="zh-CN" w:bidi="ar-SA"/>
        </w:rPr>
        <w:t>。</w:t>
      </w:r>
      <w:r>
        <w:rPr>
          <w:rFonts w:hint="eastAsia" w:ascii="楷体" w:hAnsi="楷体" w:eastAsia="楷体" w:cs="楷体"/>
          <w:b/>
          <w:bCs/>
          <w:kern w:val="2"/>
          <w:sz w:val="32"/>
          <w:szCs w:val="32"/>
          <w:highlight w:val="none"/>
          <w:lang w:val="en-US" w:eastAsia="zh-CN" w:bidi="ar-SA"/>
        </w:rPr>
        <w:t>一是落实生态流量。</w:t>
      </w:r>
      <w:r>
        <w:rPr>
          <w:rFonts w:hint="eastAsia" w:ascii="仿宋" w:hAnsi="仿宋" w:eastAsia="仿宋" w:cs="仿宋"/>
          <w:kern w:val="2"/>
          <w:sz w:val="32"/>
          <w:szCs w:val="32"/>
          <w:highlight w:val="none"/>
          <w:lang w:val="en-US" w:eastAsia="zh-CN" w:bidi="ar-SA"/>
        </w:rPr>
        <w:t>全面落实12条0.5亿立方米以上河流生态水量及天池湖最低生态水位线；完成塔西河、呼图壁河、三屯河、开垦河4条河流生态流量保障方案修编，并报自治区审查；</w:t>
      </w:r>
      <w:r>
        <w:rPr>
          <w:rFonts w:hint="eastAsia" w:ascii="Times New Roman" w:hAnsi="Times New Roman" w:eastAsia="仿宋_GB2312"/>
          <w:sz w:val="32"/>
          <w:szCs w:val="32"/>
          <w:highlight w:val="none"/>
          <w:u w:val="none"/>
        </w:rPr>
        <w:t>加强水电站生态流量监督检查，</w:t>
      </w:r>
      <w:r>
        <w:rPr>
          <w:rFonts w:ascii="Times New Roman" w:hAnsi="Times New Roman" w:eastAsia="仿宋_GB2312"/>
          <w:sz w:val="32"/>
          <w:szCs w:val="32"/>
          <w:highlight w:val="none"/>
          <w:u w:val="none"/>
        </w:rPr>
        <w:t>开展小水电分类整治</w:t>
      </w:r>
      <w:r>
        <w:rPr>
          <w:rFonts w:hint="eastAsia" w:ascii="Times New Roman" w:hAnsi="Times New Roman" w:eastAsia="仿宋_GB2312"/>
          <w:sz w:val="32"/>
          <w:szCs w:val="32"/>
          <w:highlight w:val="none"/>
          <w:u w:val="none"/>
          <w:lang w:eastAsia="zh-CN"/>
        </w:rPr>
        <w:t>。</w:t>
      </w:r>
      <w:r>
        <w:rPr>
          <w:rFonts w:hint="eastAsia" w:ascii="楷体" w:hAnsi="楷体" w:eastAsia="楷体" w:cs="楷体"/>
          <w:b/>
          <w:bCs/>
          <w:kern w:val="2"/>
          <w:sz w:val="32"/>
          <w:szCs w:val="32"/>
          <w:highlight w:val="none"/>
          <w:lang w:val="en-US" w:eastAsia="zh-CN" w:bidi="ar-SA"/>
        </w:rPr>
        <w:t>二是加大河湖湿地保护修复力度。</w:t>
      </w:r>
      <w:r>
        <w:rPr>
          <w:rFonts w:hint="eastAsia" w:ascii="Times New Roman" w:hAnsi="Times New Roman" w:eastAsia="仿宋_GB2312"/>
          <w:sz w:val="32"/>
          <w:szCs w:val="32"/>
          <w:highlight w:val="none"/>
          <w:u w:val="none"/>
          <w:lang w:eastAsia="zh-CN"/>
        </w:rPr>
        <w:t>加强</w:t>
      </w:r>
      <w:r>
        <w:rPr>
          <w:rFonts w:hint="eastAsia" w:ascii="Times New Roman" w:hAnsi="Times New Roman" w:eastAsia="仿宋_GB2312"/>
          <w:sz w:val="32"/>
          <w:szCs w:val="32"/>
          <w:highlight w:val="none"/>
          <w:u w:val="none"/>
        </w:rPr>
        <w:t>重点湿地</w:t>
      </w:r>
      <w:r>
        <w:rPr>
          <w:rFonts w:hint="eastAsia" w:ascii="Times New Roman" w:hAnsi="Times New Roman" w:eastAsia="仿宋_GB2312"/>
          <w:sz w:val="32"/>
          <w:szCs w:val="32"/>
          <w:highlight w:val="none"/>
          <w:u w:val="none"/>
          <w:lang w:eastAsia="zh-CN"/>
        </w:rPr>
        <w:t>保护</w:t>
      </w:r>
      <w:r>
        <w:rPr>
          <w:rFonts w:hint="eastAsia" w:ascii="Times New Roman" w:hAnsi="Times New Roman" w:eastAsia="仿宋_GB2312"/>
          <w:sz w:val="32"/>
          <w:szCs w:val="32"/>
          <w:highlight w:val="none"/>
          <w:u w:val="none"/>
        </w:rPr>
        <w:t>治理，强化湿地</w:t>
      </w:r>
      <w:r>
        <w:rPr>
          <w:rFonts w:hint="eastAsia" w:ascii="Times New Roman" w:hAnsi="Times New Roman" w:eastAsia="仿宋_GB2312"/>
          <w:sz w:val="32"/>
          <w:szCs w:val="32"/>
          <w:highlight w:val="none"/>
          <w:u w:val="none"/>
          <w:lang w:eastAsia="zh-CN"/>
        </w:rPr>
        <w:t>调查监测、</w:t>
      </w:r>
      <w:r>
        <w:rPr>
          <w:rFonts w:hint="eastAsia" w:ascii="Times New Roman" w:hAnsi="Times New Roman" w:eastAsia="仿宋_GB2312"/>
          <w:sz w:val="32"/>
          <w:szCs w:val="32"/>
          <w:highlight w:val="none"/>
          <w:u w:val="none"/>
        </w:rPr>
        <w:t>用途管制和利用监管。</w:t>
      </w:r>
      <w:r>
        <w:rPr>
          <w:rFonts w:hint="eastAsia" w:ascii="仿宋_GB2312" w:hAnsi="仿宋_GB2312" w:eastAsia="仿宋_GB2312" w:cs="仿宋_GB2312"/>
          <w:w w:val="95"/>
          <w:sz w:val="32"/>
          <w:szCs w:val="32"/>
          <w:highlight w:val="none"/>
          <w:lang w:val="en-US" w:eastAsia="zh-CN"/>
        </w:rPr>
        <w:t>实施玛纳斯、吉木萨尔北庭国家湿地公园湿地保护修复项目，增强湿地生态系统稳定性，不断提升湿地保护、管理和利用水平，逐步恢复湿地生物多样性。</w:t>
      </w:r>
      <w:r>
        <w:rPr>
          <w:rFonts w:hint="eastAsia" w:ascii="楷体" w:hAnsi="楷体" w:eastAsia="楷体" w:cs="楷体"/>
          <w:b/>
          <w:bCs/>
          <w:kern w:val="2"/>
          <w:sz w:val="32"/>
          <w:szCs w:val="32"/>
          <w:highlight w:val="none"/>
          <w:lang w:val="en-US" w:eastAsia="zh-CN" w:bidi="ar-SA"/>
        </w:rPr>
        <w:t>三是推进幸福河湖建设。</w:t>
      </w:r>
      <w:r>
        <w:rPr>
          <w:rFonts w:hint="eastAsia" w:ascii="Times New Roman" w:hAnsi="Times New Roman" w:eastAsia="仿宋_GB2312"/>
          <w:sz w:val="32"/>
          <w:szCs w:val="32"/>
          <w:highlight w:val="none"/>
        </w:rPr>
        <w:t>以建设健康</w:t>
      </w:r>
      <w:r>
        <w:rPr>
          <w:rFonts w:hint="eastAsia" w:ascii="Times New Roman" w:hAnsi="Times New Roman" w:eastAsia="仿宋_GB2312"/>
          <w:sz w:val="32"/>
          <w:szCs w:val="32"/>
          <w:highlight w:val="none"/>
          <w:lang w:val="en-US" w:eastAsia="zh-CN"/>
        </w:rPr>
        <w:t>河湖、幸福河湖为目标，加快完成三屯河、白杨河（奇台）示范河湖年度建设任务，依据幸福河湖验收标准，完成塔西河、呼图壁河、三工河、东大龙口河、木垒河示范幸福河湖验收工作。</w:t>
      </w:r>
      <w:r>
        <w:rPr>
          <w:rFonts w:hint="eastAsia" w:ascii="仿宋" w:hAnsi="仿宋" w:eastAsia="仿宋" w:cs="仿宋"/>
          <w:kern w:val="2"/>
          <w:sz w:val="32"/>
          <w:szCs w:val="32"/>
          <w:highlight w:val="none"/>
          <w:lang w:val="en-US" w:eastAsia="zh-CN" w:bidi="ar-SA"/>
        </w:rPr>
        <w:t>完成天池湖、塔西河石门子水库等2个水利风景区复核工作。</w:t>
      </w:r>
      <w:r>
        <w:rPr>
          <w:rFonts w:hint="eastAsia" w:ascii="楷体" w:hAnsi="楷体" w:eastAsia="楷体" w:cs="楷体"/>
          <w:b/>
          <w:bCs/>
          <w:kern w:val="2"/>
          <w:sz w:val="32"/>
          <w:szCs w:val="32"/>
          <w:highlight w:val="none"/>
          <w:lang w:val="en-US" w:eastAsia="zh-CN" w:bidi="ar-SA"/>
        </w:rPr>
        <w:t>四是启动河湖健康评价。</w:t>
      </w:r>
      <w:r>
        <w:rPr>
          <w:rFonts w:hint="eastAsia" w:ascii="仿宋" w:hAnsi="仿宋" w:eastAsia="仿宋" w:cs="仿宋"/>
          <w:kern w:val="2"/>
          <w:sz w:val="32"/>
          <w:szCs w:val="32"/>
          <w:highlight w:val="none"/>
          <w:lang w:val="en-US" w:eastAsia="zh-CN" w:bidi="ar-SA"/>
        </w:rPr>
        <w:t>按照自治区河湖健康评价指南，启动</w:t>
      </w:r>
      <w:r>
        <w:rPr>
          <w:rFonts w:hint="default" w:ascii="仿宋" w:hAnsi="仿宋" w:eastAsia="仿宋" w:cs="仿宋"/>
          <w:kern w:val="2"/>
          <w:sz w:val="32"/>
          <w:szCs w:val="32"/>
          <w:highlight w:val="none"/>
          <w:lang w:val="en-US" w:eastAsia="zh-CN" w:bidi="ar-SA"/>
        </w:rPr>
        <w:t>呼图壁河</w:t>
      </w:r>
      <w:r>
        <w:rPr>
          <w:rFonts w:hint="eastAsia" w:ascii="仿宋" w:hAnsi="仿宋" w:eastAsia="仿宋" w:cs="仿宋"/>
          <w:kern w:val="2"/>
          <w:sz w:val="32"/>
          <w:szCs w:val="32"/>
          <w:highlight w:val="none"/>
          <w:lang w:val="en-US" w:eastAsia="zh-CN" w:bidi="ar-SA"/>
        </w:rPr>
        <w:t>、玛纳斯</w:t>
      </w:r>
      <w:r>
        <w:rPr>
          <w:rFonts w:hint="default" w:ascii="仿宋" w:hAnsi="仿宋" w:eastAsia="仿宋" w:cs="仿宋"/>
          <w:kern w:val="2"/>
          <w:sz w:val="32"/>
          <w:szCs w:val="32"/>
          <w:highlight w:val="none"/>
          <w:lang w:val="en-US" w:eastAsia="zh-CN" w:bidi="ar-SA"/>
        </w:rPr>
        <w:t>塔西河</w:t>
      </w:r>
      <w:r>
        <w:rPr>
          <w:rFonts w:hint="eastAsia" w:ascii="仿宋" w:hAnsi="仿宋" w:eastAsia="仿宋" w:cs="仿宋"/>
          <w:kern w:val="2"/>
          <w:sz w:val="32"/>
          <w:szCs w:val="32"/>
          <w:highlight w:val="none"/>
          <w:lang w:val="en-US" w:eastAsia="zh-CN" w:bidi="ar-SA"/>
        </w:rPr>
        <w:t>、昌吉市</w:t>
      </w:r>
      <w:r>
        <w:rPr>
          <w:rFonts w:hint="default" w:ascii="仿宋" w:hAnsi="仿宋" w:eastAsia="仿宋" w:cs="仿宋"/>
          <w:kern w:val="2"/>
          <w:sz w:val="32"/>
          <w:szCs w:val="32"/>
          <w:highlight w:val="none"/>
          <w:lang w:val="en-US" w:eastAsia="zh-CN" w:bidi="ar-SA"/>
        </w:rPr>
        <w:t>三屯河</w:t>
      </w:r>
      <w:r>
        <w:rPr>
          <w:rFonts w:hint="eastAsia" w:ascii="仿宋" w:hAnsi="仿宋" w:eastAsia="仿宋" w:cs="仿宋"/>
          <w:kern w:val="2"/>
          <w:sz w:val="32"/>
          <w:szCs w:val="32"/>
          <w:highlight w:val="none"/>
          <w:lang w:val="en-US" w:eastAsia="zh-CN" w:bidi="ar-SA"/>
        </w:rPr>
        <w:t>、开垦河等4条河流和天池湖健康评价工作，完成年度评价任务。</w:t>
      </w:r>
      <w:r>
        <w:rPr>
          <w:rFonts w:hint="eastAsia" w:ascii="楷体" w:hAnsi="楷体" w:eastAsia="楷体" w:cs="楷体"/>
          <w:b/>
          <w:bCs/>
          <w:kern w:val="2"/>
          <w:sz w:val="32"/>
          <w:szCs w:val="32"/>
          <w:highlight w:val="none"/>
          <w:lang w:val="en-US" w:eastAsia="zh-CN" w:bidi="ar-SA"/>
        </w:rPr>
        <w:t>五是开展母亲河复苏行动。</w:t>
      </w:r>
      <w:r>
        <w:rPr>
          <w:rFonts w:hint="eastAsia" w:ascii="Times New Roman" w:hAnsi="Times New Roman" w:eastAsia="仿宋_GB2312"/>
          <w:sz w:val="32"/>
          <w:szCs w:val="32"/>
          <w:u w:val="none"/>
          <w:lang w:eastAsia="zh-CN"/>
        </w:rPr>
        <w:t>按照“一河一策”“一湖一策”要求编制修复保护方案并加快实施。</w:t>
      </w:r>
      <w:r>
        <w:rPr>
          <w:rFonts w:hint="eastAsia" w:ascii="Times New Roman" w:hAnsi="Times New Roman" w:eastAsia="仿宋_GB2312"/>
          <w:sz w:val="32"/>
          <w:szCs w:val="32"/>
          <w:u w:val="none"/>
          <w:lang w:val="en-US" w:eastAsia="zh-CN"/>
        </w:rPr>
        <w:t>完成2个清洁小流域建设和22.57平方公里水土流失治理任务。</w:t>
      </w:r>
    </w:p>
    <w:p>
      <w:pPr>
        <w:keepNext w:val="0"/>
        <w:keepLines w:val="0"/>
        <w:pageBreakBefore w:val="0"/>
        <w:widowControl w:val="0"/>
        <w:numPr>
          <w:ilvl w:val="0"/>
          <w:numId w:val="0"/>
        </w:numPr>
        <w:pBdr>
          <w:top w:val="single" w:color="FFFFFF" w:sz="4" w:space="0"/>
          <w:left w:val="single" w:color="FFFFFF" w:sz="4" w:space="0"/>
          <w:bottom w:val="single" w:color="FFFFFF" w:sz="4" w:space="31"/>
          <w:right w:val="single" w:color="FFFFFF" w:sz="4" w:space="9"/>
        </w:pBdr>
        <w:tabs>
          <w:tab w:val="right" w:pos="9070"/>
        </w:tabs>
        <w:kinsoku/>
        <w:wordWrap/>
        <w:overflowPunct/>
        <w:topLinePunct w:val="0"/>
        <w:autoSpaceDE/>
        <w:autoSpaceDN/>
        <w:bidi w:val="0"/>
        <w:adjustRightInd w:val="0"/>
        <w:snapToGrid/>
        <w:spacing w:line="540" w:lineRule="exact"/>
        <w:ind w:left="0" w:leftChars="0" w:right="0" w:rightChars="0" w:firstLine="640" w:firstLineChars="200"/>
        <w:contextualSpacing/>
        <w:jc w:val="both"/>
        <w:textAlignment w:val="auto"/>
        <w:outlineLvl w:val="9"/>
        <w:rPr>
          <w:rFonts w:hint="eastAsia" w:ascii="仿宋" w:hAnsi="仿宋" w:eastAsia="仿宋" w:cs="仿宋"/>
          <w:sz w:val="32"/>
          <w:szCs w:val="32"/>
          <w:lang w:val="en-US" w:eastAsia="zh-CN"/>
        </w:rPr>
      </w:pPr>
      <w:r>
        <w:rPr>
          <w:rFonts w:hint="eastAsia" w:ascii="黑体" w:hAnsi="黑体" w:eastAsia="黑体" w:cs="黑体"/>
          <w:kern w:val="2"/>
          <w:sz w:val="32"/>
          <w:szCs w:val="32"/>
          <w:lang w:val="en-US" w:eastAsia="zh-CN" w:bidi="ar-SA"/>
        </w:rPr>
        <w:t>七、</w:t>
      </w:r>
      <w:r>
        <w:rPr>
          <w:rFonts w:hint="eastAsia" w:ascii="黑体" w:hAnsi="黑体" w:eastAsia="黑体" w:cs="黑体"/>
          <w:sz w:val="32"/>
          <w:szCs w:val="32"/>
          <w:lang w:val="en-US" w:eastAsia="zh-CN"/>
        </w:rPr>
        <w:t>强化河湖执法。</w:t>
      </w:r>
      <w:r>
        <w:rPr>
          <w:rFonts w:hint="eastAsia" w:ascii="楷体" w:hAnsi="楷体" w:eastAsia="楷体" w:cs="楷体"/>
          <w:b/>
          <w:bCs/>
          <w:kern w:val="2"/>
          <w:sz w:val="32"/>
          <w:szCs w:val="32"/>
          <w:highlight w:val="none"/>
          <w:lang w:val="en-US" w:eastAsia="zh-CN" w:bidi="ar-SA"/>
        </w:rPr>
        <w:t>一是</w:t>
      </w:r>
      <w:r>
        <w:rPr>
          <w:rFonts w:hint="default" w:ascii="楷体" w:hAnsi="楷体" w:eastAsia="楷体" w:cs="楷体"/>
          <w:b/>
          <w:bCs/>
          <w:kern w:val="2"/>
          <w:sz w:val="32"/>
          <w:szCs w:val="32"/>
          <w:highlight w:val="none"/>
          <w:lang w:val="en-US" w:eastAsia="zh-CN" w:bidi="ar-SA"/>
        </w:rPr>
        <w:t>组织开展河湖执法专项行动。</w:t>
      </w:r>
      <w:r>
        <w:rPr>
          <w:rFonts w:hint="eastAsia" w:ascii="仿宋_GB2312" w:eastAsia="仿宋_GB2312"/>
          <w:sz w:val="32"/>
          <w:szCs w:val="32"/>
          <w:highlight w:val="none"/>
          <w:shd w:val="clear" w:color="auto" w:fill="FFFFFF"/>
        </w:rPr>
        <w:t>建立州县联动、多部门</w:t>
      </w:r>
      <w:r>
        <w:rPr>
          <w:rFonts w:hint="eastAsia" w:ascii="仿宋_GB2312" w:eastAsia="仿宋_GB2312"/>
          <w:sz w:val="32"/>
          <w:szCs w:val="32"/>
          <w:highlight w:val="none"/>
          <w:shd w:val="clear" w:color="auto" w:fill="FFFFFF"/>
          <w:lang w:eastAsia="zh-CN"/>
        </w:rPr>
        <w:t>协调</w:t>
      </w:r>
      <w:r>
        <w:rPr>
          <w:rFonts w:hint="eastAsia" w:ascii="仿宋_GB2312" w:eastAsia="仿宋_GB2312"/>
          <w:sz w:val="32"/>
          <w:szCs w:val="32"/>
          <w:highlight w:val="none"/>
          <w:shd w:val="clear" w:color="auto" w:fill="FFFFFF"/>
        </w:rPr>
        <w:t>、兵地</w:t>
      </w:r>
      <w:r>
        <w:rPr>
          <w:rFonts w:hint="eastAsia" w:ascii="仿宋_GB2312" w:eastAsia="仿宋_GB2312"/>
          <w:sz w:val="32"/>
          <w:szCs w:val="32"/>
          <w:highlight w:val="none"/>
          <w:shd w:val="clear" w:color="auto" w:fill="FFFFFF"/>
          <w:lang w:eastAsia="zh-CN"/>
        </w:rPr>
        <w:t>联合</w:t>
      </w:r>
      <w:r>
        <w:rPr>
          <w:rFonts w:hint="eastAsia" w:ascii="仿宋_GB2312" w:eastAsia="仿宋_GB2312"/>
          <w:sz w:val="32"/>
          <w:szCs w:val="32"/>
          <w:highlight w:val="none"/>
          <w:shd w:val="clear" w:color="auto" w:fill="FFFFFF"/>
        </w:rPr>
        <w:t>等执法机制，深化“河长+”工作机制，着力完善跨县垮界河段联防联控机制。</w:t>
      </w:r>
      <w:r>
        <w:rPr>
          <w:rFonts w:hint="eastAsia" w:ascii="仿宋_GB2312" w:eastAsia="仿宋_GB2312"/>
          <w:sz w:val="32"/>
          <w:szCs w:val="32"/>
          <w:highlight w:val="none"/>
          <w:shd w:val="clear" w:color="auto" w:fill="FFFFFF"/>
          <w:lang w:val="en-US" w:eastAsia="zh-CN"/>
        </w:rPr>
        <w:t>开展城镇（园区）污水处理厂专项执法行动，严厉打击伪造或篡改监测数据、偷排偷放污染物等环境违法行为；持续开展“中国渔政亮剑”系列执法行动，保持渔政执法高压态势，严厉打击涉渔违法行为。</w:t>
      </w:r>
      <w:r>
        <w:rPr>
          <w:rFonts w:hint="eastAsia" w:ascii="楷体" w:hAnsi="楷体" w:eastAsia="楷体" w:cs="楷体"/>
          <w:b/>
          <w:bCs/>
          <w:kern w:val="2"/>
          <w:sz w:val="32"/>
          <w:szCs w:val="32"/>
          <w:highlight w:val="none"/>
          <w:lang w:val="en-US" w:eastAsia="zh-CN" w:bidi="ar-SA"/>
        </w:rPr>
        <w:t>二是加强河湖巡查检查。</w:t>
      </w:r>
      <w:r>
        <w:rPr>
          <w:rFonts w:hint="eastAsia" w:ascii="仿宋_GB2312" w:eastAsia="仿宋_GB2312"/>
          <w:sz w:val="32"/>
          <w:szCs w:val="32"/>
          <w:highlight w:val="none"/>
          <w:shd w:val="clear" w:color="auto" w:fill="FFFFFF"/>
        </w:rPr>
        <w:t>严厉查处</w:t>
      </w:r>
      <w:r>
        <w:rPr>
          <w:rFonts w:hint="eastAsia" w:ascii="仿宋_GB2312" w:eastAsia="仿宋_GB2312"/>
          <w:sz w:val="32"/>
          <w:szCs w:val="32"/>
          <w:highlight w:val="none"/>
          <w:shd w:val="clear" w:color="auto" w:fill="FFFFFF"/>
          <w:lang w:eastAsia="zh-CN"/>
        </w:rPr>
        <w:t>和打击</w:t>
      </w:r>
      <w:r>
        <w:rPr>
          <w:rFonts w:hint="eastAsia" w:ascii="仿宋_GB2312" w:eastAsia="仿宋_GB2312"/>
          <w:sz w:val="32"/>
          <w:szCs w:val="32"/>
          <w:highlight w:val="none"/>
          <w:shd w:val="clear" w:color="auto" w:fill="FFFFFF"/>
        </w:rPr>
        <w:t>涉河湖违法违规行为，坚决清理整治非法排污、乱占、乱建、乱堆、乱采、围垦侵占水域岸线等活动</w:t>
      </w:r>
      <w:r>
        <w:rPr>
          <w:rFonts w:hint="eastAsia" w:ascii="仿宋_GB2312" w:eastAsia="仿宋_GB2312"/>
          <w:sz w:val="32"/>
          <w:szCs w:val="32"/>
          <w:highlight w:val="none"/>
          <w:shd w:val="clear" w:color="auto" w:fill="FFFFFF"/>
          <w:lang w:eastAsia="zh-CN"/>
        </w:rPr>
        <w:t>。</w:t>
      </w:r>
      <w:r>
        <w:rPr>
          <w:rFonts w:hint="eastAsia" w:ascii="仿宋" w:hAnsi="仿宋" w:eastAsia="仿宋" w:cs="仿宋"/>
          <w:sz w:val="32"/>
          <w:szCs w:val="32"/>
        </w:rPr>
        <w:t>严肃查处非法采砂行为，配合有关部门严厉打击“沙霸”及其背后“保护伞”，始终保持非法采砂高压严打态势，巩固河道非法采砂专项整治成果。</w:t>
      </w:r>
      <w:r>
        <w:rPr>
          <w:rFonts w:hint="eastAsia" w:ascii="楷体" w:hAnsi="楷体" w:eastAsia="楷体" w:cs="楷体"/>
          <w:b/>
          <w:bCs/>
          <w:sz w:val="32"/>
          <w:szCs w:val="32"/>
          <w:lang w:val="en-US" w:eastAsia="zh-CN"/>
        </w:rPr>
        <w:t>三是</w:t>
      </w:r>
      <w:r>
        <w:rPr>
          <w:rFonts w:hint="eastAsia" w:ascii="楷体" w:hAnsi="楷体" w:eastAsia="楷体" w:cs="楷体"/>
          <w:b/>
          <w:bCs/>
          <w:sz w:val="32"/>
          <w:szCs w:val="32"/>
        </w:rPr>
        <w:t>加大重大问题整改力度。</w:t>
      </w:r>
      <w:r>
        <w:rPr>
          <w:rFonts w:hint="eastAsia" w:ascii="仿宋" w:hAnsi="仿宋" w:eastAsia="仿宋" w:cs="仿宋"/>
          <w:sz w:val="32"/>
          <w:szCs w:val="32"/>
          <w:lang w:val="en-US" w:eastAsia="zh-CN"/>
        </w:rPr>
        <w:t>完成</w:t>
      </w:r>
      <w:r>
        <w:rPr>
          <w:rFonts w:hint="eastAsia" w:ascii="仿宋" w:hAnsi="仿宋" w:eastAsia="仿宋" w:cs="仿宋"/>
          <w:sz w:val="32"/>
          <w:szCs w:val="32"/>
        </w:rPr>
        <w:t>中央环保督察</w:t>
      </w:r>
      <w:r>
        <w:rPr>
          <w:rFonts w:hint="eastAsia" w:ascii="仿宋" w:hAnsi="仿宋" w:eastAsia="仿宋" w:cs="仿宋"/>
          <w:sz w:val="32"/>
          <w:szCs w:val="32"/>
          <w:lang w:val="en-US" w:eastAsia="zh-CN"/>
        </w:rPr>
        <w:t>反馈的玛纳斯河生态环境问题整改工作；完成自治州经责审计反馈的奇台县吉布库河采矿用地、阜康市白杨河人工堆掘地</w:t>
      </w:r>
      <w:r>
        <w:rPr>
          <w:rFonts w:hint="eastAsia" w:ascii="仿宋" w:hAnsi="仿宋" w:eastAsia="仿宋" w:cs="仿宋"/>
          <w:sz w:val="32"/>
          <w:szCs w:val="32"/>
        </w:rPr>
        <w:t>发现问题</w:t>
      </w:r>
      <w:r>
        <w:rPr>
          <w:rFonts w:hint="eastAsia" w:ascii="仿宋" w:hAnsi="仿宋" w:eastAsia="仿宋" w:cs="仿宋"/>
          <w:sz w:val="32"/>
          <w:szCs w:val="32"/>
          <w:lang w:val="en-US" w:eastAsia="zh-CN"/>
        </w:rPr>
        <w:t>整改工作。</w:t>
      </w:r>
    </w:p>
    <w:p>
      <w:pPr>
        <w:keepNext w:val="0"/>
        <w:keepLines w:val="0"/>
        <w:pageBreakBefore w:val="0"/>
        <w:widowControl w:val="0"/>
        <w:numPr>
          <w:ilvl w:val="0"/>
          <w:numId w:val="0"/>
        </w:numPr>
        <w:pBdr>
          <w:top w:val="single" w:color="FFFFFF" w:sz="4" w:space="0"/>
          <w:left w:val="single" w:color="FFFFFF" w:sz="4" w:space="0"/>
          <w:bottom w:val="single" w:color="FFFFFF" w:sz="4" w:space="31"/>
          <w:right w:val="single" w:color="FFFFFF" w:sz="4" w:space="9"/>
        </w:pBdr>
        <w:tabs>
          <w:tab w:val="right" w:pos="9070"/>
        </w:tabs>
        <w:kinsoku/>
        <w:wordWrap/>
        <w:overflowPunct/>
        <w:topLinePunct w:val="0"/>
        <w:autoSpaceDE/>
        <w:autoSpaceDN/>
        <w:bidi w:val="0"/>
        <w:adjustRightInd w:val="0"/>
        <w:snapToGrid/>
        <w:spacing w:line="540" w:lineRule="exact"/>
        <w:ind w:left="0" w:leftChars="0" w:right="0" w:rightChars="0" w:firstLine="640" w:firstLineChars="200"/>
        <w:contextualSpacing/>
        <w:jc w:val="both"/>
        <w:textAlignment w:val="auto"/>
        <w:outlineLvl w:val="9"/>
        <w:rPr>
          <w:rFonts w:hint="eastAsia" w:ascii="仿宋" w:hAnsi="仿宋" w:eastAsia="仿宋" w:cs="仿宋"/>
          <w:kern w:val="2"/>
          <w:sz w:val="32"/>
          <w:szCs w:val="32"/>
          <w:highlight w:val="none"/>
          <w:lang w:val="en-US" w:eastAsia="zh-CN" w:bidi="ar-SA"/>
        </w:rPr>
      </w:pPr>
      <w:r>
        <w:rPr>
          <w:rFonts w:hint="eastAsia" w:ascii="黑体" w:hAnsi="黑体" w:eastAsia="黑体" w:cs="黑体"/>
          <w:sz w:val="32"/>
          <w:szCs w:val="32"/>
          <w:lang w:val="en-US" w:eastAsia="zh-CN"/>
        </w:rPr>
        <w:t>八、</w:t>
      </w:r>
      <w:r>
        <w:rPr>
          <w:rFonts w:hint="eastAsia" w:ascii="黑体" w:hAnsi="黑体" w:eastAsia="黑体" w:cs="黑体"/>
          <w:sz w:val="32"/>
          <w:szCs w:val="32"/>
        </w:rPr>
        <w:t>深化河湖</w:t>
      </w:r>
      <w:r>
        <w:rPr>
          <w:rFonts w:hint="eastAsia" w:ascii="黑体" w:hAnsi="黑体" w:eastAsia="黑体" w:cs="黑体"/>
          <w:sz w:val="32"/>
          <w:szCs w:val="32"/>
          <w:lang w:val="en-US" w:eastAsia="zh-CN"/>
        </w:rPr>
        <w:t>信息化</w:t>
      </w:r>
      <w:r>
        <w:rPr>
          <w:rFonts w:hint="eastAsia" w:ascii="黑体" w:hAnsi="黑体" w:eastAsia="黑体" w:cs="黑体"/>
          <w:sz w:val="32"/>
          <w:szCs w:val="32"/>
        </w:rPr>
        <w:t>建设</w:t>
      </w:r>
      <w:r>
        <w:rPr>
          <w:rFonts w:hint="eastAsia" w:ascii="黑体" w:hAnsi="黑体" w:eastAsia="黑体" w:cs="黑体"/>
          <w:sz w:val="32"/>
          <w:szCs w:val="32"/>
          <w:lang w:eastAsia="zh-CN"/>
        </w:rPr>
        <w:t>。</w:t>
      </w:r>
      <w:r>
        <w:rPr>
          <w:rFonts w:hint="eastAsia" w:ascii="楷体" w:hAnsi="楷体" w:eastAsia="楷体" w:cs="楷体"/>
          <w:b/>
          <w:bCs/>
          <w:sz w:val="32"/>
          <w:szCs w:val="32"/>
          <w:lang w:val="en-US" w:eastAsia="zh-CN"/>
        </w:rPr>
        <w:t>一是推进河湖信息化建设。</w:t>
      </w:r>
      <w:r>
        <w:rPr>
          <w:rFonts w:hint="eastAsia" w:ascii="仿宋" w:hAnsi="仿宋" w:eastAsia="仿宋" w:cs="仿宋"/>
          <w:sz w:val="32"/>
          <w:szCs w:val="32"/>
          <w:lang w:val="en-US" w:eastAsia="zh-CN"/>
        </w:rPr>
        <w:t>加强昌吉市三屯河高空云台和塔西河、呼图壁河、三工河、开垦河高空云台应用，建立高空云台管理制度，逐步完善河长制信息管理系统。</w:t>
      </w:r>
      <w:r>
        <w:rPr>
          <w:rFonts w:hint="eastAsia" w:ascii="楷体" w:hAnsi="楷体" w:eastAsia="楷体" w:cs="楷体"/>
          <w:b/>
          <w:bCs/>
          <w:sz w:val="32"/>
          <w:szCs w:val="32"/>
          <w:lang w:val="en-US" w:eastAsia="zh-CN"/>
        </w:rPr>
        <w:t>二是加强信息平台应用。</w:t>
      </w:r>
      <w:r>
        <w:rPr>
          <w:rFonts w:hint="eastAsia" w:ascii="仿宋" w:hAnsi="仿宋" w:eastAsia="仿宋" w:cs="仿宋"/>
          <w:sz w:val="32"/>
          <w:szCs w:val="32"/>
          <w:lang w:val="en-US" w:eastAsia="zh-CN"/>
        </w:rPr>
        <w:t>加强水利部、自治区水利厅河湖长制管理信息系统平台应用，进一步推进</w:t>
      </w:r>
      <w:r>
        <w:rPr>
          <w:rFonts w:hint="eastAsia" w:ascii="仿宋" w:hAnsi="仿宋" w:eastAsia="仿宋" w:cs="仿宋"/>
          <w:kern w:val="2"/>
          <w:sz w:val="32"/>
          <w:szCs w:val="32"/>
          <w:highlight w:val="none"/>
          <w:lang w:val="en-US" w:eastAsia="zh-CN" w:bidi="ar-SA"/>
        </w:rPr>
        <w:t>各</w:t>
      </w:r>
      <w:r>
        <w:rPr>
          <w:rFonts w:hint="default" w:ascii="仿宋" w:hAnsi="仿宋" w:eastAsia="仿宋" w:cs="仿宋"/>
          <w:kern w:val="2"/>
          <w:sz w:val="32"/>
          <w:szCs w:val="32"/>
          <w:highlight w:val="none"/>
          <w:lang w:val="en-US" w:eastAsia="zh-CN" w:bidi="ar-SA"/>
        </w:rPr>
        <w:t>级河湖长利用“河长通APP”开展巡河巡湖</w:t>
      </w:r>
      <w:r>
        <w:rPr>
          <w:rFonts w:hint="eastAsia" w:ascii="仿宋" w:hAnsi="仿宋" w:eastAsia="仿宋" w:cs="仿宋"/>
          <w:kern w:val="2"/>
          <w:sz w:val="32"/>
          <w:szCs w:val="32"/>
          <w:highlight w:val="none"/>
          <w:lang w:val="en-US" w:eastAsia="zh-CN" w:bidi="ar-SA"/>
        </w:rPr>
        <w:t>；完成州</w:t>
      </w:r>
      <w:r>
        <w:rPr>
          <w:rFonts w:hint="default" w:ascii="仿宋" w:hAnsi="仿宋" w:eastAsia="仿宋" w:cs="仿宋"/>
          <w:kern w:val="2"/>
          <w:sz w:val="32"/>
          <w:szCs w:val="32"/>
          <w:highlight w:val="none"/>
          <w:lang w:val="en-US" w:eastAsia="zh-CN" w:bidi="ar-SA"/>
        </w:rPr>
        <w:t>县乡村四级河湖长</w:t>
      </w:r>
      <w:r>
        <w:rPr>
          <w:rFonts w:hint="eastAsia" w:ascii="仿宋" w:hAnsi="仿宋" w:eastAsia="仿宋" w:cs="仿宋"/>
          <w:kern w:val="2"/>
          <w:sz w:val="32"/>
          <w:szCs w:val="32"/>
          <w:highlight w:val="none"/>
          <w:lang w:val="en-US" w:eastAsia="zh-CN" w:bidi="ar-SA"/>
        </w:rPr>
        <w:t>在</w:t>
      </w:r>
      <w:r>
        <w:rPr>
          <w:rFonts w:hint="default" w:ascii="仿宋" w:hAnsi="仿宋" w:eastAsia="仿宋" w:cs="仿宋"/>
          <w:kern w:val="2"/>
          <w:sz w:val="32"/>
          <w:szCs w:val="32"/>
          <w:highlight w:val="none"/>
          <w:lang w:val="en-US" w:eastAsia="zh-CN" w:bidi="ar-SA"/>
        </w:rPr>
        <w:t>自治区</w:t>
      </w:r>
      <w:r>
        <w:rPr>
          <w:rFonts w:hint="eastAsia" w:ascii="仿宋" w:hAnsi="仿宋" w:eastAsia="仿宋" w:cs="仿宋"/>
          <w:kern w:val="2"/>
          <w:sz w:val="32"/>
          <w:szCs w:val="32"/>
          <w:highlight w:val="none"/>
          <w:lang w:val="en-US" w:eastAsia="zh-CN" w:bidi="ar-SA"/>
        </w:rPr>
        <w:t>河湖长制</w:t>
      </w:r>
      <w:r>
        <w:rPr>
          <w:rFonts w:hint="default" w:ascii="仿宋" w:hAnsi="仿宋" w:eastAsia="仿宋" w:cs="仿宋"/>
          <w:kern w:val="2"/>
          <w:sz w:val="32"/>
          <w:szCs w:val="32"/>
          <w:highlight w:val="none"/>
          <w:lang w:val="en-US" w:eastAsia="zh-CN" w:bidi="ar-SA"/>
        </w:rPr>
        <w:t>信息管理系统</w:t>
      </w:r>
      <w:r>
        <w:rPr>
          <w:rFonts w:hint="eastAsia" w:ascii="仿宋" w:hAnsi="仿宋" w:eastAsia="仿宋" w:cs="仿宋"/>
          <w:kern w:val="2"/>
          <w:sz w:val="32"/>
          <w:szCs w:val="32"/>
          <w:highlight w:val="none"/>
          <w:lang w:val="en-US" w:eastAsia="zh-CN" w:bidi="ar-SA"/>
        </w:rPr>
        <w:t>平台配置任务；</w:t>
      </w:r>
      <w:r>
        <w:rPr>
          <w:rFonts w:hint="default" w:ascii="仿宋" w:hAnsi="仿宋" w:eastAsia="仿宋" w:cs="仿宋"/>
          <w:kern w:val="2"/>
          <w:sz w:val="32"/>
          <w:szCs w:val="32"/>
          <w:highlight w:val="none"/>
          <w:lang w:val="en-US" w:eastAsia="zh-CN" w:bidi="ar-SA"/>
        </w:rPr>
        <w:t>及时准确</w:t>
      </w:r>
      <w:r>
        <w:rPr>
          <w:rFonts w:hint="eastAsia" w:ascii="仿宋" w:hAnsi="仿宋" w:eastAsia="仿宋" w:cs="仿宋"/>
          <w:kern w:val="2"/>
          <w:sz w:val="32"/>
          <w:szCs w:val="32"/>
          <w:highlight w:val="none"/>
          <w:lang w:val="en-US" w:eastAsia="zh-CN" w:bidi="ar-SA"/>
        </w:rPr>
        <w:t>填报</w:t>
      </w:r>
      <w:r>
        <w:rPr>
          <w:rFonts w:hint="default" w:ascii="仿宋" w:hAnsi="仿宋" w:eastAsia="仿宋" w:cs="仿宋"/>
          <w:kern w:val="2"/>
          <w:sz w:val="32"/>
          <w:szCs w:val="32"/>
          <w:highlight w:val="none"/>
          <w:lang w:val="en-US" w:eastAsia="zh-CN" w:bidi="ar-SA"/>
        </w:rPr>
        <w:t>河湖</w:t>
      </w:r>
      <w:r>
        <w:rPr>
          <w:rFonts w:hint="eastAsia" w:ascii="仿宋" w:hAnsi="仿宋" w:eastAsia="仿宋" w:cs="仿宋"/>
          <w:kern w:val="2"/>
          <w:sz w:val="32"/>
          <w:szCs w:val="32"/>
          <w:highlight w:val="none"/>
          <w:lang w:val="en-US" w:eastAsia="zh-CN" w:bidi="ar-SA"/>
        </w:rPr>
        <w:t>清</w:t>
      </w:r>
      <w:r>
        <w:rPr>
          <w:rFonts w:hint="default" w:ascii="仿宋" w:hAnsi="仿宋" w:eastAsia="仿宋" w:cs="仿宋"/>
          <w:kern w:val="2"/>
          <w:sz w:val="32"/>
          <w:szCs w:val="32"/>
          <w:highlight w:val="none"/>
          <w:lang w:val="en-US" w:eastAsia="zh-CN" w:bidi="ar-SA"/>
        </w:rPr>
        <w:t>“四乱”整治销号台账</w:t>
      </w:r>
      <w:r>
        <w:rPr>
          <w:rFonts w:hint="eastAsia" w:ascii="仿宋" w:hAnsi="仿宋" w:eastAsia="仿宋" w:cs="仿宋"/>
          <w:kern w:val="2"/>
          <w:sz w:val="32"/>
          <w:szCs w:val="32"/>
          <w:highlight w:val="none"/>
          <w:lang w:val="en-US" w:eastAsia="zh-CN" w:bidi="ar-SA"/>
        </w:rPr>
        <w:t>，规范填报非法采砂专报，及时填报河湖长制评议信息。</w:t>
      </w:r>
    </w:p>
    <w:p>
      <w:pPr>
        <w:keepNext w:val="0"/>
        <w:keepLines w:val="0"/>
        <w:pageBreakBefore w:val="0"/>
        <w:widowControl w:val="0"/>
        <w:numPr>
          <w:ilvl w:val="0"/>
          <w:numId w:val="0"/>
        </w:numPr>
        <w:pBdr>
          <w:top w:val="single" w:color="FFFFFF" w:sz="4" w:space="0"/>
          <w:left w:val="single" w:color="FFFFFF" w:sz="4" w:space="0"/>
          <w:bottom w:val="single" w:color="FFFFFF" w:sz="4" w:space="31"/>
          <w:right w:val="single" w:color="FFFFFF" w:sz="4" w:space="9"/>
        </w:pBdr>
        <w:tabs>
          <w:tab w:val="right" w:pos="9070"/>
        </w:tabs>
        <w:kinsoku/>
        <w:wordWrap/>
        <w:overflowPunct/>
        <w:topLinePunct w:val="0"/>
        <w:autoSpaceDE/>
        <w:autoSpaceDN/>
        <w:bidi w:val="0"/>
        <w:adjustRightInd w:val="0"/>
        <w:snapToGrid/>
        <w:spacing w:line="540" w:lineRule="exact"/>
        <w:ind w:left="0" w:leftChars="0" w:right="0" w:rightChars="0" w:firstLine="640" w:firstLineChars="200"/>
        <w:contextualSpacing/>
        <w:jc w:val="both"/>
        <w:textAlignment w:val="auto"/>
        <w:outlineLvl w:val="9"/>
        <w:rPr>
          <w:rFonts w:hint="eastAsia" w:ascii="Times New Roman" w:hAnsi="Times New Roman" w:eastAsia="仿宋_GB2312"/>
          <w:sz w:val="32"/>
          <w:szCs w:val="32"/>
          <w:highlight w:val="none"/>
          <w:lang w:val="en-US" w:eastAsia="zh-CN"/>
        </w:rPr>
      </w:pPr>
      <w:r>
        <w:rPr>
          <w:rFonts w:hint="eastAsia" w:ascii="仿宋" w:hAnsi="仿宋" w:eastAsia="仿宋" w:cs="仿宋"/>
          <w:kern w:val="2"/>
          <w:sz w:val="32"/>
          <w:szCs w:val="32"/>
          <w:highlight w:val="none"/>
          <w:lang w:val="en-US" w:eastAsia="zh-CN" w:bidi="ar-SA"/>
        </w:rPr>
        <w:t>各县市要结合实际制定年度工作计划，抓好工作落实，确保取得实效；兵团第六师全面推行河湖长制领导小组办公室要按照”兵地一体化</w:t>
      </w:r>
      <w:r>
        <w:rPr>
          <w:rFonts w:hint="default" w:ascii="仿宋" w:hAnsi="仿宋" w:eastAsia="仿宋" w:cs="仿宋"/>
          <w:kern w:val="2"/>
          <w:sz w:val="32"/>
          <w:szCs w:val="32"/>
          <w:highlight w:val="none"/>
          <w:lang w:val="en-US" w:eastAsia="zh-CN" w:bidi="ar-SA"/>
        </w:rPr>
        <w:t>”</w:t>
      </w:r>
      <w:r>
        <w:rPr>
          <w:rFonts w:hint="eastAsia" w:ascii="仿宋" w:hAnsi="仿宋" w:eastAsia="仿宋" w:cs="仿宋"/>
          <w:kern w:val="2"/>
          <w:sz w:val="32"/>
          <w:szCs w:val="32"/>
          <w:highlight w:val="none"/>
          <w:lang w:val="en-US" w:eastAsia="zh-CN" w:bidi="ar-SA"/>
        </w:rPr>
        <w:t>原则，</w:t>
      </w:r>
      <w:r>
        <w:rPr>
          <w:rFonts w:hint="eastAsia" w:ascii="Times New Roman" w:hAnsi="Times New Roman" w:eastAsia="仿宋_GB2312"/>
          <w:sz w:val="32"/>
          <w:szCs w:val="32"/>
          <w:highlight w:val="none"/>
          <w:lang w:val="en-US" w:eastAsia="zh-CN"/>
        </w:rPr>
        <w:t>结合自治区工作要点和本工作计划，组织开展好兵团河（湖）长制年度工作；请州自然资源局、生态环境局、住房和城乡建设局、交通运输局、农业农村局、林业和草原局、兵团河（湖）长制办公室等7个单位，细化本部门、本系统年度河（湖）长制工作任务目标，制定年度工作计划；各县市、各单位年度计划于2023年5月10日前报州河湖长制办公室。以上工作完成情况将作为对各县市、各单位2023年度全面推行河（湖）长制工作考核的重点内容。</w:t>
      </w:r>
    </w:p>
    <w:p>
      <w:pPr>
        <w:pStyle w:val="2"/>
        <w:keepNext w:val="0"/>
        <w:keepLines w:val="0"/>
        <w:pageBreakBefore w:val="0"/>
        <w:widowControl w:val="0"/>
        <w:kinsoku/>
        <w:wordWrap/>
        <w:overflowPunct/>
        <w:topLinePunct w:val="0"/>
        <w:autoSpaceDE/>
        <w:autoSpaceDN/>
        <w:bidi w:val="0"/>
        <w:spacing w:line="540" w:lineRule="exact"/>
        <w:textAlignment w:val="auto"/>
        <w:rPr>
          <w:rFonts w:hint="default"/>
          <w:lang w:val="en-US" w:eastAsia="zh-CN"/>
        </w:rPr>
      </w:pPr>
    </w:p>
    <w:sectPr>
      <w:pgSz w:w="11906" w:h="16838"/>
      <w:pgMar w:top="2098" w:right="1587" w:bottom="1701" w:left="1587"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eastAsia="宋体"/>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ascii="宋体" w:hAnsi="宋体" w:eastAsia="宋体" w:cs="宋体"/>
                              <w:sz w:val="28"/>
                              <w:szCs w:val="28"/>
                            </w:rPr>
                            <w:t>- 13 -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ascii="宋体" w:hAnsi="宋体" w:eastAsia="宋体" w:cs="宋体"/>
                        <w:sz w:val="28"/>
                        <w:szCs w:val="28"/>
                      </w:rPr>
                      <w:t>- 13 -</w:t>
                    </w:r>
                    <w:r>
                      <w:rPr>
                        <w:rFonts w:hint="eastAsia"/>
                      </w:rPr>
                      <w:fldChar w:fldCharType="end"/>
                    </w:r>
                  </w:p>
                </w:txbxContent>
              </v:textbox>
            </v:shape>
          </w:pict>
        </mc:Fallback>
      </mc:AlternateContent>
    </w:r>
  </w:p>
  <w:p>
    <w:pPr>
      <w:pStyle w:val="8"/>
      <w:jc w:val="right"/>
      <w:rPr>
        <w:sz w:val="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C6128"/>
    <w:rsid w:val="027D677C"/>
    <w:rsid w:val="15EC62B5"/>
    <w:rsid w:val="19EE6CF5"/>
    <w:rsid w:val="1E516806"/>
    <w:rsid w:val="1FFF5E99"/>
    <w:rsid w:val="29134612"/>
    <w:rsid w:val="2A5F584A"/>
    <w:rsid w:val="2BEB12C7"/>
    <w:rsid w:val="2C22009D"/>
    <w:rsid w:val="2D5311DD"/>
    <w:rsid w:val="30E425B9"/>
    <w:rsid w:val="3D01207D"/>
    <w:rsid w:val="407C6128"/>
    <w:rsid w:val="41984F40"/>
    <w:rsid w:val="42A40D76"/>
    <w:rsid w:val="52947B65"/>
    <w:rsid w:val="52973FE2"/>
    <w:rsid w:val="531C3E13"/>
    <w:rsid w:val="58077DC8"/>
    <w:rsid w:val="5EF410AE"/>
    <w:rsid w:val="70557D1B"/>
    <w:rsid w:val="75C63E82"/>
    <w:rsid w:val="77FC23AD"/>
    <w:rsid w:val="7BC90BF4"/>
    <w:rsid w:val="7FE03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4">
    <w:name w:val="Body Text"/>
    <w:basedOn w:val="1"/>
    <w:next w:val="5"/>
    <w:qFormat/>
    <w:uiPriority w:val="0"/>
    <w:pPr>
      <w:jc w:val="center"/>
    </w:pPr>
    <w:rPr>
      <w:sz w:val="44"/>
    </w:rPr>
  </w:style>
  <w:style w:type="paragraph" w:styleId="5">
    <w:name w:val="Body Text First Indent 2"/>
    <w:basedOn w:val="6"/>
    <w:next w:val="6"/>
    <w:unhideWhenUsed/>
    <w:qFormat/>
    <w:uiPriority w:val="99"/>
    <w:pPr>
      <w:ind w:firstLine="420" w:firstLineChars="200"/>
    </w:pPr>
  </w:style>
  <w:style w:type="paragraph" w:styleId="6">
    <w:name w:val="Body Text Indent"/>
    <w:basedOn w:val="1"/>
    <w:next w:val="7"/>
    <w:unhideWhenUsed/>
    <w:qFormat/>
    <w:uiPriority w:val="99"/>
    <w:pPr>
      <w:spacing w:after="120"/>
      <w:ind w:left="420" w:leftChars="200"/>
    </w:pPr>
  </w:style>
  <w:style w:type="paragraph" w:styleId="7">
    <w:name w:val="Normal (Web)"/>
    <w:basedOn w:val="1"/>
    <w:next w:val="1"/>
    <w:qFormat/>
    <w:uiPriority w:val="0"/>
    <w:pPr>
      <w:spacing w:before="0" w:beforeAutospacing="1" w:after="0" w:afterAutospacing="1"/>
      <w:ind w:left="0" w:right="0"/>
      <w:jc w:val="left"/>
    </w:pPr>
    <w:rPr>
      <w:kern w:val="0"/>
      <w:sz w:val="24"/>
      <w:lang w:val="en-US" w:eastAsia="zh-CN" w:bidi="ar"/>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customStyle="1" w:styleId="11">
    <w:name w:val="无间隔1"/>
    <w:qFormat/>
    <w:uiPriority w:val="1"/>
    <w:pPr>
      <w:widowControl w:val="0"/>
    </w:pPr>
    <w:rPr>
      <w:rFonts w:ascii="Calibri" w:hAnsi="Calibri" w:eastAsia="仿宋_GB2312" w:cs="Times New Roman"/>
      <w:kern w:val="2"/>
      <w:sz w:val="28"/>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226</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2023-02-21T05:18:00Z</dcterms:created>
  <dc:creator>hehuke</dc:creator>
  <cp:lastModifiedBy>hehuke</cp:lastModifiedBy>
  <cp:lastPrinted>2023-04-17T04:49:00Z</cp:lastPrinted>
  <dcterms:modified xsi:type="dcterms:W3CDTF">2023-04-25T05:46:41Z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