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ascii="仿宋" w:hAnsi="仿宋" w:eastAsia="仿宋" w:cs="Times New Roman"/>
          <w:b/>
          <w:sz w:val="36"/>
          <w:szCs w:val="36"/>
        </w:rPr>
      </w:pPr>
      <w:r>
        <w:rPr>
          <w:rFonts w:hint="eastAsia" w:ascii="仿宋" w:hAnsi="仿宋" w:eastAsia="仿宋" w:cs="Times New Roman"/>
          <w:b/>
          <w:sz w:val="36"/>
          <w:szCs w:val="36"/>
        </w:rPr>
        <w:t>2022年度考核等次为“称职”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ascii="仿宋" w:hAnsi="仿宋" w:eastAsia="仿宋" w:cs="Times New Roman"/>
          <w:b/>
          <w:sz w:val="36"/>
          <w:szCs w:val="36"/>
        </w:rPr>
      </w:pPr>
      <w:r>
        <w:rPr>
          <w:rFonts w:hint="eastAsia" w:ascii="仿宋" w:hAnsi="仿宋" w:eastAsia="仿宋" w:cs="Times New Roman"/>
          <w:b/>
          <w:sz w:val="36"/>
          <w:szCs w:val="36"/>
        </w:rPr>
        <w:t>的61名评标专家名单</w:t>
      </w:r>
    </w:p>
    <w:tbl>
      <w:tblPr>
        <w:tblStyle w:val="2"/>
        <w:tblpPr w:leftFromText="180" w:rightFromText="180" w:vertAnchor="text" w:horzAnchor="page" w:tblpX="1797" w:tblpY="705"/>
        <w:tblOverlap w:val="never"/>
        <w:tblW w:w="86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lang w:bidi="ar"/>
              </w:rPr>
              <w:t>专家编号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lang w:bidi="ar"/>
              </w:rPr>
              <w:t>专家编号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lang w:bidi="ar"/>
              </w:rPr>
              <w:t>专家编号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lang w:bidi="ar"/>
              </w:rPr>
              <w:t>专家编号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刘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004434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魏*宝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徐*璐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004663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李*东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004709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田*军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004721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张*伟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杨*江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刘*新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朱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许*驹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004664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何*军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贺*明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004858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赵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侯*飞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陈*元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尚*华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004677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  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005454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聂*荣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王*华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何*芳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003096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郑*辉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樊*海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黎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蒋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004618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侯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徐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004722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于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彭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海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003082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005479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伊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005557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宋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赵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白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003042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任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许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华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005486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苟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叶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苏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马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005549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005560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张*莹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9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2023-04-06T10:32:02Z</dcterms:created>
  <dc:creator>Administrator</dc:creator>
  <cp:lastModifiedBy>十二丶</cp:lastModifiedBy>
  <dcterms:modified xsi:type="dcterms:W3CDTF">2023-04-06T10:32:06Z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