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val="0"/>
        <w:snapToGrid w:val="0"/>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昌吉州</w:t>
      </w:r>
      <w:r>
        <w:rPr>
          <w:rFonts w:hint="eastAsia" w:ascii="方正小标宋_GBK" w:hAnsi="方正小标宋_GBK" w:eastAsia="方正小标宋_GBK" w:cs="方正小标宋_GBK"/>
          <w:b w:val="0"/>
          <w:bCs w:val="0"/>
          <w:color w:val="auto"/>
          <w:sz w:val="44"/>
          <w:szCs w:val="44"/>
        </w:rPr>
        <w:t>职业技能竞赛</w:t>
      </w:r>
      <w:r>
        <w:rPr>
          <w:rFonts w:hint="eastAsia" w:ascii="方正小标宋_GBK" w:hAnsi="方正小标宋_GBK" w:eastAsia="方正小标宋_GBK" w:cs="方正小标宋_GBK"/>
          <w:b w:val="0"/>
          <w:bCs w:val="0"/>
          <w:color w:val="auto"/>
          <w:sz w:val="44"/>
          <w:szCs w:val="44"/>
          <w:lang w:eastAsia="zh-CN"/>
        </w:rPr>
        <w:t>工作管理办法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（征求意见稿）</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0" w:firstLineChars="0"/>
        <w:textAlignment w:val="auto"/>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0" w:right="0" w:rightChars="0"/>
        <w:jc w:val="center"/>
        <w:textAlignment w:val="auto"/>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第一章 总则</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0" w:right="0" w:rightChars="0"/>
        <w:jc w:val="both"/>
        <w:textAlignment w:val="auto"/>
        <w:rPr>
          <w:rFonts w:hint="default" w:ascii="黑体" w:hAnsi="黑体" w:eastAsia="黑体" w:cs="黑体"/>
          <w:b w:val="0"/>
          <w:bCs w:val="0"/>
          <w:snapToGrid w:val="0"/>
          <w:color w:val="auto"/>
          <w:spacing w:val="0"/>
          <w:kern w:val="0"/>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rPr>
          <w:rFonts w:hint="default" w:ascii="Times New Roman" w:hAnsi="Times New Roman" w:eastAsia="仿宋_GB2312" w:cs="Times New Roman"/>
          <w:b w:val="0"/>
          <w:bCs w:val="0"/>
          <w:snapToGrid w:val="0"/>
          <w:color w:val="auto"/>
          <w:spacing w:val="0"/>
          <w:kern w:val="0"/>
          <w:sz w:val="32"/>
          <w:szCs w:val="32"/>
          <w:highlight w:val="none"/>
          <w:shd w:val="clear" w:color="auto" w:fill="auto"/>
          <w:lang w:val="en-US" w:eastAsia="zh-CN" w:bidi="ar-SA"/>
        </w:rPr>
      </w:pPr>
      <w:r>
        <w:rPr>
          <w:rFonts w:hint="eastAsia" w:ascii="Times New Roman" w:hAnsi="Times New Roman" w:eastAsia="楷体_GB2312" w:cs="Times New Roman"/>
          <w:b w:val="0"/>
          <w:bCs w:val="0"/>
          <w:color w:val="auto"/>
          <w:kern w:val="32"/>
          <w:sz w:val="32"/>
          <w:szCs w:val="32"/>
          <w:highlight w:val="none"/>
          <w:lang w:val="en-US" w:eastAsia="zh-CN" w:bidi="ar-SA"/>
        </w:rPr>
        <w:t>第一条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w:t>
      </w:r>
      <w:r>
        <w:rPr>
          <w:rFonts w:hint="default" w:ascii="Times New Roman" w:hAnsi="Times New Roman" w:eastAsia="仿宋_GB2312" w:cs="Times New Roman"/>
          <w:b w:val="0"/>
          <w:bCs w:val="0"/>
          <w:color w:val="auto"/>
          <w:kern w:val="32"/>
          <w:sz w:val="32"/>
          <w:szCs w:val="32"/>
          <w:shd w:val="clear" w:color="auto" w:fill="auto"/>
          <w:lang w:val="en-US" w:eastAsia="zh-CN"/>
        </w:rPr>
        <w:t>为深入贯彻习近平总书记对</w:t>
      </w:r>
      <w:r>
        <w:rPr>
          <w:rFonts w:hint="eastAsia" w:ascii="Times New Roman" w:hAnsi="Times New Roman" w:eastAsia="仿宋_GB2312" w:cs="Times New Roman"/>
          <w:b w:val="0"/>
          <w:bCs w:val="0"/>
          <w:color w:val="auto"/>
          <w:kern w:val="32"/>
          <w:sz w:val="32"/>
          <w:szCs w:val="32"/>
          <w:shd w:val="clear" w:color="auto" w:fill="auto"/>
          <w:lang w:val="en-US" w:eastAsia="zh-CN"/>
        </w:rPr>
        <w:t>职业技能竞赛、</w:t>
      </w:r>
      <w:r>
        <w:rPr>
          <w:rFonts w:hint="default" w:ascii="Times New Roman" w:hAnsi="Times New Roman" w:eastAsia="仿宋_GB2312" w:cs="Times New Roman"/>
          <w:b w:val="0"/>
          <w:bCs w:val="0"/>
          <w:color w:val="auto"/>
          <w:kern w:val="32"/>
          <w:sz w:val="32"/>
          <w:szCs w:val="32"/>
          <w:shd w:val="clear" w:color="auto" w:fill="auto"/>
          <w:lang w:val="en-US" w:eastAsia="zh-CN"/>
        </w:rPr>
        <w:t>技能人才工作的重要指示精神和党中央、国务院决策部署，</w:t>
      </w:r>
      <w:r>
        <w:rPr>
          <w:rFonts w:hint="eastAsia" w:ascii="Times New Roman" w:hAnsi="Times New Roman" w:eastAsia="仿宋_GB2312" w:cs="Times New Roman"/>
          <w:b w:val="0"/>
          <w:bCs w:val="0"/>
          <w:color w:val="auto"/>
          <w:kern w:val="32"/>
          <w:sz w:val="32"/>
          <w:szCs w:val="32"/>
          <w:shd w:val="clear" w:color="auto" w:fill="auto"/>
          <w:lang w:val="en-US" w:eastAsia="zh-CN"/>
        </w:rPr>
        <w:t>贯彻落实区、州党委、人民政府工作安排，建立</w:t>
      </w:r>
      <w:r>
        <w:rPr>
          <w:rFonts w:hint="default" w:ascii="Times New Roman" w:hAnsi="Times New Roman" w:eastAsia="仿宋_GB2312" w:cs="Times New Roman"/>
          <w:b w:val="0"/>
          <w:bCs w:val="0"/>
          <w:color w:val="auto"/>
          <w:kern w:val="32"/>
          <w:sz w:val="32"/>
          <w:szCs w:val="32"/>
          <w:shd w:val="clear" w:color="auto" w:fill="auto"/>
          <w:lang w:val="en-US" w:eastAsia="zh-CN"/>
        </w:rPr>
        <w:t>完善</w:t>
      </w:r>
      <w:r>
        <w:rPr>
          <w:rFonts w:hint="eastAsia" w:ascii="Times New Roman" w:hAnsi="Times New Roman" w:eastAsia="仿宋_GB2312" w:cs="Times New Roman"/>
          <w:b w:val="0"/>
          <w:bCs w:val="0"/>
          <w:color w:val="auto"/>
          <w:kern w:val="32"/>
          <w:sz w:val="32"/>
          <w:szCs w:val="32"/>
          <w:shd w:val="clear" w:color="auto" w:fill="auto"/>
          <w:lang w:val="en-US" w:eastAsia="zh-CN"/>
        </w:rPr>
        <w:t>我州</w:t>
      </w:r>
      <w:r>
        <w:rPr>
          <w:rFonts w:hint="default" w:ascii="Times New Roman" w:hAnsi="Times New Roman" w:eastAsia="仿宋_GB2312" w:cs="Times New Roman"/>
          <w:b w:val="0"/>
          <w:bCs w:val="0"/>
          <w:color w:val="auto"/>
          <w:kern w:val="32"/>
          <w:sz w:val="32"/>
          <w:szCs w:val="32"/>
          <w:shd w:val="clear" w:color="auto" w:fill="auto"/>
          <w:lang w:val="en-US" w:eastAsia="zh-CN"/>
        </w:rPr>
        <w:t>职业技能竞赛（以下简称竞赛）体系，发挥竞赛在提升劳动者素质、促进技能人才培养中的重要作用，根</w:t>
      </w:r>
      <w:r>
        <w:rPr>
          <w:rFonts w:hint="default" w:ascii="Times New Roman" w:hAnsi="Times New Roman" w:eastAsia="仿宋_GB2312" w:cs="Times New Roman"/>
          <w:b w:val="0"/>
          <w:bCs w:val="0"/>
          <w:snapToGrid w:val="0"/>
          <w:color w:val="auto"/>
          <w:kern w:val="0"/>
          <w:sz w:val="32"/>
          <w:szCs w:val="32"/>
          <w:highlight w:val="none"/>
          <w:shd w:val="clear" w:color="auto" w:fill="auto"/>
        </w:rPr>
        <w:t>据</w:t>
      </w:r>
      <w:r>
        <w:rPr>
          <w:rFonts w:hint="default" w:ascii="Times New Roman" w:hAnsi="Times New Roman" w:eastAsia="仿宋_GB2312" w:cs="Times New Roman"/>
          <w:b w:val="0"/>
          <w:bCs w:val="0"/>
          <w:color w:val="auto"/>
          <w:sz w:val="32"/>
          <w:szCs w:val="32"/>
          <w:highlight w:val="none"/>
          <w:shd w:val="clear" w:color="auto" w:fill="auto"/>
          <w:lang w:val="en-US" w:eastAsia="zh-CN"/>
        </w:rPr>
        <w:t>《新疆维吾尔自治区职业技能竞赛管理办法》</w:t>
      </w:r>
      <w:r>
        <w:rPr>
          <w:rFonts w:hint="eastAsia" w:ascii="Times New Roman" w:hAnsi="Times New Roman" w:eastAsia="仿宋_GB2312" w:cs="Times New Roman"/>
          <w:b w:val="0"/>
          <w:bCs w:val="0"/>
          <w:color w:val="auto"/>
          <w:sz w:val="32"/>
          <w:szCs w:val="32"/>
          <w:highlight w:val="none"/>
          <w:shd w:val="clear" w:color="auto" w:fill="auto"/>
          <w:lang w:val="en-US" w:eastAsia="zh-CN"/>
        </w:rPr>
        <w:t>（新政办发〔2014〕98号）《关于大力开展职业技能竞赛的指导意见》（新就办发〔2022〕7号）</w:t>
      </w:r>
      <w:r>
        <w:rPr>
          <w:rFonts w:hint="default" w:ascii="Times New Roman" w:hAnsi="Times New Roman" w:eastAsia="仿宋_GB2312" w:cs="Times New Roman"/>
          <w:b w:val="0"/>
          <w:bCs w:val="0"/>
          <w:color w:val="auto"/>
          <w:sz w:val="32"/>
          <w:szCs w:val="32"/>
          <w:highlight w:val="none"/>
          <w:shd w:val="clear" w:color="auto" w:fill="auto"/>
          <w:lang w:val="en-US" w:eastAsia="zh-CN"/>
        </w:rPr>
        <w:t>等文件</w:t>
      </w:r>
      <w:r>
        <w:rPr>
          <w:rFonts w:hint="eastAsia" w:ascii="Times New Roman" w:hAnsi="Times New Roman" w:eastAsia="仿宋_GB2312" w:cs="Times New Roman"/>
          <w:b w:val="0"/>
          <w:bCs w:val="0"/>
          <w:color w:val="auto"/>
          <w:sz w:val="32"/>
          <w:szCs w:val="32"/>
          <w:highlight w:val="none"/>
          <w:shd w:val="clear" w:color="auto" w:fill="auto"/>
          <w:lang w:val="en-US" w:eastAsia="zh-CN"/>
        </w:rPr>
        <w:t>要求</w:t>
      </w:r>
      <w:r>
        <w:rPr>
          <w:rFonts w:hint="default" w:ascii="Times New Roman" w:hAnsi="Times New Roman" w:eastAsia="仿宋_GB2312" w:cs="Times New Roman"/>
          <w:b w:val="0"/>
          <w:bCs w:val="0"/>
          <w:snapToGrid w:val="0"/>
          <w:color w:val="auto"/>
          <w:kern w:val="0"/>
          <w:sz w:val="32"/>
          <w:szCs w:val="32"/>
          <w:highlight w:val="none"/>
          <w:shd w:val="clear" w:color="auto" w:fill="auto"/>
        </w:rPr>
        <w:t>，</w:t>
      </w:r>
      <w:r>
        <w:rPr>
          <w:rFonts w:hint="default" w:ascii="Times New Roman" w:hAnsi="Times New Roman" w:eastAsia="仿宋_GB2312" w:cs="Times New Roman"/>
          <w:b w:val="0"/>
          <w:bCs w:val="0"/>
          <w:snapToGrid w:val="0"/>
          <w:color w:val="auto"/>
          <w:kern w:val="0"/>
          <w:sz w:val="32"/>
          <w:szCs w:val="32"/>
          <w:highlight w:val="none"/>
          <w:shd w:val="clear" w:color="auto" w:fill="auto"/>
          <w:lang w:val="en-US" w:eastAsia="zh-CN"/>
        </w:rPr>
        <w:t>结合</w:t>
      </w:r>
      <w:r>
        <w:rPr>
          <w:rFonts w:hint="eastAsia" w:ascii="Times New Roman" w:hAnsi="Times New Roman" w:eastAsia="仿宋_GB2312" w:cs="Times New Roman"/>
          <w:b w:val="0"/>
          <w:bCs w:val="0"/>
          <w:snapToGrid w:val="0"/>
          <w:color w:val="auto"/>
          <w:kern w:val="0"/>
          <w:sz w:val="32"/>
          <w:szCs w:val="32"/>
          <w:highlight w:val="none"/>
          <w:shd w:val="clear" w:color="auto" w:fill="auto"/>
          <w:lang w:val="en-US" w:eastAsia="zh-CN"/>
        </w:rPr>
        <w:t>我州</w:t>
      </w:r>
      <w:r>
        <w:rPr>
          <w:rFonts w:hint="default" w:ascii="Times New Roman" w:hAnsi="Times New Roman" w:eastAsia="仿宋_GB2312" w:cs="Times New Roman"/>
          <w:b w:val="0"/>
          <w:bCs w:val="0"/>
          <w:snapToGrid w:val="0"/>
          <w:color w:val="auto"/>
          <w:kern w:val="0"/>
          <w:sz w:val="32"/>
          <w:szCs w:val="32"/>
          <w:highlight w:val="none"/>
          <w:shd w:val="clear" w:color="auto" w:fill="auto"/>
          <w:lang w:val="en-US" w:eastAsia="zh-CN"/>
        </w:rPr>
        <w:t>实际</w:t>
      </w:r>
      <w:r>
        <w:rPr>
          <w:rFonts w:hint="eastAsia" w:ascii="Times New Roman" w:hAnsi="Times New Roman" w:eastAsia="仿宋_GB2312" w:cs="Times New Roman"/>
          <w:b w:val="0"/>
          <w:bCs w:val="0"/>
          <w:snapToGrid w:val="0"/>
          <w:color w:val="auto"/>
          <w:kern w:val="0"/>
          <w:sz w:val="32"/>
          <w:szCs w:val="32"/>
          <w:highlight w:val="none"/>
          <w:shd w:val="clear" w:color="auto" w:fill="auto"/>
          <w:lang w:val="en-US" w:eastAsia="zh-CN"/>
        </w:rPr>
        <w:t>，</w:t>
      </w:r>
      <w:r>
        <w:rPr>
          <w:rFonts w:hint="eastAsia" w:ascii="Times New Roman" w:hAnsi="Times New Roman" w:eastAsia="仿宋_GB2312" w:cs="Times New Roman"/>
          <w:b w:val="0"/>
          <w:bCs w:val="0"/>
          <w:color w:val="auto"/>
          <w:kern w:val="32"/>
          <w:sz w:val="32"/>
          <w:szCs w:val="32"/>
          <w:highlight w:val="none"/>
          <w:shd w:val="clear" w:color="auto" w:fill="auto"/>
          <w:lang w:val="en-US" w:eastAsia="zh-CN"/>
        </w:rPr>
        <w:t>制定本办法</w:t>
      </w:r>
      <w:r>
        <w:rPr>
          <w:rFonts w:hint="default" w:ascii="Times New Roman" w:hAnsi="Times New Roman" w:eastAsia="仿宋_GB2312" w:cs="Times New Roman"/>
          <w:b w:val="0"/>
          <w:bCs w:val="0"/>
          <w:snapToGrid w:val="0"/>
          <w:color w:val="auto"/>
          <w:spacing w:val="0"/>
          <w:kern w:val="0"/>
          <w:sz w:val="32"/>
          <w:szCs w:val="32"/>
          <w:highlight w:val="none"/>
          <w:shd w:val="clear" w:color="auto" w:fill="auto"/>
          <w:lang w:val="en-US" w:eastAsia="zh-CN" w:bidi="ar-SA"/>
        </w:rPr>
        <w:t>。</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eastAsia" w:ascii="Times New Roman" w:hAnsi="Times New Roman" w:eastAsia="仿宋_GB2312" w:cs="Times New Roman"/>
          <w:b w:val="0"/>
          <w:bCs w:val="0"/>
          <w:color w:val="auto"/>
          <w:kern w:val="32"/>
          <w:sz w:val="32"/>
          <w:szCs w:val="32"/>
          <w:shd w:val="clear" w:color="auto" w:fill="auto"/>
          <w:lang w:val="en-US" w:eastAsia="zh-CN"/>
        </w:rPr>
      </w:pPr>
      <w:r>
        <w:rPr>
          <w:rFonts w:hint="eastAsia" w:ascii="Times New Roman" w:hAnsi="Times New Roman" w:eastAsia="楷体_GB2312" w:cs="Times New Roman"/>
          <w:b w:val="0"/>
          <w:bCs w:val="0"/>
          <w:color w:val="auto"/>
          <w:kern w:val="32"/>
          <w:sz w:val="32"/>
          <w:szCs w:val="32"/>
          <w:highlight w:val="none"/>
          <w:lang w:val="en-US" w:eastAsia="zh-CN" w:bidi="ar-SA"/>
        </w:rPr>
        <w:t>第二条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本办法适用于</w:t>
      </w:r>
      <w:r>
        <w:rPr>
          <w:rFonts w:hint="eastAsia" w:ascii="Times New Roman" w:hAnsi="Times New Roman" w:eastAsia="仿宋_GB2312" w:cs="Times New Roman"/>
          <w:b w:val="0"/>
          <w:bCs w:val="0"/>
          <w:snapToGrid w:val="0"/>
          <w:color w:val="auto"/>
          <w:kern w:val="0"/>
          <w:sz w:val="32"/>
          <w:szCs w:val="32"/>
          <w:highlight w:val="none"/>
          <w:shd w:val="clear" w:color="auto" w:fill="auto"/>
          <w:lang w:val="en-US" w:eastAsia="zh-CN"/>
        </w:rPr>
        <w:t>昌吉州辖区内（不含兵团）</w:t>
      </w:r>
      <w:r>
        <w:rPr>
          <w:rFonts w:hint="eastAsia" w:ascii="Times New Roman" w:hAnsi="Times New Roman" w:eastAsia="仿宋_GB2312" w:cs="Times New Roman"/>
          <w:b w:val="0"/>
          <w:bCs w:val="0"/>
          <w:color w:val="auto"/>
          <w:kern w:val="32"/>
          <w:sz w:val="32"/>
          <w:szCs w:val="32"/>
          <w:shd w:val="clear" w:color="auto" w:fill="auto"/>
          <w:lang w:val="en-US" w:eastAsia="zh-CN"/>
        </w:rPr>
        <w:t>开展的各类竞赛活动。本办法所称竞赛是指依据国家职业技能标准、行业企业评价规范，根据经济社会发展对高技能人才的需要，结合生产和服务工作实际，以考核操作技能为主要内容，有组织开展的群众性竞赛活动。</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eastAsia" w:ascii="Times New Roman" w:hAnsi="Times New Roman" w:eastAsia="仿宋_GB2312" w:cs="Times New Roman"/>
          <w:b w:val="0"/>
          <w:bCs w:val="0"/>
          <w:color w:val="auto"/>
          <w:kern w:val="32"/>
          <w:sz w:val="32"/>
          <w:szCs w:val="32"/>
          <w:shd w:val="clear" w:color="auto" w:fill="auto"/>
          <w:lang w:val="en-US" w:eastAsia="zh-CN"/>
        </w:rPr>
      </w:pPr>
      <w:r>
        <w:rPr>
          <w:rFonts w:hint="eastAsia" w:ascii="Times New Roman" w:hAnsi="Times New Roman" w:eastAsia="楷体_GB2312" w:cs="Times New Roman"/>
          <w:b w:val="0"/>
          <w:bCs w:val="0"/>
          <w:snapToGrid w:val="0"/>
          <w:color w:val="auto"/>
          <w:spacing w:val="0"/>
          <w:kern w:val="0"/>
          <w:sz w:val="32"/>
          <w:szCs w:val="32"/>
          <w:highlight w:val="none"/>
          <w:lang w:val="en-US" w:eastAsia="zh-CN" w:bidi="ar-SA"/>
        </w:rPr>
        <w:t>第三条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竞赛工作由县级以上政府（管委会）、就业工作领导小组组织领导，各级就业工作领导小组办公室（人力资源社会保障部门）负责竞赛政策制定、统筹协调、竞赛组织、技术支持和指导等工作。</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eastAsia" w:ascii="Times New Roman" w:hAnsi="Times New Roman" w:eastAsia="仿宋_GB2312" w:cs="Times New Roman"/>
          <w:b w:val="0"/>
          <w:bCs w:val="0"/>
          <w:color w:val="auto"/>
          <w:kern w:val="32"/>
          <w:sz w:val="32"/>
          <w:szCs w:val="32"/>
          <w:shd w:val="clear" w:color="auto" w:fill="auto"/>
          <w:lang w:val="en-US" w:eastAsia="zh-CN"/>
        </w:rPr>
      </w:pPr>
      <w:r>
        <w:rPr>
          <w:rFonts w:hint="eastAsia" w:ascii="Times New Roman" w:hAnsi="Times New Roman" w:eastAsia="楷体_GB2312" w:cs="Times New Roman"/>
          <w:b w:val="0"/>
          <w:bCs w:val="0"/>
          <w:snapToGrid w:val="0"/>
          <w:color w:val="auto"/>
          <w:spacing w:val="0"/>
          <w:kern w:val="0"/>
          <w:sz w:val="32"/>
          <w:szCs w:val="32"/>
          <w:highlight w:val="none"/>
          <w:lang w:val="en-US" w:eastAsia="zh-CN" w:bidi="ar-SA"/>
        </w:rPr>
        <w:t>第四条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积极构建以州级竞赛为主体，县市（园区）级竞赛、行业竞赛和企业院校竞赛为基础的职业技能竞赛体系，对标世界技能大赛、中华人民共和国职业技能大赛、自治区职业技能大赛（以下</w:t>
      </w:r>
      <w:bookmarkStart w:id="0" w:name="_GoBack"/>
      <w:bookmarkEnd w:id="0"/>
      <w:r>
        <w:rPr>
          <w:rFonts w:hint="eastAsia" w:ascii="Times New Roman" w:hAnsi="Times New Roman" w:eastAsia="仿宋_GB2312" w:cs="Times New Roman"/>
          <w:b w:val="0"/>
          <w:bCs w:val="0"/>
          <w:color w:val="auto"/>
          <w:kern w:val="32"/>
          <w:sz w:val="32"/>
          <w:szCs w:val="32"/>
          <w:shd w:val="clear" w:color="auto" w:fill="auto"/>
          <w:lang w:val="en-US" w:eastAsia="zh-CN"/>
        </w:rPr>
        <w:t>分别简称世赛、国赛、区赛），借鉴吸收先进理念和经验做法，提高办赛水平和质量，提升竞赛科学化、规范化、专业化水平。</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default" w:ascii="Times New Roman" w:hAnsi="Times New Roman" w:eastAsia="仿宋_GB2312" w:cs="Times New Roman"/>
          <w:b w:val="0"/>
          <w:bCs w:val="0"/>
          <w:color w:val="auto"/>
          <w:kern w:val="32"/>
          <w:sz w:val="32"/>
          <w:szCs w:val="32"/>
          <w:shd w:val="clear" w:color="auto" w:fill="auto"/>
          <w:lang w:val="en-US" w:eastAsia="zh-CN"/>
        </w:rPr>
      </w:pPr>
      <w:r>
        <w:rPr>
          <w:rFonts w:hint="eastAsia" w:ascii="楷体_GB2312" w:hAnsi="楷体_GB2312" w:eastAsia="楷体_GB2312" w:cs="楷体_GB2312"/>
          <w:b w:val="0"/>
          <w:bCs w:val="0"/>
          <w:color w:val="auto"/>
          <w:kern w:val="32"/>
          <w:sz w:val="32"/>
          <w:szCs w:val="32"/>
          <w:shd w:val="clear" w:color="auto" w:fill="auto"/>
          <w:lang w:val="en-US" w:eastAsia="zh-CN"/>
        </w:rPr>
        <w:t>第五条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竞赛以公开、公平、公正和层层选拔为原则，以弘扬劳模精神、劳动精神、工匠精神为宗旨。</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eastAsia" w:ascii="Times New Roman" w:hAnsi="Times New Roman" w:eastAsia="仿宋_GB2312" w:cs="Times New Roman"/>
          <w:b w:val="0"/>
          <w:bCs w:val="0"/>
          <w:color w:val="auto"/>
          <w:kern w:val="32"/>
          <w:sz w:val="32"/>
          <w:szCs w:val="32"/>
          <w:shd w:val="clear" w:color="auto" w:fill="auto"/>
          <w:lang w:val="en-US" w:eastAsia="zh-CN"/>
        </w:rPr>
      </w:pPr>
      <w:r>
        <w:rPr>
          <w:rFonts w:hint="eastAsia" w:ascii="楷体_GB2312" w:hAnsi="楷体_GB2312" w:eastAsia="楷体_GB2312" w:cs="楷体_GB2312"/>
          <w:b w:val="0"/>
          <w:bCs w:val="0"/>
          <w:color w:val="auto"/>
          <w:kern w:val="32"/>
          <w:sz w:val="32"/>
          <w:szCs w:val="32"/>
          <w:shd w:val="clear" w:color="auto" w:fill="auto"/>
          <w:lang w:val="en-US" w:eastAsia="zh-CN"/>
        </w:rPr>
        <w:t>第六条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竞赛以经济社会发展需要为导向，以政府引领为主导，鼓励社会力量参与，开展多层次、多领域、多职业（工种）竞赛，扩大竞赛覆盖面，引导社会各界广泛参与，提高竞赛影响力。</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eastAsia" w:ascii="Times New Roman" w:hAnsi="Times New Roman" w:eastAsia="仿宋_GB2312" w:cs="Times New Roman"/>
          <w:b w:val="0"/>
          <w:bCs w:val="0"/>
          <w:color w:val="auto"/>
          <w:kern w:val="32"/>
          <w:sz w:val="32"/>
          <w:szCs w:val="32"/>
          <w:shd w:val="clear" w:color="auto" w:fill="auto"/>
          <w:lang w:val="en-US" w:eastAsia="zh-CN"/>
        </w:rPr>
      </w:pPr>
      <w:r>
        <w:rPr>
          <w:rFonts w:hint="eastAsia" w:ascii="楷体_GB2312" w:hAnsi="楷体_GB2312" w:eastAsia="楷体_GB2312" w:cs="楷体_GB2312"/>
          <w:b w:val="0"/>
          <w:bCs w:val="0"/>
          <w:color w:val="auto"/>
          <w:kern w:val="32"/>
          <w:sz w:val="32"/>
          <w:szCs w:val="32"/>
          <w:shd w:val="clear" w:color="auto" w:fill="auto"/>
          <w:lang w:val="en-US" w:eastAsia="zh-CN"/>
        </w:rPr>
        <w:t>第七条</w:t>
      </w:r>
      <w:r>
        <w:rPr>
          <w:rFonts w:hint="eastAsia" w:ascii="Times New Roman" w:hAnsi="Times New Roman" w:eastAsia="仿宋_GB2312" w:cs="Times New Roman"/>
          <w:b w:val="0"/>
          <w:bCs w:val="0"/>
          <w:color w:val="auto"/>
          <w:kern w:val="32"/>
          <w:sz w:val="32"/>
          <w:szCs w:val="32"/>
          <w:shd w:val="clear" w:color="auto" w:fill="auto"/>
          <w:lang w:val="en-US" w:eastAsia="zh-CN"/>
        </w:rPr>
        <w:t xml:space="preserve"> 竞赛突出勤俭节约、务实高效、绿色安全的办赛理念，以赛促学、以赛促训，引导广大劳动者积极参加，提升技能水平，营造“劳动光荣、技能宝贵、创造伟大”的良好社会氛围。</w:t>
      </w:r>
    </w:p>
    <w:p>
      <w:pPr>
        <w:pStyle w:val="12"/>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640" w:firstLineChars="200"/>
        <w:textAlignment w:val="auto"/>
        <w:outlineLvl w:val="1"/>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center"/>
        <w:textAlignment w:val="auto"/>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第二章 竞赛体系</w:t>
      </w:r>
    </w:p>
    <w:p>
      <w:pPr>
        <w:pStyle w:val="18"/>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32"/>
          <w:sz w:val="32"/>
          <w:szCs w:val="32"/>
          <w:highlight w:val="none"/>
          <w:lang w:val="en-US" w:eastAsia="zh-CN" w:bidi="ar-SA"/>
        </w:rPr>
        <w:t>第八条</w:t>
      </w:r>
      <w:r>
        <w:rPr>
          <w:rFonts w:hint="eastAsia" w:ascii="仿宋_GB2312" w:hAnsi="仿宋_GB2312" w:eastAsia="仿宋_GB2312" w:cs="仿宋_GB2312"/>
          <w:b w:val="0"/>
          <w:bCs w:val="0"/>
          <w:color w:val="auto"/>
          <w:kern w:val="3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lang w:val="en-US" w:eastAsia="zh-CN"/>
        </w:rPr>
        <w:t>竞赛按类别分为三类，即州级一类，州级二类，企业院校比赛。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（一）州级一类竞赛。由州人民政府（州就业工作领导小组）、州就业工作领导小组办公室（人力资源和社会保障局）、州总工会等单位牵头组织的跨行业（系统）、跨县市（园区）的综合类竞赛。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（二）州级二类竞赛。由各县市（园区）、州直有关单位和行业部门牵头组织的单一行业（系统）特有职业（工种）或通用职业（工种）的竞赛。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（三）企业院校竞赛。企业院校举办的竞赛不分类，以形式多样的岗位练兵、技术比武、技能竞赛活动为主，鼓励企业院校积极参与区级、州级竞赛。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州级一类、二类竞赛，可冠以“昌吉州”或“自治州”的名称。各县市（园区）举办的竞赛，可冠以“XX县市（园区）”的名称。企业院校比赛可冠以企业、院校的名称。州级竞赛与区赛相衔接，同时承担区赛昌吉州选拔赛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第十条</w:t>
      </w:r>
      <w:r>
        <w:rPr>
          <w:rFonts w:hint="eastAsia" w:ascii="仿宋_GB2312" w:hAnsi="仿宋_GB2312" w:eastAsia="仿宋_GB2312" w:cs="仿宋_GB2312"/>
          <w:b w:val="0"/>
          <w:bCs w:val="0"/>
          <w:color w:val="auto"/>
          <w:sz w:val="32"/>
          <w:szCs w:val="32"/>
          <w:lang w:val="en-US" w:eastAsia="zh-CN"/>
        </w:rPr>
        <w:t xml:space="preserve"> 州级一类竞赛原则上每2年举办一届，于当届区赛后、下届区赛前举办。赛项结合区赛和我州实际设置，同一职业（工种）同一级别原则上2年内不重复举办竞赛。州级二类竞赛原则上每2年举办一届，具体组织实施由各县市（园区）、行业部门自行确定。企业院校竞赛周期和组织实施由企业、院校自行确定。</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1"/>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第三章 竞赛计划</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楷体_GB2312" w:hAnsi="楷体_GB2312" w:eastAsia="楷体_GB2312" w:cs="楷体_GB2312"/>
          <w:b w:val="0"/>
          <w:bCs w:val="0"/>
          <w:color w:val="auto"/>
          <w:kern w:val="32"/>
          <w:sz w:val="32"/>
          <w:szCs w:val="32"/>
          <w:highlight w:val="none"/>
          <w:lang w:val="en-US" w:eastAsia="zh-CN" w:bidi="ar-SA"/>
        </w:rPr>
        <w:t>第十一条</w:t>
      </w:r>
      <w:r>
        <w:rPr>
          <w:rFonts w:hint="eastAsia" w:ascii="仿宋_GB2312" w:hAnsi="仿宋_GB2312" w:eastAsia="仿宋_GB2312" w:cs="仿宋_GB2312"/>
          <w:b w:val="0"/>
          <w:bCs w:val="0"/>
          <w:color w:val="auto"/>
          <w:kern w:val="32"/>
          <w:sz w:val="32"/>
          <w:szCs w:val="32"/>
          <w:highlight w:val="none"/>
          <w:lang w:val="en-US" w:eastAsia="zh-CN" w:bidi="ar-SA"/>
        </w:rPr>
        <w:t xml:space="preserve"> </w:t>
      </w:r>
      <w:r>
        <w:rPr>
          <w:rFonts w:hint="eastAsia" w:ascii="仿宋_GB2312" w:hAnsi="仿宋_GB2312" w:eastAsia="仿宋_GB2312" w:cs="仿宋_GB2312"/>
          <w:b w:val="0"/>
          <w:bCs w:val="0"/>
          <w:color w:val="auto"/>
          <w:kern w:val="0"/>
          <w:sz w:val="32"/>
          <w:szCs w:val="32"/>
          <w:highlight w:val="none"/>
          <w:lang w:val="en-US" w:eastAsia="zh-CN" w:bidi="ar"/>
        </w:rPr>
        <w:t>昌吉州竞赛应履行计划申报、计划公布、赛前备案等程序。</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32"/>
          <w:sz w:val="32"/>
          <w:szCs w:val="32"/>
          <w:highlight w:val="none"/>
          <w:lang w:val="en-US" w:eastAsia="zh-CN" w:bidi="ar-SA"/>
        </w:rPr>
        <w:t>（一）计划申报。州级一类、二类竞赛和企业院校竞赛由各县市（园区）、州直有关单位部门、行业（系统）组织于每年12月上旬向</w:t>
      </w:r>
      <w:r>
        <w:rPr>
          <w:rFonts w:hint="eastAsia" w:ascii="仿宋_GB2312" w:hAnsi="仿宋_GB2312" w:eastAsia="仿宋_GB2312" w:cs="仿宋_GB2312"/>
          <w:b w:val="0"/>
          <w:bCs w:val="0"/>
          <w:color w:val="auto"/>
          <w:sz w:val="32"/>
          <w:szCs w:val="32"/>
          <w:lang w:val="en-US" w:eastAsia="zh-CN"/>
        </w:rPr>
        <w:t>州人力资源和社会保障局</w:t>
      </w:r>
      <w:r>
        <w:rPr>
          <w:rFonts w:hint="eastAsia" w:ascii="仿宋_GB2312" w:hAnsi="仿宋_GB2312" w:eastAsia="仿宋_GB2312" w:cs="仿宋_GB2312"/>
          <w:b w:val="0"/>
          <w:bCs w:val="0"/>
          <w:color w:val="auto"/>
          <w:kern w:val="32"/>
          <w:sz w:val="32"/>
          <w:szCs w:val="32"/>
          <w:highlight w:val="none"/>
          <w:lang w:val="en-US" w:eastAsia="zh-CN" w:bidi="ar-SA"/>
        </w:rPr>
        <w:t>提交下年度竞赛计划，明确竞赛名称、竞赛职业（工种）、主办单位、竞赛标准、规模、举办时间、联系信息和经费来源等事项。</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（二）计划公布。</w:t>
      </w:r>
      <w:r>
        <w:rPr>
          <w:rFonts w:hint="eastAsia" w:ascii="仿宋_GB2312" w:hAnsi="仿宋_GB2312" w:eastAsia="仿宋_GB2312" w:cs="仿宋_GB2312"/>
          <w:b w:val="0"/>
          <w:bCs w:val="0"/>
          <w:color w:val="auto"/>
          <w:sz w:val="32"/>
          <w:szCs w:val="32"/>
          <w:highlight w:val="none"/>
          <w:lang w:eastAsia="zh-CN"/>
        </w:rPr>
        <w:t>州人力资源和社会保障局根据申报情况，统筹赛事安排和赛项设置，于每年</w:t>
      </w:r>
      <w:r>
        <w:rPr>
          <w:rFonts w:hint="eastAsia" w:ascii="仿宋_GB2312" w:hAnsi="仿宋_GB2312" w:eastAsia="仿宋_GB2312" w:cs="仿宋_GB2312"/>
          <w:b w:val="0"/>
          <w:bCs w:val="0"/>
          <w:color w:val="auto"/>
          <w:sz w:val="32"/>
          <w:szCs w:val="32"/>
          <w:highlight w:val="none"/>
          <w:lang w:val="en-US" w:eastAsia="zh-CN"/>
        </w:rPr>
        <w:t>1月</w:t>
      </w:r>
      <w:r>
        <w:rPr>
          <w:rFonts w:hint="eastAsia" w:ascii="仿宋_GB2312" w:hAnsi="仿宋_GB2312" w:eastAsia="仿宋_GB2312" w:cs="仿宋_GB2312"/>
          <w:b w:val="0"/>
          <w:bCs w:val="0"/>
          <w:color w:val="auto"/>
          <w:sz w:val="32"/>
          <w:szCs w:val="32"/>
          <w:highlight w:val="none"/>
          <w:lang w:eastAsia="zh-CN"/>
        </w:rPr>
        <w:t>公布本年度竞赛计划。</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（三）赛前备案。</w:t>
      </w:r>
      <w:r>
        <w:rPr>
          <w:rFonts w:hint="eastAsia" w:ascii="仿宋_GB2312" w:hAnsi="仿宋_GB2312" w:eastAsia="仿宋_GB2312" w:cs="仿宋_GB2312"/>
          <w:b w:val="0"/>
          <w:bCs w:val="0"/>
          <w:color w:val="auto"/>
          <w:sz w:val="32"/>
          <w:szCs w:val="32"/>
          <w:shd w:val="clear" w:color="auto" w:fill="auto"/>
          <w:lang w:val="en-US" w:eastAsia="zh-CN"/>
        </w:rPr>
        <w:t>州级一类、二类</w:t>
      </w:r>
      <w:r>
        <w:rPr>
          <w:rFonts w:hint="eastAsia" w:ascii="仿宋_GB2312" w:hAnsi="仿宋_GB2312" w:eastAsia="仿宋_GB2312" w:cs="仿宋_GB2312"/>
          <w:b w:val="0"/>
          <w:bCs w:val="0"/>
          <w:color w:val="auto"/>
          <w:sz w:val="32"/>
          <w:szCs w:val="32"/>
          <w:highlight w:val="none"/>
          <w:lang w:val="en-US" w:eastAsia="zh-CN"/>
        </w:rPr>
        <w:t>竞赛</w:t>
      </w:r>
      <w:r>
        <w:rPr>
          <w:rFonts w:hint="eastAsia" w:ascii="仿宋_GB2312" w:hAnsi="仿宋_GB2312" w:eastAsia="仿宋_GB2312" w:cs="仿宋_GB2312"/>
          <w:b w:val="0"/>
          <w:bCs w:val="0"/>
          <w:color w:val="auto"/>
          <w:sz w:val="32"/>
          <w:szCs w:val="32"/>
          <w:shd w:val="clear" w:color="auto" w:fill="auto"/>
          <w:lang w:val="en-US" w:eastAsia="zh-CN"/>
        </w:rPr>
        <w:t>启动前1个月，</w:t>
      </w:r>
      <w:r>
        <w:rPr>
          <w:rFonts w:hint="eastAsia" w:ascii="仿宋_GB2312" w:hAnsi="仿宋_GB2312" w:eastAsia="仿宋_GB2312" w:cs="仿宋_GB2312"/>
          <w:b w:val="0"/>
          <w:bCs w:val="0"/>
          <w:color w:val="auto"/>
          <w:sz w:val="32"/>
          <w:szCs w:val="32"/>
          <w:highlight w:val="none"/>
          <w:lang w:val="en-US" w:eastAsia="zh-CN"/>
        </w:rPr>
        <w:t>主办</w:t>
      </w:r>
      <w:r>
        <w:rPr>
          <w:rFonts w:hint="eastAsia" w:ascii="仿宋_GB2312" w:hAnsi="仿宋_GB2312" w:eastAsia="仿宋_GB2312" w:cs="仿宋_GB2312"/>
          <w:b w:val="0"/>
          <w:bCs w:val="0"/>
          <w:color w:val="auto"/>
          <w:sz w:val="32"/>
          <w:szCs w:val="32"/>
          <w:shd w:val="clear" w:color="auto" w:fill="auto"/>
          <w:lang w:val="en-US" w:eastAsia="zh-CN"/>
        </w:rPr>
        <w:t>单位须向州人力资源社会保障局备案；企业院校竞赛前20天，向同级人力资源社会保障局备案。备案时需提供申请备案报告、《昌吉州职业技能竞赛备案表》（详见附件1）、竞赛通知、竞赛技术标准等材料。对备案材料无异议的，人力资源社会保障部门应自受理之日起10个工作日内予以备案</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第十二条</w:t>
      </w:r>
      <w:r>
        <w:rPr>
          <w:rFonts w:hint="eastAsia" w:ascii="仿宋_GB2312" w:hAnsi="仿宋_GB2312" w:eastAsia="仿宋_GB2312" w:cs="仿宋_GB2312"/>
          <w:b w:val="0"/>
          <w:bCs w:val="0"/>
          <w:color w:val="auto"/>
          <w:kern w:val="32"/>
          <w:sz w:val="32"/>
          <w:szCs w:val="32"/>
          <w:highlight w:val="none"/>
          <w:lang w:val="en-US" w:eastAsia="zh-CN" w:bidi="ar-SA"/>
        </w:rPr>
        <w:t xml:space="preserve"> 申请举办竞赛的主办单位或承办单位，应具备下列基本条件：</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（一）能够独立承担民事责任；</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（二）具备相应的组织机构和组织管理能力；</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（三）具备办赛必要的经费、设施设备、场地和评定成绩所需的检测手段；</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（四）有完善的竞赛组织实施方案、竞赛规则、技术规程；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（五）有熟悉竞赛项目的管理人员、行业专家和技术技能人员；</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（六）有完善的赛务、安全、环保、卫生、防疫等保障措施；</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（七）具备举办竞赛的其他条件。</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第十三条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项目原则上为已列入《中华人民共和国职业分类大典》以及由国家公布的新职业（工种）。鼓励主办单位围绕世赛、国赛、区赛，结合我州产业发展需求选择职业（工种）或在本行业具有代表性的职业（工种）设置竞赛项目。</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32"/>
          <w:sz w:val="32"/>
          <w:szCs w:val="32"/>
          <w:highlight w:val="none"/>
          <w:lang w:val="en-US" w:eastAsia="zh-CN" w:bidi="ar-SA"/>
        </w:rPr>
        <w:t>第十四条</w:t>
      </w:r>
      <w:r>
        <w:rPr>
          <w:rFonts w:hint="eastAsia" w:ascii="仿宋_GB2312" w:hAnsi="仿宋_GB2312" w:eastAsia="仿宋_GB2312" w:cs="仿宋_GB2312"/>
          <w:b w:val="0"/>
          <w:bCs w:val="0"/>
          <w:color w:val="auto"/>
          <w:kern w:val="3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竞赛年度计划公布后，主办单位不得随意取消、变更竞赛活动，由于特殊原因确须取消或变更的，应提前向备案部门提出书面说明，同意后方可取消或变更竞赛活动，并做好后续有关工作。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黑体" w:hAnsi="黑体" w:eastAsia="黑体" w:cs="黑体"/>
          <w:b w:val="0"/>
          <w:bCs w:val="0"/>
          <w:snapToGrid w:val="0"/>
          <w:color w:val="auto"/>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Times New Roman" w:hAnsi="Times New Roman" w:eastAsia="黑体" w:cs="Times New Roman"/>
          <w:b w:val="0"/>
          <w:bCs w:val="0"/>
          <w:color w:val="auto"/>
          <w:kern w:val="32"/>
          <w:sz w:val="32"/>
          <w:szCs w:val="32"/>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 xml:space="preserve">第四章 </w:t>
      </w:r>
      <w:r>
        <w:rPr>
          <w:rFonts w:hint="default" w:ascii="黑体" w:hAnsi="黑体" w:eastAsia="黑体" w:cs="黑体"/>
          <w:b w:val="0"/>
          <w:bCs w:val="0"/>
          <w:snapToGrid w:val="0"/>
          <w:color w:val="auto"/>
          <w:spacing w:val="0"/>
          <w:kern w:val="0"/>
          <w:sz w:val="32"/>
          <w:szCs w:val="32"/>
          <w:highlight w:val="none"/>
          <w:lang w:val="en-US" w:eastAsia="zh-CN" w:bidi="ar-SA"/>
        </w:rPr>
        <w:t>组织实施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楷体_GB2312" w:hAnsi="楷体_GB2312" w:eastAsia="楷体_GB2312" w:cs="楷体_GB2312"/>
          <w:b w:val="0"/>
          <w:bCs w:val="0"/>
          <w:color w:val="auto"/>
          <w:kern w:val="32"/>
          <w:sz w:val="32"/>
          <w:szCs w:val="32"/>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第十五条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实行主办单位负责制，可根据实际遴选承办、协办、实施保障等单位。联合举办的竞赛应明确主办单位、承办单位、协办单位、实施保障单位及各方的职责和任务。主办单位对竞赛全过程履行主体责任；承办单位负责赛事筹备、实施及各项保障工作；协办单位为竞赛提供技术、物资和人员等支持，协助承办单位保障赛事平稳有序开展；实施保障单位组织实施竞赛活动，做好竞赛期间的赛务、安全、环保、卫生、防疫等保障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第十六条</w:t>
      </w:r>
      <w:r>
        <w:rPr>
          <w:rFonts w:hint="eastAsia" w:ascii="仿宋_GB2312" w:hAnsi="仿宋_GB2312" w:eastAsia="仿宋_GB2312" w:cs="仿宋_GB2312"/>
          <w:b w:val="0"/>
          <w:bCs w:val="0"/>
          <w:color w:val="auto"/>
          <w:kern w:val="32"/>
          <w:sz w:val="32"/>
          <w:szCs w:val="32"/>
          <w:highlight w:val="none"/>
          <w:lang w:val="en-US" w:eastAsia="zh-CN" w:bidi="ar-SA"/>
        </w:rPr>
        <w:t xml:space="preserve"> </w:t>
      </w:r>
      <w:r>
        <w:rPr>
          <w:rFonts w:hint="eastAsia" w:ascii="仿宋_GB2312" w:hAnsi="仿宋_GB2312" w:eastAsia="仿宋_GB2312" w:cs="仿宋_GB2312"/>
          <w:b w:val="0"/>
          <w:bCs w:val="0"/>
          <w:color w:val="auto"/>
          <w:kern w:val="32"/>
          <w:sz w:val="32"/>
          <w:szCs w:val="32"/>
          <w:lang w:val="en-US" w:eastAsia="zh-CN" w:bidi="ar-SA"/>
        </w:rPr>
        <w:t>竞赛主办单位应牵头成立赛事组织委员会，负责竞赛的整体安排和组织管理，决定竞赛重大事项，监督检查赛事各项组织和赛务工作。赛事组织委员会下设办公室，负责竞赛的组织安排和</w:t>
      </w:r>
      <w:r>
        <w:rPr>
          <w:rFonts w:hint="eastAsia" w:ascii="仿宋_GB2312" w:hAnsi="仿宋_GB2312" w:eastAsia="仿宋_GB2312" w:cs="仿宋_GB2312"/>
          <w:b w:val="0"/>
          <w:bCs w:val="0"/>
          <w:color w:val="auto"/>
          <w:sz w:val="32"/>
          <w:szCs w:val="32"/>
          <w:lang w:eastAsia="zh-CN"/>
        </w:rPr>
        <w:t>日常管理工作，承办单位应牵头成立赛事执行委员会，可根据需要组建</w:t>
      </w:r>
      <w:r>
        <w:rPr>
          <w:rFonts w:hint="eastAsia" w:ascii="仿宋_GB2312" w:hAnsi="仿宋_GB2312" w:eastAsia="仿宋_GB2312" w:cs="仿宋_GB2312"/>
          <w:b w:val="0"/>
          <w:bCs w:val="0"/>
          <w:color w:val="auto"/>
          <w:kern w:val="32"/>
          <w:sz w:val="32"/>
          <w:szCs w:val="32"/>
          <w:lang w:val="en-US" w:eastAsia="zh-CN" w:bidi="ar-SA"/>
        </w:rPr>
        <w:t>技术保障、后勤保障、展示交流、社会赞助、疫情防控、新闻宣传、监督仲裁等</w:t>
      </w:r>
      <w:r>
        <w:rPr>
          <w:rFonts w:hint="eastAsia" w:ascii="仿宋_GB2312" w:hAnsi="仿宋_GB2312" w:eastAsia="仿宋_GB2312" w:cs="仿宋_GB2312"/>
          <w:b w:val="0"/>
          <w:bCs w:val="0"/>
          <w:color w:val="auto"/>
          <w:sz w:val="32"/>
          <w:szCs w:val="32"/>
          <w:lang w:eastAsia="zh-CN"/>
        </w:rPr>
        <w:t>工作组，负责竞赛的具体组织实施。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第十七条</w:t>
      </w:r>
      <w:r>
        <w:rPr>
          <w:rFonts w:hint="eastAsia" w:ascii="仿宋_GB2312" w:hAnsi="仿宋_GB2312" w:eastAsia="仿宋_GB2312" w:cs="仿宋_GB2312"/>
          <w:b w:val="0"/>
          <w:bCs w:val="0"/>
          <w:color w:val="auto"/>
          <w:kern w:val="32"/>
          <w:sz w:val="32"/>
          <w:szCs w:val="32"/>
          <w:highlight w:val="none"/>
          <w:lang w:val="en-US" w:eastAsia="zh-CN" w:bidi="ar-SA"/>
        </w:rPr>
        <w:t xml:space="preserve"> 州级一类竞赛面向全州公开接受报名，原则上分县市（园区）选拔赛和州级决赛两个阶段。州级二类竞赛报名可采取公开或推荐报名等方式。竞赛主办单位要根据赛事特点，明确参赛选手报名条件，不得限制报名人数。州级一类竞赛，每个赛项参赛人数原则上不少于20人；州级二类竞赛、企业院校竞赛每个赛项参赛人数原则上不少于10人。报名参加竞赛的人员，应当在我州工作、学习或居住，年龄满16周岁以上、法定退休年龄以内，竞赛主办单位可结合实际确定具体报名条件。已获得“中华技能大奖”、“全国技术能手”称号的人员，不再以选手身份参赛。</w:t>
      </w:r>
    </w:p>
    <w:p>
      <w:pPr>
        <w:pStyle w:val="18"/>
        <w:ind w:left="0" w:leftChars="0" w:firstLine="640" w:firstLineChars="200"/>
        <w:rPr>
          <w:rFonts w:hint="eastAsia"/>
          <w:color w:val="auto"/>
          <w:lang w:val="en-US" w:eastAsia="zh-CN"/>
        </w:rPr>
      </w:pPr>
      <w:r>
        <w:rPr>
          <w:rFonts w:hint="eastAsia" w:ascii="楷体_GB2312" w:hAnsi="楷体_GB2312" w:eastAsia="楷体_GB2312" w:cs="楷体_GB2312"/>
          <w:b w:val="0"/>
          <w:bCs w:val="0"/>
          <w:color w:val="auto"/>
          <w:kern w:val="32"/>
          <w:sz w:val="32"/>
          <w:szCs w:val="32"/>
          <w:highlight w:val="none"/>
          <w:lang w:val="en-US" w:eastAsia="zh-CN" w:bidi="ar-SA"/>
        </w:rPr>
        <w:t>第十八条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竞赛主办单位、承办单位、协办单位和实施保障单位应当根据需要做好以下筹备工作：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（一）制定竞赛组织工作方案，印发竞赛通知，部署推动竞赛整体工作；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（二）编制技术工作文件、命制试题；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（三）配备竞赛场地、设施设备、工具材料等；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（四）配备裁判人员、技术人员和赛务保障人员等；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（五）落实医疗、卫生、食宿、交通、安保等相关措施；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（六）举办竞赛所需的其他筹备工作。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第十九条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原则上按照国家职业技能标准组织命题，并适当增加新知识、新技术、新工艺和新技能等方面的内容。无对应国家职业技能标准的竞赛项目，可参照行业企业评价规范确定竞赛标准。州级一类、二类竞赛分别按照国家职业技能标准三级（高级工）、四级（中级工）编制技术工作文件和命制试题；企业院校竞赛可结合实际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第二十条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竞赛内容应涵盖理论知识和操作技能部分，可不单独设置理论知识考试，但需将其融入操作技能中进行考核，操作技能成绩权重原则上不低于70%。</w:t>
      </w:r>
    </w:p>
    <w:p>
      <w:pPr>
        <w:pStyle w:val="18"/>
        <w:ind w:left="0" w:leftChars="0" w:firstLine="640" w:firstLineChars="20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第二十一条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举办包括赛前准备、集中比赛、赛后总结等环节。赛前准备包括选手报名、组建专家组和裁判组、试题命制等工作。集中比赛包括开幕式、比赛、技术点评、闭幕式等活动，其中开幕式主要包括奏唱国歌、裁判员代表宣誓、选手代表宣誓等事项，比赛主要包括理论知识考核、实际操作比赛、成绩评判等事项；闭幕式主要包括技术点评、宣布成绩、颁奖等事项。大赛同期可开展技能展示、绝技展演、论坛研讨等配套活动。可通过新闻媒体宣传报到，互联网平台开展赛事直播、云端观赛等活动。</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auto"/>
          <w:kern w:val="32"/>
          <w:sz w:val="32"/>
          <w:szCs w:val="32"/>
          <w:highlight w:val="none"/>
          <w:lang w:val="en-US" w:eastAsia="zh-CN" w:bidi="ar-SA"/>
        </w:rPr>
        <w:t>第二十二条</w:t>
      </w:r>
      <w:r>
        <w:rPr>
          <w:rFonts w:hint="eastAsia" w:ascii="仿宋_GB2312" w:hAnsi="仿宋_GB2312" w:eastAsia="仿宋_GB2312" w:cs="仿宋_GB2312"/>
          <w:b w:val="0"/>
          <w:bCs w:val="0"/>
          <w:color w:val="auto"/>
          <w:kern w:val="32"/>
          <w:sz w:val="32"/>
          <w:szCs w:val="32"/>
          <w:highlight w:val="none"/>
          <w:lang w:val="en-US" w:eastAsia="zh-CN" w:bidi="ar-SA"/>
        </w:rPr>
        <w:t xml:space="preserve"> 参赛选手应当遵守竞赛纪律和规则，文明参赛。专家、裁判、监督仲裁、领队、指导教师（教练）等相关人员应当认真履行岗位职责，遵守工作纪律，不得干预比赛进程和结果。</w:t>
      </w:r>
      <w:r>
        <w:rPr>
          <w:rFonts w:hint="eastAsia" w:ascii="仿宋_GB2312" w:hAnsi="仿宋_GB2312" w:eastAsia="仿宋_GB2312" w:cs="仿宋_GB2312"/>
          <w:b w:val="0"/>
          <w:bCs w:val="0"/>
          <w:color w:val="auto"/>
          <w:sz w:val="32"/>
          <w:szCs w:val="32"/>
          <w:shd w:val="clear" w:color="auto" w:fill="auto"/>
          <w:lang w:val="en-US" w:eastAsia="zh-CN"/>
        </w:rPr>
        <w:t>竞赛应聘请具有裁判经验的人员执裁，并做好人员管理，确保执裁过程公平、公正。</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z w:val="32"/>
          <w:szCs w:val="32"/>
          <w:shd w:val="clear" w:color="auto" w:fill="auto"/>
          <w:lang w:val="en-US" w:eastAsia="zh-CN"/>
        </w:rPr>
        <w:t>（一）州级一类竞赛裁判员原则上应具备本职业（工种</w:t>
      </w:r>
      <w:r>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t>）技能鉴定考评员资格或技师（二级）及以上职业技能等级，州级二类竞赛</w:t>
      </w:r>
      <w:r>
        <w:rPr>
          <w:rFonts w:hint="eastAsia" w:ascii="仿宋_GB2312" w:hAnsi="仿宋_GB2312" w:eastAsia="仿宋_GB2312" w:cs="仿宋_GB2312"/>
          <w:b w:val="0"/>
          <w:bCs w:val="0"/>
          <w:color w:val="auto"/>
          <w:sz w:val="32"/>
          <w:szCs w:val="32"/>
          <w:shd w:val="clear" w:color="auto" w:fill="auto"/>
          <w:lang w:val="en-US" w:eastAsia="zh-CN"/>
        </w:rPr>
        <w:t>裁判员原则上应具备本职业（工种</w:t>
      </w:r>
      <w:r>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t>）技能鉴定考评员资格或高级工（三级）及以上职业技能等级。裁判员应具有丰富的本职业（工种）理论知识、实际工作经验和较高的专业技能、执裁工作能力，精通本竞赛项目竞赛规则和裁判方法，优先选择具有执裁经历的裁判员。</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snapToGrid w:val="0"/>
          <w:color w:val="auto"/>
          <w:spacing w:val="0"/>
          <w:kern w:val="0"/>
          <w:sz w:val="32"/>
          <w:szCs w:val="32"/>
          <w:highlight w:val="yellow"/>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（二）各竞赛项目裁判组原则上由3人以上单数组成，并从中确定1人任裁判长，实行裁判长负责制。</w:t>
      </w: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（三）裁判员执裁实行轮换制，相同职业（工种）每次执裁轮换人数不少于三分之一，与参赛选手有利害关系、可能影响公正评判的裁判员应主动回避。</w:t>
      </w:r>
    </w:p>
    <w:p>
      <w:pPr>
        <w:pStyle w:val="18"/>
        <w:ind w:left="0" w:leftChars="0" w:firstLine="640" w:firstLineChars="0"/>
        <w:rPr>
          <w:rFonts w:hint="default" w:ascii="仿宋_GB2312" w:hAnsi="仿宋_GB2312" w:eastAsia="仿宋_GB2312" w:cs="仿宋_GB2312"/>
          <w:b w:val="0"/>
          <w:bCs w:val="0"/>
          <w:color w:val="auto"/>
          <w:kern w:val="32"/>
          <w:sz w:val="32"/>
          <w:szCs w:val="32"/>
          <w:highlight w:val="none"/>
          <w:lang w:val="en-US" w:eastAsia="zh-CN" w:bidi="ar-SA"/>
        </w:rPr>
      </w:pPr>
      <w:r>
        <w:rPr>
          <w:rFonts w:hint="default" w:ascii="楷体_GB2312" w:hAnsi="楷体_GB2312" w:eastAsia="楷体_GB2312" w:cs="楷体_GB2312"/>
          <w:b w:val="0"/>
          <w:bCs w:val="0"/>
          <w:color w:val="auto"/>
          <w:kern w:val="32"/>
          <w:sz w:val="32"/>
          <w:szCs w:val="32"/>
          <w:highlight w:val="none"/>
          <w:lang w:val="en-US" w:eastAsia="zh-CN" w:bidi="ar-SA"/>
        </w:rPr>
        <w:t>第二十</w:t>
      </w:r>
      <w:r>
        <w:rPr>
          <w:rFonts w:hint="eastAsia" w:ascii="楷体_GB2312" w:hAnsi="楷体_GB2312" w:eastAsia="楷体_GB2312" w:cs="楷体_GB2312"/>
          <w:b w:val="0"/>
          <w:bCs w:val="0"/>
          <w:color w:val="auto"/>
          <w:kern w:val="32"/>
          <w:sz w:val="32"/>
          <w:szCs w:val="32"/>
          <w:highlight w:val="none"/>
          <w:lang w:val="en-US" w:eastAsia="zh-CN" w:bidi="ar-SA"/>
        </w:rPr>
        <w:t>三</w:t>
      </w:r>
      <w:r>
        <w:rPr>
          <w:rFonts w:hint="default" w:ascii="楷体_GB2312" w:hAnsi="楷体_GB2312" w:eastAsia="楷体_GB2312" w:cs="楷体_GB2312"/>
          <w:b w:val="0"/>
          <w:bCs w:val="0"/>
          <w:color w:val="auto"/>
          <w:kern w:val="32"/>
          <w:sz w:val="32"/>
          <w:szCs w:val="32"/>
          <w:highlight w:val="none"/>
          <w:lang w:val="en-US" w:eastAsia="zh-CN" w:bidi="ar-SA"/>
        </w:rPr>
        <w:t>条</w:t>
      </w:r>
      <w:r>
        <w:rPr>
          <w:rFonts w:hint="default" w:ascii="仿宋_GB2312" w:hAnsi="仿宋_GB2312" w:eastAsia="仿宋_GB2312" w:cs="仿宋_GB2312"/>
          <w:b w:val="0"/>
          <w:bCs w:val="0"/>
          <w:color w:val="auto"/>
          <w:kern w:val="32"/>
          <w:sz w:val="32"/>
          <w:szCs w:val="32"/>
          <w:highlight w:val="none"/>
          <w:lang w:val="en-US" w:eastAsia="zh-CN" w:bidi="ar-SA"/>
        </w:rPr>
        <w:t xml:space="preserve"> 主办单位对竞赛全过程</w:t>
      </w:r>
      <w:r>
        <w:rPr>
          <w:rFonts w:hint="eastAsia" w:ascii="仿宋_GB2312" w:hAnsi="仿宋_GB2312" w:eastAsia="仿宋_GB2312" w:cs="仿宋_GB2312"/>
          <w:b w:val="0"/>
          <w:bCs w:val="0"/>
          <w:color w:val="auto"/>
          <w:kern w:val="32"/>
          <w:sz w:val="32"/>
          <w:szCs w:val="32"/>
          <w:highlight w:val="none"/>
          <w:lang w:val="en-US" w:eastAsia="zh-CN" w:bidi="ar-SA"/>
        </w:rPr>
        <w:t>负责</w:t>
      </w:r>
      <w:r>
        <w:rPr>
          <w:rFonts w:hint="default" w:ascii="仿宋_GB2312" w:hAnsi="仿宋_GB2312" w:eastAsia="仿宋_GB2312" w:cs="仿宋_GB2312"/>
          <w:b w:val="0"/>
          <w:bCs w:val="0"/>
          <w:color w:val="auto"/>
          <w:kern w:val="32"/>
          <w:sz w:val="32"/>
          <w:szCs w:val="32"/>
          <w:highlight w:val="none"/>
          <w:lang w:val="en-US" w:eastAsia="zh-CN" w:bidi="ar-SA"/>
        </w:rPr>
        <w:t>，落实赛事组织、安全防护、奖励兑现等工作。</w:t>
      </w:r>
    </w:p>
    <w:p>
      <w:pPr>
        <w:pStyle w:val="18"/>
        <w:ind w:left="0" w:leftChars="0" w:firstLine="640" w:firstLineChars="0"/>
        <w:rPr>
          <w:rFonts w:hint="default" w:ascii="仿宋_GB2312" w:hAnsi="仿宋_GB2312" w:eastAsia="仿宋_GB2312" w:cs="仿宋_GB2312"/>
          <w:b w:val="0"/>
          <w:bCs w:val="0"/>
          <w:color w:val="auto"/>
          <w:kern w:val="32"/>
          <w:sz w:val="32"/>
          <w:szCs w:val="32"/>
          <w:highlight w:val="none"/>
          <w:lang w:val="en-US" w:eastAsia="zh-CN" w:bidi="ar-SA"/>
        </w:rPr>
      </w:pPr>
      <w:r>
        <w:rPr>
          <w:rFonts w:hint="default" w:ascii="楷体_GB2312" w:hAnsi="楷体_GB2312" w:eastAsia="楷体_GB2312" w:cs="楷体_GB2312"/>
          <w:b w:val="0"/>
          <w:bCs w:val="0"/>
          <w:color w:val="auto"/>
          <w:kern w:val="32"/>
          <w:sz w:val="32"/>
          <w:szCs w:val="32"/>
          <w:highlight w:val="none"/>
          <w:lang w:val="en-US" w:eastAsia="zh-CN" w:bidi="ar-SA"/>
        </w:rPr>
        <w:t>第二十</w:t>
      </w:r>
      <w:r>
        <w:rPr>
          <w:rFonts w:hint="eastAsia" w:ascii="楷体_GB2312" w:hAnsi="楷体_GB2312" w:eastAsia="楷体_GB2312" w:cs="楷体_GB2312"/>
          <w:b w:val="0"/>
          <w:bCs w:val="0"/>
          <w:color w:val="auto"/>
          <w:kern w:val="32"/>
          <w:sz w:val="32"/>
          <w:szCs w:val="32"/>
          <w:highlight w:val="none"/>
          <w:lang w:val="en-US" w:eastAsia="zh-CN" w:bidi="ar-SA"/>
        </w:rPr>
        <w:t>四</w:t>
      </w:r>
      <w:r>
        <w:rPr>
          <w:rFonts w:hint="default" w:ascii="楷体_GB2312" w:hAnsi="楷体_GB2312" w:eastAsia="楷体_GB2312" w:cs="楷体_GB2312"/>
          <w:b w:val="0"/>
          <w:bCs w:val="0"/>
          <w:color w:val="auto"/>
          <w:kern w:val="32"/>
          <w:sz w:val="32"/>
          <w:szCs w:val="32"/>
          <w:highlight w:val="none"/>
          <w:lang w:val="en-US" w:eastAsia="zh-CN" w:bidi="ar-SA"/>
        </w:rPr>
        <w:t>条</w:t>
      </w:r>
      <w:r>
        <w:rPr>
          <w:rFonts w:hint="default" w:ascii="仿宋_GB2312" w:hAnsi="仿宋_GB2312" w:eastAsia="仿宋_GB2312" w:cs="仿宋_GB2312"/>
          <w:b w:val="0"/>
          <w:bCs w:val="0"/>
          <w:color w:val="auto"/>
          <w:kern w:val="32"/>
          <w:sz w:val="32"/>
          <w:szCs w:val="32"/>
          <w:highlight w:val="none"/>
          <w:lang w:val="en-US" w:eastAsia="zh-CN" w:bidi="ar-SA"/>
        </w:rPr>
        <w:t xml:space="preserve"> 竞赛结束后，主办单位应及时印发竞赛结果通知，落实奖励政策。</w:t>
      </w:r>
      <w:r>
        <w:rPr>
          <w:rFonts w:hint="eastAsia" w:ascii="仿宋_GB2312" w:hAnsi="仿宋_GB2312" w:eastAsia="仿宋_GB2312" w:cs="仿宋_GB2312"/>
          <w:b w:val="0"/>
          <w:bCs w:val="0"/>
          <w:color w:val="auto"/>
          <w:kern w:val="32"/>
          <w:sz w:val="32"/>
          <w:szCs w:val="32"/>
          <w:highlight w:val="none"/>
          <w:lang w:val="en-US" w:eastAsia="zh-CN" w:bidi="ar-SA"/>
        </w:rPr>
        <w:t>州级一类竞赛承办单位、州级二类竞赛主办单位</w:t>
      </w:r>
      <w:r>
        <w:rPr>
          <w:rFonts w:hint="default" w:ascii="仿宋_GB2312" w:hAnsi="仿宋_GB2312" w:eastAsia="仿宋_GB2312" w:cs="仿宋_GB2312"/>
          <w:b w:val="0"/>
          <w:bCs w:val="0"/>
          <w:color w:val="auto"/>
          <w:kern w:val="32"/>
          <w:sz w:val="32"/>
          <w:szCs w:val="32"/>
          <w:highlight w:val="none"/>
          <w:lang w:val="en-US" w:eastAsia="zh-CN" w:bidi="ar-SA"/>
        </w:rPr>
        <w:t>在</w:t>
      </w:r>
      <w:r>
        <w:rPr>
          <w:rFonts w:hint="eastAsia" w:ascii="仿宋_GB2312" w:hAnsi="仿宋_GB2312" w:eastAsia="仿宋_GB2312" w:cs="仿宋_GB2312"/>
          <w:b w:val="0"/>
          <w:bCs w:val="0"/>
          <w:color w:val="auto"/>
          <w:kern w:val="32"/>
          <w:sz w:val="32"/>
          <w:szCs w:val="32"/>
          <w:highlight w:val="none"/>
          <w:lang w:val="en-US" w:eastAsia="zh-CN" w:bidi="ar-SA"/>
        </w:rPr>
        <w:t>竞赛结束后1个月</w:t>
      </w:r>
      <w:r>
        <w:rPr>
          <w:rFonts w:hint="default" w:ascii="仿宋_GB2312" w:hAnsi="仿宋_GB2312" w:eastAsia="仿宋_GB2312" w:cs="仿宋_GB2312"/>
          <w:b w:val="0"/>
          <w:bCs w:val="0"/>
          <w:color w:val="auto"/>
          <w:kern w:val="32"/>
          <w:sz w:val="32"/>
          <w:szCs w:val="32"/>
          <w:highlight w:val="none"/>
          <w:lang w:val="en-US" w:eastAsia="zh-CN" w:bidi="ar-SA"/>
        </w:rPr>
        <w:t>内将竞赛工作总结、《昌吉州职业技能竞赛优秀选手晋升职业资格（职业技能等级）申请表》（详见附件2）、《昌吉州职业技能竞赛情况总结汇总表》（详见附件3）和经裁判签名确认的竞赛成绩</w:t>
      </w:r>
      <w:r>
        <w:rPr>
          <w:rFonts w:hint="eastAsia" w:ascii="仿宋_GB2312" w:hAnsi="仿宋_GB2312" w:eastAsia="仿宋_GB2312" w:cs="仿宋_GB2312"/>
          <w:b w:val="0"/>
          <w:bCs w:val="0"/>
          <w:color w:val="auto"/>
          <w:kern w:val="32"/>
          <w:sz w:val="32"/>
          <w:szCs w:val="32"/>
          <w:highlight w:val="none"/>
          <w:lang w:val="en-US" w:eastAsia="zh-CN" w:bidi="ar-SA"/>
        </w:rPr>
        <w:t>汇</w:t>
      </w:r>
      <w:r>
        <w:rPr>
          <w:rFonts w:hint="default" w:ascii="仿宋_GB2312" w:hAnsi="仿宋_GB2312" w:eastAsia="仿宋_GB2312" w:cs="仿宋_GB2312"/>
          <w:b w:val="0"/>
          <w:bCs w:val="0"/>
          <w:color w:val="auto"/>
          <w:kern w:val="32"/>
          <w:sz w:val="32"/>
          <w:szCs w:val="32"/>
          <w:highlight w:val="none"/>
          <w:lang w:val="en-US" w:eastAsia="zh-CN" w:bidi="ar-SA"/>
        </w:rPr>
        <w:t>总表报</w:t>
      </w:r>
      <w:r>
        <w:rPr>
          <w:rFonts w:hint="eastAsia" w:ascii="仿宋_GB2312" w:hAnsi="仿宋_GB2312" w:eastAsia="仿宋_GB2312" w:cs="仿宋_GB2312"/>
          <w:b w:val="0"/>
          <w:bCs w:val="0"/>
          <w:color w:val="auto"/>
          <w:kern w:val="32"/>
          <w:sz w:val="32"/>
          <w:szCs w:val="32"/>
          <w:highlight w:val="none"/>
          <w:lang w:val="en-US" w:eastAsia="zh-CN" w:bidi="ar-SA"/>
        </w:rPr>
        <w:t>州</w:t>
      </w:r>
      <w:r>
        <w:rPr>
          <w:rFonts w:hint="default" w:ascii="仿宋_GB2312" w:hAnsi="仿宋_GB2312" w:eastAsia="仿宋_GB2312" w:cs="仿宋_GB2312"/>
          <w:b w:val="0"/>
          <w:bCs w:val="0"/>
          <w:color w:val="auto"/>
          <w:kern w:val="32"/>
          <w:sz w:val="32"/>
          <w:szCs w:val="32"/>
          <w:highlight w:val="none"/>
          <w:lang w:val="en-US" w:eastAsia="zh-CN" w:bidi="ar-SA"/>
        </w:rPr>
        <w:t>人力资源社会保障</w:t>
      </w:r>
      <w:r>
        <w:rPr>
          <w:rFonts w:hint="eastAsia" w:ascii="仿宋_GB2312" w:hAnsi="仿宋_GB2312" w:eastAsia="仿宋_GB2312" w:cs="仿宋_GB2312"/>
          <w:b w:val="0"/>
          <w:bCs w:val="0"/>
          <w:color w:val="auto"/>
          <w:kern w:val="32"/>
          <w:sz w:val="32"/>
          <w:szCs w:val="32"/>
          <w:highlight w:val="none"/>
          <w:lang w:val="en-US" w:eastAsia="zh-CN" w:bidi="ar-SA"/>
        </w:rPr>
        <w:t>局</w:t>
      </w:r>
      <w:r>
        <w:rPr>
          <w:rFonts w:hint="default" w:ascii="仿宋_GB2312" w:hAnsi="仿宋_GB2312" w:eastAsia="仿宋_GB2312" w:cs="仿宋_GB2312"/>
          <w:b w:val="0"/>
          <w:bCs w:val="0"/>
          <w:color w:val="auto"/>
          <w:kern w:val="32"/>
          <w:sz w:val="32"/>
          <w:szCs w:val="32"/>
          <w:highlight w:val="none"/>
          <w:lang w:val="en-US" w:eastAsia="zh-CN" w:bidi="ar-SA"/>
        </w:rPr>
        <w:t>。各</w:t>
      </w:r>
      <w:r>
        <w:rPr>
          <w:rFonts w:hint="eastAsia" w:ascii="仿宋_GB2312" w:hAnsi="仿宋_GB2312" w:eastAsia="仿宋_GB2312" w:cs="仿宋_GB2312"/>
          <w:b w:val="0"/>
          <w:bCs w:val="0"/>
          <w:color w:val="auto"/>
          <w:kern w:val="32"/>
          <w:sz w:val="32"/>
          <w:szCs w:val="32"/>
          <w:highlight w:val="none"/>
          <w:lang w:val="en-US" w:eastAsia="zh-CN" w:bidi="ar-SA"/>
        </w:rPr>
        <w:t>县市（园区）</w:t>
      </w:r>
      <w:r>
        <w:rPr>
          <w:rFonts w:hint="default" w:ascii="仿宋_GB2312" w:hAnsi="仿宋_GB2312" w:eastAsia="仿宋_GB2312" w:cs="仿宋_GB2312"/>
          <w:b w:val="0"/>
          <w:bCs w:val="0"/>
          <w:color w:val="auto"/>
          <w:kern w:val="32"/>
          <w:sz w:val="32"/>
          <w:szCs w:val="32"/>
          <w:highlight w:val="none"/>
          <w:lang w:val="en-US" w:eastAsia="zh-CN" w:bidi="ar-SA"/>
        </w:rPr>
        <w:t>人力资源社会保障</w:t>
      </w:r>
      <w:r>
        <w:rPr>
          <w:rFonts w:hint="eastAsia" w:ascii="仿宋_GB2312" w:hAnsi="仿宋_GB2312" w:eastAsia="仿宋_GB2312" w:cs="仿宋_GB2312"/>
          <w:b w:val="0"/>
          <w:bCs w:val="0"/>
          <w:color w:val="auto"/>
          <w:kern w:val="32"/>
          <w:sz w:val="32"/>
          <w:szCs w:val="32"/>
          <w:highlight w:val="none"/>
          <w:lang w:val="en-US" w:eastAsia="zh-CN" w:bidi="ar-SA"/>
        </w:rPr>
        <w:t>局、竞赛主办单位</w:t>
      </w:r>
      <w:r>
        <w:rPr>
          <w:rFonts w:hint="default" w:ascii="仿宋_GB2312" w:hAnsi="仿宋_GB2312" w:eastAsia="仿宋_GB2312" w:cs="仿宋_GB2312"/>
          <w:b w:val="0"/>
          <w:bCs w:val="0"/>
          <w:color w:val="auto"/>
          <w:kern w:val="32"/>
          <w:sz w:val="32"/>
          <w:szCs w:val="32"/>
          <w:highlight w:val="none"/>
          <w:lang w:val="en-US" w:eastAsia="zh-CN" w:bidi="ar-SA"/>
        </w:rPr>
        <w:t>于每年12月2</w:t>
      </w:r>
      <w:r>
        <w:rPr>
          <w:rFonts w:hint="eastAsia" w:ascii="仿宋_GB2312" w:hAnsi="仿宋_GB2312" w:eastAsia="仿宋_GB2312" w:cs="仿宋_GB2312"/>
          <w:b w:val="0"/>
          <w:bCs w:val="0"/>
          <w:color w:val="auto"/>
          <w:kern w:val="32"/>
          <w:sz w:val="32"/>
          <w:szCs w:val="32"/>
          <w:highlight w:val="none"/>
          <w:lang w:val="en-US" w:eastAsia="zh-CN" w:bidi="ar-SA"/>
        </w:rPr>
        <w:t>0</w:t>
      </w:r>
      <w:r>
        <w:rPr>
          <w:rFonts w:hint="default" w:ascii="仿宋_GB2312" w:hAnsi="仿宋_GB2312" w:eastAsia="仿宋_GB2312" w:cs="仿宋_GB2312"/>
          <w:b w:val="0"/>
          <w:bCs w:val="0"/>
          <w:color w:val="auto"/>
          <w:kern w:val="32"/>
          <w:sz w:val="32"/>
          <w:szCs w:val="32"/>
          <w:highlight w:val="none"/>
          <w:lang w:val="en-US" w:eastAsia="zh-CN" w:bidi="ar-SA"/>
        </w:rPr>
        <w:t>日前向</w:t>
      </w:r>
      <w:r>
        <w:rPr>
          <w:rFonts w:hint="eastAsia" w:ascii="仿宋_GB2312" w:hAnsi="仿宋_GB2312" w:eastAsia="仿宋_GB2312" w:cs="仿宋_GB2312"/>
          <w:b w:val="0"/>
          <w:bCs w:val="0"/>
          <w:color w:val="auto"/>
          <w:kern w:val="32"/>
          <w:sz w:val="32"/>
          <w:szCs w:val="32"/>
          <w:highlight w:val="none"/>
          <w:lang w:val="en-US" w:eastAsia="zh-CN" w:bidi="ar-SA"/>
        </w:rPr>
        <w:t>州人力资源和社会保障局</w:t>
      </w:r>
      <w:r>
        <w:rPr>
          <w:rFonts w:hint="default" w:ascii="仿宋_GB2312" w:hAnsi="仿宋_GB2312" w:eastAsia="仿宋_GB2312" w:cs="仿宋_GB2312"/>
          <w:b w:val="0"/>
          <w:bCs w:val="0"/>
          <w:color w:val="auto"/>
          <w:kern w:val="32"/>
          <w:sz w:val="32"/>
          <w:szCs w:val="32"/>
          <w:highlight w:val="none"/>
          <w:lang w:val="en-US" w:eastAsia="zh-CN" w:bidi="ar-SA"/>
        </w:rPr>
        <w:t>报送年度竞赛</w:t>
      </w:r>
      <w:r>
        <w:rPr>
          <w:rFonts w:hint="eastAsia" w:ascii="仿宋_GB2312" w:hAnsi="仿宋_GB2312" w:eastAsia="仿宋_GB2312" w:cs="仿宋_GB2312"/>
          <w:b w:val="0"/>
          <w:bCs w:val="0"/>
          <w:color w:val="auto"/>
          <w:kern w:val="32"/>
          <w:sz w:val="32"/>
          <w:szCs w:val="32"/>
          <w:highlight w:val="none"/>
          <w:lang w:val="en-US" w:eastAsia="zh-CN" w:bidi="ar-SA"/>
        </w:rPr>
        <w:t>工作</w:t>
      </w:r>
      <w:r>
        <w:rPr>
          <w:rFonts w:hint="default" w:ascii="仿宋_GB2312" w:hAnsi="仿宋_GB2312" w:eastAsia="仿宋_GB2312" w:cs="仿宋_GB2312"/>
          <w:b w:val="0"/>
          <w:bCs w:val="0"/>
          <w:color w:val="auto"/>
          <w:kern w:val="32"/>
          <w:sz w:val="32"/>
          <w:szCs w:val="32"/>
          <w:highlight w:val="none"/>
          <w:lang w:val="en-US" w:eastAsia="zh-CN" w:bidi="ar-SA"/>
        </w:rPr>
        <w:t>总结。</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竞赛集训</w:t>
      </w: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第二十五条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集训主要针对区赛和州级一类、二类竞赛项目开展，州人力资源和社会保障局负责区赛赛前集训工作，各县市（园区）人力资源和社会保障局、行业主管单位（部门）负责州级一类、二类竞赛赛前集训工作。按照竞赛周期组建竞赛项目集训队，成立技术指导专家组，设立集训基地，开展集训工作。</w:t>
      </w:r>
    </w:p>
    <w:p>
      <w:pPr>
        <w:pStyle w:val="18"/>
        <w:ind w:left="0" w:leftChars="0" w:firstLine="640" w:firstLineChars="0"/>
        <w:rPr>
          <w:rFonts w:hint="default"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第二十六条</w:t>
      </w:r>
      <w:r>
        <w:rPr>
          <w:rFonts w:hint="eastAsia" w:ascii="仿宋_GB2312" w:hAnsi="仿宋_GB2312" w:eastAsia="仿宋_GB2312" w:cs="仿宋_GB2312"/>
          <w:b w:val="0"/>
          <w:bCs w:val="0"/>
          <w:color w:val="auto"/>
          <w:kern w:val="32"/>
          <w:sz w:val="32"/>
          <w:szCs w:val="32"/>
          <w:highlight w:val="none"/>
          <w:lang w:val="en-US" w:eastAsia="zh-CN" w:bidi="ar-SA"/>
        </w:rPr>
        <w:t xml:space="preserve"> 集训选手主要包括参加区赛竞赛项目的选手。技术指导专家组由专家、教练等人员组成，负责制定集训方案并组织实施。集训基地为集训工作提供支持和保障。集训选手为职工身份的，所在单位应当保障其集训期间的工资福利待遇。</w:t>
      </w:r>
    </w:p>
    <w:p>
      <w:pPr>
        <w:pStyle w:val="18"/>
        <w:ind w:left="0" w:leftChars="0" w:firstLine="0" w:firstLineChars="0"/>
        <w:jc w:val="center"/>
        <w:rPr>
          <w:rFonts w:hint="eastAsia" w:ascii="黑体" w:hAnsi="黑体" w:eastAsia="黑体" w:cs="黑体"/>
          <w:b w:val="0"/>
          <w:bCs w:val="0"/>
          <w:color w:val="auto"/>
          <w:kern w:val="3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outlineLvl w:val="1"/>
        <w:rPr>
          <w:rFonts w:hint="eastAsia" w:ascii="黑体" w:hAnsi="黑体" w:eastAsia="黑体" w:cs="黑体"/>
          <w:b w:val="0"/>
          <w:bCs w:val="0"/>
          <w:color w:val="auto"/>
          <w:kern w:val="32"/>
          <w:sz w:val="32"/>
          <w:szCs w:val="32"/>
          <w:highlight w:val="none"/>
          <w:lang w:val="en-US" w:eastAsia="zh-CN" w:bidi="ar-SA"/>
        </w:rPr>
      </w:pPr>
      <w:r>
        <w:rPr>
          <w:rFonts w:hint="eastAsia" w:ascii="黑体" w:hAnsi="黑体" w:eastAsia="黑体" w:cs="黑体"/>
          <w:b w:val="0"/>
          <w:bCs w:val="0"/>
          <w:color w:val="auto"/>
          <w:kern w:val="32"/>
          <w:sz w:val="32"/>
          <w:szCs w:val="32"/>
          <w:highlight w:val="none"/>
          <w:lang w:val="en-US" w:eastAsia="zh-CN" w:bidi="ar-SA"/>
        </w:rPr>
        <w:t xml:space="preserve">第六章  </w:t>
      </w:r>
      <w:r>
        <w:rPr>
          <w:rFonts w:hint="eastAsia" w:ascii="黑体" w:hAnsi="黑体" w:eastAsia="黑体" w:cs="黑体"/>
          <w:color w:val="auto"/>
          <w:sz w:val="32"/>
          <w:szCs w:val="32"/>
        </w:rPr>
        <w:t>政策激励</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楷体_GB2312" w:hAnsi="楷体_GB2312" w:eastAsia="楷体_GB2312" w:cs="楷体_GB2312"/>
          <w:b w:val="0"/>
          <w:bCs w:val="0"/>
          <w:color w:val="auto"/>
          <w:kern w:val="3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第二十七条</w:t>
      </w:r>
      <w:r>
        <w:rPr>
          <w:rFonts w:hint="eastAsia" w:ascii="仿宋_GB2312" w:hAnsi="仿宋_GB2312" w:eastAsia="仿宋_GB2312" w:cs="仿宋_GB2312"/>
          <w:b w:val="0"/>
          <w:bCs w:val="0"/>
          <w:color w:val="auto"/>
          <w:kern w:val="32"/>
          <w:sz w:val="32"/>
          <w:szCs w:val="32"/>
          <w:highlight w:val="none"/>
          <w:lang w:val="en-US" w:eastAsia="zh-CN" w:bidi="ar-SA"/>
        </w:rPr>
        <w:t xml:space="preserve"> 主办单位应公布获奖选手成绩排序，可结合实际情况，按照激励与选拔相结合原则设置金、银、铜牌或一、二、三等奖，原则上每个等次名额分别不超过1名、2名、3名，双人赛或团体赛按照团队设奖。对未获得上述奖项但成绩在参赛总人数50%以内的选手可颁发优胜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Times New Roman" w:hAnsi="Times New Roman" w:eastAsia="楷体_GB2312" w:cs="Times New Roman"/>
          <w:b w:val="0"/>
          <w:bCs w:val="0"/>
          <w:color w:val="auto"/>
          <w:kern w:val="32"/>
          <w:sz w:val="32"/>
          <w:szCs w:val="32"/>
          <w:highlight w:val="none"/>
          <w:lang w:val="en-US" w:eastAsia="zh-CN" w:bidi="ar-SA"/>
        </w:rPr>
        <w:t xml:space="preserve">第二十八条 </w:t>
      </w:r>
      <w:r>
        <w:rPr>
          <w:rFonts w:hint="eastAsia" w:ascii="仿宋_GB2312" w:hAnsi="仿宋_GB2312" w:eastAsia="仿宋_GB2312" w:cs="仿宋_GB2312"/>
          <w:b w:val="0"/>
          <w:bCs w:val="0"/>
          <w:color w:val="auto"/>
          <w:kern w:val="32"/>
          <w:sz w:val="32"/>
          <w:szCs w:val="32"/>
          <w:highlight w:val="none"/>
          <w:lang w:val="en-US" w:eastAsia="zh-CN" w:bidi="ar-SA"/>
        </w:rPr>
        <w:t>对代表昌吉州参加区赛的获奖选手和专家教练团队由州人民政府（就业工作领导小组）、州就业工作领导小组办公室（州人力资源和社会保障局）给予奖励。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对获得区赛第一名、第二名、第三名和优胜奖的选手，分别给予1万元、0.6万元、0.3万元和0.1万元奖励。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snapToGrid w:val="0"/>
          <w:color w:val="auto"/>
          <w:spacing w:val="0"/>
          <w:kern w:val="0"/>
          <w:sz w:val="32"/>
          <w:szCs w:val="32"/>
          <w:highlight w:val="none"/>
          <w:lang w:val="en-US" w:eastAsia="zh-CN" w:bidi="ar-SA"/>
        </w:rPr>
        <w:t xml:space="preserve">第二十九条 </w:t>
      </w:r>
      <w:r>
        <w:rPr>
          <w:rFonts w:hint="eastAsia" w:ascii="仿宋_GB2312" w:hAnsi="仿宋_GB2312" w:eastAsia="仿宋_GB2312" w:cs="仿宋_GB2312"/>
          <w:b w:val="0"/>
          <w:bCs w:val="0"/>
          <w:color w:val="auto"/>
          <w:kern w:val="32"/>
          <w:sz w:val="32"/>
          <w:szCs w:val="32"/>
          <w:highlight w:val="none"/>
          <w:lang w:val="en-US" w:eastAsia="zh-CN" w:bidi="ar-SA"/>
        </w:rPr>
        <w:t>州</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级一类、二类竞赛的优秀选手、教练的奖励按照以下标准执行：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（一）对参加州级一类竞赛的优秀选手、教练由</w:t>
      </w:r>
      <w:r>
        <w:rPr>
          <w:rFonts w:hint="eastAsia" w:ascii="仿宋_GB2312" w:hAnsi="仿宋_GB2312" w:eastAsia="仿宋_GB2312" w:cs="仿宋_GB2312"/>
          <w:b w:val="0"/>
          <w:bCs w:val="0"/>
          <w:color w:val="auto"/>
          <w:kern w:val="32"/>
          <w:sz w:val="32"/>
          <w:szCs w:val="32"/>
          <w:highlight w:val="none"/>
          <w:lang w:val="en-US" w:eastAsia="zh-CN" w:bidi="ar-SA"/>
        </w:rPr>
        <w:t>州人民政府（就业工作领导小组）、州就业工作领导小组办公室（州人力资源和社会保障局）</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或主办单位予以奖励。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1.获得金、银、铜牌或一等奖、二等奖、三等奖的选手，分别按照不超过1万元、0.6万元、0.3万元的标准予以奖励。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2.竞赛成绩合格的（按照百分制60分以上为合格），第1名至第3名选手，按照国家职业标准，晋升相应职业资格或技能等级，颁发技师国家职业资格（职业技能等级）证书，已具有相应职业资格或技能等级的可颁发高级技师国家职业资格（职业技能等级）证书；其他选手颁发高级工国家职业资格（职业技能等级）证书。国家职业标准未设置相应职业资格（职业技能等级）的不颁发证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3.指导选手获得金、银、铜牌或一等奖、二等奖、三等奖的教练，分别按照不超过1万元、0.6万元、0.3万元的标准予以奖励。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（二）对参加州级二类竞赛的优秀选手和教练由主办单位予以奖励，奖励标准可参照州级一类竞赛或由主办单位自行确定。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outlineLvl w:val="0"/>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竞赛成绩合格的（同上），第1名至第3名选手，按照国家职业标准，晋升相应职业资格或技能等级，颁发高级工国家职业资格（职业技能等级）证书；其他选手颁发中级工国家职业资格（职业技能等级）证书。国家职业标准未设置相应职业资格（职业技能等级）的不颁发证书。</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三）各类企业举办的竞赛，以高级工标准命题且竞赛成绩合格的，第1名至第3名选手可颁发技师国家职业资格（职业技能等级）证书，其他选手颁发高级工国家职业资格（职业技能等级）证书。以中级工标准命题且竞赛成绩合格的，第1名至第3名选手可颁发高级工国家职业资格（职业技能等级）证书，其他选手颁发中级工国家职业资格（职业技能等级）证书。</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国家职业标准未设置相应职业资格（职业技能等级）的不颁发证书。</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（四）选手在</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同一年度参加同一级别、同一职业(工种)的竞赛，不能连续晋升职业资格（职业技能等级）。</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（五）</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相同职业（工种）、级别的国家职业资格（职业技能等级）证书不重复颁发。</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（六）对2人及以上选手组队参加的赛项，按个人分别予以奖励。多名教练指导1个赛项的，按照1名教练奖励标准予以奖励。</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（七）</w:t>
      </w:r>
      <w:r>
        <w:rPr>
          <w:rFonts w:hint="eastAsia" w:ascii="仿宋_GB2312" w:hAnsi="仿宋_GB2312" w:eastAsia="仿宋_GB2312" w:cs="仿宋_GB2312"/>
          <w:b w:val="0"/>
          <w:bCs w:val="0"/>
          <w:color w:val="auto"/>
          <w:kern w:val="32"/>
          <w:sz w:val="32"/>
          <w:szCs w:val="32"/>
          <w:lang w:val="en-US" w:eastAsia="zh-CN" w:bidi="ar-SA"/>
        </w:rPr>
        <w:t>符合条件的获奖选手（职工）优先推荐参评“开发建设新疆奖章”“青年岗位能手”“巾帼建功标兵”等称号，由相关部门核准后颁发相应证书和奖章，称号不重复授予。</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eastAsia" w:ascii="仿宋_GB2312" w:hAnsi="仿宋_GB2312" w:eastAsia="仿宋_GB2312" w:cs="仿宋_GB2312"/>
          <w:b w:val="0"/>
          <w:bCs w:val="0"/>
          <w:color w:val="auto"/>
          <w:kern w:val="32"/>
          <w:sz w:val="32"/>
          <w:szCs w:val="32"/>
          <w:lang w:val="en-US" w:eastAsia="zh-CN" w:bidi="ar-SA"/>
        </w:rPr>
      </w:pPr>
      <w:r>
        <w:rPr>
          <w:rFonts w:hint="eastAsia" w:ascii="楷体_GB2312" w:hAnsi="楷体_GB2312" w:eastAsia="楷体_GB2312" w:cs="楷体_GB2312"/>
          <w:b w:val="0"/>
          <w:bCs w:val="0"/>
          <w:snapToGrid w:val="0"/>
          <w:color w:val="auto"/>
          <w:spacing w:val="0"/>
          <w:kern w:val="0"/>
          <w:sz w:val="32"/>
          <w:szCs w:val="32"/>
          <w:highlight w:val="none"/>
          <w:lang w:val="en-US" w:eastAsia="zh-CN" w:bidi="ar-SA"/>
        </w:rPr>
        <w:t>第三十条</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 xml:space="preserve"> 对在竞赛工作中作出贡献</w:t>
      </w:r>
      <w:r>
        <w:rPr>
          <w:rFonts w:hint="eastAsia" w:ascii="仿宋_GB2312" w:hAnsi="仿宋_GB2312" w:eastAsia="仿宋_GB2312" w:cs="仿宋_GB2312"/>
          <w:b w:val="0"/>
          <w:bCs w:val="0"/>
          <w:color w:val="auto"/>
          <w:kern w:val="32"/>
          <w:sz w:val="32"/>
          <w:szCs w:val="32"/>
          <w:lang w:val="en-US" w:eastAsia="zh-CN" w:bidi="ar-SA"/>
        </w:rPr>
        <w:t>、</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表现突出的裁判员、工作人员、承办单位、协办单</w:t>
      </w:r>
      <w:r>
        <w:rPr>
          <w:rFonts w:hint="eastAsia" w:ascii="仿宋_GB2312" w:hAnsi="仿宋_GB2312" w:eastAsia="仿宋_GB2312" w:cs="仿宋_GB2312"/>
          <w:b w:val="0"/>
          <w:bCs w:val="0"/>
          <w:color w:val="auto"/>
          <w:kern w:val="32"/>
          <w:sz w:val="32"/>
          <w:szCs w:val="32"/>
          <w:lang w:val="en-US" w:eastAsia="zh-CN" w:bidi="ar-SA"/>
        </w:rPr>
        <w:t>位、技术（物资）支持单位、实施保障单位给予奖励，并颁发证书、奖牌。</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（一）个人。主办单位可结合竞赛工作设置突出贡献个人奖、优秀裁判员等奖项。奖项数量结合实际确定，最多不超过获奖人员类别总人数的20%。</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（二）单位。主办单位可结合竞赛工作设置优秀组织奖、突出贡献奖等奖项。奖项数量结合实际确定，最多不超过各类单位数量的50%。</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2"/>
        <w:rPr>
          <w:rFonts w:hint="default"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snapToGrid w:val="0"/>
          <w:color w:val="auto"/>
          <w:spacing w:val="0"/>
          <w:kern w:val="0"/>
          <w:sz w:val="32"/>
          <w:szCs w:val="32"/>
          <w:highlight w:val="none"/>
          <w:lang w:val="en-US" w:eastAsia="zh-CN" w:bidi="ar-SA"/>
        </w:rPr>
        <w:t>第三十一条</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 xml:space="preserve"> 以上奖励范围外的其他各类竞赛，可参照以上相应类别竞赛奖励标准执行。</w:t>
      </w:r>
    </w:p>
    <w:p>
      <w:pPr>
        <w:pStyle w:val="18"/>
        <w:ind w:left="0" w:leftChars="0" w:firstLine="640" w:firstLineChars="0"/>
        <w:jc w:val="both"/>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第三十二条</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shd w:val="clear" w:color="auto" w:fill="auto"/>
          <w:lang w:val="en-US" w:eastAsia="zh-CN"/>
        </w:rPr>
        <w:t>裁判、教练、场地负责人、技术支持等人员参与办赛工作，</w:t>
      </w:r>
      <w:r>
        <w:rPr>
          <w:rFonts w:hint="eastAsia" w:ascii="仿宋_GB2312" w:hAnsi="仿宋_GB2312" w:eastAsia="仿宋_GB2312" w:cs="仿宋_GB2312"/>
          <w:b w:val="0"/>
          <w:bCs w:val="0"/>
          <w:color w:val="auto"/>
          <w:sz w:val="32"/>
          <w:szCs w:val="32"/>
          <w:shd w:val="clear" w:color="auto" w:fill="auto"/>
        </w:rPr>
        <w:t>所在单位</w:t>
      </w:r>
      <w:r>
        <w:rPr>
          <w:rFonts w:hint="eastAsia" w:ascii="仿宋_GB2312" w:hAnsi="仿宋_GB2312" w:eastAsia="仿宋_GB2312" w:cs="仿宋_GB2312"/>
          <w:b w:val="0"/>
          <w:bCs w:val="0"/>
          <w:color w:val="auto"/>
          <w:sz w:val="32"/>
          <w:szCs w:val="32"/>
          <w:shd w:val="clear" w:color="auto" w:fill="auto"/>
          <w:lang w:eastAsia="zh-CN"/>
        </w:rPr>
        <w:t>要</w:t>
      </w:r>
      <w:r>
        <w:rPr>
          <w:rFonts w:hint="eastAsia" w:ascii="仿宋_GB2312" w:hAnsi="仿宋_GB2312" w:eastAsia="仿宋_GB2312" w:cs="仿宋_GB2312"/>
          <w:b w:val="0"/>
          <w:bCs w:val="0"/>
          <w:color w:val="auto"/>
          <w:sz w:val="32"/>
          <w:szCs w:val="32"/>
          <w:shd w:val="clear" w:color="auto" w:fill="auto"/>
        </w:rPr>
        <w:t>计入其日常工作量</w:t>
      </w:r>
      <w:r>
        <w:rPr>
          <w:rFonts w:hint="eastAsia" w:ascii="仿宋_GB2312" w:hAnsi="仿宋_GB2312" w:eastAsia="仿宋_GB2312" w:cs="仿宋_GB2312"/>
          <w:b w:val="0"/>
          <w:bCs w:val="0"/>
          <w:color w:val="auto"/>
          <w:kern w:val="32"/>
          <w:sz w:val="32"/>
          <w:szCs w:val="32"/>
          <w:shd w:val="clear" w:color="auto" w:fill="auto"/>
          <w:lang w:val="en-US" w:eastAsia="zh-CN" w:bidi="ar-SA"/>
        </w:rPr>
        <w:t>，纳入职称评定、业绩评价、年度考核等评审考核因素。对</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在办赛工作中表现突出的单位在职业技能培训实训基地、高技能人才培训基地等项目申报中优先推荐或加分。</w:t>
      </w:r>
      <w:r>
        <w:rPr>
          <w:rFonts w:hint="eastAsia" w:ascii="仿宋_GB2312" w:hAnsi="仿宋_GB2312" w:eastAsia="仿宋_GB2312" w:cs="仿宋_GB2312"/>
          <w:b w:val="0"/>
          <w:bCs w:val="0"/>
          <w:color w:val="auto"/>
          <w:kern w:val="32"/>
          <w:sz w:val="32"/>
          <w:szCs w:val="32"/>
          <w:shd w:val="clear" w:color="auto" w:fill="auto"/>
          <w:lang w:val="en-US" w:eastAsia="zh-CN" w:bidi="ar-SA"/>
        </w:rPr>
        <w:t>对在办赛工作中表现突出的个人，在申报高技能人才有关项目中优先推荐参评。</w:t>
      </w:r>
    </w:p>
    <w:p>
      <w:pPr>
        <w:pStyle w:val="18"/>
        <w:ind w:left="0" w:leftChars="0" w:firstLine="0" w:firstLineChars="0"/>
        <w:jc w:val="center"/>
        <w:rPr>
          <w:rFonts w:hint="eastAsia" w:ascii="黑体" w:hAnsi="黑体" w:eastAsia="黑体" w:cs="黑体"/>
          <w:b w:val="0"/>
          <w:bCs w:val="0"/>
          <w:color w:val="auto"/>
          <w:kern w:val="32"/>
          <w:sz w:val="32"/>
          <w:szCs w:val="32"/>
          <w:highlight w:val="none"/>
          <w:lang w:val="en-US" w:eastAsia="zh-CN" w:bidi="ar-SA"/>
        </w:rPr>
      </w:pPr>
    </w:p>
    <w:p>
      <w:pPr>
        <w:pStyle w:val="18"/>
        <w:ind w:left="0" w:leftChars="0" w:firstLine="0" w:firstLineChars="0"/>
        <w:jc w:val="center"/>
        <w:rPr>
          <w:rFonts w:hint="eastAsia" w:ascii="黑体" w:hAnsi="黑体" w:eastAsia="黑体" w:cs="黑体"/>
          <w:b w:val="0"/>
          <w:bCs w:val="0"/>
          <w:color w:val="auto"/>
          <w:kern w:val="32"/>
          <w:sz w:val="32"/>
          <w:szCs w:val="32"/>
          <w:highlight w:val="none"/>
          <w:lang w:val="en-US" w:eastAsia="zh-CN" w:bidi="ar-SA"/>
        </w:rPr>
      </w:pPr>
      <w:r>
        <w:rPr>
          <w:rFonts w:hint="eastAsia" w:ascii="黑体" w:hAnsi="黑体" w:eastAsia="黑体" w:cs="黑体"/>
          <w:b w:val="0"/>
          <w:bCs w:val="0"/>
          <w:color w:val="auto"/>
          <w:kern w:val="32"/>
          <w:sz w:val="32"/>
          <w:szCs w:val="32"/>
          <w:highlight w:val="none"/>
          <w:lang w:val="en-US" w:eastAsia="zh-CN" w:bidi="ar-SA"/>
        </w:rPr>
        <w:t>第七章  经费保障</w:t>
      </w:r>
    </w:p>
    <w:p>
      <w:pPr>
        <w:pStyle w:val="18"/>
        <w:ind w:left="0" w:leftChars="0" w:firstLine="640" w:firstLineChars="0"/>
        <w:rPr>
          <w:rFonts w:hint="eastAsia" w:ascii="楷体_GB2312" w:hAnsi="楷体_GB2312" w:eastAsia="楷体_GB2312" w:cs="楷体_GB2312"/>
          <w:b w:val="0"/>
          <w:bCs w:val="0"/>
          <w:color w:val="auto"/>
          <w:kern w:val="32"/>
          <w:sz w:val="32"/>
          <w:szCs w:val="32"/>
          <w:highlight w:val="none"/>
          <w:lang w:val="en-US" w:eastAsia="zh-CN" w:bidi="ar-SA"/>
        </w:rPr>
      </w:pP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第三十三条</w:t>
      </w:r>
      <w:r>
        <w:rPr>
          <w:rFonts w:hint="eastAsia" w:ascii="仿宋_GB2312" w:hAnsi="仿宋_GB2312" w:eastAsia="仿宋_GB2312" w:cs="仿宋_GB2312"/>
          <w:b w:val="0"/>
          <w:bCs w:val="0"/>
          <w:color w:val="auto"/>
          <w:kern w:val="32"/>
          <w:sz w:val="32"/>
          <w:szCs w:val="32"/>
          <w:highlight w:val="none"/>
          <w:lang w:val="en-US" w:eastAsia="zh-CN" w:bidi="ar-SA"/>
        </w:rPr>
        <w:t xml:space="preserve"> 建立政府投入、单位自筹、社会赞助等相结合的多渠道竞赛投入机制。鼓励企事业单位通过冠名、广告宣传等方式提供赞助、捐赠资金。</w:t>
      </w: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第三十四条</w:t>
      </w:r>
      <w:r>
        <w:rPr>
          <w:rFonts w:hint="eastAsia" w:ascii="仿宋_GB2312" w:hAnsi="仿宋_GB2312" w:eastAsia="仿宋_GB2312" w:cs="仿宋_GB2312"/>
          <w:b w:val="0"/>
          <w:bCs w:val="0"/>
          <w:color w:val="auto"/>
          <w:kern w:val="32"/>
          <w:sz w:val="32"/>
          <w:szCs w:val="32"/>
          <w:highlight w:val="none"/>
          <w:lang w:val="en-US" w:eastAsia="zh-CN" w:bidi="ar-SA"/>
        </w:rPr>
        <w:t xml:space="preserve"> 各级财政部门按照财政事权与支出责任的划分原则，根据年度竞赛计划科学合理安排竞赛经费。未纳入州级年度竞赛计划的竞赛，经费由主办、承办及协办等单位自筹解决。</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第三十五条</w:t>
      </w:r>
      <w:r>
        <w:rPr>
          <w:rFonts w:hint="eastAsia" w:ascii="仿宋_GB2312" w:hAnsi="仿宋_GB2312" w:eastAsia="仿宋_GB2312" w:cs="仿宋_GB2312"/>
          <w:b w:val="0"/>
          <w:bCs w:val="0"/>
          <w:color w:val="auto"/>
          <w:kern w:val="32"/>
          <w:sz w:val="32"/>
          <w:szCs w:val="32"/>
          <w:highlight w:val="none"/>
          <w:lang w:val="en-US" w:eastAsia="zh-CN" w:bidi="ar-SA"/>
        </w:rPr>
        <w:t xml:space="preserve"> </w:t>
      </w:r>
      <w:r>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t>竞赛经费可用于竞赛所需的设备设施、仪器耗材购置及租</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赁、竞赛场地改造、专家教练裁判聘请、竞赛宣传、赛事管理人员工作补贴、教练选手生活补助、赛事组织实施、奖金以及与赛事相关的其他开支。</w:t>
      </w: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snapToGrid w:val="0"/>
          <w:color w:val="auto"/>
          <w:spacing w:val="0"/>
          <w:kern w:val="0"/>
          <w:sz w:val="32"/>
          <w:szCs w:val="32"/>
          <w:highlight w:val="none"/>
          <w:shd w:val="clear" w:color="auto" w:fill="auto"/>
          <w:lang w:val="en-US" w:eastAsia="zh-CN" w:bidi="ar-SA"/>
        </w:rPr>
        <w:t>第三十六条</w:t>
      </w:r>
      <w:r>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t xml:space="preserve"> </w:t>
      </w:r>
      <w:r>
        <w:rPr>
          <w:rFonts w:hint="eastAsia" w:ascii="仿宋_GB2312" w:hAnsi="仿宋_GB2312" w:eastAsia="仿宋_GB2312" w:cs="仿宋_GB2312"/>
          <w:b w:val="0"/>
          <w:bCs w:val="0"/>
          <w:color w:val="auto"/>
          <w:kern w:val="32"/>
          <w:sz w:val="32"/>
          <w:szCs w:val="32"/>
          <w:highlight w:val="none"/>
          <w:lang w:val="en-US" w:eastAsia="zh-CN" w:bidi="ar-SA"/>
        </w:rPr>
        <w:t>竞赛经费管理坚持“统一规划、分级管理，多元筹集、专款专用，厉行节约、注重效率”原则，严格按照有关规定执行，严格落实绩效评价要求，强化资金绩效管理，自觉接受财政、纪检监察、审计部门和社会监督。</w:t>
      </w:r>
    </w:p>
    <w:p>
      <w:pPr>
        <w:pStyle w:val="18"/>
        <w:ind w:left="0" w:leftChars="0" w:firstLine="640" w:firstLineChars="0"/>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sz w:val="32"/>
          <w:szCs w:val="32"/>
          <w:lang w:val="en-US" w:eastAsia="zh-CN"/>
        </w:rPr>
        <w:t>第三十七条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选手</w:t>
      </w:r>
      <w:r>
        <w:rPr>
          <w:rFonts w:hint="eastAsia" w:ascii="仿宋_GB2312" w:hAnsi="仿宋_GB2312" w:eastAsia="仿宋_GB2312" w:cs="仿宋_GB2312"/>
          <w:b w:val="0"/>
          <w:bCs w:val="0"/>
          <w:color w:val="auto"/>
          <w:kern w:val="2"/>
          <w:sz w:val="32"/>
          <w:szCs w:val="32"/>
          <w:lang w:val="en-US" w:eastAsia="zh-CN" w:bidi="ar-SA"/>
        </w:rPr>
        <w:t>参加本企业组织的岗位练兵、技能竞赛等综合性培训的，按照每人每天50元，最高不超过500元标准给予培训补贴。选手参加国家级、自治区级和州级一类、二类技能竞赛，赛前培训实训的，按照每人每天不超过300元，最高不超过6000元的标准给予培训补贴。补贴资金可从职业技能提升行动专账资金、同级财政部门安排的竞赛经费中列支，培训补贴由实施单位向当地人力资源社会保障部门申请</w:t>
      </w:r>
      <w:r>
        <w:rPr>
          <w:rFonts w:hint="eastAsia" w:ascii="仿宋_GB2312" w:hAnsi="仿宋_GB2312" w:eastAsia="仿宋_GB2312" w:cs="仿宋_GB2312"/>
          <w:b w:val="0"/>
          <w:bCs w:val="0"/>
          <w:color w:val="auto"/>
          <w:kern w:val="32"/>
          <w:sz w:val="32"/>
          <w:szCs w:val="32"/>
          <w:lang w:val="en-US" w:eastAsia="zh-CN" w:bidi="ar-SA"/>
        </w:rPr>
        <w:t>，补贴对象为实施单位。</w:t>
      </w:r>
    </w:p>
    <w:p>
      <w:pPr>
        <w:pStyle w:val="18"/>
        <w:ind w:left="0" w:leftChars="0" w:firstLine="640" w:firstLineChars="0"/>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第三十八条</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lang w:val="en-US" w:eastAsia="zh-CN"/>
        </w:rPr>
        <w:t>各级各类竞赛不得向选手、参赛单位收取参赛费用</w:t>
      </w:r>
      <w:r>
        <w:rPr>
          <w:rFonts w:hint="eastAsia" w:ascii="仿宋_GB2312" w:hAnsi="仿宋_GB2312" w:eastAsia="仿宋_GB2312" w:cs="仿宋_GB2312"/>
          <w:b w:val="0"/>
          <w:bCs w:val="0"/>
          <w:snapToGrid w:val="0"/>
          <w:color w:val="auto"/>
          <w:spacing w:val="0"/>
          <w:kern w:val="0"/>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Times New Roman" w:hAnsi="Times New Roman" w:eastAsia="楷体_GB2312" w:cs="Times New Roman"/>
          <w:b w:val="0"/>
          <w:bCs w:val="0"/>
          <w:color w:val="auto"/>
          <w:kern w:val="32"/>
          <w:sz w:val="32"/>
          <w:szCs w:val="32"/>
          <w:highlight w:val="none"/>
          <w:lang w:val="en-US" w:eastAsia="zh-CN" w:bidi="ar-SA"/>
        </w:rPr>
      </w:pPr>
      <w:r>
        <w:rPr>
          <w:rFonts w:hint="eastAsia" w:ascii="黑体" w:hAnsi="黑体" w:eastAsia="黑体" w:cs="黑体"/>
          <w:b w:val="0"/>
          <w:bCs w:val="0"/>
          <w:color w:val="auto"/>
          <w:kern w:val="32"/>
          <w:sz w:val="32"/>
          <w:szCs w:val="32"/>
          <w:highlight w:val="none"/>
          <w:lang w:val="en-US" w:eastAsia="zh-CN" w:bidi="ar-SA"/>
        </w:rPr>
        <w:t>第八章  竞赛赞助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楷体_GB2312" w:hAnsi="楷体_GB2312" w:eastAsia="楷体_GB2312" w:cs="楷体_GB2312"/>
          <w:b w:val="0"/>
          <w:bCs w:val="0"/>
          <w:color w:val="auto"/>
          <w:kern w:val="3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第三十九条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竞赛赞助主要是指赞助方以自愿、无偿的方式，通过资金、场地、设施设备、耗材、产品等形式，为竞赛主办单位、承办单位、集训基地、参赛团队、参赛选手直接或以奖励等形式给予的赞助。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第四十条</w:t>
      </w:r>
      <w:r>
        <w:rPr>
          <w:rFonts w:hint="eastAsia" w:ascii="仿宋_GB2312" w:hAnsi="仿宋_GB2312" w:eastAsia="仿宋_GB2312" w:cs="仿宋_GB2312"/>
          <w:b w:val="0"/>
          <w:bCs w:val="0"/>
          <w:color w:val="auto"/>
          <w:kern w:val="32"/>
          <w:sz w:val="32"/>
          <w:szCs w:val="32"/>
          <w:shd w:val="clear" w:color="auto" w:fill="auto"/>
          <w:lang w:val="en-US" w:eastAsia="zh-CN" w:bidi="ar-SA"/>
        </w:rPr>
        <w:t xml:space="preserve"> 赞助方应具备以下资格：</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仿宋_GB2312" w:hAnsi="仿宋_GB2312" w:eastAsia="仿宋_GB2312" w:cs="仿宋_GB2312"/>
          <w:b w:val="0"/>
          <w:bCs w:val="0"/>
          <w:color w:val="auto"/>
          <w:kern w:val="32"/>
          <w:sz w:val="32"/>
          <w:szCs w:val="32"/>
          <w:shd w:val="clear" w:color="auto" w:fill="auto"/>
          <w:lang w:val="en-US" w:eastAsia="zh-CN" w:bidi="ar-SA"/>
        </w:rPr>
        <w:t>（一）具有独立承担民事责任的能力。</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仿宋_GB2312" w:hAnsi="仿宋_GB2312" w:eastAsia="仿宋_GB2312" w:cs="仿宋_GB2312"/>
          <w:b w:val="0"/>
          <w:bCs w:val="0"/>
          <w:color w:val="auto"/>
          <w:kern w:val="32"/>
          <w:sz w:val="32"/>
          <w:szCs w:val="32"/>
          <w:shd w:val="clear" w:color="auto" w:fill="auto"/>
          <w:lang w:val="en-US" w:eastAsia="zh-CN" w:bidi="ar-SA"/>
        </w:rPr>
        <w:t>（二）具有良好商业信誉、企业形象和完善的财务制度。</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仿宋_GB2312" w:hAnsi="仿宋_GB2312" w:eastAsia="仿宋_GB2312" w:cs="仿宋_GB2312"/>
          <w:b w:val="0"/>
          <w:bCs w:val="0"/>
          <w:color w:val="auto"/>
          <w:kern w:val="32"/>
          <w:sz w:val="32"/>
          <w:szCs w:val="32"/>
          <w:shd w:val="clear" w:color="auto" w:fill="auto"/>
          <w:lang w:val="en-US" w:eastAsia="zh-CN" w:bidi="ar-SA"/>
        </w:rPr>
        <w:t>（三）具有依法纳税和按时交纳社保的良好记录，无违法记录。</w:t>
      </w:r>
      <w:r>
        <w:rPr>
          <w:rFonts w:hint="eastAsia" w:ascii="仿宋_GB2312" w:hAnsi="仿宋_GB2312" w:eastAsia="仿宋_GB2312" w:cs="仿宋_GB2312"/>
          <w:b w:val="0"/>
          <w:bCs w:val="0"/>
          <w:color w:val="auto"/>
          <w:kern w:val="32"/>
          <w:sz w:val="32"/>
          <w:szCs w:val="32"/>
          <w:highlight w:val="none"/>
          <w:lang w:val="en-US" w:eastAsia="zh-CN" w:bidi="ar-SA"/>
        </w:rPr>
        <w:t>禁止有不良记录的赞助单位或个人为竞赛活动提供赞助。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第四十一条</w:t>
      </w:r>
      <w:r>
        <w:rPr>
          <w:rFonts w:hint="eastAsia" w:ascii="仿宋_GB2312" w:hAnsi="仿宋_GB2312" w:eastAsia="仿宋_GB2312" w:cs="仿宋_GB2312"/>
          <w:b w:val="0"/>
          <w:bCs w:val="0"/>
          <w:color w:val="auto"/>
          <w:kern w:val="32"/>
          <w:sz w:val="32"/>
          <w:szCs w:val="32"/>
          <w:shd w:val="clear" w:color="auto" w:fill="auto"/>
          <w:lang w:val="en-US" w:eastAsia="zh-CN" w:bidi="ar-SA"/>
        </w:rPr>
        <w:t xml:space="preserve"> </w:t>
      </w:r>
      <w:r>
        <w:rPr>
          <w:rFonts w:hint="eastAsia" w:ascii="仿宋_GB2312" w:hAnsi="仿宋_GB2312" w:eastAsia="仿宋_GB2312" w:cs="仿宋_GB2312"/>
          <w:b w:val="0"/>
          <w:bCs w:val="0"/>
          <w:color w:val="auto"/>
          <w:kern w:val="32"/>
          <w:sz w:val="32"/>
          <w:szCs w:val="32"/>
          <w:highlight w:val="none"/>
          <w:lang w:val="en-US" w:eastAsia="zh-CN" w:bidi="ar-SA"/>
        </w:rPr>
        <w:t>赞助方提供的赞助物必须合法、安全、卫生，符合国家相关质量及安全标准。接受赞助的物资应与赞助单位形象、赞助活动性质相符，严禁接受与赞助活动性质不相符的物资，严禁接受国家违禁物品或禁止广告宣传的物品。</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第四十二条</w:t>
      </w:r>
      <w:r>
        <w:rPr>
          <w:rFonts w:hint="eastAsia" w:ascii="仿宋_GB2312" w:hAnsi="仿宋_GB2312" w:eastAsia="仿宋_GB2312" w:cs="仿宋_GB2312"/>
          <w:b w:val="0"/>
          <w:bCs w:val="0"/>
          <w:color w:val="auto"/>
          <w:kern w:val="32"/>
          <w:sz w:val="32"/>
          <w:szCs w:val="32"/>
          <w:highlight w:val="none"/>
          <w:lang w:val="en-US" w:eastAsia="zh-CN" w:bidi="ar-SA"/>
        </w:rPr>
        <w:t xml:space="preserve"> 收取赞助费或赞助物资，必须按规定开具合法凭证。赞助费或赞助物资收受凭证必须详细填列赞助项目，并加盖赞助接受单位财务部门的财务专用章。</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第四十三条</w:t>
      </w:r>
      <w:r>
        <w:rPr>
          <w:rFonts w:hint="eastAsia" w:ascii="仿宋_GB2312" w:hAnsi="仿宋_GB2312" w:eastAsia="仿宋_GB2312" w:cs="仿宋_GB2312"/>
          <w:b w:val="0"/>
          <w:bCs w:val="0"/>
          <w:color w:val="auto"/>
          <w:kern w:val="32"/>
          <w:sz w:val="32"/>
          <w:szCs w:val="32"/>
          <w:highlight w:val="none"/>
          <w:lang w:val="en-US" w:eastAsia="zh-CN" w:bidi="ar-SA"/>
        </w:rPr>
        <w:t xml:space="preserve"> 赞助收入的使用须事先提出预算，按照财务规定和合法合规程序进行列支，原则上只能用于竞赛相关项目。活动结束后如有结余，应专项用于职业技能竞赛相关事业发展。赞助实物留存使用的，符合固定资产标准的，按规定办理固定资产接收、入账和建卡手续，其它实物由相应竞赛主办或主管单位指定专门部门和专人严格管理使用。</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第四十四条</w:t>
      </w:r>
      <w:r>
        <w:rPr>
          <w:rFonts w:hint="eastAsia" w:ascii="仿宋_GB2312" w:hAnsi="仿宋_GB2312" w:eastAsia="仿宋_GB2312" w:cs="仿宋_GB2312"/>
          <w:b w:val="0"/>
          <w:bCs w:val="0"/>
          <w:color w:val="auto"/>
          <w:kern w:val="32"/>
          <w:sz w:val="32"/>
          <w:szCs w:val="32"/>
          <w:shd w:val="clear" w:color="auto" w:fill="auto"/>
          <w:lang w:val="en-US" w:eastAsia="zh-CN" w:bidi="ar-SA"/>
        </w:rPr>
        <w:t xml:space="preserve"> 竞赛的主办单位以及各个竞赛集训基地、集训队、参赛代表团队的主管单位组织开展赞助招商活动，应制定赞助方案，包括活动组织形式、拟接受社会赞助金额、权益责任等内容，并向社会公开发布。</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shd w:val="clear" w:color="auto" w:fill="auto"/>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 xml:space="preserve">第四十五条 </w:t>
      </w:r>
      <w:r>
        <w:rPr>
          <w:rFonts w:hint="eastAsia" w:ascii="仿宋_GB2312" w:hAnsi="仿宋_GB2312" w:eastAsia="仿宋_GB2312" w:cs="仿宋_GB2312"/>
          <w:b w:val="0"/>
          <w:bCs w:val="0"/>
          <w:color w:val="auto"/>
          <w:kern w:val="32"/>
          <w:sz w:val="32"/>
          <w:szCs w:val="32"/>
          <w:shd w:val="clear" w:color="auto" w:fill="auto"/>
          <w:lang w:val="en-US" w:eastAsia="zh-CN" w:bidi="ar-SA"/>
        </w:rPr>
        <w:t>接受赞助单位应当依照法律程序和法律条件与赞助单位签订合同，明确界定双方的权利、义务以及禁止性条款。对于给予赞助单位享有的权利，应合理确定时限、范围等，合同要符合相关法律规定。</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第四十六条</w:t>
      </w:r>
      <w:r>
        <w:rPr>
          <w:rFonts w:hint="eastAsia" w:ascii="仿宋_GB2312" w:hAnsi="仿宋_GB2312" w:eastAsia="仿宋_GB2312" w:cs="仿宋_GB2312"/>
          <w:b w:val="0"/>
          <w:bCs w:val="0"/>
          <w:color w:val="auto"/>
          <w:kern w:val="32"/>
          <w:sz w:val="32"/>
          <w:szCs w:val="32"/>
          <w:highlight w:val="none"/>
          <w:lang w:val="en-US" w:eastAsia="zh-CN" w:bidi="ar-SA"/>
        </w:rPr>
        <w:t xml:space="preserve"> 赞助管理规则：</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（一）赞助方不得以赞助活动的名义从事活动以外的其它商业活动、谋取利益。</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（二）接受赞助方不得以各种方式强制企业或者个人加入各种协会或参加各种活动、摊派会费、强拉赞助。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三）接受赞助方不得将赞助收入用于各级各类职业技能竞赛主办单位、承办单位、参赛单位以及各个职业技能竞赛集训基地、集训队、参赛代表团队工作人员的工资、奖金、福利等支出，不得私分赞助收入的实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（四）接受赞助方不得使用个人或其他组织的银行账户进行账务往来，不得账外建账，不得设立“小金库”。个人和组织不得在协议之外向赞助方收取现金和实物。</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仿宋_GB2312" w:hAnsi="仿宋_GB2312" w:eastAsia="仿宋_GB2312" w:cs="仿宋_GB2312"/>
          <w:b w:val="0"/>
          <w:bCs w:val="0"/>
          <w:color w:val="auto"/>
          <w:kern w:val="32"/>
          <w:sz w:val="32"/>
          <w:szCs w:val="32"/>
          <w:highlight w:val="none"/>
          <w:lang w:val="en-US" w:eastAsia="zh-CN" w:bidi="ar-SA"/>
        </w:rPr>
        <w:t>（五）对不履行赞助合同、干扰影响竞赛活动或违反本办法规定的当事人，按照有关法律法规追究违法责任并将作为不良记录记入征信系统。</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仿宋_GB2312" w:hAnsi="仿宋_GB2312" w:eastAsia="仿宋_GB2312" w:cs="仿宋_GB2312"/>
          <w:b w:val="0"/>
          <w:bCs w:val="0"/>
          <w:color w:val="auto"/>
          <w:kern w:val="32"/>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第四十七条</w:t>
      </w:r>
      <w:r>
        <w:rPr>
          <w:rFonts w:hint="eastAsia" w:ascii="仿宋_GB2312" w:hAnsi="仿宋_GB2312" w:eastAsia="仿宋_GB2312" w:cs="仿宋_GB2312"/>
          <w:b w:val="0"/>
          <w:bCs w:val="0"/>
          <w:color w:val="auto"/>
          <w:kern w:val="32"/>
          <w:sz w:val="32"/>
          <w:szCs w:val="32"/>
          <w:highlight w:val="none"/>
          <w:lang w:val="en-US" w:eastAsia="zh-CN" w:bidi="ar-SA"/>
        </w:rPr>
        <w:t xml:space="preserve"> 竞赛的主办单位以及各个竞赛集训基地、集训队、参赛代表团队的主管单位，要切实加强对赞助活动的组织领导，接受赞助数额较大的赞助协议内容须经本单位专题会议集体审议同意。存在多个竞赛主办单位的，须先征得所有主办单位同意后，再由牵头主办单位召开专题会议集体审议同意。</w:t>
      </w:r>
    </w:p>
    <w:p>
      <w:pPr>
        <w:pStyle w:val="1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1"/>
        <w:rPr>
          <w:rFonts w:hint="eastAsia" w:ascii="楷体_GB2312" w:hAnsi="楷体_GB2312" w:eastAsia="楷体_GB2312" w:cs="楷体_GB2312"/>
          <w:b w:val="0"/>
          <w:bCs w:val="0"/>
          <w:color w:val="auto"/>
          <w:kern w:val="3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Times New Roman" w:hAnsi="Times New Roman" w:eastAsia="楷体_GB2312" w:cs="Times New Roman"/>
          <w:b w:val="0"/>
          <w:bCs w:val="0"/>
          <w:color w:val="auto"/>
          <w:kern w:val="32"/>
          <w:sz w:val="32"/>
          <w:szCs w:val="32"/>
          <w:highlight w:val="none"/>
          <w:lang w:val="en-US" w:eastAsia="zh-CN" w:bidi="ar-SA"/>
        </w:rPr>
      </w:pPr>
      <w:r>
        <w:rPr>
          <w:rFonts w:hint="eastAsia" w:ascii="黑体" w:hAnsi="黑体" w:eastAsia="黑体" w:cs="黑体"/>
          <w:b w:val="0"/>
          <w:bCs w:val="0"/>
          <w:color w:val="auto"/>
          <w:kern w:val="32"/>
          <w:sz w:val="32"/>
          <w:szCs w:val="32"/>
          <w:highlight w:val="none"/>
          <w:lang w:val="en-US" w:eastAsia="zh-CN" w:bidi="ar-SA"/>
        </w:rPr>
        <w:t>第九章 竞赛监管</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val="0"/>
          <w:color w:val="auto"/>
          <w:kern w:val="32"/>
          <w:sz w:val="32"/>
          <w:szCs w:val="32"/>
          <w:highlight w:val="none"/>
          <w:lang w:val="en-US" w:eastAsia="zh-CN" w:bidi="ar-SA"/>
        </w:rPr>
      </w:pP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第四十八条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default" w:ascii="Times New Roman" w:hAnsi="Times New Roman" w:eastAsia="仿宋_GB2312" w:cs="Times New Roman"/>
          <w:b w:val="0"/>
          <w:bCs w:val="0"/>
          <w:color w:val="auto"/>
          <w:kern w:val="32"/>
          <w:sz w:val="32"/>
          <w:szCs w:val="32"/>
          <w:shd w:val="clear" w:color="auto" w:fill="auto"/>
          <w:lang w:val="en-US" w:eastAsia="zh-CN" w:bidi="ar-SA"/>
        </w:rPr>
        <w:t>人力资源社会</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保障部门负责对竞赛活动进行统筹管理，监督竞赛计划实施</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引导竞赛健康发展，为主办、承办和协办</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等</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单位提供必要的指导和服务，提高竞赛专业化办赛水平。</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第四十九条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竞赛主办单位对竞赛组织全过程履行主体责任，人力资源社会保障部门对竞赛全过程进行监管。</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kern w:val="32"/>
          <w:sz w:val="32"/>
          <w:szCs w:val="32"/>
          <w:highlight w:val="none"/>
          <w:lang w:val="en-US" w:eastAsia="zh-CN" w:bidi="ar-SA"/>
        </w:rPr>
        <w:t>第五十条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竞赛可邀请公证部门公证或聘请社会监督员对竞赛予以监督。对在竞赛举办过程中发现不符合规定条件、标准、规则等情形的，或收到有关单位、个人投诉、举报的，</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主办单位</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应当认真核查，及时处理；属于其他部门职责范围的，应当及时移交并积极配合协助处理。对赛事管理不善或出现违规违纪问题的主办单位，取消下一年竞赛申报资格。对参与竞赛的选手、裁判、技术保障及其他赛事工作人员违规造成恶劣影响的，除按赛事规则作出处理外，由主办单位通报其所在单位及主管部门，对涉嫌违法违纪的移交相关部门依法处理。</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b w:val="0"/>
          <w:bCs w:val="0"/>
          <w:color w:val="auto"/>
          <w:kern w:val="32"/>
          <w:sz w:val="32"/>
          <w:szCs w:val="32"/>
          <w:highlight w:val="none"/>
          <w:lang w:val="en-US" w:eastAsia="zh-CN" w:bidi="ar-SA"/>
        </w:rPr>
      </w:pPr>
      <w:r>
        <w:rPr>
          <w:rFonts w:hint="eastAsia" w:ascii="黑体" w:hAnsi="黑体" w:eastAsia="黑体" w:cs="黑体"/>
          <w:b w:val="0"/>
          <w:bCs w:val="0"/>
          <w:color w:val="auto"/>
          <w:kern w:val="32"/>
          <w:sz w:val="32"/>
          <w:szCs w:val="32"/>
          <w:highlight w:val="none"/>
          <w:lang w:val="en-US" w:eastAsia="zh-CN" w:bidi="ar-SA"/>
        </w:rPr>
        <w:t>第十章 附则</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default" w:ascii="楷体_GB2312" w:hAnsi="楷体_GB2312" w:eastAsia="楷体_GB2312" w:cs="楷体_GB2312"/>
          <w:b w:val="0"/>
          <w:bCs w:val="0"/>
          <w:color w:val="auto"/>
          <w:kern w:val="32"/>
          <w:sz w:val="32"/>
          <w:szCs w:val="32"/>
          <w:highlight w:val="none"/>
          <w:lang w:val="en-US" w:eastAsia="zh-CN" w:bidi="ar-SA"/>
        </w:rPr>
        <w:t>第</w:t>
      </w:r>
      <w:r>
        <w:rPr>
          <w:rFonts w:hint="eastAsia" w:ascii="楷体_GB2312" w:hAnsi="楷体_GB2312" w:eastAsia="楷体_GB2312" w:cs="楷体_GB2312"/>
          <w:b w:val="0"/>
          <w:bCs w:val="0"/>
          <w:color w:val="auto"/>
          <w:kern w:val="32"/>
          <w:sz w:val="32"/>
          <w:szCs w:val="32"/>
          <w:highlight w:val="none"/>
          <w:lang w:val="en-US" w:eastAsia="zh-CN" w:bidi="ar-SA"/>
        </w:rPr>
        <w:t>五十一</w:t>
      </w:r>
      <w:r>
        <w:rPr>
          <w:rFonts w:hint="default" w:ascii="楷体_GB2312" w:hAnsi="楷体_GB2312" w:eastAsia="楷体_GB2312" w:cs="楷体_GB2312"/>
          <w:b w:val="0"/>
          <w:bCs w:val="0"/>
          <w:color w:val="auto"/>
          <w:kern w:val="32"/>
          <w:sz w:val="32"/>
          <w:szCs w:val="32"/>
          <w:highlight w:val="none"/>
          <w:lang w:val="en-US" w:eastAsia="zh-CN" w:bidi="ar-SA"/>
        </w:rPr>
        <w:t>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本办法自</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发布之日</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起实施</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default" w:ascii="楷体_GB2312" w:hAnsi="楷体_GB2312" w:eastAsia="楷体_GB2312" w:cs="楷体_GB2312"/>
          <w:b w:val="0"/>
          <w:bCs w:val="0"/>
          <w:color w:val="auto"/>
          <w:kern w:val="32"/>
          <w:sz w:val="32"/>
          <w:szCs w:val="32"/>
          <w:highlight w:val="none"/>
          <w:lang w:val="en-US" w:eastAsia="zh-CN" w:bidi="ar-SA"/>
        </w:rPr>
        <w:t>第</w:t>
      </w:r>
      <w:r>
        <w:rPr>
          <w:rFonts w:hint="eastAsia" w:ascii="楷体_GB2312" w:hAnsi="楷体_GB2312" w:eastAsia="楷体_GB2312" w:cs="楷体_GB2312"/>
          <w:b w:val="0"/>
          <w:bCs w:val="0"/>
          <w:color w:val="auto"/>
          <w:kern w:val="32"/>
          <w:sz w:val="32"/>
          <w:szCs w:val="32"/>
          <w:highlight w:val="none"/>
          <w:lang w:val="en-US" w:eastAsia="zh-CN" w:bidi="ar-SA"/>
        </w:rPr>
        <w:t>五十二</w:t>
      </w:r>
      <w:r>
        <w:rPr>
          <w:rFonts w:hint="default" w:ascii="楷体_GB2312" w:hAnsi="楷体_GB2312" w:eastAsia="楷体_GB2312" w:cs="楷体_GB2312"/>
          <w:b w:val="0"/>
          <w:bCs w:val="0"/>
          <w:color w:val="auto"/>
          <w:kern w:val="32"/>
          <w:sz w:val="32"/>
          <w:szCs w:val="32"/>
          <w:highlight w:val="none"/>
          <w:lang w:val="en-US" w:eastAsia="zh-CN" w:bidi="ar-SA"/>
        </w:rPr>
        <w:t>条</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 xml:space="preserve"> </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本办法由</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昌吉州就业工作领导小组办公室</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负责解释。</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left"/>
        <w:textAlignment w:val="auto"/>
        <w:rPr>
          <w:rFonts w:hint="default" w:ascii="仿宋_GB2312" w:hAnsi="仿宋_GB2312" w:eastAsia="仿宋_GB2312" w:cs="仿宋_GB2312"/>
          <w:b w:val="0"/>
          <w:bCs w:val="0"/>
          <w:color w:val="auto"/>
          <w:kern w:val="2"/>
          <w:sz w:val="32"/>
          <w:szCs w:val="32"/>
          <w:shd w:val="clear" w:color="auto" w:fill="auto"/>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仿宋_GB2312" w:hAnsi="仿宋_GB2312" w:eastAsia="仿宋_GB2312" w:cs="仿宋_GB2312"/>
          <w:b w:val="0"/>
          <w:bCs w:val="0"/>
          <w:color w:val="auto"/>
          <w:kern w:val="2"/>
          <w:sz w:val="32"/>
          <w:szCs w:val="32"/>
          <w:shd w:val="clear" w:color="auto" w:fill="auto"/>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rPr>
          <w:rFonts w:hint="default" w:ascii="仿宋_GB2312" w:hAnsi="仿宋_GB2312" w:eastAsia="仿宋_GB2312" w:cs="仿宋_GB2312"/>
          <w:b w:val="0"/>
          <w:bCs w:val="0"/>
          <w:color w:val="auto"/>
          <w:kern w:val="2"/>
          <w:sz w:val="32"/>
          <w:szCs w:val="32"/>
          <w:shd w:val="clear" w:color="auto" w:fill="auto"/>
          <w:lang w:val="en-US" w:eastAsia="zh-CN" w:bidi="ar-SA"/>
        </w:rPr>
      </w:pPr>
    </w:p>
    <w:p>
      <w:pPr>
        <w:pStyle w:val="18"/>
        <w:rPr>
          <w:rFonts w:hint="default"/>
          <w:lang w:val="en-US" w:eastAsia="zh-CN"/>
        </w:rPr>
      </w:pPr>
    </w:p>
    <w:p>
      <w:pPr>
        <w:jc w:val="left"/>
        <w:rPr>
          <w:rFonts w:hint="eastAsia" w:ascii="Times New Roman" w:hAnsi="Times New Roman" w:eastAsia="黑体" w:cs="黑体"/>
          <w:color w:val="auto"/>
          <w:kern w:val="0"/>
          <w:sz w:val="32"/>
          <w:szCs w:val="32"/>
          <w:lang w:eastAsia="zh-CN"/>
        </w:rPr>
      </w:pPr>
      <w:r>
        <w:rPr>
          <w:rFonts w:hint="eastAsia" w:ascii="Times New Roman" w:hAnsi="Times New Roman" w:eastAsia="黑体" w:cs="黑体"/>
          <w:color w:val="auto"/>
          <w:kern w:val="0"/>
          <w:sz w:val="32"/>
          <w:szCs w:val="32"/>
        </w:rPr>
        <w:t>附件</w:t>
      </w:r>
      <w:r>
        <w:rPr>
          <w:rFonts w:hint="eastAsia" w:ascii="Times New Roman" w:hAnsi="Times New Roman" w:eastAsia="黑体" w:cs="黑体"/>
          <w:color w:val="auto"/>
          <w:kern w:val="0"/>
          <w:sz w:val="32"/>
          <w:szCs w:val="32"/>
          <w:lang w:val="en-US" w:eastAsia="zh-CN"/>
        </w:rPr>
        <w:t>1</w:t>
      </w:r>
    </w:p>
    <w:p>
      <w:pPr>
        <w:jc w:val="left"/>
        <w:rPr>
          <w:rFonts w:ascii="Times New Roman" w:hAnsi="Times New Roman" w:eastAsia="仿宋_GB2312" w:cs="宋体"/>
          <w:color w:val="auto"/>
          <w:kern w:val="0"/>
          <w:sz w:val="32"/>
          <w:szCs w:val="32"/>
        </w:rPr>
      </w:pPr>
    </w:p>
    <w:p>
      <w:pPr>
        <w:jc w:val="left"/>
        <w:rPr>
          <w:rFonts w:ascii="Times New Roman" w:hAnsi="Times New Roman" w:eastAsia="仿宋_GB2312" w:cs="宋体"/>
          <w:color w:val="auto"/>
          <w:kern w:val="0"/>
          <w:sz w:val="44"/>
          <w:szCs w:val="44"/>
        </w:rPr>
      </w:pPr>
    </w:p>
    <w:p>
      <w:pPr>
        <w:spacing w:line="600" w:lineRule="exact"/>
        <w:jc w:val="center"/>
        <w:rPr>
          <w:rFonts w:ascii="Times New Roman" w:hAnsi="Times New Roman" w:eastAsia="方正小标宋简体"/>
          <w:color w:val="auto"/>
          <w:kern w:val="0"/>
          <w:sz w:val="44"/>
          <w:szCs w:val="44"/>
        </w:rPr>
      </w:pPr>
      <w:r>
        <w:rPr>
          <w:rFonts w:hint="eastAsia" w:ascii="Times New Roman" w:hAnsi="Times New Roman" w:eastAsia="方正小标宋简体"/>
          <w:color w:val="auto"/>
          <w:kern w:val="0"/>
          <w:sz w:val="44"/>
          <w:szCs w:val="44"/>
          <w:lang w:eastAsia="zh-CN"/>
        </w:rPr>
        <w:t>昌吉州</w:t>
      </w:r>
      <w:r>
        <w:rPr>
          <w:rFonts w:hint="eastAsia" w:ascii="Times New Roman" w:hAnsi="Times New Roman" w:eastAsia="方正小标宋简体"/>
          <w:color w:val="auto"/>
          <w:kern w:val="0"/>
          <w:sz w:val="44"/>
          <w:szCs w:val="44"/>
        </w:rPr>
        <w:t>职业技能竞赛备案表</w:t>
      </w:r>
    </w:p>
    <w:p>
      <w:pPr>
        <w:jc w:val="both"/>
        <w:rPr>
          <w:rFonts w:ascii="Times New Roman" w:hAnsi="Times New Roman" w:eastAsia="仿宋_GB2312" w:cs="宋体"/>
          <w:color w:val="auto"/>
          <w:kern w:val="0"/>
          <w:sz w:val="44"/>
          <w:szCs w:val="44"/>
        </w:rPr>
      </w:pPr>
    </w:p>
    <w:p>
      <w:pPr>
        <w:jc w:val="left"/>
        <w:rPr>
          <w:rFonts w:ascii="Times New Roman" w:hAnsi="Times New Roman" w:eastAsia="仿宋_GB2312" w:cs="宋体"/>
          <w:color w:val="auto"/>
          <w:kern w:val="0"/>
          <w:sz w:val="32"/>
          <w:szCs w:val="32"/>
        </w:rPr>
      </w:pPr>
    </w:p>
    <w:p>
      <w:pPr>
        <w:jc w:val="left"/>
        <w:rPr>
          <w:rFonts w:ascii="Times New Roman" w:hAnsi="Times New Roman" w:eastAsia="仿宋_GB2312" w:cs="宋体"/>
          <w:color w:val="auto"/>
          <w:kern w:val="0"/>
          <w:sz w:val="32"/>
          <w:szCs w:val="32"/>
        </w:rPr>
      </w:pPr>
    </w:p>
    <w:p>
      <w:pPr>
        <w:jc w:val="left"/>
        <w:rPr>
          <w:rFonts w:ascii="Times New Roman" w:hAnsi="Times New Roman" w:eastAsia="仿宋_GB2312" w:cs="宋体"/>
          <w:color w:val="auto"/>
          <w:kern w:val="0"/>
          <w:sz w:val="32"/>
          <w:szCs w:val="32"/>
        </w:rPr>
      </w:pPr>
    </w:p>
    <w:p>
      <w:pPr>
        <w:jc w:val="left"/>
        <w:rPr>
          <w:rFonts w:ascii="Times New Roman" w:hAnsi="Times New Roman" w:eastAsia="仿宋_GB2312" w:cs="宋体"/>
          <w:color w:val="auto"/>
          <w:kern w:val="0"/>
          <w:sz w:val="36"/>
          <w:szCs w:val="36"/>
        </w:rPr>
      </w:pPr>
    </w:p>
    <w:p>
      <w:pPr>
        <w:spacing w:line="600" w:lineRule="exact"/>
        <w:ind w:firstLine="1120" w:firstLineChars="350"/>
        <w:jc w:val="lef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主办单位（章）</w:t>
      </w:r>
      <w:r>
        <w:rPr>
          <w:rFonts w:hint="eastAsia" w:ascii="Times New Roman" w:hAnsi="Times New Roman" w:eastAsia="仿宋_GB2312" w:cs="宋体"/>
          <w:color w:val="auto"/>
          <w:kern w:val="0"/>
          <w:sz w:val="32"/>
          <w:szCs w:val="32"/>
          <w:u w:val="single"/>
        </w:rPr>
        <w:t xml:space="preserve">                       </w:t>
      </w:r>
    </w:p>
    <w:p>
      <w:pPr>
        <w:spacing w:line="600" w:lineRule="exact"/>
        <w:ind w:firstLine="1120" w:firstLineChars="350"/>
        <w:jc w:val="lef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负    责    人</w:t>
      </w:r>
      <w:r>
        <w:rPr>
          <w:rFonts w:hint="eastAsia" w:ascii="Times New Roman" w:hAnsi="Times New Roman" w:eastAsia="仿宋_GB2312" w:cs="宋体"/>
          <w:color w:val="auto"/>
          <w:kern w:val="0"/>
          <w:sz w:val="32"/>
          <w:szCs w:val="32"/>
          <w:u w:val="single"/>
        </w:rPr>
        <w:t xml:space="preserve">                       </w:t>
      </w:r>
    </w:p>
    <w:p>
      <w:pPr>
        <w:spacing w:line="600" w:lineRule="exact"/>
        <w:ind w:firstLine="1120" w:firstLineChars="350"/>
        <w:jc w:val="lef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联  系  电  话</w:t>
      </w:r>
      <w:r>
        <w:rPr>
          <w:rFonts w:hint="eastAsia" w:ascii="Times New Roman" w:hAnsi="Times New Roman" w:eastAsia="仿宋_GB2312" w:cs="宋体"/>
          <w:color w:val="auto"/>
          <w:kern w:val="0"/>
          <w:sz w:val="32"/>
          <w:szCs w:val="32"/>
          <w:u w:val="single"/>
        </w:rPr>
        <w:t xml:space="preserve">                       </w:t>
      </w:r>
    </w:p>
    <w:p>
      <w:pPr>
        <w:spacing w:line="600" w:lineRule="exact"/>
        <w:ind w:firstLine="1120" w:firstLineChars="350"/>
        <w:jc w:val="lef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填  写  日  期</w:t>
      </w:r>
      <w:r>
        <w:rPr>
          <w:rFonts w:hint="eastAsia" w:ascii="Times New Roman" w:hAnsi="Times New Roman" w:eastAsia="仿宋_GB2312" w:cs="宋体"/>
          <w:color w:val="auto"/>
          <w:kern w:val="0"/>
          <w:sz w:val="32"/>
          <w:szCs w:val="32"/>
          <w:u w:val="single"/>
        </w:rPr>
        <w:t xml:space="preserve">       </w:t>
      </w:r>
      <w:r>
        <w:rPr>
          <w:rFonts w:hint="eastAsia" w:ascii="Times New Roman" w:hAnsi="Times New Roman" w:eastAsia="仿宋_GB2312" w:cs="宋体"/>
          <w:color w:val="auto"/>
          <w:kern w:val="0"/>
          <w:sz w:val="32"/>
          <w:szCs w:val="32"/>
        </w:rPr>
        <w:t>年</w:t>
      </w:r>
      <w:r>
        <w:rPr>
          <w:rFonts w:hint="eastAsia" w:ascii="Times New Roman" w:hAnsi="Times New Roman" w:eastAsia="仿宋_GB2312" w:cs="宋体"/>
          <w:color w:val="auto"/>
          <w:kern w:val="0"/>
          <w:sz w:val="32"/>
          <w:szCs w:val="32"/>
          <w:u w:val="single"/>
        </w:rPr>
        <w:t xml:space="preserve">     </w:t>
      </w:r>
      <w:r>
        <w:rPr>
          <w:rFonts w:hint="eastAsia" w:ascii="Times New Roman" w:hAnsi="Times New Roman" w:eastAsia="仿宋_GB2312" w:cs="宋体"/>
          <w:color w:val="auto"/>
          <w:kern w:val="0"/>
          <w:sz w:val="32"/>
          <w:szCs w:val="32"/>
        </w:rPr>
        <w:t>月</w:t>
      </w:r>
      <w:r>
        <w:rPr>
          <w:rFonts w:hint="eastAsia" w:ascii="Times New Roman" w:hAnsi="Times New Roman" w:eastAsia="仿宋_GB2312" w:cs="宋体"/>
          <w:color w:val="auto"/>
          <w:kern w:val="0"/>
          <w:sz w:val="32"/>
          <w:szCs w:val="32"/>
          <w:u w:val="single"/>
        </w:rPr>
        <w:t xml:space="preserve">      </w:t>
      </w:r>
      <w:r>
        <w:rPr>
          <w:rFonts w:hint="eastAsia" w:ascii="Times New Roman" w:hAnsi="Times New Roman" w:eastAsia="仿宋_GB2312" w:cs="宋体"/>
          <w:color w:val="auto"/>
          <w:kern w:val="0"/>
          <w:sz w:val="32"/>
          <w:szCs w:val="32"/>
        </w:rPr>
        <w:t>日</w:t>
      </w:r>
    </w:p>
    <w:p>
      <w:pPr>
        <w:jc w:val="left"/>
        <w:rPr>
          <w:rFonts w:ascii="Times New Roman" w:hAnsi="Times New Roman" w:eastAsia="仿宋_GB2312" w:cs="宋体"/>
          <w:color w:val="auto"/>
          <w:kern w:val="0"/>
          <w:sz w:val="36"/>
          <w:szCs w:val="36"/>
        </w:rPr>
      </w:pPr>
    </w:p>
    <w:p>
      <w:pPr>
        <w:jc w:val="both"/>
        <w:rPr>
          <w:rFonts w:ascii="Times New Roman" w:hAnsi="Times New Roman" w:eastAsia="仿宋_GB2312" w:cs="宋体"/>
          <w:color w:val="auto"/>
          <w:kern w:val="0"/>
          <w:sz w:val="32"/>
          <w:szCs w:val="32"/>
        </w:rPr>
      </w:pPr>
    </w:p>
    <w:p>
      <w:pPr>
        <w:rPr>
          <w:rFonts w:ascii="Times New Roman" w:hAnsi="Times New Roman" w:eastAsia="仿宋_GB2312" w:cs="宋体"/>
          <w:color w:val="auto"/>
          <w:kern w:val="0"/>
          <w:sz w:val="32"/>
          <w:szCs w:val="32"/>
        </w:rPr>
      </w:pPr>
    </w:p>
    <w:p>
      <w:pPr>
        <w:ind w:firstLine="200"/>
        <w:jc w:val="center"/>
        <w:rPr>
          <w:rFonts w:ascii="Times New Roman" w:hAnsi="Times New Roman" w:eastAsia="仿宋_GB2312" w:cs="宋体"/>
          <w:color w:val="auto"/>
          <w:kern w:val="0"/>
          <w:sz w:val="32"/>
          <w:szCs w:val="32"/>
        </w:rPr>
      </w:pPr>
    </w:p>
    <w:p>
      <w:pPr>
        <w:tabs>
          <w:tab w:val="left" w:pos="420"/>
        </w:tabs>
        <w:jc w:val="center"/>
        <w:rPr>
          <w:rFonts w:hint="eastAsia" w:ascii="Times New Roman" w:hAnsi="Times New Roman" w:eastAsia="仿宋_GB2312" w:cs="宋体"/>
          <w:color w:val="auto"/>
          <w:kern w:val="0"/>
          <w:sz w:val="32"/>
          <w:szCs w:val="32"/>
        </w:rPr>
      </w:pPr>
    </w:p>
    <w:p>
      <w:pPr>
        <w:tabs>
          <w:tab w:val="left" w:pos="420"/>
        </w:tabs>
        <w:jc w:val="center"/>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lang w:eastAsia="zh-CN"/>
        </w:rPr>
        <w:t>昌吉回族自治州</w:t>
      </w:r>
      <w:r>
        <w:rPr>
          <w:rFonts w:hint="eastAsia" w:ascii="Times New Roman" w:hAnsi="Times New Roman" w:eastAsia="仿宋_GB2312" w:cs="宋体"/>
          <w:color w:val="auto"/>
          <w:kern w:val="0"/>
          <w:sz w:val="32"/>
          <w:szCs w:val="32"/>
        </w:rPr>
        <w:t>人力资源和社会保障</w:t>
      </w:r>
      <w:r>
        <w:rPr>
          <w:rFonts w:hint="eastAsia" w:ascii="Times New Roman" w:hAnsi="Times New Roman" w:eastAsia="仿宋_GB2312" w:cs="宋体"/>
          <w:color w:val="auto"/>
          <w:kern w:val="0"/>
          <w:sz w:val="32"/>
          <w:szCs w:val="32"/>
          <w:lang w:eastAsia="zh-CN"/>
        </w:rPr>
        <w:t>局</w:t>
      </w:r>
      <w:r>
        <w:rPr>
          <w:rFonts w:hint="eastAsia" w:ascii="Times New Roman" w:hAnsi="Times New Roman" w:eastAsia="仿宋_GB2312" w:cs="宋体"/>
          <w:color w:val="auto"/>
          <w:kern w:val="0"/>
          <w:sz w:val="32"/>
          <w:szCs w:val="32"/>
        </w:rPr>
        <w:t>制</w:t>
      </w:r>
    </w:p>
    <w:p>
      <w:pPr>
        <w:tabs>
          <w:tab w:val="left" w:pos="420"/>
        </w:tabs>
        <w:spacing w:line="500" w:lineRule="exact"/>
        <w:rPr>
          <w:rFonts w:hint="eastAsia" w:ascii="Times New Roman" w:hAnsi="Times New Roman" w:eastAsia="方正小标宋简体" w:cs="宋体"/>
          <w:color w:val="auto"/>
          <w:kern w:val="0"/>
          <w:sz w:val="44"/>
          <w:szCs w:val="44"/>
        </w:rPr>
      </w:pPr>
      <w:r>
        <w:rPr>
          <w:rFonts w:ascii="Times New Roman" w:hAnsi="Times New Roman" w:eastAsia="黑体" w:cs="宋体"/>
          <w:color w:val="auto"/>
          <w:kern w:val="0"/>
          <w:sz w:val="32"/>
          <w:szCs w:val="32"/>
        </w:rPr>
        <w:br w:type="page"/>
      </w:r>
    </w:p>
    <w:p>
      <w:pPr>
        <w:tabs>
          <w:tab w:val="left" w:pos="420"/>
        </w:tabs>
        <w:spacing w:line="600" w:lineRule="exact"/>
        <w:jc w:val="center"/>
        <w:rPr>
          <w:rFonts w:hint="eastAsia" w:ascii="Times New Roman" w:hAnsi="Times New Roman" w:eastAsia="方正小标宋简体" w:cs="宋体"/>
          <w:color w:val="auto"/>
          <w:kern w:val="0"/>
          <w:sz w:val="44"/>
          <w:szCs w:val="44"/>
        </w:rPr>
      </w:pPr>
      <w:r>
        <w:rPr>
          <w:rFonts w:hint="eastAsia" w:ascii="Times New Roman" w:hAnsi="Times New Roman" w:eastAsia="方正小标宋简体" w:cs="宋体"/>
          <w:color w:val="auto"/>
          <w:kern w:val="0"/>
          <w:sz w:val="44"/>
          <w:szCs w:val="44"/>
        </w:rPr>
        <w:t>填表说明</w:t>
      </w:r>
    </w:p>
    <w:p>
      <w:pPr>
        <w:spacing w:line="600" w:lineRule="exact"/>
        <w:rPr>
          <w:rFonts w:ascii="Times New Roman" w:hAnsi="Times New Roman" w:eastAsia="仿宋_GB2312" w:cs="宋体"/>
          <w:color w:val="auto"/>
          <w:kern w:val="0"/>
          <w:sz w:val="32"/>
          <w:szCs w:val="32"/>
        </w:rPr>
      </w:pPr>
    </w:p>
    <w:p>
      <w:pPr>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一、由</w:t>
      </w:r>
      <w:r>
        <w:rPr>
          <w:rFonts w:hint="eastAsia" w:ascii="Times New Roman" w:hAnsi="Times New Roman" w:eastAsia="仿宋_GB2312" w:cs="宋体"/>
          <w:color w:val="auto"/>
          <w:kern w:val="0"/>
          <w:sz w:val="32"/>
          <w:szCs w:val="32"/>
          <w:lang w:eastAsia="zh-CN"/>
        </w:rPr>
        <w:t>竞赛主办单位及各</w:t>
      </w:r>
      <w:r>
        <w:rPr>
          <w:rFonts w:hint="eastAsia" w:ascii="Times New Roman" w:hAnsi="Times New Roman" w:eastAsia="仿宋_GB2312" w:cs="宋体"/>
          <w:color w:val="auto"/>
          <w:kern w:val="0"/>
          <w:sz w:val="32"/>
          <w:szCs w:val="32"/>
        </w:rPr>
        <w:t>县市</w:t>
      </w:r>
      <w:r>
        <w:rPr>
          <w:rFonts w:hint="eastAsia" w:ascii="Times New Roman" w:hAnsi="Times New Roman" w:eastAsia="仿宋_GB2312" w:cs="宋体"/>
          <w:color w:val="auto"/>
          <w:kern w:val="0"/>
          <w:sz w:val="32"/>
          <w:szCs w:val="32"/>
          <w:lang w:eastAsia="zh-CN"/>
        </w:rPr>
        <w:t>（园区）</w:t>
      </w:r>
      <w:r>
        <w:rPr>
          <w:rFonts w:hint="eastAsia" w:ascii="Times New Roman" w:hAnsi="Times New Roman" w:eastAsia="仿宋_GB2312" w:cs="宋体"/>
          <w:color w:val="auto"/>
          <w:kern w:val="0"/>
          <w:sz w:val="32"/>
          <w:szCs w:val="32"/>
        </w:rPr>
        <w:t>人力资源社会保障部门列入竞赛年度计划的赛事需填写此表。</w:t>
      </w:r>
    </w:p>
    <w:p>
      <w:pPr>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二、</w:t>
      </w:r>
      <w:r>
        <w:rPr>
          <w:rFonts w:hint="eastAsia" w:ascii="Times New Roman" w:hAnsi="Times New Roman" w:eastAsia="仿宋_GB2312" w:cs="宋体"/>
          <w:color w:val="auto"/>
          <w:spacing w:val="8"/>
          <w:kern w:val="0"/>
          <w:sz w:val="32"/>
          <w:szCs w:val="32"/>
        </w:rPr>
        <w:t>本表一式二份，主办单位、备案机关各一份</w:t>
      </w:r>
      <w:r>
        <w:rPr>
          <w:rFonts w:hint="eastAsia" w:ascii="Times New Roman" w:hAnsi="Times New Roman" w:eastAsia="仿宋_GB2312" w:cs="宋体"/>
          <w:color w:val="auto"/>
          <w:kern w:val="0"/>
          <w:sz w:val="32"/>
          <w:szCs w:val="32"/>
        </w:rPr>
        <w:t>。</w:t>
      </w:r>
    </w:p>
    <w:p>
      <w:pPr>
        <w:spacing w:line="600" w:lineRule="exact"/>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 xml:space="preserve">    三、表中所列“初赛”是指本次竞赛的下一级选拔赛。</w:t>
      </w:r>
    </w:p>
    <w:p>
      <w:pPr>
        <w:spacing w:line="600"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四、表中所列竞赛组织实施方案等文件材料应另附纸质材料。</w:t>
      </w:r>
    </w:p>
    <w:p>
      <w:pPr>
        <w:tabs>
          <w:tab w:val="left" w:pos="420"/>
        </w:tabs>
        <w:spacing w:line="600" w:lineRule="exact"/>
        <w:ind w:firstLine="640" w:firstLineChars="200"/>
        <w:rPr>
          <w:rFonts w:hint="eastAsia"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五、</w:t>
      </w:r>
      <w:r>
        <w:rPr>
          <w:rFonts w:hint="eastAsia" w:ascii="Times New Roman" w:hAnsi="Times New Roman" w:eastAsia="仿宋_GB2312" w:cs="宋体"/>
          <w:color w:val="auto"/>
          <w:spacing w:val="8"/>
          <w:kern w:val="0"/>
          <w:sz w:val="32"/>
          <w:szCs w:val="32"/>
        </w:rPr>
        <w:t>本表可以用电脑打印或用钢笔、中性笔填写，字迹清楚、工整。</w:t>
      </w:r>
    </w:p>
    <w:p>
      <w:pPr>
        <w:tabs>
          <w:tab w:val="left" w:pos="420"/>
        </w:tabs>
        <w:spacing w:line="600" w:lineRule="exact"/>
        <w:ind w:firstLine="672" w:firstLineChars="200"/>
        <w:rPr>
          <w:rFonts w:hint="eastAsia" w:ascii="Times New Roman" w:hAnsi="Times New Roman" w:eastAsia="仿宋_GB2312" w:cs="宋体"/>
          <w:color w:val="auto"/>
          <w:kern w:val="0"/>
          <w:sz w:val="32"/>
          <w:szCs w:val="32"/>
        </w:rPr>
      </w:pPr>
      <w:r>
        <w:rPr>
          <w:rFonts w:hint="eastAsia" w:ascii="Times New Roman" w:hAnsi="Times New Roman" w:eastAsia="仿宋_GB2312"/>
          <w:color w:val="auto"/>
          <w:spacing w:val="8"/>
          <w:sz w:val="32"/>
          <w:szCs w:val="32"/>
        </w:rPr>
        <w:t>职业（工种）名称在《中华人民共和国职业分类大典》（最新版）以内且职业（工种）技能等级设置高级工（含）等级（</w:t>
      </w:r>
      <w:r>
        <w:rPr>
          <w:rFonts w:hint="eastAsia" w:ascii="Times New Roman" w:hAnsi="Times New Roman" w:eastAsia="仿宋_GB2312"/>
          <w:color w:val="auto"/>
          <w:sz w:val="32"/>
          <w:szCs w:val="32"/>
        </w:rPr>
        <w:t>职业技能三级</w:t>
      </w:r>
      <w:r>
        <w:rPr>
          <w:rFonts w:hint="eastAsia" w:ascii="Times New Roman" w:hAnsi="Times New Roman" w:eastAsia="仿宋_GB2312"/>
          <w:color w:val="auto"/>
          <w:spacing w:val="8"/>
          <w:sz w:val="32"/>
          <w:szCs w:val="32"/>
        </w:rPr>
        <w:t>）以上。</w:t>
      </w:r>
    </w:p>
    <w:p>
      <w:pPr>
        <w:tabs>
          <w:tab w:val="left" w:pos="7770"/>
        </w:tabs>
        <w:spacing w:line="600" w:lineRule="exact"/>
        <w:rPr>
          <w:rFonts w:hint="eastAsia" w:ascii="Times New Roman" w:hAnsi="Times New Roman" w:eastAsia="仿宋_GB2312"/>
          <w:color w:val="auto"/>
          <w:spacing w:val="8"/>
          <w:sz w:val="32"/>
          <w:szCs w:val="32"/>
        </w:rPr>
      </w:pPr>
    </w:p>
    <w:p>
      <w:pPr>
        <w:tabs>
          <w:tab w:val="left" w:pos="7770"/>
        </w:tabs>
        <w:spacing w:line="600" w:lineRule="exact"/>
        <w:rPr>
          <w:rFonts w:hint="eastAsia" w:ascii="Times New Roman" w:hAnsi="Times New Roman" w:eastAsia="仿宋_GB2312"/>
          <w:color w:val="auto"/>
          <w:spacing w:val="8"/>
          <w:sz w:val="32"/>
          <w:szCs w:val="32"/>
        </w:rPr>
      </w:pPr>
    </w:p>
    <w:p>
      <w:pPr>
        <w:tabs>
          <w:tab w:val="left" w:pos="7770"/>
        </w:tabs>
        <w:spacing w:line="600" w:lineRule="exact"/>
        <w:rPr>
          <w:rFonts w:hint="eastAsia" w:ascii="Times New Roman" w:hAnsi="Times New Roman" w:eastAsia="仿宋_GB2312"/>
          <w:color w:val="auto"/>
          <w:spacing w:val="8"/>
          <w:sz w:val="32"/>
          <w:szCs w:val="32"/>
        </w:rPr>
      </w:pPr>
    </w:p>
    <w:p>
      <w:pPr>
        <w:tabs>
          <w:tab w:val="left" w:pos="7770"/>
        </w:tabs>
        <w:rPr>
          <w:rFonts w:ascii="Times New Roman" w:hAnsi="Times New Roman" w:eastAsia="仿宋_GB2312"/>
          <w:color w:val="auto"/>
          <w:spacing w:val="8"/>
          <w:sz w:val="32"/>
          <w:szCs w:val="32"/>
        </w:rPr>
        <w:sectPr>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1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162"/>
        <w:gridCol w:w="2232"/>
        <w:gridCol w:w="1141"/>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竞赛名称</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主办单位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承办单位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1</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2</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3</w:t>
            </w:r>
            <w:r>
              <w:rPr>
                <w:rFonts w:hint="eastAsia" w:ascii="Times New Roman" w:eastAsia="仿宋_GB2312" w:cs="仿宋_GB2312"/>
                <w:b/>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协办单位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1</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2</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3</w:t>
            </w:r>
            <w:r>
              <w:rPr>
                <w:rFonts w:hint="eastAsia" w:ascii="Times New Roman" w:eastAsia="仿宋_GB2312" w:cs="仿宋_GB2312"/>
                <w:b/>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其他单位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Times New Roman" w:hAnsi="Times New Roman" w:eastAsia="仿宋_GB2312" w:cs="仿宋_GB2312"/>
                <w:b/>
                <w:color w:val="auto"/>
                <w:kern w:val="0"/>
                <w:sz w:val="28"/>
                <w:szCs w:val="28"/>
                <w:lang w:val="en-US" w:eastAsia="zh-CN"/>
              </w:rPr>
            </w:pPr>
            <w:r>
              <w:rPr>
                <w:rFonts w:hint="eastAsia" w:ascii="Times New Roman" w:hAnsi="Times New Roman" w:eastAsia="仿宋_GB2312" w:cs="仿宋_GB2312"/>
                <w:b/>
                <w:color w:val="auto"/>
                <w:kern w:val="0"/>
                <w:sz w:val="28"/>
                <w:szCs w:val="28"/>
                <w:lang w:eastAsia="zh-CN"/>
              </w:rPr>
              <w:t>单位名称：</w:t>
            </w:r>
            <w:r>
              <w:rPr>
                <w:rFonts w:hint="eastAsia" w:ascii="Times New Roman" w:hAnsi="Times New Roman" w:eastAsia="仿宋_GB2312" w:cs="仿宋_GB2312"/>
                <w:b/>
                <w:color w:val="auto"/>
                <w:kern w:val="0"/>
                <w:sz w:val="28"/>
                <w:szCs w:val="28"/>
                <w:lang w:val="en-US" w:eastAsia="zh-CN"/>
              </w:rPr>
              <w:t xml:space="preserve">        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组委会名称</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联 系 人</w:t>
            </w:r>
          </w:p>
        </w:tc>
        <w:tc>
          <w:tcPr>
            <w:tcW w:w="223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联系</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电话</w:t>
            </w: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办公：</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竞赛职业</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（工种）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1</w:t>
            </w:r>
            <w:r>
              <w:rPr>
                <w:rFonts w:hint="eastAsia" w:ascii="Times New Roman" w:eastAsia="仿宋_GB2312" w:cs="仿宋_GB2312"/>
                <w:b/>
                <w:color w:val="auto"/>
                <w:kern w:val="0"/>
                <w:sz w:val="28"/>
                <w:szCs w:val="28"/>
              </w:rPr>
              <w:t>．</w:t>
            </w:r>
            <w:r>
              <w:rPr>
                <w:rFonts w:hint="eastAsia" w:ascii="Times New Roman" w:hAnsi="Times New Roman" w:eastAsia="仿宋_GB2312" w:cs="仿宋_GB2312"/>
                <w:b/>
                <w:color w:val="auto"/>
                <w:kern w:val="0"/>
                <w:sz w:val="28"/>
                <w:szCs w:val="28"/>
              </w:rPr>
              <w:t xml:space="preserve">                  2</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3</w:t>
            </w:r>
            <w:r>
              <w:rPr>
                <w:rFonts w:hint="eastAsia" w:ascii="Times New Roman" w:eastAsia="仿宋_GB2312" w:cs="仿宋_GB2312"/>
                <w:b/>
                <w:color w:val="auto"/>
                <w:kern w:val="0"/>
                <w:sz w:val="28"/>
                <w:szCs w:val="28"/>
              </w:rPr>
              <w:t>．</w:t>
            </w:r>
            <w:r>
              <w:rPr>
                <w:rFonts w:hint="eastAsia" w:ascii="Times New Roman" w:hAnsi="Times New Roman" w:eastAsia="仿宋_GB2312" w:cs="仿宋_GB2312"/>
                <w:b/>
                <w:color w:val="auto"/>
                <w:kern w:val="0"/>
                <w:sz w:val="28"/>
                <w:szCs w:val="28"/>
              </w:rPr>
              <w:t xml:space="preserve">                  4</w:t>
            </w:r>
            <w:r>
              <w:rPr>
                <w:rFonts w:hint="eastAsia" w:ascii="Times New Roman" w:eastAsia="仿宋_GB2312" w:cs="仿宋_GB2312"/>
                <w:b/>
                <w:color w:val="auto"/>
                <w:kern w:val="0"/>
                <w:sz w:val="28"/>
                <w:szCs w:val="28"/>
              </w:rPr>
              <w:t>．</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5</w:t>
            </w:r>
            <w:r>
              <w:rPr>
                <w:rFonts w:hint="eastAsia" w:ascii="Times New Roman" w:eastAsia="仿宋_GB2312" w:cs="仿宋_GB2312"/>
                <w:b/>
                <w:color w:val="auto"/>
                <w:kern w:val="0"/>
                <w:sz w:val="28"/>
                <w:szCs w:val="28"/>
              </w:rPr>
              <w:t>．</w:t>
            </w:r>
            <w:r>
              <w:rPr>
                <w:rFonts w:hint="eastAsia" w:ascii="Times New Roman" w:hAnsi="Times New Roman" w:eastAsia="仿宋_GB2312" w:cs="仿宋_GB2312"/>
                <w:b/>
                <w:color w:val="auto"/>
                <w:kern w:val="0"/>
                <w:sz w:val="28"/>
                <w:szCs w:val="28"/>
              </w:rPr>
              <w:t xml:space="preserve">                  6</w:t>
            </w:r>
            <w:r>
              <w:rPr>
                <w:rFonts w:hint="eastAsia" w:ascii="Times New Roman" w:eastAsia="仿宋_GB2312" w:cs="仿宋_GB2312"/>
                <w:b/>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试题标准</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1.职工组：国家职业标准  级（           ）</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2.学生组：国家职业标准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竞赛规模</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lang w:eastAsia="zh-CN"/>
              </w:rPr>
              <w:t>职</w:t>
            </w:r>
            <w:r>
              <w:rPr>
                <w:rFonts w:hint="eastAsia" w:ascii="Times New Roman" w:hAnsi="Times New Roman" w:eastAsia="仿宋_GB2312" w:cs="仿宋_GB2312"/>
                <w:b/>
                <w:color w:val="auto"/>
                <w:kern w:val="0"/>
                <w:sz w:val="28"/>
                <w:szCs w:val="28"/>
              </w:rPr>
              <w:t>工组：      个代表队；         人/队</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学生组：      个代表队；         人/队</w:t>
            </w:r>
          </w:p>
          <w:p>
            <w:pPr>
              <w:spacing w:line="500" w:lineRule="exact"/>
              <w:jc w:val="left"/>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rPr>
              <w:t>参赛总人数：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裁判队伍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Times New Roman" w:hAnsi="Times New Roman" w:eastAsia="仿宋_GB2312" w:cs="仿宋_GB2312"/>
                <w:b/>
                <w:color w:val="auto"/>
                <w:kern w:val="0"/>
                <w:sz w:val="28"/>
                <w:szCs w:val="28"/>
                <w:lang w:val="en-US" w:eastAsia="zh-CN" w:bidi="ar-SA"/>
              </w:rPr>
            </w:pPr>
            <w:r>
              <w:rPr>
                <w:rFonts w:hint="eastAsia" w:ascii="Times New Roman" w:hAnsi="Times New Roman" w:eastAsia="仿宋_GB2312" w:cs="仿宋_GB2312"/>
                <w:b/>
                <w:color w:val="auto"/>
                <w:kern w:val="0"/>
                <w:sz w:val="28"/>
                <w:szCs w:val="28"/>
                <w:lang w:val="en-US" w:eastAsia="zh-CN" w:bidi="ar-SA"/>
              </w:rPr>
              <w:t>国家职业标准  级：    人</w:t>
            </w:r>
          </w:p>
          <w:p>
            <w:pPr>
              <w:pStyle w:val="7"/>
              <w:rPr>
                <w:rFonts w:hint="eastAsia" w:ascii="Times New Roman" w:hAnsi="Times New Roman" w:eastAsia="仿宋_GB2312" w:cs="仿宋_GB2312"/>
                <w:b/>
                <w:color w:val="auto"/>
                <w:kern w:val="0"/>
                <w:sz w:val="28"/>
                <w:szCs w:val="28"/>
                <w:lang w:val="en-US" w:eastAsia="zh-CN"/>
              </w:rPr>
            </w:pPr>
            <w:r>
              <w:rPr>
                <w:rFonts w:hint="eastAsia" w:ascii="Times New Roman" w:hAnsi="Times New Roman" w:eastAsia="仿宋_GB2312" w:cs="仿宋_GB2312"/>
                <w:b/>
                <w:color w:val="auto"/>
                <w:kern w:val="0"/>
                <w:sz w:val="28"/>
                <w:szCs w:val="28"/>
              </w:rPr>
              <w:t>国家职业标准  级</w:t>
            </w:r>
            <w:r>
              <w:rPr>
                <w:rFonts w:hint="eastAsia" w:ascii="Times New Roman" w:hAnsi="Times New Roman" w:eastAsia="仿宋_GB2312" w:cs="仿宋_GB2312"/>
                <w:b/>
                <w:color w:val="auto"/>
                <w:kern w:val="0"/>
                <w:sz w:val="28"/>
                <w:szCs w:val="28"/>
                <w:lang w:eastAsia="zh-CN"/>
              </w:rPr>
              <w:t>：</w:t>
            </w:r>
            <w:r>
              <w:rPr>
                <w:rFonts w:hint="eastAsia" w:ascii="Times New Roman" w:hAnsi="Times New Roman" w:eastAsia="仿宋_GB2312" w:cs="仿宋_GB2312"/>
                <w:b/>
                <w:color w:val="auto"/>
                <w:kern w:val="0"/>
                <w:sz w:val="28"/>
                <w:szCs w:val="28"/>
                <w:lang w:val="en-US" w:eastAsia="zh-CN"/>
              </w:rPr>
              <w:t xml:space="preserve">    人</w:t>
            </w:r>
          </w:p>
          <w:p>
            <w:pPr>
              <w:pStyle w:val="7"/>
              <w:rPr>
                <w:rFonts w:hint="default" w:ascii="Times New Roman" w:hAnsi="Times New Roman" w:eastAsia="仿宋_GB2312" w:cs="仿宋_GB2312"/>
                <w:b/>
                <w:color w:val="auto"/>
                <w:kern w:val="0"/>
                <w:sz w:val="28"/>
                <w:szCs w:val="28"/>
                <w:lang w:val="en-US" w:eastAsia="zh-CN"/>
              </w:rPr>
            </w:pPr>
            <w:r>
              <w:rPr>
                <w:rFonts w:hint="eastAsia" w:ascii="Times New Roman" w:hAnsi="Times New Roman" w:eastAsia="仿宋_GB2312" w:cs="仿宋_GB2312"/>
                <w:b/>
                <w:color w:val="auto"/>
                <w:kern w:val="0"/>
                <w:sz w:val="28"/>
                <w:szCs w:val="28"/>
              </w:rPr>
              <w:t>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竞赛预定时间</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竞赛地点</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文件材料</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组织实施方案</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组委会及办公室成员名单</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技术工作组、监督仲裁组及裁判员名单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0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初赛</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情况</w:t>
            </w:r>
          </w:p>
        </w:tc>
        <w:tc>
          <w:tcPr>
            <w:tcW w:w="1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主办</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单位</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初赛</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时间</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试题</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标准</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1.职工组：国家职业标准  级（           ）</w:t>
            </w:r>
          </w:p>
          <w:p>
            <w:pPr>
              <w:spacing w:line="500" w:lineRule="exac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2.学生组：国家职业标准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20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初赛</w:t>
            </w: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规模</w:t>
            </w:r>
          </w:p>
        </w:tc>
        <w:tc>
          <w:tcPr>
            <w:tcW w:w="659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职工组：       个代表队；          人/队</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学生组：       个代表队；          人/队</w:t>
            </w:r>
          </w:p>
          <w:p>
            <w:pPr>
              <w:spacing w:line="500" w:lineRule="exact"/>
              <w:jc w:val="left"/>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参赛总人数：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竞赛</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主办</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单位</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意见</w:t>
            </w:r>
          </w:p>
        </w:tc>
        <w:tc>
          <w:tcPr>
            <w:tcW w:w="7761"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单位（章）：</w:t>
            </w:r>
          </w:p>
          <w:p>
            <w:pPr>
              <w:spacing w:line="500" w:lineRule="exact"/>
              <w:jc w:val="center"/>
              <w:rPr>
                <w:rFonts w:hint="eastAsia" w:ascii="Times New Roman" w:hAnsi="Times New Roman" w:eastAsia="仿宋_GB2312" w:cs="仿宋_GB2312"/>
                <w:b/>
                <w:color w:val="auto"/>
                <w:kern w:val="0"/>
                <w:sz w:val="28"/>
                <w:szCs w:val="28"/>
              </w:rPr>
            </w:pP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县市</w:t>
            </w:r>
          </w:p>
          <w:p>
            <w:pPr>
              <w:spacing w:line="48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（园区）或</w:t>
            </w:r>
          </w:p>
          <w:p>
            <w:pPr>
              <w:spacing w:line="48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主管</w:t>
            </w:r>
          </w:p>
          <w:p>
            <w:pPr>
              <w:spacing w:line="480" w:lineRule="exact"/>
              <w:jc w:val="center"/>
              <w:rPr>
                <w:rFonts w:hint="eastAsia" w:ascii="Times New Roman" w:hAnsi="Times New Roman" w:eastAsia="仿宋_GB2312" w:cs="仿宋_GB2312"/>
                <w:b/>
                <w:color w:val="auto"/>
                <w:kern w:val="0"/>
                <w:sz w:val="28"/>
                <w:szCs w:val="28"/>
                <w:lang w:eastAsia="zh-CN"/>
              </w:rPr>
            </w:pPr>
            <w:r>
              <w:rPr>
                <w:rFonts w:hint="eastAsia" w:ascii="Times New Roman" w:hAnsi="Times New Roman" w:eastAsia="仿宋_GB2312" w:cs="仿宋_GB2312"/>
                <w:b/>
                <w:color w:val="auto"/>
                <w:kern w:val="0"/>
                <w:sz w:val="28"/>
                <w:szCs w:val="28"/>
                <w:lang w:eastAsia="zh-CN"/>
              </w:rPr>
              <w:t>部门</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lang w:eastAsia="zh-CN"/>
              </w:rPr>
              <w:t>意见</w:t>
            </w:r>
          </w:p>
        </w:tc>
        <w:tc>
          <w:tcPr>
            <w:tcW w:w="7761"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单位（章）：</w:t>
            </w:r>
          </w:p>
          <w:p>
            <w:pPr>
              <w:spacing w:line="500" w:lineRule="exact"/>
              <w:rPr>
                <w:rFonts w:hint="eastAsia" w:ascii="Times New Roman" w:hAnsi="Times New Roman" w:eastAsia="仿宋_GB2312" w:cs="仿宋_GB2312"/>
                <w:b/>
                <w:color w:val="auto"/>
                <w:kern w:val="0"/>
                <w:sz w:val="28"/>
                <w:szCs w:val="28"/>
              </w:rPr>
            </w:pP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8"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人力</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资源</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社会</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保障</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行政</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部门</w:t>
            </w:r>
          </w:p>
          <w:p>
            <w:pPr>
              <w:spacing w:line="48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意见</w:t>
            </w:r>
          </w:p>
        </w:tc>
        <w:tc>
          <w:tcPr>
            <w:tcW w:w="7761" w:type="dxa"/>
            <w:gridSpan w:val="4"/>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单位（章）：</w:t>
            </w:r>
          </w:p>
          <w:p>
            <w:pPr>
              <w:spacing w:line="500" w:lineRule="exact"/>
              <w:jc w:val="center"/>
              <w:rPr>
                <w:rFonts w:hint="eastAsia" w:ascii="Times New Roman" w:hAnsi="Times New Roman" w:eastAsia="仿宋_GB2312" w:cs="仿宋_GB2312"/>
                <w:b/>
                <w:color w:val="auto"/>
                <w:kern w:val="0"/>
                <w:sz w:val="28"/>
                <w:szCs w:val="28"/>
              </w:rPr>
            </w:pPr>
          </w:p>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分级</w:t>
            </w:r>
          </w:p>
          <w:p>
            <w:pPr>
              <w:spacing w:line="4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分类</w:t>
            </w:r>
          </w:p>
        </w:tc>
        <w:tc>
          <w:tcPr>
            <w:tcW w:w="776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imes New Roman" w:hAnsi="Times New Roman" w:eastAsia="仿宋_GB2312" w:cs="仿宋_GB2312"/>
                <w:b/>
                <w:color w:val="auto"/>
                <w:kern w:val="0"/>
                <w:sz w:val="28"/>
                <w:szCs w:val="28"/>
              </w:rPr>
            </w:pPr>
            <w:r>
              <w:rPr>
                <w:rFonts w:hint="eastAsia" w:ascii="Times New Roman" w:hAnsi="Times New Roman" w:eastAsia="仿宋_GB2312" w:cs="仿宋_GB2312"/>
                <w:b/>
                <w:color w:val="auto"/>
                <w:kern w:val="0"/>
                <w:sz w:val="28"/>
                <w:szCs w:val="28"/>
              </w:rPr>
              <w:t>根据有关规定，本次竞赛为      级      类竞赛。</w:t>
            </w:r>
          </w:p>
        </w:tc>
      </w:tr>
    </w:tbl>
    <w:p>
      <w:pPr>
        <w:rPr>
          <w:rFonts w:ascii="Times New Roman" w:hAnsi="Times New Roman"/>
          <w:color w:val="auto"/>
        </w:rPr>
        <w:sectPr>
          <w:pgSz w:w="11906" w:h="16838"/>
          <w:pgMar w:top="1418" w:right="1304" w:bottom="1418" w:left="1588" w:header="851" w:footer="992" w:gutter="0"/>
          <w:cols w:space="720" w:num="1"/>
          <w:docGrid w:type="lines" w:linePitch="312" w:charSpace="0"/>
        </w:sectPr>
      </w:pPr>
    </w:p>
    <w:p>
      <w:pPr>
        <w:jc w:val="left"/>
        <w:rPr>
          <w:rFonts w:hint="eastAsia" w:ascii="方正书宋_GBK" w:hAnsi="方正书宋_GBK" w:eastAsia="方正黑体_GBK" w:cs="方正黑体_GBK"/>
          <w:color w:val="auto"/>
          <w:sz w:val="32"/>
          <w:szCs w:val="32"/>
          <w:vertAlign w:val="baseline"/>
          <w:lang w:val="en-US" w:eastAsia="zh-CN"/>
        </w:rPr>
      </w:pPr>
      <w:r>
        <w:rPr>
          <w:rFonts w:hint="eastAsia" w:ascii="方正书宋_GBK" w:hAnsi="方正书宋_GBK" w:eastAsia="方正黑体_GBK" w:cs="方正黑体_GBK"/>
          <w:color w:val="auto"/>
          <w:sz w:val="32"/>
          <w:szCs w:val="32"/>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val="0"/>
        <w:spacing w:before="120" w:beforeLines="20"/>
        <w:jc w:val="center"/>
        <w:textAlignment w:val="auto"/>
        <w:rPr>
          <w:rFonts w:hint="eastAsia" w:ascii="方正小标宋_GBK" w:hAnsi="方正小标宋_GBK" w:eastAsia="方正小标宋_GBK" w:cs="方正小标宋_GBK"/>
          <w:b w:val="0"/>
          <w:bCs w:val="0"/>
          <w:color w:val="auto"/>
          <w:sz w:val="42"/>
          <w:szCs w:val="42"/>
          <w:lang w:val="en-US" w:eastAsia="zh-CN"/>
        </w:rPr>
      </w:pPr>
      <w:r>
        <w:rPr>
          <w:rFonts w:hint="eastAsia" w:ascii="方正小标宋_GBK" w:hAnsi="方正小标宋_GBK" w:eastAsia="方正小标宋_GBK" w:cs="方正小标宋_GBK"/>
          <w:b w:val="0"/>
          <w:bCs w:val="0"/>
          <w:color w:val="auto"/>
          <w:sz w:val="42"/>
          <w:szCs w:val="42"/>
          <w:lang w:val="en-US" w:eastAsia="zh-CN"/>
        </w:rPr>
        <w:t>昌吉州职业技能竞赛优秀选手晋升职业资格</w:t>
      </w:r>
    </w:p>
    <w:p>
      <w:pPr>
        <w:keepNext w:val="0"/>
        <w:keepLines w:val="0"/>
        <w:pageBreakBefore w:val="0"/>
        <w:widowControl w:val="0"/>
        <w:kinsoku/>
        <w:wordWrap/>
        <w:overflowPunct/>
        <w:topLinePunct w:val="0"/>
        <w:autoSpaceDE/>
        <w:autoSpaceDN/>
        <w:bidi w:val="0"/>
        <w:adjustRightInd/>
        <w:snapToGrid w:val="0"/>
        <w:spacing w:after="61" w:afterLines="10"/>
        <w:jc w:val="center"/>
        <w:textAlignment w:val="auto"/>
        <w:rPr>
          <w:rFonts w:hint="eastAsia" w:ascii="方正小标宋_GBK" w:hAnsi="方正小标宋_GBK" w:eastAsia="方正小标宋_GBK" w:cs="方正小标宋_GBK"/>
          <w:b w:val="0"/>
          <w:bCs w:val="0"/>
          <w:color w:val="auto"/>
          <w:sz w:val="42"/>
          <w:szCs w:val="42"/>
          <w:lang w:val="en-US" w:eastAsia="zh-CN"/>
        </w:rPr>
      </w:pPr>
      <w:r>
        <w:rPr>
          <w:rFonts w:hint="eastAsia" w:ascii="方正小标宋_GBK" w:hAnsi="方正小标宋_GBK" w:eastAsia="方正小标宋_GBK" w:cs="方正小标宋_GBK"/>
          <w:b w:val="0"/>
          <w:bCs w:val="0"/>
          <w:color w:val="auto"/>
          <w:sz w:val="42"/>
          <w:szCs w:val="42"/>
          <w:lang w:val="en-US" w:eastAsia="zh-CN"/>
        </w:rPr>
        <w:t>（职业技能等级）申请表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140"/>
        <w:gridCol w:w="376"/>
        <w:gridCol w:w="764"/>
        <w:gridCol w:w="851"/>
        <w:gridCol w:w="289"/>
        <w:gridCol w:w="523"/>
        <w:gridCol w:w="623"/>
        <w:gridCol w:w="264"/>
        <w:gridCol w:w="87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姓名</w:t>
            </w:r>
          </w:p>
        </w:tc>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性别</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81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民族</w:t>
            </w:r>
          </w:p>
        </w:tc>
        <w:tc>
          <w:tcPr>
            <w:tcW w:w="88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201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2寸近照</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出生年月</w:t>
            </w:r>
          </w:p>
        </w:tc>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政治面貌</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81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文化程度</w:t>
            </w:r>
          </w:p>
        </w:tc>
        <w:tc>
          <w:tcPr>
            <w:tcW w:w="88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201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参加工作时间</w:t>
            </w:r>
          </w:p>
        </w:tc>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职业工种</w:t>
            </w:r>
          </w:p>
        </w:tc>
        <w:tc>
          <w:tcPr>
            <w:tcW w:w="2550" w:type="dxa"/>
            <w:gridSpan w:val="5"/>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201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val="en" w:eastAsia="zh-CN"/>
              </w:rPr>
            </w:pPr>
            <w:r>
              <w:rPr>
                <w:rFonts w:hint="eastAsia" w:ascii="宋体" w:hAnsi="宋体" w:eastAsia="宋体" w:cs="宋体"/>
                <w:color w:val="auto"/>
                <w:sz w:val="21"/>
                <w:szCs w:val="21"/>
                <w:vertAlign w:val="baseline"/>
                <w:lang w:val="en" w:eastAsia="zh-CN"/>
              </w:rPr>
              <w:t>原</w:t>
            </w:r>
            <w:r>
              <w:rPr>
                <w:rFonts w:hint="eastAsia" w:ascii="宋体" w:hAnsi="宋体" w:eastAsia="宋体" w:cs="宋体"/>
                <w:color w:val="auto"/>
                <w:sz w:val="21"/>
                <w:szCs w:val="21"/>
                <w:vertAlign w:val="baseline"/>
                <w:lang w:eastAsia="zh-CN"/>
              </w:rPr>
              <w:t>职业技能</w:t>
            </w:r>
            <w:r>
              <w:rPr>
                <w:rFonts w:hint="eastAsia" w:ascii="宋体" w:hAnsi="宋体" w:eastAsia="宋体" w:cs="宋体"/>
                <w:color w:val="auto"/>
                <w:sz w:val="21"/>
                <w:szCs w:val="21"/>
                <w:vertAlign w:val="baseline"/>
                <w:lang w:val="en" w:eastAsia="zh-CN"/>
              </w:rPr>
              <w:t>等级</w:t>
            </w:r>
          </w:p>
        </w:tc>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161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原职业技能等级证书编码</w:t>
            </w:r>
          </w:p>
        </w:tc>
        <w:tc>
          <w:tcPr>
            <w:tcW w:w="1699" w:type="dxa"/>
            <w:gridSpan w:val="4"/>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201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工作单位</w:t>
            </w:r>
          </w:p>
        </w:tc>
        <w:tc>
          <w:tcPr>
            <w:tcW w:w="4830" w:type="dxa"/>
            <w:gridSpan w:val="8"/>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201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通讯地址</w:t>
            </w:r>
          </w:p>
        </w:tc>
        <w:tc>
          <w:tcPr>
            <w:tcW w:w="394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88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邮编</w:t>
            </w:r>
          </w:p>
        </w:tc>
        <w:tc>
          <w:tcPr>
            <w:tcW w:w="2013"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联系电话</w:t>
            </w:r>
          </w:p>
        </w:tc>
        <w:tc>
          <w:tcPr>
            <w:tcW w:w="2280"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1663"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身份证号</w:t>
            </w:r>
          </w:p>
        </w:tc>
        <w:tc>
          <w:tcPr>
            <w:tcW w:w="2900" w:type="dxa"/>
            <w:gridSpan w:val="4"/>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工作简历</w:t>
            </w:r>
          </w:p>
        </w:tc>
        <w:tc>
          <w:tcPr>
            <w:tcW w:w="6843" w:type="dxa"/>
            <w:gridSpan w:val="10"/>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参加职业技能</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竞赛成绩</w:t>
            </w:r>
          </w:p>
        </w:tc>
        <w:tc>
          <w:tcPr>
            <w:tcW w:w="6843" w:type="dxa"/>
            <w:gridSpan w:val="10"/>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参加</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职业技能大赛获得第</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名，晋升</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职业技能等级。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理论成绩</w:t>
            </w: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实操成绩</w:t>
            </w:r>
          </w:p>
        </w:tc>
        <w:tc>
          <w:tcPr>
            <w:tcW w:w="1146"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综合成绩</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县市（园区）或主管部门意见</w:t>
            </w:r>
          </w:p>
        </w:tc>
        <w:tc>
          <w:tcPr>
            <w:tcW w:w="6843" w:type="dxa"/>
            <w:gridSpan w:val="10"/>
            <w:noWrap w:val="0"/>
            <w:vAlign w:val="bottom"/>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年</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月</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州人力资源和</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社会保障局意见</w:t>
            </w:r>
          </w:p>
        </w:tc>
        <w:tc>
          <w:tcPr>
            <w:tcW w:w="6843" w:type="dxa"/>
            <w:gridSpan w:val="10"/>
            <w:noWrap w:val="0"/>
            <w:vAlign w:val="bottom"/>
          </w:tcPr>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年</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月</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备</w:t>
            </w:r>
            <w:r>
              <w:rPr>
                <w:rFonts w:hint="eastAsia" w:ascii="宋体" w:hAnsi="宋体" w:eastAsia="宋体" w:cs="宋体"/>
                <w:color w:val="auto"/>
                <w:sz w:val="21"/>
                <w:szCs w:val="21"/>
                <w:vertAlign w:val="baseline"/>
                <w:lang w:val="en-US" w:eastAsia="zh-CN"/>
              </w:rPr>
              <w:t xml:space="preserve">  </w:t>
            </w:r>
            <w:r>
              <w:rPr>
                <w:rFonts w:hint="eastAsia" w:ascii="宋体" w:hAnsi="宋体" w:eastAsia="宋体" w:cs="宋体"/>
                <w:color w:val="auto"/>
                <w:sz w:val="21"/>
                <w:szCs w:val="21"/>
                <w:vertAlign w:val="baseline"/>
                <w:lang w:eastAsia="zh-CN"/>
              </w:rPr>
              <w:t>注</w:t>
            </w:r>
          </w:p>
        </w:tc>
        <w:tc>
          <w:tcPr>
            <w:tcW w:w="6843" w:type="dxa"/>
            <w:gridSpan w:val="10"/>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val="0"/>
        <w:spacing w:before="120" w:beforeLines="20"/>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说明：1. 此表一式3份，州人力资源社会保障局、</w:t>
      </w:r>
      <w:r>
        <w:rPr>
          <w:rFonts w:hint="eastAsia" w:ascii="宋体" w:hAnsi="宋体" w:eastAsia="宋体" w:cs="宋体"/>
          <w:color w:val="auto"/>
          <w:sz w:val="21"/>
          <w:szCs w:val="21"/>
          <w:vertAlign w:val="baseline"/>
          <w:lang w:eastAsia="zh-CN"/>
        </w:rPr>
        <w:t>县市（园区）或主管部门</w:t>
      </w:r>
      <w:r>
        <w:rPr>
          <w:rFonts w:hint="eastAsia" w:ascii="宋体" w:hAnsi="宋体" w:eastAsia="宋体" w:cs="宋体"/>
          <w:color w:val="auto"/>
          <w:sz w:val="21"/>
          <w:szCs w:val="21"/>
          <w:lang w:val="en-US" w:eastAsia="zh-CN"/>
        </w:rPr>
        <w:t>、选手单位各1份。2. 同时提交电子照片1份。</w:t>
      </w:r>
    </w:p>
    <w:p>
      <w:pPr>
        <w:rPr>
          <w:rFonts w:hint="eastAsia" w:ascii="仿宋_GB2312" w:eastAsia="仿宋_GB2312"/>
          <w:b/>
          <w:bCs/>
          <w:color w:val="auto"/>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3</w:t>
      </w:r>
    </w:p>
    <w:p>
      <w:pPr>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lang w:eastAsia="zh-CN"/>
        </w:rPr>
        <w:t>昌吉州</w:t>
      </w:r>
      <w:r>
        <w:rPr>
          <w:rFonts w:hint="eastAsia" w:ascii="方正小标宋_GBK" w:hAnsi="方正小标宋_GBK" w:eastAsia="方正小标宋_GBK" w:cs="方正小标宋_GBK"/>
          <w:b w:val="0"/>
          <w:bCs w:val="0"/>
          <w:color w:val="auto"/>
          <w:sz w:val="36"/>
          <w:szCs w:val="36"/>
        </w:rPr>
        <w:t>职业技能竞赛情况总结汇总表</w:t>
      </w:r>
    </w:p>
    <w:tbl>
      <w:tblPr>
        <w:tblStyle w:val="14"/>
        <w:tblpPr w:leftFromText="180" w:rightFromText="180" w:vertAnchor="text" w:horzAnchor="page" w:tblpXSpec="center" w:tblpY="312"/>
        <w:tblOverlap w:val="never"/>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97"/>
        <w:gridCol w:w="748"/>
        <w:gridCol w:w="541"/>
        <w:gridCol w:w="179"/>
        <w:gridCol w:w="361"/>
        <w:gridCol w:w="900"/>
        <w:gridCol w:w="360"/>
        <w:gridCol w:w="360"/>
        <w:gridCol w:w="1"/>
        <w:gridCol w:w="720"/>
        <w:gridCol w:w="1260"/>
        <w:gridCol w:w="1"/>
        <w:gridCol w:w="360"/>
        <w:gridCol w:w="360"/>
        <w:gridCol w:w="180"/>
        <w:gridCol w:w="540"/>
        <w:gridCol w:w="72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竞赛名称</w:t>
            </w:r>
          </w:p>
        </w:tc>
        <w:tc>
          <w:tcPr>
            <w:tcW w:w="8679" w:type="dxa"/>
            <w:gridSpan w:val="17"/>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主办单位</w:t>
            </w:r>
          </w:p>
        </w:tc>
        <w:tc>
          <w:tcPr>
            <w:tcW w:w="8679" w:type="dxa"/>
            <w:gridSpan w:val="17"/>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承办单位</w:t>
            </w:r>
          </w:p>
        </w:tc>
        <w:tc>
          <w:tcPr>
            <w:tcW w:w="8679" w:type="dxa"/>
            <w:gridSpan w:val="17"/>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竞赛级别</w:t>
            </w:r>
          </w:p>
        </w:tc>
        <w:tc>
          <w:tcPr>
            <w:tcW w:w="1289" w:type="dxa"/>
            <w:gridSpan w:val="2"/>
            <w:noWrap w:val="0"/>
            <w:vAlign w:val="center"/>
          </w:tcPr>
          <w:p>
            <w:pPr>
              <w:jc w:val="center"/>
              <w:rPr>
                <w:rFonts w:hint="eastAsia" w:ascii="仿宋_GB2312" w:eastAsia="仿宋_GB2312"/>
                <w:color w:val="auto"/>
                <w:szCs w:val="21"/>
              </w:rPr>
            </w:pPr>
          </w:p>
        </w:tc>
        <w:tc>
          <w:tcPr>
            <w:tcW w:w="2161" w:type="dxa"/>
            <w:gridSpan w:val="6"/>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竞赛起始、结束时间</w:t>
            </w:r>
          </w:p>
        </w:tc>
        <w:tc>
          <w:tcPr>
            <w:tcW w:w="5229" w:type="dxa"/>
            <w:gridSpan w:val="9"/>
            <w:noWrap w:val="0"/>
            <w:vAlign w:val="center"/>
          </w:tcPr>
          <w:p>
            <w:pPr>
              <w:ind w:firstLine="1050" w:firstLineChars="500"/>
              <w:jc w:val="center"/>
              <w:rPr>
                <w:rFonts w:hint="eastAsia" w:ascii="仿宋_GB2312" w:eastAsia="仿宋_GB2312"/>
                <w:color w:val="auto"/>
                <w:szCs w:val="21"/>
              </w:rPr>
            </w:pPr>
            <w:r>
              <w:rPr>
                <w:rFonts w:hint="eastAsia" w:ascii="仿宋_GB2312" w:eastAsia="仿宋_GB2312"/>
                <w:color w:val="auto"/>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0" w:type="dxa"/>
            <w:gridSpan w:val="4"/>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竞赛职业工种（属专</w:t>
            </w:r>
          </w:p>
          <w:p>
            <w:pPr>
              <w:jc w:val="center"/>
              <w:rPr>
                <w:rFonts w:hint="eastAsia" w:ascii="仿宋_GB2312" w:eastAsia="仿宋_GB2312"/>
                <w:color w:val="auto"/>
                <w:szCs w:val="21"/>
              </w:rPr>
            </w:pPr>
            <w:r>
              <w:rPr>
                <w:rFonts w:hint="eastAsia" w:ascii="仿宋_GB2312" w:eastAsia="仿宋_GB2312"/>
                <w:color w:val="auto"/>
                <w:szCs w:val="21"/>
              </w:rPr>
              <w:t>项职业能力的需注明）</w:t>
            </w:r>
          </w:p>
        </w:tc>
        <w:tc>
          <w:tcPr>
            <w:tcW w:w="7390" w:type="dxa"/>
            <w:gridSpan w:val="15"/>
            <w:tcBorders>
              <w:top w:val="nil"/>
            </w:tcBorders>
            <w:noWrap w:val="0"/>
            <w:vAlign w:val="center"/>
          </w:tcPr>
          <w:p>
            <w:pPr>
              <w:widowControl/>
              <w:jc w:val="center"/>
              <w:rPr>
                <w:rFonts w:ascii="仿宋_GB2312" w:eastAsia="仿宋_GB2312"/>
                <w:color w:val="auto"/>
                <w:szCs w:val="21"/>
              </w:rPr>
            </w:pPr>
          </w:p>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restart"/>
            <w:noWrap w:val="0"/>
            <w:vAlign w:val="top"/>
          </w:tcPr>
          <w:p>
            <w:pPr>
              <w:jc w:val="center"/>
              <w:rPr>
                <w:rFonts w:hint="eastAsia" w:ascii="仿宋_GB2312" w:eastAsia="仿宋_GB2312"/>
                <w:color w:val="auto"/>
                <w:szCs w:val="21"/>
              </w:rPr>
            </w:pPr>
          </w:p>
          <w:p>
            <w:pPr>
              <w:jc w:val="center"/>
              <w:rPr>
                <w:rFonts w:hint="eastAsia" w:ascii="仿宋_GB2312" w:eastAsia="仿宋_GB2312"/>
                <w:color w:val="auto"/>
                <w:szCs w:val="21"/>
              </w:rPr>
            </w:pPr>
          </w:p>
          <w:p>
            <w:pPr>
              <w:jc w:val="center"/>
              <w:rPr>
                <w:rFonts w:hint="eastAsia" w:ascii="仿宋_GB2312" w:eastAsia="仿宋_GB2312"/>
                <w:color w:val="auto"/>
                <w:szCs w:val="21"/>
              </w:rPr>
            </w:pPr>
            <w:r>
              <w:rPr>
                <w:rFonts w:hint="eastAsia" w:ascii="仿宋_GB2312" w:eastAsia="仿宋_GB2312"/>
                <w:color w:val="auto"/>
                <w:szCs w:val="21"/>
              </w:rPr>
              <w:t>初</w:t>
            </w:r>
          </w:p>
          <w:p>
            <w:pPr>
              <w:jc w:val="center"/>
              <w:rPr>
                <w:rFonts w:hint="eastAsia" w:ascii="仿宋_GB2312" w:eastAsia="仿宋_GB2312"/>
                <w:color w:val="auto"/>
                <w:szCs w:val="21"/>
              </w:rPr>
            </w:pPr>
          </w:p>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赛</w:t>
            </w:r>
          </w:p>
          <w:p>
            <w:pPr>
              <w:jc w:val="cente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职业（工种）</w:t>
            </w:r>
          </w:p>
        </w:tc>
        <w:tc>
          <w:tcPr>
            <w:tcW w:w="2341" w:type="dxa"/>
            <w:gridSpan w:val="5"/>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组织单位</w:t>
            </w:r>
          </w:p>
        </w:tc>
        <w:tc>
          <w:tcPr>
            <w:tcW w:w="2341" w:type="dxa"/>
            <w:gridSpan w:val="4"/>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竞赛地点</w:t>
            </w:r>
          </w:p>
        </w:tc>
        <w:tc>
          <w:tcPr>
            <w:tcW w:w="721"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时间</w:t>
            </w:r>
          </w:p>
        </w:tc>
        <w:tc>
          <w:tcPr>
            <w:tcW w:w="72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参赛</w:t>
            </w:r>
          </w:p>
          <w:p>
            <w:pPr>
              <w:jc w:val="center"/>
              <w:rPr>
                <w:rFonts w:hint="eastAsia" w:ascii="仿宋_GB2312" w:eastAsia="仿宋_GB2312"/>
                <w:color w:val="auto"/>
                <w:szCs w:val="21"/>
              </w:rPr>
            </w:pPr>
            <w:r>
              <w:rPr>
                <w:rFonts w:hint="eastAsia" w:ascii="仿宋_GB2312" w:eastAsia="仿宋_GB2312"/>
                <w:color w:val="auto"/>
                <w:szCs w:val="21"/>
              </w:rPr>
              <w:t>人数</w:t>
            </w:r>
          </w:p>
        </w:tc>
        <w:tc>
          <w:tcPr>
            <w:tcW w:w="1808"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restart"/>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restart"/>
            <w:noWrap w:val="0"/>
            <w:vAlign w:val="top"/>
          </w:tcPr>
          <w:p>
            <w:pPr>
              <w:jc w:val="center"/>
              <w:rPr>
                <w:rFonts w:hint="eastAsia" w:ascii="仿宋_GB2312" w:eastAsia="仿宋_GB2312"/>
                <w:color w:val="auto"/>
                <w:szCs w:val="21"/>
              </w:rPr>
            </w:pPr>
          </w:p>
          <w:p>
            <w:pPr>
              <w:jc w:val="center"/>
              <w:rPr>
                <w:rFonts w:hint="eastAsia" w:ascii="仿宋_GB2312" w:eastAsia="仿宋_GB2312"/>
                <w:color w:val="auto"/>
                <w:szCs w:val="21"/>
              </w:rPr>
            </w:pPr>
          </w:p>
          <w:p>
            <w:pPr>
              <w:jc w:val="center"/>
              <w:rPr>
                <w:rFonts w:hint="eastAsia" w:ascii="仿宋_GB2312" w:eastAsia="仿宋_GB2312"/>
                <w:color w:val="auto"/>
                <w:szCs w:val="21"/>
              </w:rPr>
            </w:pPr>
            <w:r>
              <w:rPr>
                <w:rFonts w:hint="eastAsia" w:ascii="仿宋_GB2312" w:eastAsia="仿宋_GB2312"/>
                <w:color w:val="auto"/>
                <w:szCs w:val="21"/>
              </w:rPr>
              <w:t>复</w:t>
            </w:r>
          </w:p>
          <w:p>
            <w:pPr>
              <w:jc w:val="center"/>
              <w:rPr>
                <w:rFonts w:hint="eastAsia" w:ascii="仿宋_GB2312" w:eastAsia="仿宋_GB2312"/>
                <w:color w:val="auto"/>
                <w:szCs w:val="21"/>
              </w:rPr>
            </w:pPr>
          </w:p>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赛</w:t>
            </w:r>
          </w:p>
          <w:p>
            <w:pPr>
              <w:jc w:val="cente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职业（工种）</w:t>
            </w:r>
          </w:p>
        </w:tc>
        <w:tc>
          <w:tcPr>
            <w:tcW w:w="2341" w:type="dxa"/>
            <w:gridSpan w:val="5"/>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组织单位</w:t>
            </w:r>
          </w:p>
        </w:tc>
        <w:tc>
          <w:tcPr>
            <w:tcW w:w="2341" w:type="dxa"/>
            <w:gridSpan w:val="4"/>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竞赛地点</w:t>
            </w:r>
          </w:p>
        </w:tc>
        <w:tc>
          <w:tcPr>
            <w:tcW w:w="721"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时间</w:t>
            </w:r>
          </w:p>
        </w:tc>
        <w:tc>
          <w:tcPr>
            <w:tcW w:w="72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参赛</w:t>
            </w:r>
          </w:p>
          <w:p>
            <w:pPr>
              <w:jc w:val="center"/>
              <w:rPr>
                <w:rFonts w:hint="eastAsia" w:ascii="仿宋_GB2312" w:eastAsia="仿宋_GB2312"/>
                <w:color w:val="auto"/>
                <w:szCs w:val="21"/>
              </w:rPr>
            </w:pPr>
            <w:r>
              <w:rPr>
                <w:rFonts w:hint="eastAsia" w:ascii="仿宋_GB2312" w:eastAsia="仿宋_GB2312"/>
                <w:color w:val="auto"/>
                <w:szCs w:val="21"/>
              </w:rPr>
              <w:t>人数</w:t>
            </w:r>
          </w:p>
        </w:tc>
        <w:tc>
          <w:tcPr>
            <w:tcW w:w="1808"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restart"/>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restart"/>
            <w:noWrap w:val="0"/>
            <w:vAlign w:val="top"/>
          </w:tcPr>
          <w:p>
            <w:pPr>
              <w:jc w:val="center"/>
              <w:rPr>
                <w:rFonts w:hint="eastAsia" w:ascii="仿宋_GB2312" w:eastAsia="仿宋_GB2312"/>
                <w:color w:val="auto"/>
                <w:szCs w:val="21"/>
              </w:rPr>
            </w:pPr>
          </w:p>
          <w:p>
            <w:pPr>
              <w:jc w:val="center"/>
              <w:rPr>
                <w:rFonts w:hint="eastAsia" w:ascii="仿宋_GB2312" w:eastAsia="仿宋_GB2312"/>
                <w:color w:val="auto"/>
                <w:szCs w:val="21"/>
              </w:rPr>
            </w:pPr>
          </w:p>
          <w:p>
            <w:pPr>
              <w:jc w:val="center"/>
              <w:rPr>
                <w:rFonts w:hint="eastAsia" w:ascii="仿宋_GB2312" w:eastAsia="仿宋_GB2312"/>
                <w:color w:val="auto"/>
                <w:szCs w:val="21"/>
              </w:rPr>
            </w:pPr>
            <w:r>
              <w:rPr>
                <w:rFonts w:hint="eastAsia" w:ascii="仿宋_GB2312" w:eastAsia="仿宋_GB2312"/>
                <w:color w:val="auto"/>
                <w:szCs w:val="21"/>
              </w:rPr>
              <w:t>决</w:t>
            </w:r>
          </w:p>
          <w:p>
            <w:pPr>
              <w:jc w:val="center"/>
              <w:rPr>
                <w:rFonts w:hint="eastAsia" w:ascii="仿宋_GB2312" w:eastAsia="仿宋_GB2312"/>
                <w:color w:val="auto"/>
                <w:szCs w:val="21"/>
              </w:rPr>
            </w:pPr>
          </w:p>
          <w:p>
            <w:pPr>
              <w:rPr>
                <w:rFonts w:hint="eastAsia" w:ascii="仿宋_GB2312" w:eastAsia="仿宋_GB2312"/>
                <w:color w:val="auto"/>
                <w:szCs w:val="21"/>
              </w:rPr>
            </w:pPr>
            <w:r>
              <w:rPr>
                <w:rFonts w:hint="eastAsia" w:ascii="仿宋_GB2312" w:eastAsia="仿宋_GB2312"/>
                <w:color w:val="auto"/>
                <w:szCs w:val="21"/>
              </w:rPr>
              <w:t>赛</w:t>
            </w:r>
          </w:p>
        </w:tc>
        <w:tc>
          <w:tcPr>
            <w:tcW w:w="1445"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（职业工种）</w:t>
            </w:r>
          </w:p>
        </w:tc>
        <w:tc>
          <w:tcPr>
            <w:tcW w:w="2341" w:type="dxa"/>
            <w:gridSpan w:val="5"/>
            <w:noWrap w:val="0"/>
            <w:vAlign w:val="center"/>
          </w:tcPr>
          <w:p>
            <w:pPr>
              <w:ind w:firstLine="105" w:firstLineChars="50"/>
              <w:jc w:val="center"/>
              <w:rPr>
                <w:rFonts w:hint="eastAsia" w:ascii="仿宋_GB2312" w:eastAsia="仿宋_GB2312"/>
                <w:color w:val="auto"/>
                <w:szCs w:val="21"/>
              </w:rPr>
            </w:pPr>
            <w:r>
              <w:rPr>
                <w:rFonts w:hint="eastAsia" w:ascii="仿宋_GB2312" w:eastAsia="仿宋_GB2312"/>
                <w:color w:val="auto"/>
                <w:szCs w:val="21"/>
              </w:rPr>
              <w:t>组织单位</w:t>
            </w:r>
          </w:p>
        </w:tc>
        <w:tc>
          <w:tcPr>
            <w:tcW w:w="2341" w:type="dxa"/>
            <w:gridSpan w:val="4"/>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竞赛地点</w:t>
            </w:r>
          </w:p>
        </w:tc>
        <w:tc>
          <w:tcPr>
            <w:tcW w:w="721"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时间</w:t>
            </w:r>
          </w:p>
        </w:tc>
        <w:tc>
          <w:tcPr>
            <w:tcW w:w="720" w:type="dxa"/>
            <w:gridSpan w:val="2"/>
            <w:noWrap w:val="0"/>
            <w:vAlign w:val="center"/>
          </w:tcPr>
          <w:p>
            <w:pPr>
              <w:ind w:left="15"/>
              <w:jc w:val="center"/>
              <w:rPr>
                <w:rFonts w:hint="eastAsia" w:ascii="仿宋_GB2312" w:eastAsia="仿宋_GB2312"/>
                <w:color w:val="auto"/>
                <w:szCs w:val="21"/>
              </w:rPr>
            </w:pPr>
            <w:r>
              <w:rPr>
                <w:rFonts w:hint="eastAsia" w:ascii="仿宋_GB2312" w:eastAsia="仿宋_GB2312"/>
                <w:color w:val="auto"/>
                <w:szCs w:val="21"/>
              </w:rPr>
              <w:t>参赛</w:t>
            </w:r>
          </w:p>
          <w:p>
            <w:pPr>
              <w:ind w:left="15"/>
              <w:jc w:val="center"/>
              <w:rPr>
                <w:rFonts w:hint="eastAsia" w:ascii="仿宋_GB2312" w:eastAsia="仿宋_GB2312"/>
                <w:color w:val="auto"/>
                <w:szCs w:val="21"/>
              </w:rPr>
            </w:pPr>
            <w:r>
              <w:rPr>
                <w:rFonts w:hint="eastAsia" w:ascii="仿宋_GB2312" w:eastAsia="仿宋_GB2312"/>
                <w:color w:val="auto"/>
                <w:szCs w:val="21"/>
              </w:rPr>
              <w:t>人数</w:t>
            </w:r>
          </w:p>
        </w:tc>
        <w:tc>
          <w:tcPr>
            <w:tcW w:w="1808"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restart"/>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2341" w:type="dxa"/>
            <w:gridSpan w:val="5"/>
            <w:noWrap w:val="0"/>
            <w:vAlign w:val="center"/>
          </w:tcPr>
          <w:p>
            <w:pPr>
              <w:jc w:val="center"/>
              <w:rPr>
                <w:rFonts w:hint="eastAsia" w:ascii="仿宋_GB2312" w:eastAsia="仿宋_GB2312"/>
                <w:color w:val="auto"/>
                <w:szCs w:val="21"/>
              </w:rPr>
            </w:pPr>
          </w:p>
        </w:tc>
        <w:tc>
          <w:tcPr>
            <w:tcW w:w="2341" w:type="dxa"/>
            <w:gridSpan w:val="4"/>
            <w:noWrap w:val="0"/>
            <w:vAlign w:val="center"/>
          </w:tcPr>
          <w:p>
            <w:pPr>
              <w:jc w:val="center"/>
              <w:rPr>
                <w:rFonts w:hint="eastAsia" w:ascii="仿宋_GB2312" w:eastAsia="仿宋_GB2312"/>
                <w:color w:val="auto"/>
                <w:szCs w:val="21"/>
              </w:rPr>
            </w:pPr>
          </w:p>
        </w:tc>
        <w:tc>
          <w:tcPr>
            <w:tcW w:w="721" w:type="dxa"/>
            <w:gridSpan w:val="3"/>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1808" w:type="dxa"/>
            <w:gridSpan w:val="2"/>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restart"/>
            <w:noWrap w:val="0"/>
            <w:vAlign w:val="top"/>
          </w:tcPr>
          <w:p>
            <w:pPr>
              <w:rPr>
                <w:rFonts w:hint="eastAsia" w:ascii="仿宋_GB2312" w:eastAsia="仿宋_GB2312"/>
                <w:color w:val="auto"/>
                <w:szCs w:val="21"/>
              </w:rPr>
            </w:pPr>
          </w:p>
          <w:p>
            <w:pPr>
              <w:rPr>
                <w:rFonts w:hint="eastAsia" w:ascii="仿宋_GB2312" w:eastAsia="仿宋_GB2312"/>
                <w:color w:val="auto"/>
                <w:szCs w:val="21"/>
              </w:rPr>
            </w:pPr>
            <w:r>
              <w:rPr>
                <w:rFonts w:hint="eastAsia" w:ascii="仿宋_GB2312" w:eastAsia="仿宋_GB2312"/>
                <w:color w:val="auto"/>
                <w:szCs w:val="21"/>
              </w:rPr>
              <w:t>表</w:t>
            </w:r>
          </w:p>
          <w:p>
            <w:pPr>
              <w:rPr>
                <w:rFonts w:hint="eastAsia" w:ascii="仿宋_GB2312" w:eastAsia="仿宋_GB2312"/>
                <w:color w:val="auto"/>
                <w:szCs w:val="21"/>
              </w:rPr>
            </w:pPr>
            <w:r>
              <w:rPr>
                <w:rFonts w:hint="eastAsia" w:ascii="仿宋_GB2312" w:eastAsia="仿宋_GB2312"/>
                <w:color w:val="auto"/>
                <w:szCs w:val="21"/>
              </w:rPr>
              <w:t>彰</w:t>
            </w:r>
          </w:p>
          <w:p>
            <w:pPr>
              <w:rPr>
                <w:rFonts w:hint="eastAsia" w:ascii="仿宋_GB2312" w:eastAsia="仿宋_GB2312"/>
                <w:color w:val="auto"/>
                <w:szCs w:val="21"/>
              </w:rPr>
            </w:pPr>
            <w:r>
              <w:rPr>
                <w:rFonts w:hint="eastAsia" w:ascii="仿宋_GB2312" w:eastAsia="仿宋_GB2312"/>
                <w:color w:val="auto"/>
                <w:szCs w:val="21"/>
              </w:rPr>
              <w:t>奖</w:t>
            </w:r>
          </w:p>
          <w:p>
            <w:pPr>
              <w:rPr>
                <w:rFonts w:hint="eastAsia" w:ascii="仿宋_GB2312" w:eastAsia="仿宋_GB2312"/>
                <w:color w:val="auto"/>
                <w:szCs w:val="21"/>
              </w:rPr>
            </w:pPr>
            <w:r>
              <w:rPr>
                <w:rFonts w:hint="eastAsia" w:ascii="仿宋_GB2312" w:eastAsia="仿宋_GB2312"/>
                <w:color w:val="auto"/>
                <w:szCs w:val="21"/>
              </w:rPr>
              <w:t>励</w:t>
            </w:r>
          </w:p>
          <w:p>
            <w:pPr>
              <w:rPr>
                <w:rFonts w:hint="eastAsia" w:ascii="仿宋_GB2312" w:eastAsia="仿宋_GB2312"/>
                <w:color w:val="auto"/>
                <w:szCs w:val="21"/>
              </w:rPr>
            </w:pPr>
            <w:r>
              <w:rPr>
                <w:rFonts w:hint="eastAsia" w:ascii="仿宋_GB2312" w:eastAsia="仿宋_GB2312"/>
                <w:color w:val="auto"/>
                <w:szCs w:val="21"/>
              </w:rPr>
              <w:t>情</w:t>
            </w:r>
          </w:p>
          <w:p>
            <w:pPr>
              <w:rPr>
                <w:rFonts w:hint="eastAsia" w:ascii="仿宋_GB2312" w:eastAsia="仿宋_GB2312"/>
                <w:color w:val="auto"/>
                <w:szCs w:val="21"/>
              </w:rPr>
            </w:pPr>
            <w:r>
              <w:rPr>
                <w:rFonts w:hint="eastAsia" w:ascii="仿宋_GB2312" w:eastAsia="仿宋_GB2312"/>
                <w:color w:val="auto"/>
                <w:szCs w:val="21"/>
              </w:rPr>
              <w:t>况</w:t>
            </w:r>
          </w:p>
        </w:tc>
        <w:tc>
          <w:tcPr>
            <w:tcW w:w="1445"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职业（工种）</w:t>
            </w:r>
          </w:p>
        </w:tc>
        <w:tc>
          <w:tcPr>
            <w:tcW w:w="72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名次</w:t>
            </w:r>
          </w:p>
        </w:tc>
        <w:tc>
          <w:tcPr>
            <w:tcW w:w="2702" w:type="dxa"/>
            <w:gridSpan w:val="6"/>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称号</w:t>
            </w:r>
          </w:p>
        </w:tc>
        <w:tc>
          <w:tcPr>
            <w:tcW w:w="1621"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物质奖励</w:t>
            </w:r>
          </w:p>
        </w:tc>
        <w:tc>
          <w:tcPr>
            <w:tcW w:w="1080"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奖励金额</w:t>
            </w:r>
          </w:p>
        </w:tc>
        <w:tc>
          <w:tcPr>
            <w:tcW w:w="1808"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资格证书等级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2702" w:type="dxa"/>
            <w:gridSpan w:val="6"/>
            <w:noWrap w:val="0"/>
            <w:vAlign w:val="center"/>
          </w:tcPr>
          <w:p>
            <w:pPr>
              <w:jc w:val="center"/>
              <w:rPr>
                <w:rFonts w:hint="eastAsia"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2702" w:type="dxa"/>
            <w:gridSpan w:val="6"/>
            <w:noWrap w:val="0"/>
            <w:vAlign w:val="center"/>
          </w:tcPr>
          <w:p>
            <w:pPr>
              <w:jc w:val="center"/>
              <w:rPr>
                <w:rFonts w:hint="eastAsia"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2702" w:type="dxa"/>
            <w:gridSpan w:val="6"/>
            <w:noWrap w:val="0"/>
            <w:vAlign w:val="center"/>
          </w:tcPr>
          <w:p>
            <w:pPr>
              <w:jc w:val="center"/>
              <w:rPr>
                <w:rFonts w:hint="eastAsia"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2702" w:type="dxa"/>
            <w:gridSpan w:val="6"/>
            <w:noWrap w:val="0"/>
            <w:vAlign w:val="center"/>
          </w:tcPr>
          <w:p>
            <w:pPr>
              <w:jc w:val="center"/>
              <w:rPr>
                <w:rFonts w:hint="eastAsia"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p>
        </w:tc>
        <w:tc>
          <w:tcPr>
            <w:tcW w:w="2702" w:type="dxa"/>
            <w:gridSpan w:val="6"/>
            <w:noWrap w:val="0"/>
            <w:vAlign w:val="center"/>
          </w:tcPr>
          <w:p>
            <w:pPr>
              <w:jc w:val="center"/>
              <w:rPr>
                <w:rFonts w:hint="eastAsia"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ascii="仿宋_GB2312" w:eastAsia="仿宋_GB2312"/>
                <w:color w:val="auto"/>
                <w:szCs w:val="21"/>
              </w:rPr>
            </w:pPr>
          </w:p>
        </w:tc>
        <w:tc>
          <w:tcPr>
            <w:tcW w:w="2702" w:type="dxa"/>
            <w:gridSpan w:val="6"/>
            <w:noWrap w:val="0"/>
            <w:vAlign w:val="center"/>
          </w:tcPr>
          <w:p>
            <w:pPr>
              <w:jc w:val="center"/>
              <w:rPr>
                <w:rFonts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64" w:type="dxa"/>
            <w:vMerge w:val="continue"/>
            <w:noWrap w:val="0"/>
            <w:vAlign w:val="top"/>
          </w:tcPr>
          <w:p>
            <w:pPr>
              <w:rPr>
                <w:rFonts w:hint="eastAsia" w:ascii="仿宋_GB2312" w:eastAsia="仿宋_GB2312"/>
                <w:color w:val="auto"/>
                <w:szCs w:val="21"/>
              </w:rPr>
            </w:pPr>
          </w:p>
        </w:tc>
        <w:tc>
          <w:tcPr>
            <w:tcW w:w="1445" w:type="dxa"/>
            <w:gridSpan w:val="2"/>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ascii="仿宋_GB2312" w:eastAsia="仿宋_GB2312"/>
                <w:color w:val="auto"/>
                <w:szCs w:val="21"/>
              </w:rPr>
            </w:pPr>
          </w:p>
        </w:tc>
        <w:tc>
          <w:tcPr>
            <w:tcW w:w="2702" w:type="dxa"/>
            <w:gridSpan w:val="6"/>
            <w:noWrap w:val="0"/>
            <w:vAlign w:val="center"/>
          </w:tcPr>
          <w:p>
            <w:pPr>
              <w:jc w:val="center"/>
              <w:rPr>
                <w:rFonts w:ascii="仿宋_GB2312" w:eastAsia="仿宋_GB2312"/>
                <w:color w:val="auto"/>
                <w:szCs w:val="21"/>
              </w:rPr>
            </w:pPr>
          </w:p>
        </w:tc>
        <w:tc>
          <w:tcPr>
            <w:tcW w:w="1621" w:type="dxa"/>
            <w:gridSpan w:val="3"/>
            <w:noWrap w:val="0"/>
            <w:vAlign w:val="center"/>
          </w:tcPr>
          <w:p>
            <w:pPr>
              <w:jc w:val="center"/>
              <w:rPr>
                <w:rFonts w:hint="eastAsia" w:ascii="仿宋_GB2312" w:eastAsia="仿宋_GB2312"/>
                <w:color w:val="auto"/>
                <w:szCs w:val="21"/>
              </w:rPr>
            </w:pPr>
          </w:p>
        </w:tc>
        <w:tc>
          <w:tcPr>
            <w:tcW w:w="1080" w:type="dxa"/>
            <w:gridSpan w:val="3"/>
            <w:noWrap w:val="0"/>
            <w:vAlign w:val="center"/>
          </w:tcPr>
          <w:p>
            <w:pPr>
              <w:jc w:val="center"/>
              <w:rPr>
                <w:rFonts w:hint="eastAsia" w:ascii="仿宋_GB2312" w:eastAsia="仿宋_GB2312"/>
                <w:color w:val="auto"/>
                <w:szCs w:val="21"/>
              </w:rPr>
            </w:pPr>
          </w:p>
        </w:tc>
        <w:tc>
          <w:tcPr>
            <w:tcW w:w="1808" w:type="dxa"/>
            <w:gridSpan w:val="2"/>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9"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取证人数</w:t>
            </w:r>
          </w:p>
        </w:tc>
        <w:tc>
          <w:tcPr>
            <w:tcW w:w="1081" w:type="dxa"/>
            <w:gridSpan w:val="3"/>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高级技师</w:t>
            </w:r>
          </w:p>
        </w:tc>
        <w:tc>
          <w:tcPr>
            <w:tcW w:w="900" w:type="dxa"/>
            <w:noWrap w:val="0"/>
            <w:vAlign w:val="center"/>
          </w:tcPr>
          <w:p>
            <w:pPr>
              <w:jc w:val="center"/>
              <w:rPr>
                <w:rFonts w:hint="eastAsia" w:ascii="仿宋_GB2312" w:eastAsia="仿宋_GB2312"/>
                <w:color w:val="auto"/>
                <w:szCs w:val="21"/>
              </w:rPr>
            </w:pPr>
          </w:p>
        </w:tc>
        <w:tc>
          <w:tcPr>
            <w:tcW w:w="72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技师</w:t>
            </w:r>
          </w:p>
        </w:tc>
        <w:tc>
          <w:tcPr>
            <w:tcW w:w="721" w:type="dxa"/>
            <w:gridSpan w:val="2"/>
            <w:noWrap w:val="0"/>
            <w:vAlign w:val="center"/>
          </w:tcPr>
          <w:p>
            <w:pPr>
              <w:jc w:val="center"/>
              <w:rPr>
                <w:rFonts w:hint="eastAsia" w:ascii="仿宋_GB2312" w:eastAsia="仿宋_GB2312"/>
                <w:color w:val="auto"/>
                <w:szCs w:val="21"/>
              </w:rPr>
            </w:pPr>
          </w:p>
        </w:tc>
        <w:tc>
          <w:tcPr>
            <w:tcW w:w="12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高级工</w:t>
            </w:r>
          </w:p>
        </w:tc>
        <w:tc>
          <w:tcPr>
            <w:tcW w:w="900" w:type="dxa"/>
            <w:gridSpan w:val="3"/>
            <w:noWrap w:val="0"/>
            <w:vAlign w:val="center"/>
          </w:tcPr>
          <w:p>
            <w:pPr>
              <w:jc w:val="center"/>
              <w:rPr>
                <w:rFonts w:hint="eastAsia" w:ascii="仿宋_GB2312" w:eastAsia="仿宋_GB2312"/>
                <w:color w:val="auto"/>
                <w:szCs w:val="21"/>
              </w:rPr>
            </w:pPr>
          </w:p>
        </w:tc>
        <w:tc>
          <w:tcPr>
            <w:tcW w:w="1261"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中级工</w:t>
            </w:r>
          </w:p>
        </w:tc>
        <w:tc>
          <w:tcPr>
            <w:tcW w:w="1087" w:type="dxa"/>
            <w:noWrap w:val="0"/>
            <w:vAlign w:val="center"/>
          </w:tcPr>
          <w:p>
            <w:pPr>
              <w:jc w:val="center"/>
              <w:rPr>
                <w:rFonts w:hint="eastAsia" w:ascii="仿宋_GB2312" w:eastAsia="仿宋_GB2312"/>
                <w:color w:val="auto"/>
                <w:szCs w:val="21"/>
              </w:rPr>
            </w:pPr>
          </w:p>
        </w:tc>
      </w:tr>
    </w:tbl>
    <w:p>
      <w:pPr>
        <w:jc w:val="left"/>
        <w:rPr>
          <w:rFonts w:hint="eastAsia" w:ascii="仿宋_GB2312" w:eastAsia="仿宋_GB2312"/>
          <w:color w:val="auto"/>
          <w:szCs w:val="21"/>
        </w:rPr>
      </w:pPr>
      <w:r>
        <w:rPr>
          <w:rFonts w:hint="eastAsia" w:ascii="仿宋_GB2312" w:eastAsia="仿宋_GB2312"/>
          <w:color w:val="auto"/>
          <w:szCs w:val="21"/>
          <w:lang w:eastAsia="zh-CN"/>
        </w:rPr>
        <w:t>主办</w:t>
      </w:r>
      <w:r>
        <w:rPr>
          <w:rFonts w:hint="eastAsia" w:ascii="仿宋_GB2312" w:eastAsia="仿宋_GB2312"/>
          <w:color w:val="auto"/>
          <w:szCs w:val="21"/>
        </w:rPr>
        <w:t>单位名称：                （盖章）                       填报时间：</w:t>
      </w:r>
    </w:p>
    <w:p>
      <w:pPr>
        <w:rPr>
          <w:color w:val="auto"/>
        </w:rPr>
      </w:pPr>
      <w:r>
        <w:rPr>
          <w:rFonts w:hint="eastAsia" w:ascii="仿宋_GB2312" w:eastAsia="仿宋_GB2312"/>
          <w:color w:val="auto"/>
          <w:sz w:val="18"/>
          <w:szCs w:val="18"/>
        </w:rPr>
        <w:t>1、如需增加栏目数，可自行打印增加。2、</w:t>
      </w:r>
      <w:r>
        <w:rPr>
          <w:rFonts w:hint="eastAsia" w:ascii="仿宋_GB2312" w:eastAsia="仿宋_GB2312"/>
          <w:color w:val="auto"/>
          <w:sz w:val="18"/>
          <w:szCs w:val="18"/>
          <w:lang w:val="en-US" w:eastAsia="zh-CN"/>
        </w:rPr>
        <w:t>本表一式三份。</w:t>
      </w:r>
    </w:p>
    <w:p>
      <w:pPr>
        <w:pStyle w:val="18"/>
        <w:rPr>
          <w:rFonts w:hint="default"/>
          <w:color w:val="auto"/>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531" w:wrap="around" w:vAnchor="text" w:hAnchor="margin" w:xAlign="outside" w:y="1"/>
      <w:ind w:firstLine="280" w:firstLineChars="100"/>
      <w:rPr>
        <w:rStyle w:val="17"/>
        <w:rFonts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r>
      <w:rPr>
        <w:rStyle w:val="17"/>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fldChar w:fldCharType="begin"/>
    </w:r>
    <w:r>
      <w:rPr>
        <w:rStyle w:val="17"/>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TY0MDRiNTQyMGVhYjkxNmFmMWE1OWQyNWI2YWEifQ=="/>
  </w:docVars>
  <w:rsids>
    <w:rsidRoot w:val="001D119F"/>
    <w:rsid w:val="001D119F"/>
    <w:rsid w:val="00307A95"/>
    <w:rsid w:val="004E43BF"/>
    <w:rsid w:val="008A689A"/>
    <w:rsid w:val="00A93E1E"/>
    <w:rsid w:val="017023D9"/>
    <w:rsid w:val="018856AF"/>
    <w:rsid w:val="02106797"/>
    <w:rsid w:val="02773C49"/>
    <w:rsid w:val="035E0DBD"/>
    <w:rsid w:val="05663F59"/>
    <w:rsid w:val="05922FA0"/>
    <w:rsid w:val="05B14761"/>
    <w:rsid w:val="05EA6938"/>
    <w:rsid w:val="063D7E7B"/>
    <w:rsid w:val="07464ED8"/>
    <w:rsid w:val="07603356"/>
    <w:rsid w:val="07FB4E2D"/>
    <w:rsid w:val="08206641"/>
    <w:rsid w:val="087D3A94"/>
    <w:rsid w:val="08A13C26"/>
    <w:rsid w:val="08CC4A1B"/>
    <w:rsid w:val="08D833C0"/>
    <w:rsid w:val="08E71BDC"/>
    <w:rsid w:val="08EB70C9"/>
    <w:rsid w:val="08FB2C0B"/>
    <w:rsid w:val="095E34EE"/>
    <w:rsid w:val="098F7F23"/>
    <w:rsid w:val="099E3967"/>
    <w:rsid w:val="09D65B51"/>
    <w:rsid w:val="09F47D86"/>
    <w:rsid w:val="0A4A3E4A"/>
    <w:rsid w:val="0CA41DB2"/>
    <w:rsid w:val="0D115E0F"/>
    <w:rsid w:val="0D815DD4"/>
    <w:rsid w:val="0DC1111C"/>
    <w:rsid w:val="0DC45CC1"/>
    <w:rsid w:val="0ED4462A"/>
    <w:rsid w:val="0ED71555"/>
    <w:rsid w:val="0F895626"/>
    <w:rsid w:val="10A02A15"/>
    <w:rsid w:val="10C77FA2"/>
    <w:rsid w:val="11AC53EA"/>
    <w:rsid w:val="12EF6F01"/>
    <w:rsid w:val="135D2E2C"/>
    <w:rsid w:val="13873A19"/>
    <w:rsid w:val="14BB6147"/>
    <w:rsid w:val="158741A4"/>
    <w:rsid w:val="158A3C94"/>
    <w:rsid w:val="15FC6940"/>
    <w:rsid w:val="162B0FD3"/>
    <w:rsid w:val="16A34DC4"/>
    <w:rsid w:val="16C531D6"/>
    <w:rsid w:val="17732C32"/>
    <w:rsid w:val="178C5AA1"/>
    <w:rsid w:val="17A44052"/>
    <w:rsid w:val="184B770B"/>
    <w:rsid w:val="186106D8"/>
    <w:rsid w:val="19185113"/>
    <w:rsid w:val="194832F2"/>
    <w:rsid w:val="19540841"/>
    <w:rsid w:val="19801636"/>
    <w:rsid w:val="198103AD"/>
    <w:rsid w:val="198527A8"/>
    <w:rsid w:val="19E22C10"/>
    <w:rsid w:val="19E26C40"/>
    <w:rsid w:val="19E5593D"/>
    <w:rsid w:val="19EC0A79"/>
    <w:rsid w:val="1A332151"/>
    <w:rsid w:val="1A6E148E"/>
    <w:rsid w:val="1A94675E"/>
    <w:rsid w:val="1A974E89"/>
    <w:rsid w:val="1BFB4FA4"/>
    <w:rsid w:val="1CD83537"/>
    <w:rsid w:val="1D216C8C"/>
    <w:rsid w:val="1D4961E3"/>
    <w:rsid w:val="1E340C41"/>
    <w:rsid w:val="1E7352C5"/>
    <w:rsid w:val="1E9B6393"/>
    <w:rsid w:val="1F7761F1"/>
    <w:rsid w:val="1FF42436"/>
    <w:rsid w:val="1FFFD40F"/>
    <w:rsid w:val="204025D7"/>
    <w:rsid w:val="21026DD4"/>
    <w:rsid w:val="21B06830"/>
    <w:rsid w:val="22941CAE"/>
    <w:rsid w:val="23675615"/>
    <w:rsid w:val="237D3DBF"/>
    <w:rsid w:val="23A93537"/>
    <w:rsid w:val="24943F26"/>
    <w:rsid w:val="24A07593"/>
    <w:rsid w:val="2609626A"/>
    <w:rsid w:val="26760048"/>
    <w:rsid w:val="26AE4E07"/>
    <w:rsid w:val="27133AE9"/>
    <w:rsid w:val="27167136"/>
    <w:rsid w:val="27A45E26"/>
    <w:rsid w:val="27BA52CE"/>
    <w:rsid w:val="27F531EF"/>
    <w:rsid w:val="27F751B9"/>
    <w:rsid w:val="28096C9A"/>
    <w:rsid w:val="28793E20"/>
    <w:rsid w:val="28924EE2"/>
    <w:rsid w:val="28DE0127"/>
    <w:rsid w:val="292A6EC8"/>
    <w:rsid w:val="294C32E2"/>
    <w:rsid w:val="296028EA"/>
    <w:rsid w:val="29FA4AED"/>
    <w:rsid w:val="2A41271B"/>
    <w:rsid w:val="2B0C0D2B"/>
    <w:rsid w:val="2B45061B"/>
    <w:rsid w:val="2B7D7783"/>
    <w:rsid w:val="2BAD38BA"/>
    <w:rsid w:val="2C610E53"/>
    <w:rsid w:val="2CFA4941"/>
    <w:rsid w:val="2D32451F"/>
    <w:rsid w:val="2E00644A"/>
    <w:rsid w:val="2E475ECC"/>
    <w:rsid w:val="2E5F156F"/>
    <w:rsid w:val="2E7E5FE0"/>
    <w:rsid w:val="304940D8"/>
    <w:rsid w:val="308B2942"/>
    <w:rsid w:val="309C6FF3"/>
    <w:rsid w:val="310F3573"/>
    <w:rsid w:val="319E0453"/>
    <w:rsid w:val="32036337"/>
    <w:rsid w:val="32DC3F53"/>
    <w:rsid w:val="32F36890"/>
    <w:rsid w:val="33226E62"/>
    <w:rsid w:val="3341378C"/>
    <w:rsid w:val="339A33C1"/>
    <w:rsid w:val="345D63A4"/>
    <w:rsid w:val="345E036E"/>
    <w:rsid w:val="3491429F"/>
    <w:rsid w:val="34951FE2"/>
    <w:rsid w:val="34DD5737"/>
    <w:rsid w:val="351647A5"/>
    <w:rsid w:val="353E4427"/>
    <w:rsid w:val="354337BB"/>
    <w:rsid w:val="35BA3971"/>
    <w:rsid w:val="36C941C4"/>
    <w:rsid w:val="36CFE011"/>
    <w:rsid w:val="36FA25D0"/>
    <w:rsid w:val="37403BA7"/>
    <w:rsid w:val="37557806"/>
    <w:rsid w:val="37846BFD"/>
    <w:rsid w:val="385C6972"/>
    <w:rsid w:val="387316A1"/>
    <w:rsid w:val="38B247E4"/>
    <w:rsid w:val="39826B25"/>
    <w:rsid w:val="39E44C4A"/>
    <w:rsid w:val="3A494C3A"/>
    <w:rsid w:val="3A667F7C"/>
    <w:rsid w:val="3B1A1925"/>
    <w:rsid w:val="3B3F2B34"/>
    <w:rsid w:val="3B49354A"/>
    <w:rsid w:val="3B4C0F20"/>
    <w:rsid w:val="3C8A6A3E"/>
    <w:rsid w:val="3C945E18"/>
    <w:rsid w:val="3CB74ABF"/>
    <w:rsid w:val="3D330016"/>
    <w:rsid w:val="3D51281E"/>
    <w:rsid w:val="3D670293"/>
    <w:rsid w:val="3D954FB9"/>
    <w:rsid w:val="3E375253"/>
    <w:rsid w:val="3E5A3954"/>
    <w:rsid w:val="3F2F5A55"/>
    <w:rsid w:val="3F32042D"/>
    <w:rsid w:val="3FC46242"/>
    <w:rsid w:val="3FE671A2"/>
    <w:rsid w:val="3FF43934"/>
    <w:rsid w:val="40923879"/>
    <w:rsid w:val="40A47108"/>
    <w:rsid w:val="40CF23D7"/>
    <w:rsid w:val="41032081"/>
    <w:rsid w:val="41A73354"/>
    <w:rsid w:val="41D67795"/>
    <w:rsid w:val="41DA7286"/>
    <w:rsid w:val="425F3C2F"/>
    <w:rsid w:val="42A92909"/>
    <w:rsid w:val="42D9451D"/>
    <w:rsid w:val="430A3B9B"/>
    <w:rsid w:val="4320516C"/>
    <w:rsid w:val="443609BF"/>
    <w:rsid w:val="445A45E7"/>
    <w:rsid w:val="445C5E07"/>
    <w:rsid w:val="445D57E8"/>
    <w:rsid w:val="44E150CC"/>
    <w:rsid w:val="44E73A68"/>
    <w:rsid w:val="45062140"/>
    <w:rsid w:val="451B2435"/>
    <w:rsid w:val="45817E77"/>
    <w:rsid w:val="45C45875"/>
    <w:rsid w:val="46386C71"/>
    <w:rsid w:val="47C85DD2"/>
    <w:rsid w:val="49431BB4"/>
    <w:rsid w:val="49601FEE"/>
    <w:rsid w:val="49AA1C33"/>
    <w:rsid w:val="49AD2223"/>
    <w:rsid w:val="49B20AE8"/>
    <w:rsid w:val="4A413C1A"/>
    <w:rsid w:val="4BD960E4"/>
    <w:rsid w:val="4BFE6267"/>
    <w:rsid w:val="4C1D428B"/>
    <w:rsid w:val="4C983FC5"/>
    <w:rsid w:val="4CD80866"/>
    <w:rsid w:val="4CEE1E37"/>
    <w:rsid w:val="4D1263DF"/>
    <w:rsid w:val="4DB34E2F"/>
    <w:rsid w:val="4E141D71"/>
    <w:rsid w:val="4E4A6EC4"/>
    <w:rsid w:val="4EA4630C"/>
    <w:rsid w:val="4F253B0A"/>
    <w:rsid w:val="4F5FED99"/>
    <w:rsid w:val="4F7B0E4F"/>
    <w:rsid w:val="4FF1B2EB"/>
    <w:rsid w:val="4FF590E6"/>
    <w:rsid w:val="4FF70686"/>
    <w:rsid w:val="506C6835"/>
    <w:rsid w:val="50854860"/>
    <w:rsid w:val="508605D9"/>
    <w:rsid w:val="508E1A12"/>
    <w:rsid w:val="50A1698F"/>
    <w:rsid w:val="50A218B6"/>
    <w:rsid w:val="510079F6"/>
    <w:rsid w:val="5181771E"/>
    <w:rsid w:val="519805C3"/>
    <w:rsid w:val="51FB0B52"/>
    <w:rsid w:val="521A70DE"/>
    <w:rsid w:val="52F644E2"/>
    <w:rsid w:val="531E0F9C"/>
    <w:rsid w:val="53283BC9"/>
    <w:rsid w:val="53D77AC9"/>
    <w:rsid w:val="53E126F6"/>
    <w:rsid w:val="541A1764"/>
    <w:rsid w:val="543C5605"/>
    <w:rsid w:val="55D87B28"/>
    <w:rsid w:val="55E24503"/>
    <w:rsid w:val="562463ED"/>
    <w:rsid w:val="565C2507"/>
    <w:rsid w:val="56847368"/>
    <w:rsid w:val="56D007FF"/>
    <w:rsid w:val="56D7240B"/>
    <w:rsid w:val="56D77705"/>
    <w:rsid w:val="56E04EE6"/>
    <w:rsid w:val="56FD894C"/>
    <w:rsid w:val="56FE536D"/>
    <w:rsid w:val="57C00874"/>
    <w:rsid w:val="57FCDF26"/>
    <w:rsid w:val="58CA2CAF"/>
    <w:rsid w:val="592B4413"/>
    <w:rsid w:val="59BE5287"/>
    <w:rsid w:val="5AD54636"/>
    <w:rsid w:val="5B345801"/>
    <w:rsid w:val="5B81031A"/>
    <w:rsid w:val="5BAF7D3C"/>
    <w:rsid w:val="5BCA3A6F"/>
    <w:rsid w:val="5C02128F"/>
    <w:rsid w:val="5C07204A"/>
    <w:rsid w:val="5D085B4E"/>
    <w:rsid w:val="5DFFF262"/>
    <w:rsid w:val="5E082F75"/>
    <w:rsid w:val="5E3C3095"/>
    <w:rsid w:val="5ECC3FA2"/>
    <w:rsid w:val="5ED508A9"/>
    <w:rsid w:val="5EEE6061"/>
    <w:rsid w:val="5FB7233E"/>
    <w:rsid w:val="5FC3672C"/>
    <w:rsid w:val="5FEB66AA"/>
    <w:rsid w:val="5FFE63DD"/>
    <w:rsid w:val="607466A0"/>
    <w:rsid w:val="607D02F0"/>
    <w:rsid w:val="60E37145"/>
    <w:rsid w:val="61096DE8"/>
    <w:rsid w:val="619C2744"/>
    <w:rsid w:val="619D5782"/>
    <w:rsid w:val="61EA496C"/>
    <w:rsid w:val="621874A7"/>
    <w:rsid w:val="63780255"/>
    <w:rsid w:val="63A159FD"/>
    <w:rsid w:val="64346872"/>
    <w:rsid w:val="64872E45"/>
    <w:rsid w:val="65247EE0"/>
    <w:rsid w:val="655A2308"/>
    <w:rsid w:val="65652A5B"/>
    <w:rsid w:val="65907AD8"/>
    <w:rsid w:val="65F91B21"/>
    <w:rsid w:val="65FFB707"/>
    <w:rsid w:val="662D3578"/>
    <w:rsid w:val="668533B4"/>
    <w:rsid w:val="66AD290B"/>
    <w:rsid w:val="66C0263F"/>
    <w:rsid w:val="66D54B97"/>
    <w:rsid w:val="66F75934"/>
    <w:rsid w:val="66FF50B2"/>
    <w:rsid w:val="6759039D"/>
    <w:rsid w:val="685C2B75"/>
    <w:rsid w:val="68623114"/>
    <w:rsid w:val="68721717"/>
    <w:rsid w:val="68903FD6"/>
    <w:rsid w:val="68AD6BF3"/>
    <w:rsid w:val="68BB130F"/>
    <w:rsid w:val="699E02E9"/>
    <w:rsid w:val="6A097E59"/>
    <w:rsid w:val="6A152CA1"/>
    <w:rsid w:val="6A465D02"/>
    <w:rsid w:val="6A9A6D03"/>
    <w:rsid w:val="6AB2229E"/>
    <w:rsid w:val="6ACB4C7A"/>
    <w:rsid w:val="6AF91C7B"/>
    <w:rsid w:val="6B7632CC"/>
    <w:rsid w:val="6B8AD013"/>
    <w:rsid w:val="6B916358"/>
    <w:rsid w:val="6BDD5CE4"/>
    <w:rsid w:val="6CEB5F3B"/>
    <w:rsid w:val="6CF90658"/>
    <w:rsid w:val="6D036DE1"/>
    <w:rsid w:val="6D316042"/>
    <w:rsid w:val="6D943EDD"/>
    <w:rsid w:val="6E34121C"/>
    <w:rsid w:val="6ECF3F90"/>
    <w:rsid w:val="6EDFB8C6"/>
    <w:rsid w:val="6F60051B"/>
    <w:rsid w:val="6F885CC3"/>
    <w:rsid w:val="6FAD03E8"/>
    <w:rsid w:val="6FEF5D43"/>
    <w:rsid w:val="6FFB0942"/>
    <w:rsid w:val="6FFEF43C"/>
    <w:rsid w:val="70172C09"/>
    <w:rsid w:val="7023779A"/>
    <w:rsid w:val="70A24B63"/>
    <w:rsid w:val="70FFDC75"/>
    <w:rsid w:val="725D67BD"/>
    <w:rsid w:val="72E476B5"/>
    <w:rsid w:val="731A4E85"/>
    <w:rsid w:val="738463D8"/>
    <w:rsid w:val="73B9469D"/>
    <w:rsid w:val="74D0167A"/>
    <w:rsid w:val="755F0D53"/>
    <w:rsid w:val="757F1917"/>
    <w:rsid w:val="75C06007"/>
    <w:rsid w:val="75D0251B"/>
    <w:rsid w:val="75E1612D"/>
    <w:rsid w:val="7671125F"/>
    <w:rsid w:val="772E3414"/>
    <w:rsid w:val="77617526"/>
    <w:rsid w:val="77A967D7"/>
    <w:rsid w:val="77FFE787"/>
    <w:rsid w:val="78821C9A"/>
    <w:rsid w:val="79134850"/>
    <w:rsid w:val="79A731EA"/>
    <w:rsid w:val="79AB6836"/>
    <w:rsid w:val="7AE244DA"/>
    <w:rsid w:val="7B5873A5"/>
    <w:rsid w:val="7B7DC96E"/>
    <w:rsid w:val="7C7734F3"/>
    <w:rsid w:val="7C7C6C06"/>
    <w:rsid w:val="7D31799A"/>
    <w:rsid w:val="7D8555F0"/>
    <w:rsid w:val="7DCC321F"/>
    <w:rsid w:val="7DF39859"/>
    <w:rsid w:val="7E971A7F"/>
    <w:rsid w:val="7EB5D224"/>
    <w:rsid w:val="7EDE4E16"/>
    <w:rsid w:val="7EF7408A"/>
    <w:rsid w:val="7F250863"/>
    <w:rsid w:val="7F57966E"/>
    <w:rsid w:val="7F7F6087"/>
    <w:rsid w:val="7FEAE379"/>
    <w:rsid w:val="8DD771C2"/>
    <w:rsid w:val="8DEEB328"/>
    <w:rsid w:val="AD1D3ED2"/>
    <w:rsid w:val="AFA8061D"/>
    <w:rsid w:val="B17B0801"/>
    <w:rsid w:val="B5F500AF"/>
    <w:rsid w:val="B72F8433"/>
    <w:rsid w:val="B7FE9C12"/>
    <w:rsid w:val="BF7F5C2C"/>
    <w:rsid w:val="D6F8B831"/>
    <w:rsid w:val="DDCEE409"/>
    <w:rsid w:val="DDEFAD79"/>
    <w:rsid w:val="E09BBE13"/>
    <w:rsid w:val="EAFFA3CD"/>
    <w:rsid w:val="EB3FAF36"/>
    <w:rsid w:val="EE6B4A9B"/>
    <w:rsid w:val="EFF55C56"/>
    <w:rsid w:val="F7BEAED2"/>
    <w:rsid w:val="F7FFA3BA"/>
    <w:rsid w:val="FBF968C1"/>
    <w:rsid w:val="FBFC79DE"/>
    <w:rsid w:val="FCB37FA3"/>
    <w:rsid w:val="FDBC4B25"/>
    <w:rsid w:val="FEE7A1E9"/>
    <w:rsid w:val="FEFE13DE"/>
    <w:rsid w:val="FEFF900C"/>
    <w:rsid w:val="FF5ED95D"/>
    <w:rsid w:val="FFEA44B0"/>
    <w:rsid w:val="FFF38978"/>
    <w:rsid w:val="FFFFB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line="360" w:lineRule="auto"/>
      <w:ind w:firstLineChars="200"/>
      <w:jc w:val="both"/>
    </w:pPr>
    <w:rPr>
      <w:rFonts w:ascii="Times New Roman" w:hAnsi="Times New Roman" w:eastAsia="仿宋_GB2312"/>
      <w:spacing w:val="15"/>
      <w:kern w:val="10"/>
      <w:sz w:val="24"/>
    </w:rPr>
  </w:style>
  <w:style w:type="paragraph" w:styleId="3">
    <w:name w:val="Body Text Indent"/>
    <w:basedOn w:val="1"/>
    <w:next w:val="1"/>
    <w:qFormat/>
    <w:uiPriority w:val="0"/>
    <w:pPr>
      <w:adjustRightInd w:val="0"/>
      <w:ind w:firstLine="4685" w:firstLineChars="1300"/>
      <w:textAlignment w:val="baseline"/>
    </w:pPr>
    <w:rPr>
      <w:rFonts w:ascii="楷体_GB2312" w:eastAsia="楷体_GB2312"/>
      <w:b/>
      <w:sz w:val="36"/>
      <w:szCs w:val="20"/>
    </w:rPr>
  </w:style>
  <w:style w:type="paragraph" w:styleId="6">
    <w:name w:val="Body Text"/>
    <w:basedOn w:val="1"/>
    <w:next w:val="7"/>
    <w:qFormat/>
    <w:uiPriority w:val="0"/>
    <w:pPr>
      <w:spacing w:before="0" w:after="140" w:line="276" w:lineRule="auto"/>
    </w:pPr>
  </w:style>
  <w:style w:type="paragraph" w:styleId="7">
    <w:name w:val="footer"/>
    <w:basedOn w:val="1"/>
    <w:next w:val="8"/>
    <w:link w:val="21"/>
    <w:unhideWhenUsed/>
    <w:qFormat/>
    <w:uiPriority w:val="99"/>
    <w:pPr>
      <w:tabs>
        <w:tab w:val="center" w:pos="4153"/>
        <w:tab w:val="right" w:pos="8306"/>
      </w:tabs>
      <w:snapToGrid w:val="0"/>
      <w:jc w:val="left"/>
    </w:pPr>
    <w:rPr>
      <w:sz w:val="18"/>
      <w:szCs w:val="18"/>
    </w:rPr>
  </w:style>
  <w:style w:type="paragraph" w:customStyle="1" w:styleId="8">
    <w:name w:val="Index5"/>
    <w:basedOn w:val="1"/>
    <w:next w:val="1"/>
    <w:qFormat/>
    <w:uiPriority w:val="0"/>
    <w:pPr>
      <w:ind w:left="800" w:leftChars="800"/>
      <w:jc w:val="both"/>
      <w:textAlignment w:val="baseline"/>
    </w:pPr>
  </w:style>
  <w:style w:type="paragraph" w:styleId="9">
    <w:name w:val="index 5"/>
    <w:basedOn w:val="1"/>
    <w:next w:val="1"/>
    <w:qFormat/>
    <w:uiPriority w:val="0"/>
    <w:pPr>
      <w:ind w:left="1680"/>
    </w:p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qFormat/>
    <w:uiPriority w:val="0"/>
  </w:style>
  <w:style w:type="paragraph" w:customStyle="1" w:styleId="18">
    <w:name w:val="BodyText1I"/>
    <w:basedOn w:val="19"/>
    <w:qFormat/>
    <w:uiPriority w:val="0"/>
    <w:pPr>
      <w:ind w:firstLine="420" w:firstLineChars="100"/>
      <w:jc w:val="both"/>
      <w:textAlignment w:val="baseline"/>
    </w:pPr>
  </w:style>
  <w:style w:type="paragraph" w:customStyle="1" w:styleId="19">
    <w:name w:val="BodyText"/>
    <w:basedOn w:val="1"/>
    <w:next w:val="7"/>
    <w:qFormat/>
    <w:uiPriority w:val="0"/>
    <w:pPr>
      <w:jc w:val="both"/>
      <w:textAlignment w:val="baseline"/>
    </w:pPr>
    <w:rPr>
      <w:rFonts w:ascii="Calibri" w:hAnsi="Calibri" w:eastAsia="宋体"/>
      <w:kern w:val="2"/>
      <w:sz w:val="21"/>
      <w:szCs w:val="24"/>
      <w:lang w:val="en-US" w:eastAsia="zh-CN" w:bidi="ar-SA"/>
    </w:rPr>
  </w:style>
  <w:style w:type="character" w:customStyle="1" w:styleId="20">
    <w:name w:val="页眉 Char"/>
    <w:basedOn w:val="15"/>
    <w:link w:val="10"/>
    <w:semiHidden/>
    <w:qFormat/>
    <w:uiPriority w:val="99"/>
    <w:rPr>
      <w:sz w:val="18"/>
      <w:szCs w:val="18"/>
    </w:rPr>
  </w:style>
  <w:style w:type="character" w:customStyle="1" w:styleId="21">
    <w:name w:val="页脚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9113</Words>
  <Characters>9169</Characters>
  <Lines>13</Lines>
  <Paragraphs>3</Paragraphs>
  <TotalTime>4208</TotalTime>
  <ScaleCrop>false</ScaleCrop>
  <LinksUpToDate>false</LinksUpToDate>
  <CharactersWithSpaces>9826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2021-06-17T18:58:00Z</dcterms:created>
  <dc:creator>123</dc:creator>
  <cp:lastModifiedBy>辛利荣</cp:lastModifiedBy>
  <cp:lastPrinted>2023-03-27T04:29:42Z</cp:lastPrinted>
  <dcterms:modified xsi:type="dcterms:W3CDTF">2023-03-27T05:04:24Z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A6C1AB3E06D64BF09FE09F9A734AC037</vt:lpwstr>
  </property>
</Properties>
</file>