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昌吉州推进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博物馆改革发展的实施方案</w:t>
      </w:r>
    </w:p>
    <w:bookmarkEnd w:id="0"/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宣传部、文化和旅游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等部门联合印发的《自治区推进博物馆改革发展的实施方案》精神，持续推进博物馆事业高质量发展，结合我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实际，制定如下实施方案。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一、总体要求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（一）指导思想。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以习近平新时代中国特色社会主义思想为指导，贯彻落实党的十九大及十九届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历次</w:t>
      </w:r>
      <w:r>
        <w:rPr>
          <w:rFonts w:hint="eastAsia" w:ascii="仿宋_GB2312" w:hAnsi="仿宋_GB2312" w:eastAsia="仿宋_GB2312" w:cs="仿宋_GB2312"/>
          <w:sz w:val="32"/>
          <w:szCs w:val="32"/>
        </w:rPr>
        <w:t>全会精神和第三次中央新疆工作座谈会精神，全面贯彻新时代党的治疆方略，坚持以人民为中心，坚持守正创新，坚持创造性转化和创新性发展，秉承新发展理念，将博物馆事业主动融入全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经济社会发展大局，为推进“文化润疆”工程、坚定文化自信、增强“五个认同”、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用文物说话，让历史发声，</w:t>
      </w:r>
      <w:r>
        <w:rPr>
          <w:rFonts w:hint="eastAsia" w:ascii="仿宋_GB2312" w:hAnsi="仿宋_GB2312" w:eastAsia="仿宋_GB2312" w:cs="仿宋_GB2312"/>
          <w:sz w:val="32"/>
          <w:szCs w:val="32"/>
        </w:rPr>
        <w:t>铸牢中华民族共同体意识、实现“两个一百年”奋斗目标和中华民族伟大复兴做出积极贡献。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（二）基本原则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——坚持正确方向。坚持党对博物馆事业的全面领导，牢牢把握意识形态工作主导权，以社会主义核心价值观为引领，突出公益属性和社会效益，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积极发挥博物馆作用，服务各族群众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——坚持改革创新。坚持将解放思想、改革创新作为“破局”的先导和抓手，坚持问题导向、目标导向，更好的服务大众，鼓励先行先试，推进博物馆发展理念、技术、手段、业态创新，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活力。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——坚持统筹协调。坚持顶层设计、资源整合，建立健全工作协调机制，满足博物馆当前建设和长远发展需要，提高博物馆公共服务水平，实现博物馆高品质、差异化发展。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——坚持开放共享。营造开放包容的发展环境，通过社会参与、跨界合作、互联网传播等方式，促进资源要素有序流动，鼓励发展、开放、共享，多措并举盘活博物馆藏品资源，多元化发挥博物馆教育功能。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（三）总体目标。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“十四五”期间，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一是加强博物馆建设，完成州市博物馆整合布展提升工作，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争创国家等级博物馆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家；二是积极开展布展提升和预防性保护项目，全州博物馆展陈整体得到提升，馆藏文物得到有效保护；三是加强文物藏品征集工作，州博物馆每年不少于100件、县市博物馆不少于20件，不断丰富博物馆藏品，为文物展览做好储备；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推动博物馆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文物研究阐释工作，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不断发掘文物内涵，提升博物馆影响力；五是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博物馆、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特色博物馆、博物馆数字化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建设取得进展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，全州各类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博物馆总数突破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文创产品研发取得实效，文物对外交流合作得到拓展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博物馆公共文化服务水平显著提升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；七是推进文旅融合，各级博物馆积极发挥研学示范作用，争创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A级景区，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博物馆在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经济社会发展中的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得到发挥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推进博物馆建设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，优化体系布局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（四）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加强博物馆建设，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发展主题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、特色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博物馆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加快推进州、市博物馆整合建设力度，完成布展提升改造工作，努力创建国家等级博物馆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。围绕铸牢中华民族共同体意识、传承红色基因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“文化润疆”工程，推动建设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历史文化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、民族团结、乡村振兴等一批当代主题博物馆。依托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昌吉市清代粮仓博物馆、草原坎儿井、新辉红色记忆博物馆、阜康工业展馆、新疆农业展览馆、恐龙博物馆等</w:t>
      </w:r>
      <w:r>
        <w:rPr>
          <w:rFonts w:hint="eastAsia" w:ascii="仿宋_GB2312" w:hAnsi="仿宋_GB2312" w:eastAsia="仿宋_GB2312" w:cs="仿宋_GB2312"/>
          <w:sz w:val="32"/>
          <w:szCs w:val="32"/>
        </w:rPr>
        <w:t>文物遗址、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革命历史、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历史建筑、工业遗产、农业遗产、文化景观和非物质文化遗产等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加强和推进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特色博物馆建设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发挥博物馆职能，惠及各族人民群众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〈文物局〉；责任单位：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展和</w:t>
      </w:r>
      <w:r>
        <w:rPr>
          <w:rFonts w:hint="eastAsia" w:ascii="仿宋_GB2312" w:hAnsi="仿宋_GB2312" w:eastAsia="仿宋_GB2312" w:cs="仿宋_GB2312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革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文博院、各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）博物馆认证登记。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新辉红色记忆博物馆、赵凯红色记忆藏品展览馆、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新疆第一窖古城酒文化博物馆等</w:t>
      </w:r>
      <w:r>
        <w:rPr>
          <w:rFonts w:hint="eastAsia" w:ascii="仿宋_GB2312" w:hAnsi="仿宋_GB2312" w:eastAsia="仿宋_GB2312" w:cs="仿宋_GB2312"/>
          <w:sz w:val="32"/>
          <w:szCs w:val="32"/>
        </w:rPr>
        <w:t>非国有博物馆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，加强对非国有博物馆的备案和业务帮扶，依法依规推进博物馆法人财产权确权。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按照属地管理原则，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州、县（市）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各类博物馆、纪念馆的管理，以及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未经备案但以“博物馆”等名义开展活动机构的管理。（牵头单位：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〈文物局〉；责任单位：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文博院、各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提质增效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加强管理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加强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征藏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管理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多渠道做好藏品征集工作，应加强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党史、新中国史、改革开放史、社会主义发展史相关藏品征集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反映经济社会发展变迁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重要</w:t>
      </w:r>
      <w:r>
        <w:rPr>
          <w:rFonts w:hint="eastAsia" w:ascii="仿宋_GB2312" w:hAnsi="仿宋_GB2312" w:eastAsia="仿宋_GB2312" w:cs="仿宋_GB2312"/>
          <w:sz w:val="32"/>
          <w:szCs w:val="32"/>
        </w:rPr>
        <w:t>物证的征藏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，近现代文化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艺术、非物质文化遗产等专题收藏。开展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北庭故城遗址、唐朝墩遗址等</w:t>
      </w:r>
      <w:r>
        <w:rPr>
          <w:rFonts w:hint="eastAsia" w:ascii="仿宋_GB2312" w:hAnsi="仿宋_GB2312" w:eastAsia="仿宋_GB2312" w:cs="仿宋_GB2312"/>
          <w:sz w:val="32"/>
          <w:szCs w:val="32"/>
        </w:rPr>
        <w:t>考古出土文物和涉案文物移交专项行动，鼓励公众向博物馆无偿捐赠藏品。（牵头单位：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〈文物局〉；责任单位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文博院、各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七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加强藏品保护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健全博物馆藏品登录机制，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博物馆藏品数字化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实施馆藏珍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 w:cs="仿宋_GB2312"/>
          <w:sz w:val="32"/>
          <w:szCs w:val="32"/>
        </w:rPr>
        <w:t>文物保护修复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预防性保护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加大博物馆预防性保护建设力度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，保障馆藏文物安全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〈文物局〉；责任单位：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党委宣传部、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文博院、各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（八）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加强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科技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运用，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发挥教育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传播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职能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加强数字博物馆平台建设，推广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VR、AR、MR技术展示应用，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博物馆云展览、云教育，构建线上线下相融合的博物馆传播体系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丰富博物馆教育课程，为大中小学生利用博物馆开展研学实践和科普活动提供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推动研究型博物馆建设，依法开展博物馆科技成果转化收益分配试点，推动符合条件的博物馆从业人员享受科技创新扶持政策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与院校、科研院所合作，开展文物保护利用科学研究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鼓励科研单位申报文化润疆相关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各类科技项目。（牵头单位：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〈文物局〉；责任单位：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文博院、各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九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拓展交流展览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市相互交流、联合办展；积极引进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福建、山西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对口援疆省市展览或赴疆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</w:t>
      </w:r>
      <w:r>
        <w:rPr>
          <w:rFonts w:hint="eastAsia" w:ascii="仿宋_GB2312" w:hAnsi="仿宋_GB2312" w:eastAsia="仿宋_GB2312" w:cs="仿宋_GB2312"/>
          <w:sz w:val="32"/>
          <w:szCs w:val="32"/>
        </w:rPr>
        <w:t>省市交流；大力开展流动博物馆进乡村、进学校、进社区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；规范博物馆陈列展览备案和文物借展工作。（牵头单位：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〈文物局〉；责任单位：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党委宣传部、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文博院、各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（十）培养讲解员队伍。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博物馆讲解员队伍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，大力培养专兼职讲解员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完善工作机制，开设馆长、专家讲解课程，扩大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中、小学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志愿者服务队伍，注重培养小小讲解员，让更多人参与博物馆教育。（牵头单位：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〈文物局〉；责任单位：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文博院、各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四、创新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管理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体制机制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）完善管理体制。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深化博物馆领域“放管服”改革，探索管办分离，赋予博物馆更大的自主权；完善人事制度，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按照国家、自治区相关政策要求，进一步落实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博物</w:t>
      </w:r>
      <w:r>
        <w:rPr>
          <w:rFonts w:hint="eastAsia" w:ascii="仿宋_GB2312" w:hAnsi="仿宋_GB2312" w:eastAsia="仿宋_GB2312" w:cs="仿宋_GB2312"/>
          <w:sz w:val="32"/>
          <w:szCs w:val="32"/>
        </w:rPr>
        <w:t>馆干部人事管理、职称评审、岗位设置自主权；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《非国有博物馆管理办法》，推动非国有博物馆发展。（牵头单位：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〈文物局〉；责任单位：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党委宣传部、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文博院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）健全激励机制。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博物馆通过陈列展览策划、教育项目设计、文创产品研发取得的收入和其他收入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纳入本单位预算统一管理，可用于藏品征集、事业发展和对符合规定的人员予以绩效奖励等。合理核定博物馆绩效工资总量，对上述工作取得明显成效的单位可适当增核绩效工资总量，单位内部分配向从事这些工作的人员倾斜。（牵头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〈文物局〉；责任单位：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文博院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）鼓励社会参与。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引入社会资本建设、运营、管理博物馆，通过政府购买服务等形式推动博物馆公共服务市场化改革。完善竞争机制，鼓励社会力量参与展览、教育和文创开发。实施“博物馆+”战略，促进博物馆与教育、旅游、商业、康养等跨界融合。（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〈文物局〉；责任单位：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展和</w:t>
      </w:r>
      <w:r>
        <w:rPr>
          <w:rFonts w:hint="eastAsia" w:ascii="仿宋_GB2312" w:hAnsi="仿宋_GB2312" w:eastAsia="仿宋_GB2312" w:cs="仿宋_GB2312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革委员会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文博院、各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完善制度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保障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要将博物馆发展纳入经济社会发展总体规划和基础设施建设、教育、科技、文化、文物、旅游等相关专项规划，发挥博物馆在文明城市创建中的作用，支持博物馆事业发展。（牵头单位：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党委宣传部；责任单位：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展和</w:t>
      </w:r>
      <w:r>
        <w:rPr>
          <w:rFonts w:hint="eastAsia" w:ascii="仿宋_GB2312" w:hAnsi="仿宋_GB2312" w:eastAsia="仿宋_GB2312" w:cs="仿宋_GB2312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革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、州</w:t>
      </w:r>
      <w:r>
        <w:rPr>
          <w:rFonts w:hint="eastAsia" w:ascii="仿宋_GB2312" w:hAnsi="仿宋_GB2312" w:eastAsia="仿宋_GB2312" w:cs="仿宋_GB2312"/>
          <w:sz w:val="32"/>
          <w:szCs w:val="32"/>
        </w:rPr>
        <w:t>文博院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）加强资金保障。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健全博物馆免费开放机制，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严格执行区、州公共文化领域财政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事权和支出责任划分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认真落实博物馆免费开放经费分级承担责任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。鼓励社会资本支持博物馆发展。鼓励通过政府购买服务、项目补贴、以奖代补等方式，支持非国有博物馆持续发展。（牵头单位：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〈文物局〉；责任单位：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党委宣传部、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）加强队伍建设。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按照人力资源和社会保障部、国家文物局《关于进一步加强文博事业单位人事管理工作的指导意见》精神，培养博物馆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。利用绿色通道，拓宽博物馆专业人才引进机制，持续开展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，提高队伍整体素质。（牵头单位：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〈文物局〉；责任单位：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党委宣传部、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文博院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十七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）加强监督管理。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完善绩效考评监督机制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，严格博物馆免费开放考核标准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积极争创国家等级博物馆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。建立博物馆年报制度和信用体系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主动接受社会监督。（牵头单位：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〈文物局〉；责任单位：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党委宣传部、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文博院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）文化体育广播电视和旅游局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〈文物局〉）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MmE4ZmNhMDRhM2IxOTUyN2FiYTI0MWU2ZDk1MTMifQ=="/>
  </w:docVars>
  <w:rsids>
    <w:rsidRoot w:val="669355F8"/>
    <w:rsid w:val="22747748"/>
    <w:rsid w:val="4AE91469"/>
    <w:rsid w:val="53AB6D17"/>
    <w:rsid w:val="6693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2022-12-28T09:24:00Z</dcterms:created>
  <dc:creator>贾晋</dc:creator>
  <cp:lastModifiedBy>贾晋</cp:lastModifiedBy>
  <dcterms:modified xsi:type="dcterms:W3CDTF">2022-12-28T09:24:28Z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63E011D09E8D4B218620B7F393D4B844</vt:lpwstr>
  </property>
</Properties>
</file>