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560" w:lineRule="exact"/>
        <w:ind w:right="0" w:rightChars="0"/>
        <w:jc w:val="both"/>
        <w:textAlignment w:val="auto"/>
        <w:outlineLvl w:val="9"/>
        <w:rPr>
          <w:rFonts w:hint="eastAsia" w:ascii="Times New Roman" w:hAnsi="Times New Roman" w:eastAsia="方正仿宋_GBK" w:cs="Times New Roman"/>
          <w:spacing w:val="0"/>
          <w:kern w:val="2"/>
          <w:sz w:val="32"/>
          <w:szCs w:val="32"/>
          <w:lang w:val="en-US" w:eastAsia="zh-CN" w:bidi="ar-SA"/>
        </w:rPr>
      </w:pPr>
      <w:bookmarkStart w:id="0" w:name="_GoBack"/>
      <w:bookmarkEnd w:id="0"/>
      <w:r>
        <w:rPr>
          <w:rFonts w:hint="eastAsia" w:ascii="Times New Roman" w:hAnsi="Times New Roman" w:eastAsia="方正仿宋_GBK" w:cs="Times New Roman"/>
          <w:spacing w:val="0"/>
          <w:kern w:val="2"/>
          <w:sz w:val="32"/>
          <w:szCs w:val="32"/>
          <w:lang w:val="en-US" w:eastAsia="zh-CN" w:bidi="ar-SA"/>
        </w:rPr>
        <w:t>附件：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560" w:lineRule="exact"/>
        <w:ind w:right="0" w:rightChars="0"/>
        <w:jc w:val="center"/>
        <w:textAlignment w:val="auto"/>
        <w:outlineLvl w:val="9"/>
        <w:rPr>
          <w:rFonts w:hint="default"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昌吉州</w:t>
      </w:r>
      <w:r>
        <w:rPr>
          <w:rFonts w:hint="default" w:ascii="Times New Roman" w:hAnsi="Times New Roman" w:eastAsia="方正仿宋_GBK" w:cs="Times New Roman"/>
          <w:spacing w:val="0"/>
          <w:kern w:val="2"/>
          <w:sz w:val="32"/>
          <w:szCs w:val="32"/>
          <w:lang w:val="en-US" w:eastAsia="zh-CN" w:bidi="ar-SA"/>
        </w:rPr>
        <w:t>贯彻落实自治区 兵团第二生态环境保护督察组督察反馈意见整改</w:t>
      </w:r>
      <w:r>
        <w:rPr>
          <w:rFonts w:hint="eastAsia" w:ascii="Times New Roman" w:hAnsi="Times New Roman" w:eastAsia="方正仿宋_GBK" w:cs="Times New Roman"/>
          <w:spacing w:val="0"/>
          <w:kern w:val="2"/>
          <w:sz w:val="32"/>
          <w:szCs w:val="32"/>
          <w:lang w:val="en-US" w:eastAsia="zh-CN" w:bidi="ar-SA"/>
        </w:rPr>
        <w:t>情况</w:t>
      </w:r>
      <w:r>
        <w:rPr>
          <w:rFonts w:hint="default" w:ascii="Times New Roman" w:hAnsi="Times New Roman" w:eastAsia="方正仿宋_GBK" w:cs="Times New Roman"/>
          <w:spacing w:val="0"/>
          <w:kern w:val="2"/>
          <w:sz w:val="32"/>
          <w:szCs w:val="32"/>
          <w:lang w:val="en-US" w:eastAsia="zh-CN" w:bidi="ar-SA"/>
        </w:rPr>
        <w:t>公示表</w:t>
      </w:r>
    </w:p>
    <w:tbl>
      <w:tblPr>
        <w:tblStyle w:val="6"/>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980"/>
        <w:gridCol w:w="1110"/>
        <w:gridCol w:w="3195"/>
        <w:gridCol w:w="5749"/>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560" w:lineRule="exact"/>
              <w:ind w:right="0" w:rightChars="0"/>
              <w:jc w:val="center"/>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序号</w:t>
            </w:r>
          </w:p>
        </w:tc>
        <w:tc>
          <w:tcPr>
            <w:tcW w:w="198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560" w:lineRule="exact"/>
              <w:ind w:right="0" w:rightChars="0"/>
              <w:jc w:val="center"/>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反馈问题</w:t>
            </w:r>
          </w:p>
        </w:tc>
        <w:tc>
          <w:tcPr>
            <w:tcW w:w="111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560" w:lineRule="exact"/>
              <w:ind w:right="0" w:rightChars="0"/>
              <w:jc w:val="center"/>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整改目标</w:t>
            </w:r>
          </w:p>
        </w:tc>
        <w:tc>
          <w:tcPr>
            <w:tcW w:w="319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560" w:lineRule="exact"/>
              <w:ind w:right="0" w:rightChars="0"/>
              <w:jc w:val="center"/>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整改措施</w:t>
            </w:r>
          </w:p>
        </w:tc>
        <w:tc>
          <w:tcPr>
            <w:tcW w:w="5749"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560" w:lineRule="exact"/>
              <w:ind w:right="0" w:rightChars="0"/>
              <w:jc w:val="center"/>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整改完成情况</w:t>
            </w:r>
          </w:p>
        </w:tc>
        <w:tc>
          <w:tcPr>
            <w:tcW w:w="109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560" w:lineRule="exact"/>
              <w:ind w:right="0" w:rightChars="0"/>
              <w:jc w:val="center"/>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560" w:lineRule="exact"/>
              <w:ind w:right="0" w:rightChars="0"/>
              <w:jc w:val="center"/>
              <w:textAlignment w:val="auto"/>
              <w:outlineLvl w:val="9"/>
              <w:rPr>
                <w:rFonts w:hint="default" w:ascii="Times New Roman" w:hAnsi="Times New Roman" w:eastAsia="方正仿宋_GBK" w:cs="Times New Roman"/>
                <w:spacing w:val="0"/>
                <w:kern w:val="2"/>
                <w:sz w:val="32"/>
                <w:szCs w:val="32"/>
                <w:vertAlign w:val="baseline"/>
                <w:lang w:val="en-US" w:eastAsia="zh-CN" w:bidi="ar-SA"/>
              </w:rPr>
            </w:pPr>
            <w:r>
              <w:rPr>
                <w:rFonts w:hint="default" w:ascii="Times New Roman" w:hAnsi="Times New Roman" w:eastAsia="方正仿宋_GBK" w:cs="Times New Roman"/>
                <w:spacing w:val="0"/>
                <w:kern w:val="2"/>
                <w:sz w:val="32"/>
                <w:szCs w:val="32"/>
                <w:vertAlign w:val="baseline"/>
                <w:lang w:val="en-US" w:eastAsia="zh-CN" w:bidi="ar-SA"/>
              </w:rPr>
              <w:t>41</w:t>
            </w:r>
          </w:p>
        </w:tc>
        <w:tc>
          <w:tcPr>
            <w:tcW w:w="198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320" w:lineRule="exact"/>
              <w:ind w:right="0" w:rightChars="0"/>
              <w:jc w:val="both"/>
              <w:textAlignment w:val="auto"/>
              <w:outlineLvl w:val="9"/>
              <w:rPr>
                <w:rFonts w:hint="eastAsia" w:ascii="仿宋" w:hAnsi="仿宋" w:eastAsia="仿宋" w:cs="仿宋"/>
                <w:spacing w:val="0"/>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阜康市闽新再生物资公司无资质非法回收、拆解报废机动车，拆解产生的各类污染物未经收集处理直接排放，产生的油污泥非法处置，其他各类危险废物不知去向，对水、大气、土壤环境均造成严重污染；闽航特钢接收不符合环评报告书要求的废钢原料，并未按环评要求规范管理、处置危险废物及钢渣。</w:t>
            </w:r>
          </w:p>
        </w:tc>
        <w:tc>
          <w:tcPr>
            <w:tcW w:w="111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320" w:lineRule="exact"/>
              <w:ind w:right="0" w:rightChars="0"/>
              <w:jc w:val="center"/>
              <w:textAlignment w:val="auto"/>
              <w:outlineLvl w:val="9"/>
              <w:rPr>
                <w:rFonts w:hint="eastAsia" w:ascii="仿宋" w:hAnsi="仿宋" w:eastAsia="仿宋" w:cs="仿宋"/>
                <w:spacing w:val="0"/>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督促阜康市闽新再生物资有限公司、闽航特钢有限责任公司等2家企业完成污染治理任务，消除环境安全隐患。</w:t>
            </w:r>
          </w:p>
        </w:tc>
        <w:tc>
          <w:tcPr>
            <w:tcW w:w="319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1.依法依规对阜康市闽新再生物资有限公司进行查处，责令立即停止无资质回收、拆解报废机动车的违法行为。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2.制定《阜康市闽新再生物资有限公司污染整治方案》。</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3.组织开展场地污染调查，根据调查结果制定污染治理措施，并组织实施，按照规范处置含油污泥等危险废物。</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4.依法依规对阜康市闽航特钢有限责任公司进行查处，督促制定整改方案，同时严格按照环评要求，建立钢渣暂存库，按要求进行规范处置。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320" w:lineRule="exact"/>
              <w:ind w:right="0" w:rightChars="0"/>
              <w:jc w:val="both"/>
              <w:textAlignment w:val="auto"/>
              <w:outlineLvl w:val="9"/>
              <w:rPr>
                <w:rFonts w:hint="eastAsia" w:ascii="仿宋" w:hAnsi="仿宋" w:eastAsia="仿宋" w:cs="仿宋"/>
                <w:spacing w:val="0"/>
                <w:kern w:val="2"/>
                <w:sz w:val="21"/>
                <w:szCs w:val="21"/>
                <w:vertAlign w:val="baseline"/>
                <w:lang w:val="en-US" w:eastAsia="zh-CN" w:bidi="ar-SA"/>
              </w:rPr>
            </w:pPr>
            <w:r>
              <w:rPr>
                <w:rFonts w:hint="eastAsia" w:ascii="仿宋" w:hAnsi="仿宋" w:eastAsia="仿宋" w:cs="仿宋"/>
                <w:color w:val="auto"/>
                <w:kern w:val="0"/>
                <w:sz w:val="21"/>
                <w:szCs w:val="21"/>
                <w:lang w:val="en-US" w:eastAsia="zh-CN"/>
              </w:rPr>
              <w:t>5.治理完成后，组织开展监测调查评估，确保达到治理效果。</w:t>
            </w:r>
          </w:p>
        </w:tc>
        <w:tc>
          <w:tcPr>
            <w:tcW w:w="5749"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320" w:lineRule="exact"/>
              <w:ind w:right="0" w:rightChars="0"/>
              <w:jc w:val="both"/>
              <w:textAlignment w:val="auto"/>
              <w:outlineLvl w:val="9"/>
              <w:rPr>
                <w:rFonts w:hint="eastAsia" w:ascii="仿宋" w:hAnsi="仿宋" w:eastAsia="仿宋" w:cs="仿宋"/>
                <w:spacing w:val="0"/>
                <w:kern w:val="2"/>
                <w:sz w:val="21"/>
                <w:szCs w:val="21"/>
                <w:vertAlign w:val="baseline"/>
                <w:lang w:val="en-US" w:eastAsia="zh-CN" w:bidi="ar-SA"/>
              </w:rPr>
            </w:pPr>
            <w:r>
              <w:rPr>
                <w:rFonts w:hint="eastAsia" w:ascii="仿宋" w:hAnsi="仿宋" w:eastAsia="仿宋" w:cs="仿宋"/>
                <w:b w:val="0"/>
                <w:bCs w:val="0"/>
                <w:sz w:val="21"/>
                <w:szCs w:val="21"/>
                <w:lang w:val="en-US" w:eastAsia="zh-CN"/>
              </w:rPr>
              <w:t>阜康市市</w:t>
            </w:r>
            <w:r>
              <w:rPr>
                <w:rFonts w:hint="eastAsia" w:ascii="仿宋" w:hAnsi="仿宋" w:eastAsia="仿宋" w:cs="仿宋"/>
                <w:kern w:val="2"/>
                <w:sz w:val="21"/>
                <w:szCs w:val="21"/>
                <w:lang w:val="en-US" w:eastAsia="zh-CN" w:bidi="ar-SA"/>
              </w:rPr>
              <w:t>商务工信局、生态环境局已对该厂违法行为进行立案并处罚</w:t>
            </w:r>
            <w:r>
              <w:rPr>
                <w:rFonts w:hint="eastAsia" w:ascii="仿宋" w:hAnsi="仿宋" w:eastAsia="仿宋" w:cs="仿宋"/>
                <w:color w:val="auto"/>
                <w:kern w:val="2"/>
                <w:sz w:val="21"/>
                <w:szCs w:val="21"/>
                <w:lang w:val="en-US" w:eastAsia="zh-CN" w:bidi="ar-SA"/>
              </w:rPr>
              <w:t>；</w:t>
            </w:r>
            <w:r>
              <w:rPr>
                <w:rFonts w:hint="eastAsia" w:ascii="仿宋" w:hAnsi="仿宋" w:eastAsia="仿宋" w:cs="仿宋"/>
                <w:color w:val="auto"/>
                <w:sz w:val="21"/>
                <w:szCs w:val="21"/>
                <w:lang w:val="en-US" w:eastAsia="zh-CN"/>
              </w:rPr>
              <w:t>闽新再生物资已将20辆整车拆解过程中产生的废机油、油箱、油缸和拆卸区域造成沾油渣土等集中收集并桶装后转移至新疆闽新钢铁（集团）闽航特钢有限责任公司的危险废物贮存库房临时贮存，并已委托有危险废物资质的单位全部处置完毕；</w:t>
            </w:r>
            <w:r>
              <w:rPr>
                <w:rFonts w:hint="eastAsia" w:ascii="仿宋" w:hAnsi="仿宋" w:eastAsia="仿宋" w:cs="仿宋"/>
                <w:kern w:val="2"/>
                <w:sz w:val="21"/>
                <w:szCs w:val="21"/>
                <w:lang w:val="en-US" w:eastAsia="zh-CN" w:bidi="ar-SA"/>
              </w:rPr>
              <w:t>已完成污染地面剥离和清洗剂清洗工作。第三方已完成现场</w:t>
            </w:r>
            <w:r>
              <w:rPr>
                <w:rFonts w:hint="eastAsia" w:ascii="仿宋" w:hAnsi="仿宋" w:eastAsia="仿宋" w:cs="仿宋"/>
                <w:sz w:val="21"/>
                <w:szCs w:val="21"/>
                <w:lang w:val="en-US" w:eastAsia="zh-CN"/>
              </w:rPr>
              <w:t>布点、采样、检测、调查和评估工作，</w:t>
            </w:r>
            <w:r>
              <w:rPr>
                <w:rFonts w:hint="eastAsia" w:ascii="仿宋" w:hAnsi="仿宋" w:eastAsia="仿宋" w:cs="仿宋"/>
                <w:kern w:val="2"/>
                <w:sz w:val="21"/>
                <w:szCs w:val="21"/>
                <w:lang w:val="en-US" w:eastAsia="zh-CN" w:bidi="ar-SA"/>
              </w:rPr>
              <w:t>已出具土壤检测报告单和评估报告，并通过专家现场论证和会审，报告显示未造成土壤和地下水污染；闽新再生物资</w:t>
            </w:r>
            <w:r>
              <w:rPr>
                <w:rFonts w:hint="eastAsia" w:ascii="仿宋" w:hAnsi="仿宋" w:eastAsia="仿宋" w:cs="仿宋"/>
                <w:color w:val="auto"/>
                <w:sz w:val="21"/>
                <w:szCs w:val="21"/>
                <w:lang w:val="en-US" w:eastAsia="zh-CN"/>
              </w:rPr>
              <w:t xml:space="preserve">闽新钢铁已将混入的废油漆桶、沾油废物、沾油钢材进行分拣并单独包装，转至危险废物贮存库贮存，并已委托危险废物处置单位全部处置完毕；闽新钢铁依据《土壤环境质量建设用地土壤污染风险管控标准（试行）》（GB36600-2018），已对钢渣进行取样检测，已建设临时渣场，对现有临时堆存的钢渣进行规则堆体，并在钢渣堆体覆盖篷布完成全覆盖； </w:t>
            </w:r>
            <w:r>
              <w:rPr>
                <w:rFonts w:hint="eastAsia" w:ascii="仿宋" w:hAnsi="仿宋" w:eastAsia="仿宋" w:cs="仿宋"/>
                <w:kern w:val="2"/>
                <w:sz w:val="21"/>
                <w:szCs w:val="21"/>
                <w:lang w:val="en-US" w:eastAsia="zh-CN" w:bidi="ar-SA"/>
              </w:rPr>
              <w:t>闽新再生物资已完成场地、设备升级改造，取得自治区商务厅报废机动车回收拆解资质。</w:t>
            </w:r>
          </w:p>
        </w:tc>
        <w:tc>
          <w:tcPr>
            <w:tcW w:w="109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line="320" w:lineRule="exact"/>
              <w:ind w:right="0" w:rightChars="0"/>
              <w:jc w:val="both"/>
              <w:textAlignment w:val="auto"/>
              <w:outlineLvl w:val="9"/>
              <w:rPr>
                <w:rFonts w:hint="default" w:ascii="Times New Roman" w:hAnsi="Times New Roman" w:eastAsia="方正仿宋_GBK" w:cs="Times New Roman"/>
                <w:spacing w:val="0"/>
                <w:kern w:val="2"/>
                <w:sz w:val="32"/>
                <w:szCs w:val="32"/>
                <w:vertAlign w:val="baseline"/>
                <w:lang w:val="en-US" w:eastAsia="zh-CN" w:bidi="ar-SA"/>
              </w:rPr>
            </w:pPr>
            <w:r>
              <w:rPr>
                <w:rFonts w:hint="eastAsia" w:ascii="仿宋" w:hAnsi="仿宋" w:eastAsia="仿宋" w:cs="仿宋"/>
                <w:color w:val="auto"/>
                <w:sz w:val="21"/>
                <w:szCs w:val="21"/>
                <w:lang w:val="en-US" w:eastAsia="zh-CN"/>
              </w:rPr>
              <w:t>7月29日由州商务局牵头，州生态环境局、州工信局、州交通局、州公安局对整改情况进行验收，经核查，督察反馈问题已全部整改。</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YWE0OWVkZmZhM2EyNThkZmJlYTUzZTA0MTcyNTEifQ=="/>
  </w:docVars>
  <w:rsids>
    <w:rsidRoot w:val="03097A78"/>
    <w:rsid w:val="03097A78"/>
    <w:rsid w:val="10CA494F"/>
    <w:rsid w:val="68E46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0"/>
    <w:pPr>
      <w:keepNext/>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1"/>
      <w:szCs w:val="21"/>
      <w:lang w:val="en-US" w:eastAsia="zh-CN"/>
    </w:rPr>
  </w:style>
  <w:style w:type="paragraph" w:styleId="2">
    <w:name w:val="heading 3"/>
    <w:basedOn w:val="1"/>
    <w:next w:val="1"/>
    <w:qFormat/>
    <w:uiPriority w:val="0"/>
    <w:pPr>
      <w:keepNext/>
      <w:keepLines/>
      <w:spacing w:beforeAutospacing="0" w:afterAutospacing="0" w:line="560" w:lineRule="exact"/>
      <w:outlineLvl w:val="2"/>
    </w:pPr>
    <w:rPr>
      <w:rFonts w:ascii="Calibri" w:hAnsi="Calibri" w:eastAsia="宋体" w:cs="Times New Roman"/>
      <w:b/>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1320</Words>
  <Characters>1370</Characters>
  <Lines>0</Lines>
  <Paragraphs>0</Paragraphs>
  <TotalTime>15</TotalTime>
  <ScaleCrop>false</ScaleCrop>
  <LinksUpToDate>false</LinksUpToDate>
  <CharactersWithSpaces>1393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2022-08-04T03:22:00Z</dcterms:created>
  <dc:creator>scyxzsk-lwy</dc:creator>
  <cp:lastModifiedBy>Administrator</cp:lastModifiedBy>
  <cp:lastPrinted>2022-08-04T11:21:00Z</cp:lastPrinted>
  <dcterms:modified xsi:type="dcterms:W3CDTF">2022-08-07T03:13:55Z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777CDC9322A240A98B7FD52F46DD8E2E</vt:lpwstr>
  </property>
</Properties>
</file>