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附件2</w:t>
      </w: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方正小标宋_GBK" w:hAnsi="华文中宋" w:eastAsia="方正小标宋_GBK" w:cs="宋体"/>
          <w:b/>
          <w:kern w:val="0"/>
          <w:sz w:val="48"/>
          <w:szCs w:val="48"/>
        </w:rPr>
      </w:pPr>
      <w:r>
        <w:rPr>
          <w:rFonts w:hint="eastAsia" w:ascii="方正小标宋_GBK" w:hAnsi="华文中宋" w:eastAsia="方正小标宋_GBK" w:cs="宋体"/>
          <w:b/>
          <w:kern w:val="0"/>
          <w:sz w:val="48"/>
          <w:szCs w:val="48"/>
        </w:rPr>
        <w:t>自治区财政项目支出绩效自评报告</w:t>
      </w:r>
    </w:p>
    <w:p>
      <w:pPr>
        <w:spacing w:line="540" w:lineRule="exact"/>
        <w:jc w:val="center"/>
        <w:rPr>
          <w:rFonts w:ascii="华文中宋" w:hAnsi="华文中宋" w:eastAsia="华文中宋" w:cs="宋体"/>
          <w:b/>
          <w:kern w:val="0"/>
          <w:sz w:val="52"/>
          <w:szCs w:val="52"/>
        </w:rPr>
      </w:pPr>
    </w:p>
    <w:p>
      <w:pPr>
        <w:spacing w:line="540" w:lineRule="exact"/>
        <w:jc w:val="center"/>
        <w:rPr>
          <w:rFonts w:hAnsi="宋体" w:eastAsia="仿宋_GB2312" w:cs="宋体"/>
          <w:kern w:val="0"/>
          <w:sz w:val="36"/>
          <w:szCs w:val="36"/>
        </w:rPr>
      </w:pPr>
      <w:r>
        <w:rPr>
          <w:rFonts w:hint="eastAsia" w:hAnsi="宋体" w:eastAsia="仿宋_GB2312" w:cs="宋体"/>
          <w:kern w:val="0"/>
          <w:sz w:val="36"/>
          <w:szCs w:val="36"/>
        </w:rPr>
        <w:t>（  2018   年度）</w:t>
      </w: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rPr>
          <w:rFonts w:hAnsi="宋体" w:eastAsia="仿宋_GB2312" w:cs="宋体"/>
          <w:kern w:val="0"/>
          <w:sz w:val="30"/>
          <w:szCs w:val="30"/>
        </w:rPr>
      </w:pPr>
    </w:p>
    <w:p>
      <w:pPr>
        <w:spacing w:line="700" w:lineRule="exact"/>
        <w:jc w:val="left"/>
        <w:rPr>
          <w:rFonts w:hAnsi="宋体" w:eastAsia="仿宋_GB2312" w:cs="宋体"/>
          <w:kern w:val="0"/>
          <w:sz w:val="36"/>
          <w:szCs w:val="36"/>
        </w:rPr>
      </w:pPr>
      <w:r>
        <w:rPr>
          <w:rFonts w:hint="eastAsia" w:hAnsi="宋体" w:eastAsia="仿宋_GB2312" w:cs="宋体"/>
          <w:kern w:val="0"/>
          <w:sz w:val="36"/>
          <w:szCs w:val="36"/>
        </w:rPr>
        <w:t xml:space="preserve">     项目名称：</w:t>
      </w:r>
    </w:p>
    <w:p>
      <w:pPr>
        <w:spacing w:line="700" w:lineRule="exact"/>
        <w:jc w:val="left"/>
        <w:rPr>
          <w:rFonts w:hAnsi="宋体" w:eastAsia="仿宋_GB2312" w:cs="宋体"/>
          <w:kern w:val="0"/>
          <w:sz w:val="36"/>
          <w:szCs w:val="36"/>
        </w:rPr>
      </w:pPr>
      <w:r>
        <w:rPr>
          <w:rFonts w:hint="eastAsia" w:hAnsi="宋体" w:eastAsia="仿宋_GB2312" w:cs="宋体"/>
          <w:kern w:val="0"/>
          <w:sz w:val="36"/>
          <w:szCs w:val="36"/>
        </w:rPr>
        <w:t xml:space="preserve">     实施单位（公章）：昌吉州文物局</w:t>
      </w:r>
    </w:p>
    <w:p>
      <w:pPr>
        <w:spacing w:line="700" w:lineRule="exact"/>
        <w:ind w:left="4051" w:leftChars="386" w:hanging="3240" w:hangingChars="900"/>
        <w:jc w:val="left"/>
        <w:rPr>
          <w:rFonts w:hAnsi="宋体" w:eastAsia="仿宋_GB2312" w:cs="宋体"/>
          <w:kern w:val="0"/>
          <w:sz w:val="36"/>
          <w:szCs w:val="36"/>
        </w:rPr>
      </w:pPr>
      <w:r>
        <w:rPr>
          <w:rFonts w:hint="eastAsia" w:hAnsi="宋体" w:eastAsia="仿宋_GB2312" w:cs="宋体"/>
          <w:kern w:val="0"/>
          <w:sz w:val="36"/>
          <w:szCs w:val="36"/>
        </w:rPr>
        <w:t>主管部门（公章）：昌吉州文化体育广播电视和旅游局</w:t>
      </w:r>
    </w:p>
    <w:p>
      <w:pPr>
        <w:spacing w:line="700" w:lineRule="exact"/>
        <w:ind w:firstLine="849" w:firstLineChars="236"/>
        <w:jc w:val="left"/>
        <w:rPr>
          <w:rFonts w:hAnsi="宋体" w:eastAsia="仿宋_GB2312" w:cs="宋体"/>
          <w:kern w:val="0"/>
          <w:sz w:val="36"/>
          <w:szCs w:val="36"/>
        </w:rPr>
      </w:pPr>
      <w:r>
        <w:rPr>
          <w:rFonts w:hint="eastAsia" w:hAnsi="宋体" w:eastAsia="仿宋_GB2312" w:cs="宋体"/>
          <w:kern w:val="0"/>
          <w:sz w:val="36"/>
          <w:szCs w:val="36"/>
        </w:rPr>
        <w:t>项目负责人（签章）：张新恒</w:t>
      </w:r>
    </w:p>
    <w:p>
      <w:pPr>
        <w:spacing w:line="700" w:lineRule="exact"/>
        <w:ind w:firstLine="849" w:firstLineChars="236"/>
        <w:jc w:val="left"/>
        <w:rPr>
          <w:rFonts w:hAnsi="宋体" w:eastAsia="仿宋_GB2312" w:cs="宋体"/>
          <w:kern w:val="0"/>
          <w:sz w:val="36"/>
          <w:szCs w:val="36"/>
        </w:rPr>
      </w:pPr>
      <w:r>
        <w:rPr>
          <w:rFonts w:hint="eastAsia" w:hAnsi="宋体" w:eastAsia="仿宋_GB2312" w:cs="宋体"/>
          <w:kern w:val="0"/>
          <w:sz w:val="36"/>
          <w:szCs w:val="36"/>
        </w:rPr>
        <w:t>填报时间： 2019 年  3月  15 日</w:t>
      </w:r>
    </w:p>
    <w:p>
      <w:pPr>
        <w:spacing w:line="540" w:lineRule="exact"/>
        <w:jc w:val="center"/>
        <w:rPr>
          <w:rFonts w:hAnsi="宋体" w:eastAsia="仿宋_GB2312" w:cs="宋体"/>
          <w:kern w:val="0"/>
          <w:sz w:val="30"/>
          <w:szCs w:val="30"/>
        </w:rPr>
      </w:pP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一、项目概况</w:t>
      </w:r>
    </w:p>
    <w:p>
      <w:pPr>
        <w:spacing w:line="540" w:lineRule="exact"/>
        <w:ind w:firstLine="567"/>
        <w:rPr>
          <w:rStyle w:val="18"/>
          <w:rFonts w:hint="eastAsia" w:ascii="楷体" w:hAnsi="楷体" w:eastAsia="楷体"/>
          <w:spacing w:val="-4"/>
          <w:sz w:val="32"/>
          <w:szCs w:val="32"/>
        </w:rPr>
      </w:pPr>
      <w:r>
        <w:rPr>
          <w:rStyle w:val="18"/>
          <w:rFonts w:hint="eastAsia" w:ascii="楷体" w:hAnsi="楷体" w:eastAsia="楷体"/>
          <w:spacing w:val="-4"/>
          <w:sz w:val="32"/>
          <w:szCs w:val="32"/>
        </w:rPr>
        <w:t>（一）项目单位基本情况</w:t>
      </w:r>
    </w:p>
    <w:p>
      <w:pPr>
        <w:spacing w:line="540" w:lineRule="exact"/>
        <w:ind w:firstLine="567"/>
        <w:rPr>
          <w:rStyle w:val="18"/>
          <w:rFonts w:hint="eastAsia" w:ascii="仿宋_GB2312" w:hAnsi="仿宋_GB2312" w:eastAsia="仿宋_GB2312" w:cs="仿宋_GB2312"/>
          <w:b w:val="0"/>
          <w:spacing w:val="-4"/>
          <w:sz w:val="32"/>
          <w:szCs w:val="32"/>
        </w:rPr>
      </w:pPr>
      <w:r>
        <w:rPr>
          <w:rStyle w:val="18"/>
          <w:rFonts w:hint="eastAsia" w:ascii="仿宋_GB2312" w:hAnsi="仿宋_GB2312" w:eastAsia="仿宋_GB2312" w:cs="仿宋_GB2312"/>
          <w:b w:val="0"/>
          <w:spacing w:val="-4"/>
          <w:sz w:val="32"/>
          <w:szCs w:val="32"/>
        </w:rPr>
        <w:t>2018年2月年昌吉州文物局合并到昌吉州文化体育广播电视新闻出版局，文物局4人调入到局执法支队，文广局设立文物保护管理科，其中1人在科室临时负责。全州七个县市，国家级重点文物保护单位5处，自治区级文物保护单位55处，县级文物保护单位110处。</w:t>
      </w:r>
    </w:p>
    <w:p>
      <w:pPr>
        <w:spacing w:line="540" w:lineRule="exact"/>
        <w:ind w:firstLine="470" w:firstLineChars="150"/>
        <w:rPr>
          <w:rStyle w:val="18"/>
          <w:rFonts w:ascii="楷体" w:hAnsi="楷体" w:eastAsia="楷体"/>
          <w:spacing w:val="-4"/>
          <w:sz w:val="32"/>
          <w:szCs w:val="32"/>
        </w:rPr>
      </w:pPr>
      <w:r>
        <w:rPr>
          <w:rStyle w:val="18"/>
          <w:rFonts w:hint="eastAsia" w:ascii="楷体" w:hAnsi="楷体" w:eastAsia="楷体"/>
          <w:spacing w:val="-4"/>
          <w:sz w:val="32"/>
          <w:szCs w:val="32"/>
        </w:rPr>
        <w:t>（二）项目预算</w:t>
      </w:r>
      <w:r>
        <w:rPr>
          <w:rStyle w:val="18"/>
          <w:rFonts w:ascii="楷体" w:hAnsi="楷体" w:eastAsia="楷体"/>
          <w:spacing w:val="-4"/>
          <w:sz w:val="32"/>
          <w:szCs w:val="32"/>
        </w:rPr>
        <w:t>绩效目标</w:t>
      </w:r>
      <w:r>
        <w:rPr>
          <w:rStyle w:val="18"/>
          <w:rFonts w:hint="eastAsia" w:ascii="楷体" w:hAnsi="楷体" w:eastAsia="楷体"/>
          <w:spacing w:val="-4"/>
          <w:sz w:val="32"/>
          <w:szCs w:val="32"/>
        </w:rPr>
        <w:t>设定情况</w:t>
      </w:r>
    </w:p>
    <w:p>
      <w:pPr>
        <w:spacing w:line="540" w:lineRule="exact"/>
        <w:ind w:firstLine="567"/>
        <w:rPr>
          <w:rStyle w:val="18"/>
          <w:rFonts w:hint="eastAsia" w:ascii="仿宋_GB2312" w:hAnsi="仿宋_GB2312" w:eastAsia="仿宋_GB2312" w:cs="仿宋_GB2312"/>
          <w:b w:val="0"/>
          <w:spacing w:val="-4"/>
          <w:sz w:val="32"/>
          <w:szCs w:val="32"/>
        </w:rPr>
      </w:pPr>
      <w:r>
        <w:rPr>
          <w:rStyle w:val="18"/>
          <w:rFonts w:hint="eastAsia" w:ascii="仿宋_GB2312" w:hAnsi="仿宋_GB2312" w:eastAsia="仿宋_GB2312" w:cs="仿宋_GB2312"/>
          <w:b w:val="0"/>
          <w:spacing w:val="-4"/>
          <w:sz w:val="32"/>
          <w:szCs w:val="32"/>
        </w:rPr>
        <w:t>全州野外文物保护单位看护人员专项补助经费是自治区文物局拨付的专项经费，专项用于野外文物保护单位看护人员补助，主要目的是为进一步加强全国重点文物保护单位和自治区级文物保护单位的保护、利用和管理。</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二、项目资金使用及管理情况</w:t>
      </w:r>
    </w:p>
    <w:p>
      <w:pPr>
        <w:spacing w:line="540" w:lineRule="exact"/>
        <w:ind w:firstLine="567" w:firstLineChars="181"/>
        <w:rPr>
          <w:rStyle w:val="18"/>
          <w:rFonts w:ascii="楷体" w:hAnsi="楷体" w:eastAsia="楷体"/>
          <w:spacing w:val="-4"/>
          <w:sz w:val="32"/>
          <w:szCs w:val="32"/>
        </w:rPr>
      </w:pPr>
      <w:r>
        <w:rPr>
          <w:rStyle w:val="18"/>
          <w:rFonts w:hint="eastAsia" w:ascii="楷体" w:hAnsi="楷体" w:eastAsia="楷体"/>
          <w:spacing w:val="-4"/>
          <w:sz w:val="32"/>
          <w:szCs w:val="32"/>
        </w:rPr>
        <w:t>（一）项目资金安排落实、总投入等情况分析</w:t>
      </w:r>
    </w:p>
    <w:p>
      <w:pPr>
        <w:spacing w:line="540" w:lineRule="exact"/>
        <w:ind w:firstLine="567"/>
        <w:rPr>
          <w:rStyle w:val="18"/>
          <w:rFonts w:hint="eastAsia" w:ascii="仿宋_GB2312" w:hAnsi="仿宋_GB2312" w:eastAsia="仿宋_GB2312" w:cs="仿宋_GB2312"/>
          <w:b w:val="0"/>
          <w:spacing w:val="-4"/>
          <w:sz w:val="32"/>
          <w:szCs w:val="32"/>
        </w:rPr>
      </w:pPr>
      <w:r>
        <w:rPr>
          <w:rStyle w:val="18"/>
          <w:rFonts w:hint="eastAsia" w:ascii="仿宋_GB2312" w:hAnsi="仿宋_GB2312" w:eastAsia="仿宋_GB2312" w:cs="仿宋_GB2312"/>
          <w:b w:val="0"/>
          <w:spacing w:val="-4"/>
          <w:sz w:val="32"/>
          <w:szCs w:val="32"/>
        </w:rPr>
        <w:t>野外文物保护单位看护人员专项补助经费项目支出：该项目资金投入2018年共拨付235.2万元，全部为上级财政拨款。</w:t>
      </w:r>
    </w:p>
    <w:p>
      <w:pPr>
        <w:spacing w:line="540" w:lineRule="exact"/>
        <w:ind w:firstLine="567" w:firstLineChars="181"/>
        <w:rPr>
          <w:rStyle w:val="18"/>
          <w:rFonts w:ascii="楷体" w:hAnsi="楷体" w:eastAsia="楷体"/>
          <w:spacing w:val="-4"/>
          <w:sz w:val="32"/>
          <w:szCs w:val="32"/>
        </w:rPr>
      </w:pPr>
      <w:r>
        <w:rPr>
          <w:rStyle w:val="18"/>
          <w:rFonts w:hint="eastAsia" w:ascii="楷体" w:hAnsi="楷体" w:eastAsia="楷体"/>
          <w:spacing w:val="-4"/>
          <w:sz w:val="32"/>
          <w:szCs w:val="32"/>
        </w:rPr>
        <w:t>（二）项目资金实际使用情况分析</w:t>
      </w:r>
    </w:p>
    <w:p>
      <w:pPr>
        <w:spacing w:line="540" w:lineRule="exact"/>
        <w:ind w:firstLine="567"/>
        <w:rPr>
          <w:rStyle w:val="18"/>
          <w:rFonts w:hint="eastAsia" w:ascii="仿宋_GB2312" w:hAnsi="仿宋_GB2312" w:eastAsia="仿宋_GB2312" w:cs="仿宋_GB2312"/>
          <w:b w:val="0"/>
          <w:spacing w:val="-4"/>
          <w:sz w:val="32"/>
          <w:szCs w:val="32"/>
        </w:rPr>
      </w:pPr>
      <w:r>
        <w:rPr>
          <w:rStyle w:val="18"/>
          <w:rFonts w:hint="eastAsia" w:ascii="仿宋_GB2312" w:hAnsi="仿宋_GB2312" w:eastAsia="仿宋_GB2312" w:cs="仿宋_GB2312"/>
          <w:b w:val="0"/>
          <w:spacing w:val="-4"/>
          <w:sz w:val="32"/>
          <w:szCs w:val="32"/>
        </w:rPr>
        <w:t>野外看护员专项补助经费全州截止18年底支出179.58万元，占全部拨付资金的76％，除吉木萨尔县和呼图壁县补助资金全部发放到位，其他县市由于拨付资金较晚，我们采取延发方式，剩余部分资金到2019年6月底以前全部发放到位。</w:t>
      </w:r>
    </w:p>
    <w:p>
      <w:pPr>
        <w:spacing w:line="540" w:lineRule="exact"/>
        <w:ind w:firstLine="567" w:firstLineChars="181"/>
        <w:rPr>
          <w:rStyle w:val="18"/>
          <w:rFonts w:ascii="楷体" w:hAnsi="楷体" w:eastAsia="楷体"/>
          <w:spacing w:val="-4"/>
          <w:sz w:val="32"/>
          <w:szCs w:val="32"/>
        </w:rPr>
      </w:pPr>
      <w:r>
        <w:rPr>
          <w:rStyle w:val="18"/>
          <w:rFonts w:hint="eastAsia" w:ascii="楷体" w:hAnsi="楷体" w:eastAsia="楷体"/>
          <w:spacing w:val="-4"/>
          <w:sz w:val="32"/>
          <w:szCs w:val="32"/>
        </w:rPr>
        <w:t>（三）项目资金管理情况分析</w:t>
      </w:r>
    </w:p>
    <w:p>
      <w:pPr>
        <w:spacing w:line="540" w:lineRule="exact"/>
        <w:ind w:firstLine="567"/>
        <w:rPr>
          <w:rStyle w:val="18"/>
          <w:rFonts w:hint="eastAsia" w:ascii="仿宋_GB2312" w:hAnsi="仿宋_GB2312" w:eastAsia="仿宋_GB2312" w:cs="仿宋_GB2312"/>
          <w:b w:val="0"/>
          <w:spacing w:val="-4"/>
          <w:sz w:val="32"/>
          <w:szCs w:val="32"/>
        </w:rPr>
      </w:pPr>
      <w:r>
        <w:rPr>
          <w:rStyle w:val="18"/>
          <w:rFonts w:hint="eastAsia" w:ascii="仿宋_GB2312" w:hAnsi="仿宋_GB2312" w:eastAsia="仿宋_GB2312" w:cs="仿宋_GB2312"/>
          <w:b w:val="0"/>
          <w:spacing w:val="-4"/>
          <w:sz w:val="32"/>
          <w:szCs w:val="32"/>
        </w:rPr>
        <w:t>各县市看护员的管理、培训和资金发放，依据各自制定文物保护单位看护员生活补助专项资金管理暂行办法和文物保护单位看护员生活补助工作绩效考核暂行办法及绩效考核评分细则进行，做到奖惩分明。</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三、项目组织实施情况</w:t>
      </w:r>
    </w:p>
    <w:p>
      <w:pPr>
        <w:spacing w:line="540" w:lineRule="exact"/>
        <w:ind w:firstLine="567" w:firstLineChars="181"/>
        <w:rPr>
          <w:rStyle w:val="18"/>
          <w:rFonts w:ascii="楷体" w:hAnsi="楷体" w:eastAsia="楷体"/>
          <w:spacing w:val="-4"/>
          <w:sz w:val="32"/>
          <w:szCs w:val="32"/>
        </w:rPr>
      </w:pPr>
      <w:r>
        <w:rPr>
          <w:rStyle w:val="18"/>
          <w:rFonts w:hint="eastAsia" w:ascii="楷体" w:hAnsi="楷体" w:eastAsia="楷体"/>
          <w:spacing w:val="-4"/>
          <w:sz w:val="32"/>
          <w:szCs w:val="32"/>
        </w:rPr>
        <w:t>（一）项目组织情况分析</w:t>
      </w:r>
    </w:p>
    <w:p>
      <w:pPr>
        <w:spacing w:line="540" w:lineRule="exact"/>
        <w:ind w:firstLine="567"/>
        <w:rPr>
          <w:rStyle w:val="18"/>
          <w:rFonts w:hint="eastAsia" w:ascii="仿宋_GB2312" w:hAnsi="仿宋_GB2312" w:eastAsia="仿宋_GB2312" w:cs="仿宋_GB2312"/>
          <w:b w:val="0"/>
          <w:spacing w:val="-4"/>
          <w:sz w:val="32"/>
          <w:szCs w:val="32"/>
        </w:rPr>
      </w:pPr>
      <w:r>
        <w:rPr>
          <w:rStyle w:val="18"/>
          <w:rFonts w:hint="eastAsia" w:ascii="仿宋_GB2312" w:hAnsi="仿宋_GB2312" w:eastAsia="仿宋_GB2312" w:cs="仿宋_GB2312"/>
          <w:b w:val="0"/>
          <w:spacing w:val="-4"/>
          <w:sz w:val="32"/>
          <w:szCs w:val="32"/>
        </w:rPr>
        <w:t>野外文物保护单位看护人员专项补助经费主要用于开展野外遗址看护员的生活补助。各县市文物局指定专人负责看护员管理工作，通过看护员的巡查，极大提高了野外文物安全，有效改善了野外文物保护现状。</w:t>
      </w:r>
    </w:p>
    <w:p>
      <w:pPr>
        <w:spacing w:line="540" w:lineRule="exact"/>
        <w:ind w:firstLine="470" w:firstLineChars="150"/>
        <w:rPr>
          <w:rStyle w:val="18"/>
          <w:rFonts w:ascii="楷体" w:hAnsi="楷体" w:eastAsia="楷体"/>
          <w:spacing w:val="-4"/>
          <w:sz w:val="32"/>
          <w:szCs w:val="32"/>
        </w:rPr>
      </w:pPr>
      <w:r>
        <w:rPr>
          <w:rStyle w:val="18"/>
          <w:rFonts w:hint="eastAsia" w:ascii="楷体" w:hAnsi="楷体" w:eastAsia="楷体"/>
          <w:spacing w:val="-4"/>
          <w:sz w:val="32"/>
          <w:szCs w:val="32"/>
        </w:rPr>
        <w:t>（二）项目管理情况分析</w:t>
      </w:r>
    </w:p>
    <w:p>
      <w:pPr>
        <w:spacing w:line="540" w:lineRule="exact"/>
        <w:ind w:firstLine="567"/>
        <w:rPr>
          <w:rStyle w:val="18"/>
          <w:rFonts w:hint="eastAsia" w:ascii="仿宋_GB2312" w:hAnsi="仿宋_GB2312" w:eastAsia="仿宋_GB2312" w:cs="仿宋_GB2312"/>
          <w:b w:val="0"/>
          <w:spacing w:val="-4"/>
          <w:sz w:val="32"/>
          <w:szCs w:val="32"/>
        </w:rPr>
      </w:pPr>
      <w:r>
        <w:rPr>
          <w:rStyle w:val="18"/>
          <w:rFonts w:hint="eastAsia" w:ascii="仿宋_GB2312" w:hAnsi="仿宋_GB2312" w:eastAsia="仿宋_GB2312" w:cs="仿宋_GB2312"/>
          <w:b w:val="0"/>
          <w:spacing w:val="-4"/>
          <w:sz w:val="32"/>
          <w:szCs w:val="32"/>
        </w:rPr>
        <w:t>野外文物保护单位看护人员专项补助经费管理严格执行国家有关财务规章制度规定的开支范围与开支标准，各县市文物局对项目的实施实行项目管理责任制，文物局负责人根据通过的项目计划和实施方案，具体组织项目实施。财务室按照财务、预算管理制度，对专项资金项目的实施、付款等环节进行管理和监督，接受各级财政、审计和文化等部门的监督检查。</w:t>
      </w:r>
    </w:p>
    <w:p>
      <w:pPr>
        <w:spacing w:line="540" w:lineRule="exact"/>
        <w:ind w:firstLine="564" w:firstLineChars="181"/>
        <w:rPr>
          <w:rFonts w:hint="eastAsia" w:ascii="黑体" w:hAnsi="黑体" w:eastAsia="黑体" w:cs="黑体"/>
          <w:b w:val="0"/>
          <w:bCs/>
          <w:spacing w:val="-4"/>
          <w:sz w:val="32"/>
          <w:szCs w:val="32"/>
        </w:rPr>
      </w:pPr>
      <w:r>
        <w:rPr>
          <w:rStyle w:val="18"/>
          <w:rFonts w:hint="eastAsia" w:ascii="黑体" w:hAnsi="黑体" w:eastAsia="黑体" w:cs="黑体"/>
          <w:b w:val="0"/>
          <w:bCs/>
          <w:spacing w:val="-4"/>
          <w:sz w:val="32"/>
          <w:szCs w:val="32"/>
        </w:rPr>
        <w:t>四、项目绩效</w:t>
      </w:r>
      <w:r>
        <w:rPr>
          <w:rFonts w:hint="eastAsia" w:ascii="黑体" w:hAnsi="黑体" w:eastAsia="黑体" w:cs="黑体"/>
          <w:b w:val="0"/>
          <w:bCs/>
          <w:spacing w:val="-4"/>
          <w:sz w:val="32"/>
          <w:szCs w:val="32"/>
        </w:rPr>
        <w:t xml:space="preserve">情况 </w:t>
      </w:r>
    </w:p>
    <w:p>
      <w:pPr>
        <w:spacing w:line="540" w:lineRule="exact"/>
        <w:ind w:firstLine="567" w:firstLineChars="181"/>
        <w:rPr>
          <w:rFonts w:hint="eastAsia" w:ascii="楷体_GB2312" w:hAnsi="楷体_GB2312" w:eastAsia="楷体_GB2312" w:cs="楷体_GB2312"/>
          <w:b/>
          <w:spacing w:val="-4"/>
          <w:sz w:val="32"/>
          <w:szCs w:val="32"/>
        </w:rPr>
      </w:pPr>
      <w:r>
        <w:rPr>
          <w:rFonts w:hint="eastAsia" w:ascii="楷体_GB2312" w:hAnsi="楷体_GB2312" w:eastAsia="楷体_GB2312" w:cs="楷体_GB2312"/>
          <w:b/>
          <w:spacing w:val="-4"/>
          <w:sz w:val="32"/>
          <w:szCs w:val="32"/>
        </w:rPr>
        <w:t>（一）项目绩效目标完成情况分析</w:t>
      </w:r>
    </w:p>
    <w:p>
      <w:pPr>
        <w:spacing w:line="540" w:lineRule="exact"/>
        <w:ind w:firstLine="567"/>
        <w:rPr>
          <w:rStyle w:val="18"/>
          <w:rFonts w:hint="eastAsia" w:ascii="仿宋_GB2312" w:hAnsi="仿宋_GB2312" w:eastAsia="仿宋_GB2312" w:cs="仿宋_GB2312"/>
          <w:b w:val="0"/>
          <w:spacing w:val="-4"/>
          <w:sz w:val="32"/>
          <w:szCs w:val="32"/>
        </w:rPr>
      </w:pPr>
      <w:r>
        <w:rPr>
          <w:rStyle w:val="18"/>
          <w:rFonts w:hint="eastAsia" w:ascii="仿宋_GB2312" w:hAnsi="仿宋_GB2312" w:eastAsia="仿宋_GB2312" w:cs="仿宋_GB2312"/>
          <w:b w:val="0"/>
          <w:spacing w:val="-4"/>
          <w:sz w:val="32"/>
          <w:szCs w:val="32"/>
        </w:rPr>
        <w:t>项目绩效主要用于发放野外文物保护单位看护人员工资，通过培训使看护人员了解所看护文物的历史文化，充分认识文物保护工作的意义、提高文物安全保护的责任意识，通过发放文物看护人员补助金，提高看护员的工作积极性、加强基层一线文物保护力量建设。</w:t>
      </w:r>
    </w:p>
    <w:p>
      <w:pPr>
        <w:spacing w:line="540" w:lineRule="exact"/>
        <w:ind w:firstLine="567" w:firstLineChars="181"/>
        <w:rPr>
          <w:rFonts w:hint="eastAsia" w:ascii="楷体_GB2312" w:hAnsi="楷体_GB2312" w:eastAsia="楷体_GB2312" w:cs="楷体_GB2312"/>
          <w:b/>
          <w:spacing w:val="-4"/>
          <w:sz w:val="32"/>
          <w:szCs w:val="32"/>
        </w:rPr>
      </w:pPr>
      <w:r>
        <w:rPr>
          <w:rFonts w:hint="eastAsia" w:ascii="楷体_GB2312" w:hAnsi="楷体_GB2312" w:eastAsia="楷体_GB2312" w:cs="楷体_GB2312"/>
          <w:b/>
          <w:spacing w:val="-4"/>
          <w:sz w:val="32"/>
          <w:szCs w:val="32"/>
        </w:rPr>
        <w:t>（二）项目绩效目标未完成原因分析</w:t>
      </w:r>
    </w:p>
    <w:p>
      <w:pPr>
        <w:spacing w:line="540" w:lineRule="exact"/>
        <w:ind w:firstLine="567"/>
        <w:rPr>
          <w:rStyle w:val="18"/>
          <w:rFonts w:hint="eastAsia" w:ascii="仿宋_GB2312" w:hAnsi="仿宋_GB2312" w:eastAsia="仿宋_GB2312" w:cs="仿宋_GB2312"/>
          <w:b w:val="0"/>
          <w:spacing w:val="-4"/>
          <w:sz w:val="32"/>
          <w:szCs w:val="32"/>
        </w:rPr>
      </w:pPr>
      <w:r>
        <w:rPr>
          <w:rStyle w:val="18"/>
          <w:rFonts w:hint="eastAsia" w:ascii="仿宋_GB2312" w:hAnsi="仿宋_GB2312" w:eastAsia="仿宋_GB2312" w:cs="仿宋_GB2312"/>
          <w:b w:val="0"/>
          <w:spacing w:val="-4"/>
          <w:sz w:val="32"/>
          <w:szCs w:val="32"/>
        </w:rPr>
        <w:t>1、2017年下半年和2018年全年看护员补助资金分别于2018年4月和5月下拨，拨付资金到位较晚。</w:t>
      </w:r>
    </w:p>
    <w:p>
      <w:pPr>
        <w:spacing w:line="540" w:lineRule="exact"/>
        <w:ind w:firstLine="567"/>
        <w:rPr>
          <w:rStyle w:val="18"/>
          <w:rFonts w:hint="eastAsia" w:ascii="仿宋_GB2312" w:hAnsi="仿宋_GB2312" w:eastAsia="仿宋_GB2312" w:cs="仿宋_GB2312"/>
          <w:b w:val="0"/>
          <w:spacing w:val="-4"/>
          <w:sz w:val="32"/>
          <w:szCs w:val="32"/>
        </w:rPr>
      </w:pPr>
      <w:r>
        <w:rPr>
          <w:rStyle w:val="18"/>
          <w:rFonts w:hint="eastAsia" w:ascii="仿宋_GB2312" w:hAnsi="仿宋_GB2312" w:eastAsia="仿宋_GB2312" w:cs="仿宋_GB2312"/>
          <w:b w:val="0"/>
          <w:spacing w:val="-4"/>
          <w:sz w:val="32"/>
          <w:szCs w:val="32"/>
        </w:rPr>
        <w:t>2、个别县市在专项资金未到位之前已聘用部分看护员，对前期看护员进行了资金补发。</w:t>
      </w:r>
    </w:p>
    <w:p>
      <w:pPr>
        <w:spacing w:line="540" w:lineRule="exact"/>
        <w:ind w:firstLine="567"/>
        <w:rPr>
          <w:rStyle w:val="18"/>
          <w:rFonts w:hint="eastAsia" w:ascii="仿宋_GB2312" w:hAnsi="仿宋_GB2312" w:eastAsia="仿宋_GB2312" w:cs="仿宋_GB2312"/>
          <w:b w:val="0"/>
          <w:spacing w:val="-4"/>
          <w:sz w:val="32"/>
          <w:szCs w:val="32"/>
        </w:rPr>
      </w:pPr>
      <w:r>
        <w:rPr>
          <w:rStyle w:val="18"/>
          <w:rFonts w:hint="eastAsia" w:ascii="仿宋_GB2312" w:hAnsi="仿宋_GB2312" w:eastAsia="仿宋_GB2312" w:cs="仿宋_GB2312"/>
          <w:b w:val="0"/>
          <w:spacing w:val="-4"/>
          <w:sz w:val="32"/>
          <w:szCs w:val="32"/>
        </w:rPr>
        <w:t>3、有部分县市根据资资金到位情况，进行了看护员的聘用，补助资金采取顺延的方式进行发放，2019年6月补助资金可全部放到位。</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五、其他需要说明的问题</w:t>
      </w:r>
    </w:p>
    <w:p>
      <w:pPr>
        <w:spacing w:line="540" w:lineRule="exact"/>
        <w:ind w:firstLine="567" w:firstLineChars="181"/>
        <w:rPr>
          <w:rFonts w:hint="eastAsia" w:ascii="楷体_GB2312" w:hAnsi="楷体_GB2312" w:eastAsia="楷体_GB2312" w:cs="楷体_GB2312"/>
          <w:b/>
          <w:spacing w:val="-4"/>
          <w:sz w:val="32"/>
          <w:szCs w:val="32"/>
        </w:rPr>
      </w:pPr>
      <w:r>
        <w:rPr>
          <w:rFonts w:hint="eastAsia" w:ascii="楷体_GB2312" w:hAnsi="楷体_GB2312" w:eastAsia="楷体_GB2312" w:cs="楷体_GB2312"/>
          <w:b/>
          <w:spacing w:val="-4"/>
          <w:sz w:val="32"/>
          <w:szCs w:val="32"/>
        </w:rPr>
        <w:t>（一）后续工作计划</w:t>
      </w:r>
    </w:p>
    <w:p>
      <w:pPr>
        <w:spacing w:line="540" w:lineRule="exact"/>
        <w:ind w:firstLine="567"/>
        <w:rPr>
          <w:rStyle w:val="18"/>
          <w:rFonts w:hint="eastAsia" w:ascii="仿宋_GB2312" w:hAnsi="仿宋_GB2312" w:eastAsia="仿宋_GB2312" w:cs="仿宋_GB2312"/>
          <w:b w:val="0"/>
          <w:spacing w:val="-4"/>
          <w:sz w:val="32"/>
          <w:szCs w:val="32"/>
        </w:rPr>
      </w:pPr>
      <w:r>
        <w:rPr>
          <w:rStyle w:val="18"/>
          <w:rFonts w:hint="eastAsia" w:ascii="仿宋_GB2312" w:hAnsi="仿宋_GB2312" w:eastAsia="仿宋_GB2312" w:cs="仿宋_GB2312"/>
          <w:b w:val="0"/>
          <w:spacing w:val="-4"/>
          <w:sz w:val="32"/>
          <w:szCs w:val="32"/>
        </w:rPr>
        <w:t>加大对各县市看护员看护工作的督导，进一步完善看护员奖惩制度，提高看护员看护野外文物的积极性；继续开展看护员管理培训工作，提高管理人员的野外文物业务知识储备，提高看护员对野外文物的看护意识，</w:t>
      </w:r>
    </w:p>
    <w:p>
      <w:pPr>
        <w:spacing w:line="540" w:lineRule="exact"/>
        <w:ind w:firstLine="567" w:firstLineChars="181"/>
        <w:rPr>
          <w:rFonts w:hint="eastAsia" w:ascii="楷体_GB2312" w:hAnsi="楷体_GB2312" w:eastAsia="楷体_GB2312" w:cs="楷体_GB2312"/>
          <w:b/>
          <w:spacing w:val="-4"/>
          <w:sz w:val="32"/>
          <w:szCs w:val="32"/>
        </w:rPr>
      </w:pPr>
      <w:r>
        <w:rPr>
          <w:rFonts w:hint="eastAsia" w:ascii="楷体_GB2312" w:hAnsi="楷体_GB2312" w:eastAsia="楷体_GB2312" w:cs="楷体_GB2312"/>
          <w:b/>
          <w:spacing w:val="-4"/>
          <w:sz w:val="32"/>
          <w:szCs w:val="32"/>
        </w:rPr>
        <w:t>（二）主要经验及做法、存在问题和建议</w:t>
      </w:r>
    </w:p>
    <w:p>
      <w:pPr>
        <w:spacing w:line="540" w:lineRule="exact"/>
        <w:ind w:firstLine="567"/>
        <w:rPr>
          <w:rStyle w:val="18"/>
          <w:rFonts w:hint="eastAsia" w:ascii="仿宋_GB2312" w:hAnsi="仿宋_GB2312" w:eastAsia="仿宋_GB2312" w:cs="仿宋_GB2312"/>
          <w:b w:val="0"/>
          <w:spacing w:val="-4"/>
          <w:sz w:val="32"/>
          <w:szCs w:val="32"/>
        </w:rPr>
      </w:pPr>
      <w:r>
        <w:rPr>
          <w:rStyle w:val="18"/>
          <w:rFonts w:hint="eastAsia" w:ascii="仿宋_GB2312" w:hAnsi="仿宋_GB2312" w:eastAsia="仿宋_GB2312" w:cs="仿宋_GB2312"/>
          <w:b w:val="0"/>
          <w:spacing w:val="-4"/>
          <w:sz w:val="32"/>
          <w:szCs w:val="32"/>
        </w:rPr>
        <w:t>一是首先本着安全第一的原则，要求看护员在进行野外文物看护的时候注意自身安全，个别县市为看护员购买了意外伤害保险。</w:t>
      </w:r>
    </w:p>
    <w:p>
      <w:pPr>
        <w:spacing w:line="540" w:lineRule="exact"/>
        <w:ind w:firstLine="567"/>
        <w:rPr>
          <w:rStyle w:val="18"/>
          <w:rFonts w:hint="eastAsia" w:ascii="仿宋_GB2312" w:hAnsi="仿宋_GB2312" w:eastAsia="仿宋_GB2312" w:cs="仿宋_GB2312"/>
          <w:b w:val="0"/>
          <w:spacing w:val="-4"/>
          <w:sz w:val="32"/>
          <w:szCs w:val="32"/>
        </w:rPr>
      </w:pPr>
      <w:r>
        <w:rPr>
          <w:rStyle w:val="18"/>
          <w:rFonts w:hint="eastAsia" w:ascii="仿宋_GB2312" w:hAnsi="仿宋_GB2312" w:eastAsia="仿宋_GB2312" w:cs="仿宋_GB2312"/>
          <w:b w:val="0"/>
          <w:spacing w:val="-4"/>
          <w:sz w:val="32"/>
          <w:szCs w:val="32"/>
        </w:rPr>
        <w:t>二是定期对野外看护员进行培训，加强管理和检查。</w:t>
      </w:r>
    </w:p>
    <w:p>
      <w:pPr>
        <w:spacing w:line="540" w:lineRule="exact"/>
        <w:ind w:firstLine="567"/>
        <w:rPr>
          <w:rStyle w:val="18"/>
          <w:rFonts w:hint="eastAsia" w:ascii="仿宋_GB2312" w:hAnsi="仿宋_GB2312" w:eastAsia="仿宋_GB2312" w:cs="仿宋_GB2312"/>
          <w:b w:val="0"/>
          <w:spacing w:val="-4"/>
          <w:sz w:val="32"/>
          <w:szCs w:val="32"/>
        </w:rPr>
      </w:pPr>
      <w:r>
        <w:rPr>
          <w:rStyle w:val="18"/>
          <w:rFonts w:hint="eastAsia" w:ascii="仿宋_GB2312" w:hAnsi="仿宋_GB2312" w:eastAsia="仿宋_GB2312" w:cs="仿宋_GB2312"/>
          <w:b w:val="0"/>
          <w:spacing w:val="-4"/>
          <w:sz w:val="32"/>
          <w:szCs w:val="32"/>
        </w:rPr>
        <w:t>三是各县市全部建立野外文物看护员看护员微信工作群，看护员全部使用水印相机进行拍照，每日必须上报现场看护照片，随时在群里对看护情况进行点评和督导。</w:t>
      </w:r>
    </w:p>
    <w:p>
      <w:pPr>
        <w:spacing w:line="540" w:lineRule="exact"/>
        <w:ind w:firstLine="567"/>
        <w:rPr>
          <w:rStyle w:val="18"/>
          <w:rFonts w:hint="eastAsia" w:ascii="仿宋_GB2312" w:hAnsi="仿宋_GB2312" w:eastAsia="仿宋_GB2312" w:cs="仿宋_GB2312"/>
          <w:b w:val="0"/>
          <w:spacing w:val="-4"/>
          <w:sz w:val="32"/>
          <w:szCs w:val="32"/>
        </w:rPr>
      </w:pPr>
      <w:r>
        <w:rPr>
          <w:rStyle w:val="18"/>
          <w:rFonts w:hint="eastAsia" w:ascii="仿宋_GB2312" w:hAnsi="仿宋_GB2312" w:eastAsia="仿宋_GB2312" w:cs="仿宋_GB2312"/>
          <w:b w:val="0"/>
          <w:spacing w:val="-4"/>
          <w:sz w:val="32"/>
          <w:szCs w:val="32"/>
        </w:rPr>
        <w:t>四是各别县市编制文物看护员工作手册并保证人手一册，内容包括有《文物保护法》、《文物保护单位执法巡查办法》、《长城看护员管理办法》、以及各级文物保护范围文件等相关知识。</w:t>
      </w:r>
    </w:p>
    <w:p>
      <w:pPr>
        <w:spacing w:line="540" w:lineRule="exact"/>
        <w:ind w:firstLine="567"/>
        <w:rPr>
          <w:rStyle w:val="18"/>
          <w:rFonts w:hint="eastAsia" w:ascii="仿宋_GB2312" w:hAnsi="仿宋_GB2312" w:eastAsia="仿宋_GB2312" w:cs="仿宋_GB2312"/>
          <w:b w:val="0"/>
          <w:spacing w:val="-4"/>
          <w:sz w:val="32"/>
          <w:szCs w:val="32"/>
        </w:rPr>
      </w:pPr>
      <w:r>
        <w:rPr>
          <w:rStyle w:val="18"/>
          <w:rFonts w:hint="eastAsia" w:ascii="仿宋_GB2312" w:hAnsi="仿宋_GB2312" w:eastAsia="仿宋_GB2312" w:cs="仿宋_GB2312"/>
          <w:b w:val="0"/>
          <w:spacing w:val="-4"/>
          <w:sz w:val="32"/>
          <w:szCs w:val="32"/>
        </w:rPr>
        <w:t>五是发现有人对野外文物和附属设施进行盗掘和破坏的现象，在确保自身安全情况下立即进行劝阻，同时进行拍照取证，并且及时上报文物局和公安机关。</w:t>
      </w:r>
    </w:p>
    <w:p>
      <w:pPr>
        <w:spacing w:line="540" w:lineRule="exact"/>
        <w:ind w:firstLine="567"/>
        <w:rPr>
          <w:rStyle w:val="18"/>
          <w:rFonts w:hint="eastAsia" w:ascii="仿宋_GB2312" w:hAnsi="仿宋_GB2312" w:eastAsia="仿宋_GB2312" w:cs="仿宋_GB2312"/>
          <w:b w:val="0"/>
          <w:spacing w:val="-4"/>
          <w:sz w:val="32"/>
          <w:szCs w:val="32"/>
        </w:rPr>
      </w:pPr>
      <w:r>
        <w:rPr>
          <w:rStyle w:val="18"/>
          <w:rFonts w:hint="eastAsia" w:ascii="仿宋_GB2312" w:hAnsi="仿宋_GB2312" w:eastAsia="仿宋_GB2312" w:cs="仿宋_GB2312"/>
          <w:b w:val="0"/>
          <w:spacing w:val="-4"/>
          <w:sz w:val="32"/>
          <w:szCs w:val="32"/>
        </w:rPr>
        <w:t>六是建议持续足额保障看护员专项补助资金，以保证区级以上文物保护单位的文物安全。</w:t>
      </w:r>
    </w:p>
    <w:p>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（三）其他</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六、项目评价工作情况</w:t>
      </w:r>
    </w:p>
    <w:p>
      <w:pPr>
        <w:spacing w:line="540" w:lineRule="exact"/>
        <w:ind w:firstLine="567"/>
        <w:rPr>
          <w:rStyle w:val="18"/>
          <w:rFonts w:hint="eastAsia" w:ascii="仿宋_GB2312" w:hAnsi="仿宋_GB2312" w:eastAsia="仿宋_GB2312" w:cs="仿宋_GB2312"/>
          <w:b w:val="0"/>
          <w:spacing w:val="-4"/>
          <w:sz w:val="32"/>
          <w:szCs w:val="32"/>
        </w:rPr>
      </w:pPr>
      <w:r>
        <w:rPr>
          <w:rStyle w:val="18"/>
          <w:rFonts w:hint="eastAsia" w:ascii="仿宋_GB2312" w:hAnsi="仿宋_GB2312" w:eastAsia="仿宋_GB2312" w:cs="仿宋_GB2312"/>
          <w:b w:val="0"/>
          <w:spacing w:val="-4"/>
          <w:sz w:val="32"/>
          <w:szCs w:val="32"/>
        </w:rPr>
        <w:t>各县市文物局对项目资金的收入支出以及在项目实施过程中的监督管理等工作，都能严格执行各项制度，按时完成项目评价工作。充分认识考评工作的重要性，高度重视文物保护绩效考评工作，严格按照项目资金管理制度使用资金，不得改变资金用途，挪作他用。</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七、附表</w:t>
      </w:r>
    </w:p>
    <w:p>
      <w:pPr>
        <w:spacing w:line="540" w:lineRule="exact"/>
        <w:ind w:firstLine="567"/>
        <w:rPr>
          <w:rStyle w:val="18"/>
          <w:rFonts w:hint="eastAsia" w:ascii="仿宋_GB2312" w:hAnsi="仿宋_GB2312" w:eastAsia="仿宋_GB2312" w:cs="仿宋_GB2312"/>
          <w:b w:val="0"/>
          <w:spacing w:val="-4"/>
          <w:sz w:val="32"/>
          <w:szCs w:val="32"/>
        </w:rPr>
      </w:pPr>
      <w:r>
        <w:rPr>
          <w:rStyle w:val="18"/>
          <w:rFonts w:hint="eastAsia" w:ascii="仿宋_GB2312" w:hAnsi="仿宋_GB2312" w:eastAsia="仿宋_GB2312" w:cs="仿宋_GB2312"/>
          <w:b w:val="0"/>
          <w:spacing w:val="-4"/>
          <w:sz w:val="32"/>
          <w:szCs w:val="32"/>
        </w:rPr>
        <w:t>《自治区财政项目支出绩效自评表》</w:t>
      </w:r>
    </w:p>
    <w:p>
      <w:pPr>
        <w:spacing w:line="540" w:lineRule="exact"/>
        <w:ind w:firstLine="567"/>
        <w:rPr>
          <w:rStyle w:val="18"/>
          <w:rFonts w:ascii="仿宋" w:hAnsi="仿宋" w:eastAsia="仿宋"/>
          <w:b w:val="0"/>
          <w:spacing w:val="-4"/>
          <w:sz w:val="32"/>
          <w:szCs w:val="32"/>
        </w:rPr>
      </w:pPr>
    </w:p>
    <w:p>
      <w:pPr>
        <w:spacing w:line="540" w:lineRule="exact"/>
        <w:ind w:firstLine="567"/>
        <w:rPr>
          <w:rStyle w:val="18"/>
          <w:rFonts w:ascii="仿宋" w:hAnsi="仿宋" w:eastAsia="仿宋"/>
          <w:b w:val="0"/>
          <w:spacing w:val="-4"/>
          <w:sz w:val="32"/>
          <w:szCs w:val="32"/>
        </w:rPr>
      </w:pPr>
    </w:p>
    <w:p>
      <w:pPr>
        <w:spacing w:line="540" w:lineRule="exact"/>
        <w:ind w:firstLine="567"/>
        <w:rPr>
          <w:rStyle w:val="18"/>
          <w:rFonts w:ascii="仿宋" w:hAnsi="仿宋" w:eastAsia="仿宋"/>
          <w:b w:val="0"/>
          <w:spacing w:val="-4"/>
          <w:sz w:val="32"/>
          <w:szCs w:val="32"/>
        </w:rPr>
      </w:pPr>
    </w:p>
    <w:p>
      <w:pPr>
        <w:spacing w:line="540" w:lineRule="exact"/>
        <w:ind w:firstLine="567"/>
        <w:rPr>
          <w:rStyle w:val="18"/>
          <w:rFonts w:ascii="仿宋" w:hAnsi="仿宋" w:eastAsia="仿宋"/>
          <w:b w:val="0"/>
          <w:spacing w:val="-4"/>
          <w:sz w:val="32"/>
          <w:szCs w:val="32"/>
        </w:rPr>
      </w:pPr>
    </w:p>
    <w:p>
      <w:pPr>
        <w:spacing w:line="540" w:lineRule="exact"/>
        <w:ind w:firstLine="567"/>
        <w:rPr>
          <w:rStyle w:val="18"/>
          <w:rFonts w:ascii="仿宋" w:hAnsi="仿宋" w:eastAsia="仿宋"/>
          <w:b w:val="0"/>
          <w:spacing w:val="-4"/>
          <w:sz w:val="32"/>
          <w:szCs w:val="32"/>
        </w:rPr>
      </w:pPr>
    </w:p>
    <w:p>
      <w:pPr>
        <w:spacing w:line="540" w:lineRule="exact"/>
        <w:ind w:firstLine="567"/>
        <w:rPr>
          <w:rStyle w:val="18"/>
          <w:rFonts w:ascii="仿宋" w:hAnsi="仿宋" w:eastAsia="仿宋"/>
          <w:b w:val="0"/>
          <w:spacing w:val="-4"/>
          <w:sz w:val="32"/>
          <w:szCs w:val="32"/>
        </w:rPr>
      </w:pPr>
    </w:p>
    <w:p>
      <w:pPr>
        <w:spacing w:line="540" w:lineRule="exact"/>
        <w:ind w:firstLine="567"/>
        <w:rPr>
          <w:rStyle w:val="18"/>
          <w:rFonts w:ascii="仿宋" w:hAnsi="仿宋" w:eastAsia="仿宋"/>
          <w:b w:val="0"/>
          <w:spacing w:val="-4"/>
          <w:sz w:val="32"/>
          <w:szCs w:val="32"/>
        </w:rPr>
      </w:pPr>
    </w:p>
    <w:p>
      <w:pPr>
        <w:spacing w:line="540" w:lineRule="exact"/>
        <w:ind w:firstLine="567"/>
        <w:rPr>
          <w:rStyle w:val="18"/>
          <w:rFonts w:ascii="仿宋" w:hAnsi="仿宋" w:eastAsia="仿宋"/>
          <w:b w:val="0"/>
          <w:spacing w:val="-4"/>
          <w:sz w:val="32"/>
          <w:szCs w:val="32"/>
        </w:rPr>
      </w:pPr>
    </w:p>
    <w:p>
      <w:pPr>
        <w:spacing w:line="540" w:lineRule="exact"/>
        <w:ind w:firstLine="567"/>
        <w:rPr>
          <w:rStyle w:val="18"/>
          <w:rFonts w:ascii="仿宋" w:hAnsi="仿宋" w:eastAsia="仿宋"/>
          <w:b w:val="0"/>
          <w:spacing w:val="-4"/>
          <w:sz w:val="32"/>
          <w:szCs w:val="32"/>
        </w:rPr>
      </w:pPr>
    </w:p>
    <w:p>
      <w:pPr>
        <w:spacing w:line="540" w:lineRule="exact"/>
        <w:ind w:firstLine="567"/>
        <w:rPr>
          <w:rStyle w:val="18"/>
          <w:rFonts w:ascii="仿宋" w:hAnsi="仿宋" w:eastAsia="仿宋"/>
          <w:b w:val="0"/>
          <w:spacing w:val="-4"/>
          <w:sz w:val="32"/>
          <w:szCs w:val="32"/>
        </w:rPr>
      </w:pPr>
    </w:p>
    <w:p>
      <w:pPr>
        <w:spacing w:line="540" w:lineRule="exact"/>
        <w:ind w:firstLine="567"/>
        <w:rPr>
          <w:rStyle w:val="18"/>
          <w:rFonts w:ascii="仿宋" w:hAnsi="仿宋" w:eastAsia="仿宋"/>
          <w:b w:val="0"/>
          <w:spacing w:val="-4"/>
          <w:sz w:val="32"/>
          <w:szCs w:val="32"/>
        </w:rPr>
      </w:pPr>
    </w:p>
    <w:p>
      <w:pPr>
        <w:spacing w:line="540" w:lineRule="exact"/>
        <w:ind w:firstLine="567"/>
        <w:rPr>
          <w:rStyle w:val="18"/>
          <w:rFonts w:ascii="仿宋" w:hAnsi="仿宋" w:eastAsia="仿宋"/>
          <w:b w:val="0"/>
          <w:spacing w:val="-4"/>
          <w:sz w:val="32"/>
          <w:szCs w:val="32"/>
        </w:rPr>
      </w:pPr>
    </w:p>
    <w:p>
      <w:pPr>
        <w:spacing w:line="540" w:lineRule="exact"/>
        <w:ind w:firstLine="567"/>
        <w:rPr>
          <w:rStyle w:val="18"/>
          <w:rFonts w:ascii="仿宋" w:hAnsi="仿宋" w:eastAsia="仿宋"/>
          <w:b w:val="0"/>
          <w:spacing w:val="-4"/>
          <w:sz w:val="32"/>
          <w:szCs w:val="32"/>
        </w:rPr>
      </w:pPr>
    </w:p>
    <w:p>
      <w:pPr>
        <w:spacing w:line="540" w:lineRule="exact"/>
        <w:ind w:firstLine="567"/>
        <w:rPr>
          <w:rStyle w:val="18"/>
          <w:rFonts w:ascii="仿宋" w:hAnsi="仿宋" w:eastAsia="仿宋"/>
          <w:b w:val="0"/>
          <w:spacing w:val="-4"/>
          <w:sz w:val="32"/>
          <w:szCs w:val="32"/>
        </w:rPr>
      </w:pPr>
    </w:p>
    <w:p>
      <w:pPr>
        <w:spacing w:line="540" w:lineRule="exact"/>
        <w:ind w:firstLine="567"/>
        <w:rPr>
          <w:rStyle w:val="18"/>
          <w:rFonts w:ascii="仿宋" w:hAnsi="仿宋" w:eastAsia="仿宋"/>
          <w:b w:val="0"/>
          <w:spacing w:val="-4"/>
          <w:sz w:val="32"/>
          <w:szCs w:val="32"/>
        </w:rPr>
      </w:pPr>
      <w:bookmarkStart w:id="0" w:name="_GoBack"/>
      <w:bookmarkEnd w:id="0"/>
    </w:p>
    <w:p>
      <w:pPr>
        <w:spacing w:line="540" w:lineRule="exact"/>
        <w:ind w:firstLine="567"/>
        <w:rPr>
          <w:rStyle w:val="18"/>
          <w:rFonts w:ascii="仿宋" w:hAnsi="仿宋" w:eastAsia="仿宋"/>
          <w:b w:val="0"/>
          <w:spacing w:val="-4"/>
          <w:sz w:val="32"/>
          <w:szCs w:val="32"/>
        </w:rPr>
      </w:pPr>
    </w:p>
    <w:tbl>
      <w:tblPr>
        <w:tblStyle w:val="16"/>
        <w:tblW w:w="9020" w:type="dxa"/>
        <w:tblInd w:w="93" w:type="dxa"/>
        <w:tblLayout w:type="fixed"/>
        <w:tblCellMar>
          <w:top w:w="0" w:type="dxa"/>
          <w:left w:w="108" w:type="dxa"/>
          <w:bottom w:w="0" w:type="dxa"/>
          <w:right w:w="108" w:type="dxa"/>
        </w:tblCellMar>
      </w:tblPr>
      <w:tblGrid>
        <w:gridCol w:w="720"/>
        <w:gridCol w:w="1140"/>
        <w:gridCol w:w="1360"/>
        <w:gridCol w:w="1080"/>
        <w:gridCol w:w="880"/>
        <w:gridCol w:w="2060"/>
        <w:gridCol w:w="1780"/>
      </w:tblGrid>
      <w:tr>
        <w:tblPrEx>
          <w:tblLayout w:type="fixed"/>
          <w:tblCellMar>
            <w:top w:w="0" w:type="dxa"/>
            <w:left w:w="108" w:type="dxa"/>
            <w:bottom w:w="0" w:type="dxa"/>
            <w:right w:w="108" w:type="dxa"/>
          </w:tblCellMar>
        </w:tblPrEx>
        <w:trPr>
          <w:trHeight w:val="405" w:hRule="atLeast"/>
        </w:trPr>
        <w:tc>
          <w:tcPr>
            <w:tcW w:w="9020" w:type="dxa"/>
            <w:gridSpan w:val="7"/>
            <w:tcBorders>
              <w:top w:val="nil"/>
              <w:left w:val="nil"/>
              <w:bottom w:val="nil"/>
              <w:right w:val="nil"/>
            </w:tcBorders>
            <w:shd w:val="clear" w:color="auto" w:fill="auto"/>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自治区财政项目支出绩效自评表</w:t>
            </w:r>
          </w:p>
        </w:tc>
      </w:tr>
      <w:tr>
        <w:tblPrEx>
          <w:tblLayout w:type="fixed"/>
          <w:tblCellMar>
            <w:top w:w="0" w:type="dxa"/>
            <w:left w:w="108" w:type="dxa"/>
            <w:bottom w:w="0" w:type="dxa"/>
            <w:right w:w="108" w:type="dxa"/>
          </w:tblCellMar>
        </w:tblPrEx>
        <w:trPr>
          <w:trHeight w:val="285" w:hRule="atLeast"/>
        </w:trPr>
        <w:tc>
          <w:tcPr>
            <w:tcW w:w="9020" w:type="dxa"/>
            <w:gridSpan w:val="7"/>
            <w:tcBorders>
              <w:top w:val="nil"/>
              <w:left w:val="nil"/>
              <w:bottom w:val="nil"/>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r>
              <w:rPr>
                <w:kern w:val="0"/>
                <w:sz w:val="24"/>
              </w:rPr>
              <w:t xml:space="preserve">      </w:t>
            </w:r>
            <w:r>
              <w:rPr>
                <w:rFonts w:hint="eastAsia"/>
                <w:kern w:val="0"/>
                <w:sz w:val="24"/>
              </w:rPr>
              <w:t>2018</w:t>
            </w:r>
            <w:r>
              <w:rPr>
                <w:kern w:val="0"/>
                <w:sz w:val="24"/>
              </w:rPr>
              <w:t xml:space="preserve">    </w:t>
            </w:r>
            <w:r>
              <w:rPr>
                <w:rFonts w:hint="eastAsia" w:ascii="宋体" w:hAnsi="宋体" w:cs="宋体"/>
                <w:kern w:val="0"/>
                <w:sz w:val="24"/>
              </w:rPr>
              <w:t>年度）</w:t>
            </w:r>
          </w:p>
        </w:tc>
      </w:tr>
      <w:tr>
        <w:tblPrEx>
          <w:tblLayout w:type="fixed"/>
          <w:tblCellMar>
            <w:top w:w="0" w:type="dxa"/>
            <w:left w:w="108" w:type="dxa"/>
            <w:bottom w:w="0" w:type="dxa"/>
            <w:right w:w="108" w:type="dxa"/>
          </w:tblCellMar>
        </w:tblPrEx>
        <w:trPr>
          <w:trHeight w:val="285" w:hRule="atLeast"/>
        </w:trPr>
        <w:tc>
          <w:tcPr>
            <w:tcW w:w="720" w:type="dxa"/>
            <w:tcBorders>
              <w:top w:val="nil"/>
              <w:left w:val="nil"/>
              <w:bottom w:val="nil"/>
              <w:right w:val="nil"/>
            </w:tcBorders>
            <w:shd w:val="clear" w:color="auto" w:fill="auto"/>
            <w:vAlign w:val="center"/>
          </w:tcPr>
          <w:p>
            <w:pPr>
              <w:widowControl/>
              <w:jc w:val="center"/>
              <w:rPr>
                <w:rFonts w:ascii="宋体" w:hAnsi="宋体" w:cs="宋体"/>
                <w:kern w:val="0"/>
                <w:sz w:val="24"/>
              </w:rPr>
            </w:pPr>
          </w:p>
        </w:tc>
        <w:tc>
          <w:tcPr>
            <w:tcW w:w="1140" w:type="dxa"/>
            <w:tcBorders>
              <w:top w:val="nil"/>
              <w:left w:val="nil"/>
              <w:bottom w:val="nil"/>
              <w:right w:val="nil"/>
            </w:tcBorders>
            <w:shd w:val="clear" w:color="auto" w:fill="auto"/>
            <w:vAlign w:val="center"/>
          </w:tcPr>
          <w:p>
            <w:pPr>
              <w:widowControl/>
              <w:jc w:val="center"/>
              <w:rPr>
                <w:rFonts w:ascii="宋体" w:hAnsi="宋体" w:cs="宋体"/>
                <w:kern w:val="0"/>
                <w:sz w:val="24"/>
              </w:rPr>
            </w:pPr>
          </w:p>
        </w:tc>
        <w:tc>
          <w:tcPr>
            <w:tcW w:w="1360" w:type="dxa"/>
            <w:tcBorders>
              <w:top w:val="nil"/>
              <w:left w:val="nil"/>
              <w:bottom w:val="nil"/>
              <w:right w:val="nil"/>
            </w:tcBorders>
            <w:shd w:val="clear" w:color="auto" w:fill="auto"/>
            <w:vAlign w:val="center"/>
          </w:tcPr>
          <w:p>
            <w:pPr>
              <w:widowControl/>
              <w:jc w:val="center"/>
              <w:rPr>
                <w:rFonts w:ascii="宋体" w:hAnsi="宋体" w:cs="宋体"/>
                <w:kern w:val="0"/>
                <w:sz w:val="24"/>
              </w:rPr>
            </w:pPr>
          </w:p>
        </w:tc>
        <w:tc>
          <w:tcPr>
            <w:tcW w:w="1080" w:type="dxa"/>
            <w:tcBorders>
              <w:top w:val="nil"/>
              <w:left w:val="nil"/>
              <w:bottom w:val="nil"/>
              <w:right w:val="nil"/>
            </w:tcBorders>
            <w:shd w:val="clear" w:color="auto" w:fill="auto"/>
            <w:vAlign w:val="center"/>
          </w:tcPr>
          <w:p>
            <w:pPr>
              <w:widowControl/>
              <w:jc w:val="center"/>
              <w:rPr>
                <w:rFonts w:ascii="宋体" w:hAnsi="宋体" w:cs="宋体"/>
                <w:kern w:val="0"/>
                <w:sz w:val="24"/>
              </w:rPr>
            </w:pPr>
          </w:p>
        </w:tc>
        <w:tc>
          <w:tcPr>
            <w:tcW w:w="880" w:type="dxa"/>
            <w:tcBorders>
              <w:top w:val="nil"/>
              <w:left w:val="nil"/>
              <w:bottom w:val="nil"/>
              <w:right w:val="nil"/>
            </w:tcBorders>
            <w:shd w:val="clear" w:color="auto" w:fill="auto"/>
            <w:vAlign w:val="center"/>
          </w:tcPr>
          <w:p>
            <w:pPr>
              <w:widowControl/>
              <w:jc w:val="center"/>
              <w:rPr>
                <w:rFonts w:ascii="宋体" w:hAnsi="宋体" w:cs="宋体"/>
                <w:kern w:val="0"/>
                <w:sz w:val="24"/>
              </w:rPr>
            </w:pPr>
          </w:p>
        </w:tc>
        <w:tc>
          <w:tcPr>
            <w:tcW w:w="2060" w:type="dxa"/>
            <w:tcBorders>
              <w:top w:val="nil"/>
              <w:left w:val="nil"/>
              <w:bottom w:val="nil"/>
              <w:right w:val="nil"/>
            </w:tcBorders>
            <w:shd w:val="clear" w:color="auto" w:fill="auto"/>
            <w:vAlign w:val="center"/>
          </w:tcPr>
          <w:p>
            <w:pPr>
              <w:widowControl/>
              <w:jc w:val="center"/>
              <w:rPr>
                <w:rFonts w:ascii="宋体" w:hAnsi="宋体" w:cs="宋体"/>
                <w:kern w:val="0"/>
                <w:sz w:val="24"/>
              </w:rPr>
            </w:pPr>
          </w:p>
        </w:tc>
        <w:tc>
          <w:tcPr>
            <w:tcW w:w="1780" w:type="dxa"/>
            <w:tcBorders>
              <w:top w:val="nil"/>
              <w:left w:val="nil"/>
              <w:bottom w:val="nil"/>
              <w:right w:val="nil"/>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20" w:hRule="atLeast"/>
        </w:trPr>
        <w:tc>
          <w:tcPr>
            <w:tcW w:w="32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项目名称</w:t>
            </w:r>
          </w:p>
        </w:tc>
        <w:tc>
          <w:tcPr>
            <w:tcW w:w="580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自治区野外文物保护单位看护员专项补助经费　</w:t>
            </w:r>
          </w:p>
        </w:tc>
      </w:tr>
      <w:tr>
        <w:tblPrEx>
          <w:tblLayout w:type="fixed"/>
          <w:tblCellMar>
            <w:top w:w="0" w:type="dxa"/>
            <w:left w:w="108" w:type="dxa"/>
            <w:bottom w:w="0" w:type="dxa"/>
            <w:right w:w="108" w:type="dxa"/>
          </w:tblCellMar>
        </w:tblPrEx>
        <w:trPr>
          <w:trHeight w:val="435" w:hRule="atLeast"/>
        </w:trPr>
        <w:tc>
          <w:tcPr>
            <w:tcW w:w="32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预算单位</w:t>
            </w:r>
          </w:p>
        </w:tc>
        <w:tc>
          <w:tcPr>
            <w:tcW w:w="580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PrEx>
        <w:trPr>
          <w:trHeight w:val="465" w:hRule="atLeast"/>
        </w:trPr>
        <w:tc>
          <w:tcPr>
            <w:tcW w:w="7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预算</w:t>
            </w:r>
            <w:r>
              <w:rPr>
                <w:rFonts w:hint="eastAsia" w:ascii="宋体" w:hAnsi="宋体" w:cs="宋体"/>
                <w:kern w:val="0"/>
                <w:sz w:val="20"/>
                <w:szCs w:val="20"/>
              </w:rPr>
              <w:br w:type="textWrapping"/>
            </w:r>
            <w:r>
              <w:rPr>
                <w:rFonts w:hint="eastAsia" w:ascii="宋体" w:hAnsi="宋体" w:cs="宋体"/>
                <w:kern w:val="0"/>
                <w:sz w:val="20"/>
                <w:szCs w:val="20"/>
              </w:rPr>
              <w:t>执行</w:t>
            </w:r>
            <w:r>
              <w:rPr>
                <w:rFonts w:hint="eastAsia" w:ascii="宋体" w:hAnsi="宋体" w:cs="宋体"/>
                <w:kern w:val="0"/>
                <w:sz w:val="20"/>
                <w:szCs w:val="20"/>
              </w:rPr>
              <w:br w:type="textWrapping"/>
            </w:r>
            <w:r>
              <w:rPr>
                <w:rFonts w:hint="eastAsia" w:ascii="宋体" w:hAnsi="宋体" w:cs="宋体"/>
                <w:kern w:val="0"/>
                <w:sz w:val="20"/>
                <w:szCs w:val="20"/>
              </w:rPr>
              <w:t>情况</w:t>
            </w:r>
            <w:r>
              <w:rPr>
                <w:rFonts w:hint="eastAsia" w:ascii="宋体" w:hAnsi="宋体" w:cs="宋体"/>
                <w:kern w:val="0"/>
                <w:sz w:val="20"/>
                <w:szCs w:val="20"/>
              </w:rPr>
              <w:br w:type="textWrapping"/>
            </w:r>
            <w:r>
              <w:rPr>
                <w:rFonts w:hint="eastAsia" w:ascii="宋体" w:hAnsi="宋体" w:cs="宋体"/>
                <w:kern w:val="0"/>
                <w:sz w:val="20"/>
                <w:szCs w:val="20"/>
              </w:rPr>
              <w:t>（万元）</w:t>
            </w:r>
          </w:p>
        </w:tc>
        <w:tc>
          <w:tcPr>
            <w:tcW w:w="25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预算数：</w:t>
            </w:r>
          </w:p>
        </w:tc>
        <w:tc>
          <w:tcPr>
            <w:tcW w:w="19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235.2万元</w:t>
            </w:r>
          </w:p>
        </w:tc>
        <w:tc>
          <w:tcPr>
            <w:tcW w:w="2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执行数：</w:t>
            </w:r>
          </w:p>
        </w:tc>
        <w:tc>
          <w:tcPr>
            <w:tcW w:w="17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235.2万元　</w:t>
            </w:r>
          </w:p>
        </w:tc>
      </w:tr>
      <w:tr>
        <w:tblPrEx>
          <w:tblLayout w:type="fixed"/>
          <w:tblCellMar>
            <w:top w:w="0" w:type="dxa"/>
            <w:left w:w="108" w:type="dxa"/>
            <w:bottom w:w="0" w:type="dxa"/>
            <w:right w:w="108" w:type="dxa"/>
          </w:tblCellMar>
        </w:tblPrEx>
        <w:trPr>
          <w:trHeight w:val="509"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5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其中：财政拨款</w:t>
            </w:r>
          </w:p>
        </w:tc>
        <w:tc>
          <w:tcPr>
            <w:tcW w:w="19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235.2万元　</w:t>
            </w:r>
          </w:p>
        </w:tc>
        <w:tc>
          <w:tcPr>
            <w:tcW w:w="2060" w:type="dxa"/>
            <w:tcBorders>
              <w:top w:val="nil"/>
              <w:left w:val="nil"/>
              <w:bottom w:val="nil"/>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其中：财政拨款</w:t>
            </w:r>
          </w:p>
        </w:tc>
        <w:tc>
          <w:tcPr>
            <w:tcW w:w="17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235.2万元　</w:t>
            </w:r>
          </w:p>
        </w:tc>
      </w:tr>
      <w:tr>
        <w:tblPrEx>
          <w:tblLayout w:type="fixed"/>
          <w:tblCellMar>
            <w:top w:w="0" w:type="dxa"/>
            <w:left w:w="108" w:type="dxa"/>
            <w:bottom w:w="0" w:type="dxa"/>
            <w:right w:w="108" w:type="dxa"/>
          </w:tblCellMar>
        </w:tblPrEx>
        <w:trPr>
          <w:trHeight w:val="433"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5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其他资金</w:t>
            </w:r>
          </w:p>
        </w:tc>
        <w:tc>
          <w:tcPr>
            <w:tcW w:w="19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tcBorders>
              <w:top w:val="single" w:color="auto" w:sz="4" w:space="0"/>
              <w:left w:val="nil"/>
              <w:bottom w:val="nil"/>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其他资金</w:t>
            </w:r>
          </w:p>
        </w:tc>
        <w:tc>
          <w:tcPr>
            <w:tcW w:w="17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0" w:hRule="atLeast"/>
        </w:trPr>
        <w:tc>
          <w:tcPr>
            <w:tcW w:w="7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年度</w:t>
            </w:r>
            <w:r>
              <w:rPr>
                <w:rFonts w:hint="eastAsia" w:ascii="宋体" w:hAnsi="宋体" w:cs="宋体"/>
                <w:kern w:val="0"/>
                <w:sz w:val="20"/>
                <w:szCs w:val="20"/>
              </w:rPr>
              <w:br w:type="textWrapping"/>
            </w:r>
            <w:r>
              <w:rPr>
                <w:rFonts w:hint="eastAsia" w:ascii="宋体" w:hAnsi="宋体" w:cs="宋体"/>
                <w:kern w:val="0"/>
                <w:sz w:val="20"/>
                <w:szCs w:val="20"/>
              </w:rPr>
              <w:t>目标</w:t>
            </w:r>
            <w:r>
              <w:rPr>
                <w:rFonts w:hint="eastAsia" w:ascii="宋体" w:hAnsi="宋体" w:cs="宋体"/>
                <w:kern w:val="0"/>
                <w:sz w:val="20"/>
                <w:szCs w:val="20"/>
              </w:rPr>
              <w:br w:type="textWrapping"/>
            </w:r>
            <w:r>
              <w:rPr>
                <w:rFonts w:hint="eastAsia" w:ascii="宋体" w:hAnsi="宋体" w:cs="宋体"/>
                <w:kern w:val="0"/>
                <w:sz w:val="20"/>
                <w:szCs w:val="20"/>
              </w:rPr>
              <w:t>完成</w:t>
            </w:r>
            <w:r>
              <w:rPr>
                <w:rFonts w:hint="eastAsia" w:ascii="宋体" w:hAnsi="宋体" w:cs="宋体"/>
                <w:kern w:val="0"/>
                <w:sz w:val="20"/>
                <w:szCs w:val="20"/>
              </w:rPr>
              <w:br w:type="textWrapping"/>
            </w:r>
            <w:r>
              <w:rPr>
                <w:rFonts w:hint="eastAsia" w:ascii="宋体" w:hAnsi="宋体" w:cs="宋体"/>
                <w:kern w:val="0"/>
                <w:sz w:val="20"/>
                <w:szCs w:val="20"/>
              </w:rPr>
              <w:t>情况</w:t>
            </w:r>
          </w:p>
        </w:tc>
        <w:tc>
          <w:tcPr>
            <w:tcW w:w="44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预期目标</w:t>
            </w:r>
          </w:p>
        </w:tc>
        <w:tc>
          <w:tcPr>
            <w:tcW w:w="38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实际完成目标</w:t>
            </w:r>
          </w:p>
        </w:tc>
      </w:tr>
      <w:tr>
        <w:tblPrEx>
          <w:tblLayout w:type="fixed"/>
          <w:tblCellMar>
            <w:top w:w="0" w:type="dxa"/>
            <w:left w:w="108" w:type="dxa"/>
            <w:bottom w:w="0" w:type="dxa"/>
            <w:right w:w="108" w:type="dxa"/>
          </w:tblCellMar>
        </w:tblPrEx>
        <w:trPr>
          <w:trHeight w:val="1425"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4460" w:type="dxa"/>
            <w:gridSpan w:val="4"/>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kern w:val="0"/>
                <w:sz w:val="20"/>
                <w:szCs w:val="20"/>
              </w:rPr>
            </w:pPr>
            <w:r>
              <w:rPr>
                <w:rFonts w:hint="eastAsia" w:ascii="仿宋" w:hAnsi="仿宋" w:eastAsia="仿宋" w:cs="仿宋"/>
                <w:kern w:val="0"/>
                <w:sz w:val="24"/>
              </w:rPr>
              <w:t>聘用98人对49处区级以上文物保护单位进行看护。完成2018年野外遗址看护员生活补助经费的发放，</w:t>
            </w:r>
          </w:p>
        </w:tc>
        <w:tc>
          <w:tcPr>
            <w:tcW w:w="3840" w:type="dxa"/>
            <w:gridSpan w:val="2"/>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kern w:val="0"/>
                <w:sz w:val="20"/>
                <w:szCs w:val="20"/>
              </w:rPr>
            </w:pPr>
            <w:r>
              <w:rPr>
                <w:rFonts w:hint="eastAsia" w:ascii="宋体" w:hAnsi="宋体" w:cs="宋体"/>
                <w:kern w:val="0"/>
                <w:sz w:val="20"/>
                <w:szCs w:val="20"/>
              </w:rPr>
              <w:t>2018年聘用看护员111人，发放补助资金179.58万元，完成补助资金发放76%。</w:t>
            </w:r>
          </w:p>
        </w:tc>
      </w:tr>
      <w:tr>
        <w:tblPrEx>
          <w:tblLayout w:type="fixed"/>
          <w:tblCellMar>
            <w:top w:w="0" w:type="dxa"/>
            <w:left w:w="108" w:type="dxa"/>
            <w:bottom w:w="0" w:type="dxa"/>
            <w:right w:w="108" w:type="dxa"/>
          </w:tblCellMar>
        </w:tblPrEx>
        <w:trPr>
          <w:trHeight w:val="720" w:hRule="atLeast"/>
        </w:trPr>
        <w:tc>
          <w:tcPr>
            <w:tcW w:w="7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年度</w:t>
            </w:r>
            <w:r>
              <w:rPr>
                <w:rFonts w:hint="eastAsia" w:ascii="宋体" w:hAnsi="宋体" w:cs="宋体"/>
                <w:kern w:val="0"/>
                <w:sz w:val="20"/>
                <w:szCs w:val="20"/>
              </w:rPr>
              <w:br w:type="textWrapping"/>
            </w:r>
            <w:r>
              <w:rPr>
                <w:rFonts w:hint="eastAsia" w:ascii="宋体" w:hAnsi="宋体" w:cs="宋体"/>
                <w:kern w:val="0"/>
                <w:sz w:val="20"/>
                <w:szCs w:val="20"/>
              </w:rPr>
              <w:t>绩效</w:t>
            </w:r>
            <w:r>
              <w:rPr>
                <w:rFonts w:hint="eastAsia" w:ascii="宋体" w:hAnsi="宋体" w:cs="宋体"/>
                <w:kern w:val="0"/>
                <w:sz w:val="20"/>
                <w:szCs w:val="20"/>
              </w:rPr>
              <w:br w:type="textWrapping"/>
            </w:r>
            <w:r>
              <w:rPr>
                <w:rFonts w:hint="eastAsia" w:ascii="宋体" w:hAnsi="宋体" w:cs="宋体"/>
                <w:kern w:val="0"/>
                <w:sz w:val="20"/>
                <w:szCs w:val="20"/>
              </w:rPr>
              <w:t>指标</w:t>
            </w:r>
            <w:r>
              <w:rPr>
                <w:rFonts w:hint="eastAsia" w:ascii="宋体" w:hAnsi="宋体" w:cs="宋体"/>
                <w:kern w:val="0"/>
                <w:sz w:val="20"/>
                <w:szCs w:val="20"/>
              </w:rPr>
              <w:br w:type="textWrapping"/>
            </w:r>
            <w:r>
              <w:rPr>
                <w:rFonts w:hint="eastAsia" w:ascii="宋体" w:hAnsi="宋体" w:cs="宋体"/>
                <w:kern w:val="0"/>
                <w:sz w:val="20"/>
                <w:szCs w:val="20"/>
              </w:rPr>
              <w:t>完成</w:t>
            </w:r>
            <w:r>
              <w:rPr>
                <w:rFonts w:hint="eastAsia" w:ascii="宋体" w:hAnsi="宋体" w:cs="宋体"/>
                <w:kern w:val="0"/>
                <w:sz w:val="20"/>
                <w:szCs w:val="20"/>
              </w:rPr>
              <w:br w:type="textWrapping"/>
            </w:r>
            <w:r>
              <w:rPr>
                <w:rFonts w:hint="eastAsia" w:ascii="宋体" w:hAnsi="宋体" w:cs="宋体"/>
                <w:kern w:val="0"/>
                <w:sz w:val="20"/>
                <w:szCs w:val="20"/>
              </w:rPr>
              <w:t>情况</w:t>
            </w:r>
          </w:p>
        </w:tc>
        <w:tc>
          <w:tcPr>
            <w:tcW w:w="1140"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一级指标</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二级指标</w:t>
            </w:r>
          </w:p>
        </w:tc>
        <w:tc>
          <w:tcPr>
            <w:tcW w:w="19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三级指标</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预期指标值（包含数字及文字描述）</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实际完成指标值（包含数字及文字描述）</w:t>
            </w:r>
          </w:p>
        </w:tc>
      </w:tr>
      <w:tr>
        <w:tblPrEx>
          <w:tblLayout w:type="fixed"/>
          <w:tblCellMar>
            <w:top w:w="0" w:type="dxa"/>
            <w:left w:w="108" w:type="dxa"/>
            <w:bottom w:w="0" w:type="dxa"/>
            <w:right w:w="108" w:type="dxa"/>
          </w:tblCellMar>
        </w:tblPrEx>
        <w:trPr>
          <w:trHeight w:val="480" w:hRule="atLeast"/>
        </w:trPr>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项目完成指标</w:t>
            </w:r>
          </w:p>
        </w:tc>
        <w:tc>
          <w:tcPr>
            <w:tcW w:w="13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数量指标</w:t>
            </w:r>
          </w:p>
        </w:tc>
        <w:tc>
          <w:tcPr>
            <w:tcW w:w="19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指标1：</w:t>
            </w:r>
          </w:p>
        </w:tc>
        <w:tc>
          <w:tcPr>
            <w:tcW w:w="2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看护重点文物保护单位49处</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看护区级以上文物保护单位49处以上</w:t>
            </w:r>
          </w:p>
        </w:tc>
      </w:tr>
      <w:tr>
        <w:tblPrEx>
          <w:tblLayout w:type="fixed"/>
          <w:tblCellMar>
            <w:top w:w="0" w:type="dxa"/>
            <w:left w:w="108" w:type="dxa"/>
            <w:bottom w:w="0" w:type="dxa"/>
            <w:right w:w="108" w:type="dxa"/>
          </w:tblCellMar>
        </w:tblPrEx>
        <w:trPr>
          <w:trHeight w:val="480" w:hRule="atLeast"/>
        </w:trPr>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3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9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指标2：</w:t>
            </w:r>
          </w:p>
        </w:tc>
        <w:tc>
          <w:tcPr>
            <w:tcW w:w="2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聘用看护员98人</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实际聘用看护员111人</w:t>
            </w:r>
          </w:p>
        </w:tc>
      </w:tr>
      <w:tr>
        <w:tblPrEx>
          <w:tblLayout w:type="fixed"/>
          <w:tblCellMar>
            <w:top w:w="0" w:type="dxa"/>
            <w:left w:w="108" w:type="dxa"/>
            <w:bottom w:w="0" w:type="dxa"/>
            <w:right w:w="108" w:type="dxa"/>
          </w:tblCellMar>
        </w:tblPrEx>
        <w:trPr>
          <w:trHeight w:val="480" w:hRule="atLeast"/>
        </w:trPr>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3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9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指标3：</w:t>
            </w:r>
          </w:p>
        </w:tc>
        <w:tc>
          <w:tcPr>
            <w:tcW w:w="2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发放看护经费235.2万元</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实际发放看护费179.58万元，2019年6月全部放。</w:t>
            </w:r>
          </w:p>
        </w:tc>
      </w:tr>
      <w:tr>
        <w:tblPrEx>
          <w:tblLayout w:type="fixed"/>
          <w:tblCellMar>
            <w:top w:w="0" w:type="dxa"/>
            <w:left w:w="108" w:type="dxa"/>
            <w:bottom w:w="0" w:type="dxa"/>
            <w:right w:w="108" w:type="dxa"/>
          </w:tblCellMar>
        </w:tblPrEx>
        <w:trPr>
          <w:trHeight w:val="480" w:hRule="atLeast"/>
        </w:trPr>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360"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质量指标</w:t>
            </w:r>
          </w:p>
        </w:tc>
        <w:tc>
          <w:tcPr>
            <w:tcW w:w="19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指标1：</w:t>
            </w:r>
          </w:p>
        </w:tc>
        <w:tc>
          <w:tcPr>
            <w:tcW w:w="2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完成49文物遗址点看护，确保文物遗址点无破坏　</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全州自治区级以上文物保护单位60处，全年无安全事故发生</w:t>
            </w:r>
          </w:p>
        </w:tc>
      </w:tr>
      <w:tr>
        <w:tblPrEx>
          <w:tblLayout w:type="fixed"/>
          <w:tblCellMar>
            <w:top w:w="0" w:type="dxa"/>
            <w:left w:w="108" w:type="dxa"/>
            <w:bottom w:w="0" w:type="dxa"/>
            <w:right w:w="108" w:type="dxa"/>
          </w:tblCellMar>
        </w:tblPrEx>
        <w:trPr>
          <w:trHeight w:val="480" w:hRule="atLeast"/>
        </w:trPr>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360"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时效指标</w:t>
            </w:r>
          </w:p>
        </w:tc>
        <w:tc>
          <w:tcPr>
            <w:tcW w:w="19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指标1：</w:t>
            </w:r>
          </w:p>
        </w:tc>
        <w:tc>
          <w:tcPr>
            <w:tcW w:w="2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49处遗址点235.2万元看护员专项经费足额到位</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r>
              <w:rPr>
                <w:rFonts w:hint="eastAsia" w:cs="仿宋" w:asciiTheme="minorEastAsia" w:hAnsiTheme="minorEastAsia" w:eastAsiaTheme="minorEastAsia"/>
                <w:kern w:val="0"/>
                <w:sz w:val="20"/>
                <w:szCs w:val="20"/>
              </w:rPr>
              <w:t>专项经费用于遗址看护员生活补助，确保专款专用</w:t>
            </w:r>
          </w:p>
        </w:tc>
      </w:tr>
      <w:tr>
        <w:tblPrEx>
          <w:tblLayout w:type="fixed"/>
          <w:tblCellMar>
            <w:top w:w="0" w:type="dxa"/>
            <w:left w:w="108" w:type="dxa"/>
            <w:bottom w:w="0" w:type="dxa"/>
            <w:right w:w="108" w:type="dxa"/>
          </w:tblCellMar>
        </w:tblPrEx>
        <w:trPr>
          <w:trHeight w:val="480" w:hRule="atLeast"/>
        </w:trPr>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3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成本指标</w:t>
            </w:r>
          </w:p>
        </w:tc>
        <w:tc>
          <w:tcPr>
            <w:tcW w:w="19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指标1：</w:t>
            </w:r>
          </w:p>
        </w:tc>
        <w:tc>
          <w:tcPr>
            <w:tcW w:w="2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保证野外看护员专项补助经费</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全年看护经费235.2万元</w:t>
            </w:r>
          </w:p>
        </w:tc>
      </w:tr>
      <w:tr>
        <w:tblPrEx>
          <w:tblLayout w:type="fixed"/>
          <w:tblCellMar>
            <w:top w:w="0" w:type="dxa"/>
            <w:left w:w="108" w:type="dxa"/>
            <w:bottom w:w="0" w:type="dxa"/>
            <w:right w:w="108" w:type="dxa"/>
          </w:tblCellMar>
        </w:tblPrEx>
        <w:trPr>
          <w:trHeight w:val="480" w:hRule="atLeast"/>
        </w:trPr>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3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9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指标2：</w:t>
            </w:r>
          </w:p>
        </w:tc>
        <w:tc>
          <w:tcPr>
            <w:tcW w:w="2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区级以上文物保护单位49处</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区级以上文物保护单位49处以上</w:t>
            </w:r>
          </w:p>
        </w:tc>
      </w:tr>
      <w:tr>
        <w:tblPrEx>
          <w:tblLayout w:type="fixed"/>
          <w:tblCellMar>
            <w:top w:w="0" w:type="dxa"/>
            <w:left w:w="108" w:type="dxa"/>
            <w:bottom w:w="0" w:type="dxa"/>
            <w:right w:w="108" w:type="dxa"/>
          </w:tblCellMar>
        </w:tblPrEx>
        <w:trPr>
          <w:trHeight w:val="480" w:hRule="atLeast"/>
        </w:trPr>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1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项目效果指标</w:t>
            </w:r>
          </w:p>
        </w:tc>
        <w:tc>
          <w:tcPr>
            <w:tcW w:w="1360"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经济效益</w:t>
            </w:r>
            <w:r>
              <w:rPr>
                <w:rFonts w:hint="eastAsia" w:ascii="宋体" w:hAnsi="宋体" w:cs="宋体"/>
                <w:kern w:val="0"/>
                <w:sz w:val="20"/>
                <w:szCs w:val="20"/>
              </w:rPr>
              <w:br w:type="textWrapping"/>
            </w:r>
            <w:r>
              <w:rPr>
                <w:rFonts w:hint="eastAsia" w:ascii="宋体" w:hAnsi="宋体" w:cs="宋体"/>
                <w:kern w:val="0"/>
                <w:sz w:val="20"/>
                <w:szCs w:val="20"/>
              </w:rPr>
              <w:t>指标</w:t>
            </w:r>
          </w:p>
        </w:tc>
        <w:tc>
          <w:tcPr>
            <w:tcW w:w="19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指标1：</w:t>
            </w:r>
          </w:p>
        </w:tc>
        <w:tc>
          <w:tcPr>
            <w:tcW w:w="20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ascii="宋体" w:hAnsi="宋体" w:cs="宋体"/>
                <w:kern w:val="0"/>
                <w:sz w:val="20"/>
                <w:szCs w:val="20"/>
              </w:rPr>
              <w:t>　</w:t>
            </w:r>
            <w:r>
              <w:rPr>
                <w:rFonts w:hint="eastAsia" w:cs="仿宋" w:asciiTheme="minorEastAsia" w:hAnsiTheme="minorEastAsia" w:eastAsiaTheme="minorEastAsia"/>
                <w:kern w:val="0"/>
                <w:sz w:val="20"/>
                <w:szCs w:val="20"/>
              </w:rPr>
              <w:t>保护了全州49处国保、区保单位的安全</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保障全州国家级文物保护单位和自治区级文物保护单位的安全</w:t>
            </w:r>
          </w:p>
        </w:tc>
      </w:tr>
      <w:tr>
        <w:tblPrEx>
          <w:tblLayout w:type="fixed"/>
          <w:tblCellMar>
            <w:top w:w="0" w:type="dxa"/>
            <w:left w:w="108" w:type="dxa"/>
            <w:bottom w:w="0" w:type="dxa"/>
            <w:right w:w="108" w:type="dxa"/>
          </w:tblCellMar>
        </w:tblPrEx>
        <w:trPr>
          <w:trHeight w:val="480" w:hRule="atLeast"/>
        </w:trPr>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1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3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社会效益</w:t>
            </w:r>
            <w:r>
              <w:rPr>
                <w:rFonts w:hint="eastAsia" w:ascii="宋体" w:hAnsi="宋体" w:cs="宋体"/>
                <w:kern w:val="0"/>
                <w:sz w:val="20"/>
                <w:szCs w:val="20"/>
              </w:rPr>
              <w:br w:type="textWrapping"/>
            </w:r>
            <w:r>
              <w:rPr>
                <w:rFonts w:hint="eastAsia" w:ascii="宋体" w:hAnsi="宋体" w:cs="宋体"/>
                <w:kern w:val="0"/>
                <w:sz w:val="20"/>
                <w:szCs w:val="20"/>
              </w:rPr>
              <w:t>指标</w:t>
            </w:r>
          </w:p>
        </w:tc>
        <w:tc>
          <w:tcPr>
            <w:tcW w:w="19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指标1：</w:t>
            </w:r>
          </w:p>
        </w:tc>
        <w:tc>
          <w:tcPr>
            <w:tcW w:w="2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提供社会就业机会</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解决111人生活保障和增加家庭收入　</w:t>
            </w:r>
          </w:p>
        </w:tc>
      </w:tr>
      <w:tr>
        <w:tblPrEx>
          <w:tblLayout w:type="fixed"/>
          <w:tblCellMar>
            <w:top w:w="0" w:type="dxa"/>
            <w:left w:w="108" w:type="dxa"/>
            <w:bottom w:w="0" w:type="dxa"/>
            <w:right w:w="108" w:type="dxa"/>
          </w:tblCellMar>
        </w:tblPrEx>
        <w:trPr>
          <w:trHeight w:val="480" w:hRule="atLeast"/>
        </w:trPr>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1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3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9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指标2：</w:t>
            </w:r>
          </w:p>
        </w:tc>
        <w:tc>
          <w:tcPr>
            <w:tcW w:w="2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解决部分贫困人员脱贫。</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看护员有重点的倾向解决帮助部分贫困人员</w:t>
            </w:r>
          </w:p>
        </w:tc>
      </w:tr>
      <w:tr>
        <w:tblPrEx>
          <w:tblLayout w:type="fixed"/>
          <w:tblCellMar>
            <w:top w:w="0" w:type="dxa"/>
            <w:left w:w="108" w:type="dxa"/>
            <w:bottom w:w="0" w:type="dxa"/>
            <w:right w:w="108" w:type="dxa"/>
          </w:tblCellMar>
        </w:tblPrEx>
        <w:trPr>
          <w:trHeight w:val="480" w:hRule="atLeast"/>
        </w:trPr>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1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3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9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w:t>
            </w:r>
          </w:p>
        </w:tc>
        <w:tc>
          <w:tcPr>
            <w:tcW w:w="2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保证全州各级文物安全</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保护和传承昌吉州历史文化</w:t>
            </w:r>
          </w:p>
        </w:tc>
      </w:tr>
      <w:tr>
        <w:tblPrEx>
          <w:tblLayout w:type="fixed"/>
          <w:tblCellMar>
            <w:top w:w="0" w:type="dxa"/>
            <w:left w:w="108" w:type="dxa"/>
            <w:bottom w:w="0" w:type="dxa"/>
            <w:right w:w="108" w:type="dxa"/>
          </w:tblCellMar>
        </w:tblPrEx>
        <w:trPr>
          <w:trHeight w:val="480" w:hRule="atLeast"/>
        </w:trPr>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1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360"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生态效益</w:t>
            </w:r>
            <w:r>
              <w:rPr>
                <w:rFonts w:hint="eastAsia" w:ascii="宋体" w:hAnsi="宋体" w:cs="宋体"/>
                <w:kern w:val="0"/>
                <w:sz w:val="20"/>
                <w:szCs w:val="20"/>
              </w:rPr>
              <w:br w:type="textWrapping"/>
            </w:r>
            <w:r>
              <w:rPr>
                <w:rFonts w:hint="eastAsia" w:ascii="宋体" w:hAnsi="宋体" w:cs="宋体"/>
                <w:kern w:val="0"/>
                <w:sz w:val="20"/>
                <w:szCs w:val="20"/>
              </w:rPr>
              <w:t>指标</w:t>
            </w:r>
          </w:p>
        </w:tc>
        <w:tc>
          <w:tcPr>
            <w:tcW w:w="19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指标1：</w:t>
            </w:r>
          </w:p>
        </w:tc>
        <w:tc>
          <w:tcPr>
            <w:tcW w:w="2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对文物保护单位保护范围有效保护</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同时保护了周边生态环境</w:t>
            </w:r>
          </w:p>
        </w:tc>
      </w:tr>
      <w:tr>
        <w:tblPrEx>
          <w:tblLayout w:type="fixed"/>
          <w:tblCellMar>
            <w:top w:w="0" w:type="dxa"/>
            <w:left w:w="108" w:type="dxa"/>
            <w:bottom w:w="0" w:type="dxa"/>
            <w:right w:w="108" w:type="dxa"/>
          </w:tblCellMar>
        </w:tblPrEx>
        <w:trPr>
          <w:trHeight w:val="480" w:hRule="atLeast"/>
        </w:trPr>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1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360"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可持续影响</w:t>
            </w:r>
            <w:r>
              <w:rPr>
                <w:rFonts w:hint="eastAsia" w:ascii="宋体" w:hAnsi="宋体" w:cs="宋体"/>
                <w:kern w:val="0"/>
                <w:sz w:val="20"/>
                <w:szCs w:val="20"/>
              </w:rPr>
              <w:br w:type="textWrapping"/>
            </w:r>
            <w:r>
              <w:rPr>
                <w:rFonts w:hint="eastAsia" w:ascii="宋体" w:hAnsi="宋体" w:cs="宋体"/>
                <w:kern w:val="0"/>
                <w:sz w:val="20"/>
                <w:szCs w:val="20"/>
              </w:rPr>
              <w:t>指标</w:t>
            </w:r>
          </w:p>
        </w:tc>
        <w:tc>
          <w:tcPr>
            <w:tcW w:w="19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指标1：</w:t>
            </w:r>
          </w:p>
        </w:tc>
        <w:tc>
          <w:tcPr>
            <w:tcW w:w="2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保障全州区级以上文物保护单位安全</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发挥文物传承和发扬历史文化的作用</w:t>
            </w:r>
          </w:p>
        </w:tc>
      </w:tr>
      <w:tr>
        <w:tblPrEx>
          <w:tblLayout w:type="fixed"/>
          <w:tblCellMar>
            <w:top w:w="0" w:type="dxa"/>
            <w:left w:w="108" w:type="dxa"/>
            <w:bottom w:w="0" w:type="dxa"/>
            <w:right w:w="108" w:type="dxa"/>
          </w:tblCellMar>
        </w:tblPrEx>
        <w:trPr>
          <w:trHeight w:val="480" w:hRule="atLeast"/>
        </w:trPr>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1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满意度</w:t>
            </w:r>
            <w:r>
              <w:rPr>
                <w:rFonts w:hint="eastAsia" w:ascii="宋体" w:hAnsi="宋体" w:cs="宋体"/>
                <w:kern w:val="0"/>
                <w:sz w:val="20"/>
                <w:szCs w:val="20"/>
              </w:rPr>
              <w:br w:type="textWrapping"/>
            </w:r>
            <w:r>
              <w:rPr>
                <w:rFonts w:hint="eastAsia" w:ascii="宋体" w:hAnsi="宋体" w:cs="宋体"/>
                <w:kern w:val="0"/>
                <w:sz w:val="20"/>
                <w:szCs w:val="20"/>
              </w:rPr>
              <w:t>指标</w:t>
            </w:r>
          </w:p>
        </w:tc>
        <w:tc>
          <w:tcPr>
            <w:tcW w:w="13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满意度指标</w:t>
            </w:r>
          </w:p>
        </w:tc>
        <w:tc>
          <w:tcPr>
            <w:tcW w:w="19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指标1：</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群众对文物保护的满意度　</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100%</w:t>
            </w:r>
          </w:p>
        </w:tc>
      </w:tr>
      <w:tr>
        <w:tblPrEx>
          <w:tblLayout w:type="fixed"/>
          <w:tblCellMar>
            <w:top w:w="0" w:type="dxa"/>
            <w:left w:w="108" w:type="dxa"/>
            <w:bottom w:w="0" w:type="dxa"/>
            <w:right w:w="108" w:type="dxa"/>
          </w:tblCellMar>
        </w:tblPrEx>
        <w:trPr>
          <w:trHeight w:val="480" w:hRule="atLeast"/>
        </w:trPr>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1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3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9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指标2：</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全社会对加强文物保护的满意度　</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100%</w:t>
            </w:r>
          </w:p>
        </w:tc>
      </w:tr>
    </w:tbl>
    <w:p>
      <w:pPr>
        <w:spacing w:line="540" w:lineRule="exact"/>
        <w:ind w:firstLine="567"/>
        <w:rPr>
          <w:rStyle w:val="18"/>
          <w:rFonts w:ascii="仿宋" w:hAnsi="仿宋" w:eastAsia="仿宋"/>
          <w:b w:val="0"/>
          <w:spacing w:val="-4"/>
          <w:sz w:val="32"/>
          <w:szCs w:val="32"/>
        </w:rPr>
      </w:pPr>
    </w:p>
    <w:sectPr>
      <w:footerReference r:id="rId3" w:type="default"/>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仿宋">
    <w:altName w:val="Arial Unicode MS"/>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隶书">
    <w:panose1 w:val="02010800040101010101"/>
    <w:charset w:val="86"/>
    <w:family w:val="auto"/>
    <w:pitch w:val="default"/>
    <w:sig w:usb0="00000001" w:usb1="080F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docPartObj>
        <w:docPartGallery w:val="autotext"/>
      </w:docPartObj>
    </w:sdtPr>
    <w:sdtContent>
      <w:p>
        <w:pPr>
          <w:pStyle w:val="12"/>
          <w:jc w:val="center"/>
        </w:pPr>
        <w:r>
          <w:fldChar w:fldCharType="begin"/>
        </w:r>
        <w:r>
          <w:instrText xml:space="preserve">PAGE   \* MERGEFORMAT</w:instrText>
        </w:r>
        <w:r>
          <w:fldChar w:fldCharType="separate"/>
        </w:r>
        <w:r>
          <w:rPr>
            <w:lang w:val="zh-CN"/>
          </w:rPr>
          <w:t>1</w:t>
        </w:r>
        <w:r>
          <w:fldChar w:fldCharType="end"/>
        </w:r>
      </w:p>
    </w:sdtContent>
  </w:sdt>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A6457"/>
    <w:rsid w:val="00056465"/>
    <w:rsid w:val="00091D38"/>
    <w:rsid w:val="001029AF"/>
    <w:rsid w:val="00121AE4"/>
    <w:rsid w:val="00146AAD"/>
    <w:rsid w:val="001B3A40"/>
    <w:rsid w:val="0025696B"/>
    <w:rsid w:val="00321AEB"/>
    <w:rsid w:val="00332D90"/>
    <w:rsid w:val="004366A8"/>
    <w:rsid w:val="00502BA7"/>
    <w:rsid w:val="005162F1"/>
    <w:rsid w:val="00535153"/>
    <w:rsid w:val="00554F82"/>
    <w:rsid w:val="0056390D"/>
    <w:rsid w:val="005719B0"/>
    <w:rsid w:val="005B0FAD"/>
    <w:rsid w:val="005D10D6"/>
    <w:rsid w:val="00771EC9"/>
    <w:rsid w:val="00790178"/>
    <w:rsid w:val="00854B49"/>
    <w:rsid w:val="00855E3A"/>
    <w:rsid w:val="00922CB9"/>
    <w:rsid w:val="009E5CD9"/>
    <w:rsid w:val="00A13698"/>
    <w:rsid w:val="00A26421"/>
    <w:rsid w:val="00A4293B"/>
    <w:rsid w:val="00A64F7A"/>
    <w:rsid w:val="00A67D50"/>
    <w:rsid w:val="00A8691A"/>
    <w:rsid w:val="00AC1946"/>
    <w:rsid w:val="00AD2D98"/>
    <w:rsid w:val="00AE1668"/>
    <w:rsid w:val="00B40063"/>
    <w:rsid w:val="00B41F61"/>
    <w:rsid w:val="00B626BE"/>
    <w:rsid w:val="00BA46E6"/>
    <w:rsid w:val="00C25AFD"/>
    <w:rsid w:val="00C56C72"/>
    <w:rsid w:val="00C73568"/>
    <w:rsid w:val="00CA6457"/>
    <w:rsid w:val="00CC4F32"/>
    <w:rsid w:val="00D17F2E"/>
    <w:rsid w:val="00D30354"/>
    <w:rsid w:val="00DD326D"/>
    <w:rsid w:val="00DF42A0"/>
    <w:rsid w:val="00E769FE"/>
    <w:rsid w:val="00EA2CBE"/>
    <w:rsid w:val="00F32FEE"/>
    <w:rsid w:val="00F739A4"/>
    <w:rsid w:val="00F85FEC"/>
    <w:rsid w:val="00FB10BB"/>
    <w:rsid w:val="00FE353B"/>
    <w:rsid w:val="3D9A47C5"/>
    <w:rsid w:val="44192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widowControl/>
      <w:spacing w:before="240" w:after="60"/>
      <w:jc w:val="left"/>
      <w:outlineLvl w:val="0"/>
    </w:pPr>
    <w:rPr>
      <w:rFonts w:asciiTheme="majorHAnsi" w:hAnsiTheme="majorHAnsi" w:eastAsiaTheme="majorEastAsia"/>
      <w:b/>
      <w:bCs/>
      <w:kern w:val="32"/>
      <w:sz w:val="32"/>
      <w:szCs w:val="32"/>
    </w:rPr>
  </w:style>
  <w:style w:type="paragraph" w:styleId="3">
    <w:name w:val="heading 2"/>
    <w:basedOn w:val="1"/>
    <w:next w:val="1"/>
    <w:link w:val="21"/>
    <w:semiHidden/>
    <w:unhideWhenUsed/>
    <w:qFormat/>
    <w:uiPriority w:val="9"/>
    <w:pPr>
      <w:keepNext/>
      <w:widowControl/>
      <w:spacing w:before="240" w:after="60"/>
      <w:jc w:val="left"/>
      <w:outlineLvl w:val="1"/>
    </w:pPr>
    <w:rPr>
      <w:rFonts w:asciiTheme="majorHAnsi" w:hAnsiTheme="majorHAnsi" w:eastAsiaTheme="majorEastAsia"/>
      <w:b/>
      <w:bCs/>
      <w:i/>
      <w:iCs/>
      <w:kern w:val="0"/>
      <w:sz w:val="28"/>
      <w:szCs w:val="28"/>
    </w:rPr>
  </w:style>
  <w:style w:type="paragraph" w:styleId="4">
    <w:name w:val="heading 3"/>
    <w:basedOn w:val="1"/>
    <w:next w:val="1"/>
    <w:link w:val="22"/>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paragraph" w:styleId="5">
    <w:name w:val="heading 4"/>
    <w:basedOn w:val="1"/>
    <w:next w:val="1"/>
    <w:link w:val="23"/>
    <w:semiHidden/>
    <w:unhideWhenUsed/>
    <w:qFormat/>
    <w:uiPriority w:val="9"/>
    <w:pPr>
      <w:keepNext/>
      <w:widowControl/>
      <w:spacing w:before="240" w:after="60"/>
      <w:jc w:val="left"/>
      <w:outlineLvl w:val="3"/>
    </w:pPr>
    <w:rPr>
      <w:rFonts w:asciiTheme="minorHAnsi" w:hAnsiTheme="minorHAnsi" w:eastAsiaTheme="minorEastAsia"/>
      <w:b/>
      <w:bCs/>
      <w:kern w:val="0"/>
      <w:sz w:val="28"/>
      <w:szCs w:val="28"/>
    </w:rPr>
  </w:style>
  <w:style w:type="paragraph" w:styleId="6">
    <w:name w:val="heading 5"/>
    <w:basedOn w:val="1"/>
    <w:next w:val="1"/>
    <w:link w:val="24"/>
    <w:semiHidden/>
    <w:unhideWhenUsed/>
    <w:qFormat/>
    <w:uiPriority w:val="9"/>
    <w:pPr>
      <w:widowControl/>
      <w:spacing w:before="240" w:after="60"/>
      <w:jc w:val="left"/>
      <w:outlineLvl w:val="4"/>
    </w:pPr>
    <w:rPr>
      <w:rFonts w:asciiTheme="minorHAnsi" w:hAnsiTheme="minorHAnsi" w:eastAsiaTheme="minorEastAsia"/>
      <w:b/>
      <w:bCs/>
      <w:i/>
      <w:iCs/>
      <w:kern w:val="0"/>
      <w:sz w:val="26"/>
      <w:szCs w:val="26"/>
    </w:rPr>
  </w:style>
  <w:style w:type="paragraph" w:styleId="7">
    <w:name w:val="heading 6"/>
    <w:basedOn w:val="1"/>
    <w:next w:val="1"/>
    <w:link w:val="25"/>
    <w:semiHidden/>
    <w:unhideWhenUsed/>
    <w:qFormat/>
    <w:uiPriority w:val="9"/>
    <w:pPr>
      <w:widowControl/>
      <w:spacing w:before="240" w:after="60"/>
      <w:jc w:val="left"/>
      <w:outlineLvl w:val="5"/>
    </w:pPr>
    <w:rPr>
      <w:rFonts w:asciiTheme="minorHAnsi" w:hAnsiTheme="minorHAnsi" w:eastAsiaTheme="minorEastAsia"/>
      <w:b/>
      <w:bCs/>
      <w:kern w:val="0"/>
      <w:sz w:val="22"/>
      <w:szCs w:val="22"/>
    </w:rPr>
  </w:style>
  <w:style w:type="paragraph" w:styleId="8">
    <w:name w:val="heading 7"/>
    <w:basedOn w:val="1"/>
    <w:next w:val="1"/>
    <w:link w:val="26"/>
    <w:semiHidden/>
    <w:unhideWhenUsed/>
    <w:qFormat/>
    <w:uiPriority w:val="9"/>
    <w:pPr>
      <w:widowControl/>
      <w:spacing w:before="240" w:after="60"/>
      <w:jc w:val="left"/>
      <w:outlineLvl w:val="6"/>
    </w:pPr>
    <w:rPr>
      <w:rFonts w:asciiTheme="minorHAnsi" w:hAnsiTheme="minorHAnsi" w:eastAsiaTheme="minorEastAsia"/>
      <w:kern w:val="0"/>
      <w:sz w:val="24"/>
    </w:rPr>
  </w:style>
  <w:style w:type="paragraph" w:styleId="9">
    <w:name w:val="heading 8"/>
    <w:basedOn w:val="1"/>
    <w:next w:val="1"/>
    <w:link w:val="27"/>
    <w:semiHidden/>
    <w:unhideWhenUsed/>
    <w:qFormat/>
    <w:uiPriority w:val="9"/>
    <w:pPr>
      <w:widowControl/>
      <w:spacing w:before="240" w:after="60"/>
      <w:jc w:val="left"/>
      <w:outlineLvl w:val="7"/>
    </w:pPr>
    <w:rPr>
      <w:rFonts w:asciiTheme="minorHAnsi" w:hAnsiTheme="minorHAnsi" w:eastAsiaTheme="minorEastAsia"/>
      <w:i/>
      <w:iCs/>
      <w:kern w:val="0"/>
      <w:sz w:val="24"/>
    </w:rPr>
  </w:style>
  <w:style w:type="paragraph" w:styleId="10">
    <w:name w:val="heading 9"/>
    <w:basedOn w:val="1"/>
    <w:next w:val="1"/>
    <w:link w:val="28"/>
    <w:semiHidden/>
    <w:unhideWhenUsed/>
    <w:qFormat/>
    <w:uiPriority w:val="9"/>
    <w:pPr>
      <w:widowControl/>
      <w:spacing w:before="240" w:after="60"/>
      <w:jc w:val="left"/>
      <w:outlineLvl w:val="8"/>
    </w:pPr>
    <w:rPr>
      <w:rFonts w:asciiTheme="majorHAnsi" w:hAnsiTheme="majorHAnsi" w:eastAsiaTheme="majorEastAsia"/>
      <w:kern w:val="0"/>
      <w:sz w:val="22"/>
      <w:szCs w:val="2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11">
    <w:name w:val="Balloon Text"/>
    <w:basedOn w:val="1"/>
    <w:link w:val="45"/>
    <w:semiHidden/>
    <w:unhideWhenUsed/>
    <w:uiPriority w:val="99"/>
    <w:rPr>
      <w:sz w:val="18"/>
      <w:szCs w:val="18"/>
    </w:rPr>
  </w:style>
  <w:style w:type="paragraph" w:styleId="12">
    <w:name w:val="footer"/>
    <w:basedOn w:val="1"/>
    <w:link w:val="44"/>
    <w:unhideWhenUsed/>
    <w:uiPriority w:val="99"/>
    <w:pPr>
      <w:tabs>
        <w:tab w:val="center" w:pos="4153"/>
        <w:tab w:val="right" w:pos="8306"/>
      </w:tabs>
      <w:snapToGrid w:val="0"/>
      <w:jc w:val="left"/>
    </w:pPr>
    <w:rPr>
      <w:rFonts w:ascii="Calibri" w:hAnsi="Calibri"/>
      <w:sz w:val="18"/>
      <w:szCs w:val="18"/>
    </w:rPr>
  </w:style>
  <w:style w:type="paragraph" w:styleId="13">
    <w:name w:val="header"/>
    <w:basedOn w:val="1"/>
    <w:link w:val="43"/>
    <w:unhideWhenUsed/>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Subtitle"/>
    <w:basedOn w:val="1"/>
    <w:next w:val="1"/>
    <w:link w:val="30"/>
    <w:qFormat/>
    <w:uiPriority w:val="11"/>
    <w:pPr>
      <w:widowControl/>
      <w:spacing w:after="60"/>
      <w:jc w:val="center"/>
      <w:outlineLvl w:val="1"/>
    </w:pPr>
    <w:rPr>
      <w:rFonts w:asciiTheme="majorHAnsi" w:hAnsiTheme="majorHAnsi" w:eastAsiaTheme="majorEastAsia"/>
      <w:kern w:val="0"/>
      <w:sz w:val="24"/>
    </w:rPr>
  </w:style>
  <w:style w:type="paragraph" w:styleId="15">
    <w:name w:val="Title"/>
    <w:basedOn w:val="1"/>
    <w:next w:val="1"/>
    <w:link w:val="29"/>
    <w:qFormat/>
    <w:uiPriority w:val="10"/>
    <w:pPr>
      <w:widowControl/>
      <w:spacing w:before="240" w:after="60"/>
      <w:jc w:val="center"/>
      <w:outlineLvl w:val="0"/>
    </w:pPr>
    <w:rPr>
      <w:rFonts w:asciiTheme="majorHAnsi" w:hAnsiTheme="majorHAnsi" w:eastAsiaTheme="majorEastAsia"/>
      <w:b/>
      <w:bCs/>
      <w:kern w:val="28"/>
      <w:sz w:val="32"/>
      <w:szCs w:val="32"/>
    </w:rPr>
  </w:style>
  <w:style w:type="character" w:styleId="18">
    <w:name w:val="Strong"/>
    <w:basedOn w:val="17"/>
    <w:qFormat/>
    <w:uiPriority w:val="0"/>
    <w:rPr>
      <w:b/>
      <w:bCs/>
    </w:rPr>
  </w:style>
  <w:style w:type="character" w:styleId="19">
    <w:name w:val="Emphasis"/>
    <w:basedOn w:val="17"/>
    <w:qFormat/>
    <w:uiPriority w:val="20"/>
    <w:rPr>
      <w:rFonts w:asciiTheme="minorHAnsi" w:hAnsiTheme="minorHAnsi"/>
      <w:b/>
      <w:i/>
      <w:iCs/>
    </w:rPr>
  </w:style>
  <w:style w:type="character" w:customStyle="1" w:styleId="20">
    <w:name w:val="标题 1 Char"/>
    <w:basedOn w:val="17"/>
    <w:link w:val="2"/>
    <w:qFormat/>
    <w:uiPriority w:val="9"/>
    <w:rPr>
      <w:rFonts w:asciiTheme="majorHAnsi" w:hAnsiTheme="majorHAnsi" w:eastAsiaTheme="majorEastAsia"/>
      <w:b/>
      <w:bCs/>
      <w:kern w:val="32"/>
      <w:sz w:val="32"/>
      <w:szCs w:val="32"/>
    </w:rPr>
  </w:style>
  <w:style w:type="character" w:customStyle="1" w:styleId="21">
    <w:name w:val="标题 2 Char"/>
    <w:basedOn w:val="17"/>
    <w:link w:val="3"/>
    <w:semiHidden/>
    <w:qFormat/>
    <w:uiPriority w:val="9"/>
    <w:rPr>
      <w:rFonts w:asciiTheme="majorHAnsi" w:hAnsiTheme="majorHAnsi" w:eastAsiaTheme="majorEastAsia"/>
      <w:b/>
      <w:bCs/>
      <w:i/>
      <w:iCs/>
      <w:sz w:val="28"/>
      <w:szCs w:val="28"/>
    </w:rPr>
  </w:style>
  <w:style w:type="character" w:customStyle="1" w:styleId="22">
    <w:name w:val="标题 3 Char"/>
    <w:basedOn w:val="17"/>
    <w:link w:val="4"/>
    <w:semiHidden/>
    <w:qFormat/>
    <w:uiPriority w:val="9"/>
    <w:rPr>
      <w:rFonts w:asciiTheme="majorHAnsi" w:hAnsiTheme="majorHAnsi" w:eastAsiaTheme="majorEastAsia"/>
      <w:b/>
      <w:bCs/>
      <w:sz w:val="26"/>
      <w:szCs w:val="26"/>
    </w:rPr>
  </w:style>
  <w:style w:type="character" w:customStyle="1" w:styleId="23">
    <w:name w:val="标题 4 Char"/>
    <w:basedOn w:val="17"/>
    <w:link w:val="5"/>
    <w:semiHidden/>
    <w:qFormat/>
    <w:uiPriority w:val="9"/>
    <w:rPr>
      <w:b/>
      <w:bCs/>
      <w:sz w:val="28"/>
      <w:szCs w:val="28"/>
    </w:rPr>
  </w:style>
  <w:style w:type="character" w:customStyle="1" w:styleId="24">
    <w:name w:val="标题 5 Char"/>
    <w:basedOn w:val="17"/>
    <w:link w:val="6"/>
    <w:semiHidden/>
    <w:uiPriority w:val="9"/>
    <w:rPr>
      <w:b/>
      <w:bCs/>
      <w:i/>
      <w:iCs/>
      <w:sz w:val="26"/>
      <w:szCs w:val="26"/>
    </w:rPr>
  </w:style>
  <w:style w:type="character" w:customStyle="1" w:styleId="25">
    <w:name w:val="标题 6 Char"/>
    <w:basedOn w:val="17"/>
    <w:link w:val="7"/>
    <w:semiHidden/>
    <w:uiPriority w:val="9"/>
    <w:rPr>
      <w:b/>
      <w:bCs/>
    </w:rPr>
  </w:style>
  <w:style w:type="character" w:customStyle="1" w:styleId="26">
    <w:name w:val="标题 7 Char"/>
    <w:basedOn w:val="17"/>
    <w:link w:val="8"/>
    <w:semiHidden/>
    <w:uiPriority w:val="9"/>
    <w:rPr>
      <w:sz w:val="24"/>
      <w:szCs w:val="24"/>
    </w:rPr>
  </w:style>
  <w:style w:type="character" w:customStyle="1" w:styleId="27">
    <w:name w:val="标题 8 Char"/>
    <w:basedOn w:val="17"/>
    <w:link w:val="9"/>
    <w:semiHidden/>
    <w:uiPriority w:val="9"/>
    <w:rPr>
      <w:i/>
      <w:iCs/>
      <w:sz w:val="24"/>
      <w:szCs w:val="24"/>
    </w:rPr>
  </w:style>
  <w:style w:type="character" w:customStyle="1" w:styleId="28">
    <w:name w:val="标题 9 Char"/>
    <w:basedOn w:val="17"/>
    <w:link w:val="10"/>
    <w:semiHidden/>
    <w:uiPriority w:val="9"/>
    <w:rPr>
      <w:rFonts w:asciiTheme="majorHAnsi" w:hAnsiTheme="majorHAnsi" w:eastAsiaTheme="majorEastAsia"/>
    </w:rPr>
  </w:style>
  <w:style w:type="character" w:customStyle="1" w:styleId="29">
    <w:name w:val="标题 Char"/>
    <w:basedOn w:val="17"/>
    <w:link w:val="15"/>
    <w:uiPriority w:val="10"/>
    <w:rPr>
      <w:rFonts w:asciiTheme="majorHAnsi" w:hAnsiTheme="majorHAnsi" w:eastAsiaTheme="majorEastAsia"/>
      <w:b/>
      <w:bCs/>
      <w:kern w:val="28"/>
      <w:sz w:val="32"/>
      <w:szCs w:val="32"/>
    </w:rPr>
  </w:style>
  <w:style w:type="character" w:customStyle="1" w:styleId="30">
    <w:name w:val="副标题 Char"/>
    <w:basedOn w:val="17"/>
    <w:link w:val="14"/>
    <w:uiPriority w:val="11"/>
    <w:rPr>
      <w:rFonts w:asciiTheme="majorHAnsi" w:hAnsiTheme="majorHAnsi" w:eastAsiaTheme="majorEastAsia"/>
      <w:sz w:val="24"/>
      <w:szCs w:val="24"/>
    </w:rPr>
  </w:style>
  <w:style w:type="paragraph" w:styleId="31">
    <w:name w:val="No Spacing"/>
    <w:basedOn w:val="1"/>
    <w:qFormat/>
    <w:uiPriority w:val="1"/>
    <w:pPr>
      <w:widowControl/>
      <w:jc w:val="left"/>
    </w:pPr>
    <w:rPr>
      <w:rFonts w:asciiTheme="minorHAnsi" w:hAnsiTheme="minorHAnsi" w:eastAsiaTheme="minorEastAsia"/>
      <w:kern w:val="0"/>
      <w:sz w:val="24"/>
      <w:szCs w:val="32"/>
      <w:lang w:eastAsia="en-US" w:bidi="en-US"/>
    </w:rPr>
  </w:style>
  <w:style w:type="paragraph" w:styleId="32">
    <w:name w:val="List Paragraph"/>
    <w:basedOn w:val="1"/>
    <w:qFormat/>
    <w:uiPriority w:val="34"/>
    <w:pPr>
      <w:widowControl/>
      <w:ind w:left="720"/>
      <w:contextualSpacing/>
      <w:jc w:val="left"/>
    </w:pPr>
    <w:rPr>
      <w:rFonts w:asciiTheme="minorHAnsi" w:hAnsiTheme="minorHAnsi" w:eastAsiaTheme="minorEastAsia"/>
      <w:kern w:val="0"/>
      <w:sz w:val="24"/>
      <w:lang w:eastAsia="en-US" w:bidi="en-US"/>
    </w:rPr>
  </w:style>
  <w:style w:type="paragraph" w:styleId="33">
    <w:name w:val="Quote"/>
    <w:basedOn w:val="1"/>
    <w:next w:val="1"/>
    <w:link w:val="34"/>
    <w:qFormat/>
    <w:uiPriority w:val="29"/>
    <w:pPr>
      <w:widowControl/>
      <w:jc w:val="left"/>
    </w:pPr>
    <w:rPr>
      <w:rFonts w:asciiTheme="minorHAnsi" w:hAnsiTheme="minorHAnsi" w:eastAsiaTheme="minorEastAsia"/>
      <w:i/>
      <w:kern w:val="0"/>
      <w:sz w:val="24"/>
    </w:rPr>
  </w:style>
  <w:style w:type="character" w:customStyle="1" w:styleId="34">
    <w:name w:val="引用 Char"/>
    <w:basedOn w:val="17"/>
    <w:link w:val="33"/>
    <w:uiPriority w:val="29"/>
    <w:rPr>
      <w:i/>
      <w:sz w:val="24"/>
      <w:szCs w:val="24"/>
    </w:rPr>
  </w:style>
  <w:style w:type="paragraph" w:styleId="35">
    <w:name w:val="Intense Quote"/>
    <w:basedOn w:val="1"/>
    <w:next w:val="1"/>
    <w:link w:val="36"/>
    <w:qFormat/>
    <w:uiPriority w:val="30"/>
    <w:pPr>
      <w:widowControl/>
      <w:ind w:left="720" w:right="720"/>
      <w:jc w:val="left"/>
    </w:pPr>
    <w:rPr>
      <w:rFonts w:asciiTheme="minorHAnsi" w:hAnsiTheme="minorHAnsi" w:eastAsiaTheme="minorEastAsia"/>
      <w:b/>
      <w:i/>
      <w:kern w:val="0"/>
      <w:sz w:val="24"/>
      <w:szCs w:val="22"/>
    </w:rPr>
  </w:style>
  <w:style w:type="character" w:customStyle="1" w:styleId="36">
    <w:name w:val="明显引用 Char"/>
    <w:basedOn w:val="17"/>
    <w:link w:val="35"/>
    <w:uiPriority w:val="30"/>
    <w:rPr>
      <w:b/>
      <w:i/>
      <w:sz w:val="24"/>
    </w:rPr>
  </w:style>
  <w:style w:type="character" w:customStyle="1" w:styleId="37">
    <w:name w:val="不明显强调1"/>
    <w:qFormat/>
    <w:uiPriority w:val="19"/>
    <w:rPr>
      <w:i/>
      <w:color w:val="585858" w:themeColor="text1" w:themeTint="A6"/>
    </w:rPr>
  </w:style>
  <w:style w:type="character" w:customStyle="1" w:styleId="38">
    <w:name w:val="明显强调1"/>
    <w:basedOn w:val="17"/>
    <w:qFormat/>
    <w:uiPriority w:val="21"/>
    <w:rPr>
      <w:b/>
      <w:i/>
      <w:sz w:val="24"/>
      <w:szCs w:val="24"/>
      <w:u w:val="single"/>
    </w:rPr>
  </w:style>
  <w:style w:type="character" w:customStyle="1" w:styleId="39">
    <w:name w:val="不明显参考1"/>
    <w:basedOn w:val="17"/>
    <w:qFormat/>
    <w:uiPriority w:val="31"/>
    <w:rPr>
      <w:sz w:val="24"/>
      <w:szCs w:val="24"/>
      <w:u w:val="single"/>
    </w:rPr>
  </w:style>
  <w:style w:type="character" w:customStyle="1" w:styleId="40">
    <w:name w:val="明显参考1"/>
    <w:basedOn w:val="17"/>
    <w:qFormat/>
    <w:uiPriority w:val="32"/>
    <w:rPr>
      <w:b/>
      <w:sz w:val="24"/>
      <w:u w:val="single"/>
    </w:rPr>
  </w:style>
  <w:style w:type="character" w:customStyle="1" w:styleId="41">
    <w:name w:val="书籍标题1"/>
    <w:basedOn w:val="17"/>
    <w:qFormat/>
    <w:uiPriority w:val="33"/>
    <w:rPr>
      <w:rFonts w:asciiTheme="majorHAnsi" w:hAnsiTheme="majorHAnsi" w:eastAsiaTheme="majorEastAsia"/>
      <w:b/>
      <w:i/>
      <w:sz w:val="24"/>
      <w:szCs w:val="24"/>
    </w:rPr>
  </w:style>
  <w:style w:type="paragraph" w:customStyle="1" w:styleId="42">
    <w:name w:val="TOC 标题1"/>
    <w:basedOn w:val="2"/>
    <w:next w:val="1"/>
    <w:semiHidden/>
    <w:unhideWhenUsed/>
    <w:qFormat/>
    <w:uiPriority w:val="39"/>
    <w:pPr>
      <w:outlineLvl w:val="9"/>
    </w:pPr>
    <w:rPr>
      <w:lang w:eastAsia="en-US" w:bidi="en-US"/>
    </w:rPr>
  </w:style>
  <w:style w:type="character" w:customStyle="1" w:styleId="43">
    <w:name w:val="页眉 Char"/>
    <w:basedOn w:val="17"/>
    <w:link w:val="13"/>
    <w:uiPriority w:val="99"/>
    <w:rPr>
      <w:rFonts w:ascii="Calibri" w:hAnsi="Calibri" w:eastAsia="宋体"/>
      <w:kern w:val="2"/>
      <w:sz w:val="18"/>
      <w:szCs w:val="18"/>
    </w:rPr>
  </w:style>
  <w:style w:type="character" w:customStyle="1" w:styleId="44">
    <w:name w:val="页脚 Char"/>
    <w:basedOn w:val="17"/>
    <w:link w:val="12"/>
    <w:uiPriority w:val="99"/>
    <w:rPr>
      <w:rFonts w:ascii="Calibri" w:hAnsi="Calibri" w:eastAsia="宋体"/>
      <w:kern w:val="2"/>
      <w:sz w:val="18"/>
      <w:szCs w:val="18"/>
    </w:rPr>
  </w:style>
  <w:style w:type="character" w:customStyle="1" w:styleId="45">
    <w:name w:val="批注框文本 Char"/>
    <w:basedOn w:val="17"/>
    <w:link w:val="11"/>
    <w:semiHidden/>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457</Words>
  <Characters>2609</Characters>
  <Lines>21</Lines>
  <Paragraphs>6</Paragraphs>
  <TotalTime>5</TotalTime>
  <ScaleCrop>false</ScaleCrop>
  <LinksUpToDate>false</LinksUpToDate>
  <CharactersWithSpaces>3060</CharactersWithSpaces>
  <Application>WPS Office_11.1.0.8389_F1E327BC-269C-435d-A152-05C5408002CA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2019-03-16T13:17:00Z</dcterms:created>
  <dc:creator>赵 恺（预算处）</dc:creator>
  <cp:lastModifiedBy>昌吉州文化体育广播影视局办公室主任 曹璐</cp:lastModifiedBy>
  <cp:lastPrinted>2019-03-18T08:30:18Z</cp:lastPrinted>
  <dcterms:modified xsi:type="dcterms:W3CDTF">2019-03-18T08:30:23Z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2052-11.1.0.8389</vt:lpwstr>
  </property>
</Properties>
</file>