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方正小标宋简体" w:hAnsi="方正小标宋简体" w:eastAsia="方正小标宋简体" w:cs="方正小标宋简体"/>
          <w:snapToGrid w:val="0"/>
          <w:color w:val="FF0000"/>
          <w:spacing w:val="-23"/>
          <w:w w:val="85"/>
          <w:kern w:val="0"/>
          <w:sz w:val="36"/>
          <w:szCs w:val="36"/>
          <w:u w:val="none"/>
          <w:lang w:val="en-US" w:eastAsia="zh-CN"/>
        </w:rPr>
      </w:pPr>
    </w:p>
    <w:tbl>
      <w:tblPr>
        <w:tblStyle w:val="14"/>
        <w:tblpPr w:leftFromText="180" w:rightFromText="180" w:vertAnchor="text" w:horzAnchor="page" w:tblpX="1609" w:tblpY="213"/>
        <w:tblOverlap w:val="never"/>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5" w:hRule="atLeast"/>
        </w:trPr>
        <w:tc>
          <w:tcPr>
            <w:tcW w:w="8948" w:type="dxa"/>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pacing w:val="-23"/>
                <w:w w:val="85"/>
                <w:kern w:val="0"/>
                <w:sz w:val="44"/>
                <w:szCs w:val="44"/>
                <w:vertAlign w:val="baseline"/>
                <w:lang w:eastAsia="zh-CN"/>
              </w:rPr>
            </w:pPr>
            <w:r>
              <w:rPr>
                <w:rFonts w:hint="eastAsia" w:ascii="方正小标宋简体" w:hAnsi="方正小标宋简体" w:eastAsia="方正小标宋简体" w:cs="方正小标宋简体"/>
                <w:snapToGrid w:val="0"/>
                <w:color w:val="FF0000"/>
                <w:spacing w:val="-23"/>
                <w:w w:val="85"/>
                <w:kern w:val="0"/>
                <w:sz w:val="84"/>
                <w:szCs w:val="84"/>
                <w:u w:val="none"/>
                <w:lang w:val="en-US" w:eastAsia="zh-CN"/>
              </w:rPr>
              <w:t>昌吉州加快推进全域旅游发展领导小组办公室文件</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昌州旅领办发〔</w:t>
      </w:r>
      <w:r>
        <w:rPr>
          <w:rFonts w:hint="eastAsia" w:ascii="楷体_GB2312" w:hAnsi="楷体_GB2312" w:eastAsia="楷体_GB2312" w:cs="楷体_GB2312"/>
          <w:sz w:val="32"/>
          <w:szCs w:val="32"/>
          <w:lang w:val="en-US" w:eastAsia="zh-CN"/>
        </w:rPr>
        <w:t>2021〕3号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仿宋" w:hAnsi="仿宋" w:eastAsia="仿宋" w:cs="仿宋"/>
          <w:sz w:val="84"/>
          <w:szCs w:val="84"/>
          <w:lang w:val="en-US" w:eastAsia="zh-CN"/>
        </w:rPr>
      </w:pPr>
      <w:r>
        <w:rPr>
          <w:sz w:val="84"/>
          <w:szCs w:val="84"/>
        </w:rPr>
        <mc:AlternateContent>
          <mc:Choice Requires="wps">
            <w:drawing>
              <wp:anchor distT="0" distB="0" distL="114300" distR="114300" simplePos="0" relativeHeight="251658240" behindDoc="0" locked="0" layoutInCell="1" allowOverlap="1">
                <wp:simplePos x="0" y="0"/>
                <wp:positionH relativeFrom="column">
                  <wp:posOffset>-34290</wp:posOffset>
                </wp:positionH>
                <wp:positionV relativeFrom="paragraph">
                  <wp:posOffset>43180</wp:posOffset>
                </wp:positionV>
                <wp:extent cx="5734050" cy="1778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734050" cy="1778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7pt;margin-top:3.4pt;height:1.4pt;width:451.5pt;z-index:251658240;mso-width-relative:page;mso-height-relative:page;" filled="f" stroked="t" coordsize="21600,21600" o:gfxdata="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BrH6tgAAAAGAQAADwAAAAAAAAABACAAAAAiAAAAZHJzL2Rvd25yZXYueG1sUEsBAhQAFAAA&#10;AAgAh07iQBYcVhnvAQAAswMAAA4AAAAAAAAAAQAgAAAAJwEAAGRycy9lMm9Eb2MueG1sUEsFBgAA&#10;AAAGAAYAWQEAAIg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lang w:eastAsia="zh-CN"/>
        </w:rPr>
        <w:t>关于印发《</w:t>
      </w:r>
      <w:r>
        <w:rPr>
          <w:rFonts w:hint="eastAsia" w:ascii="方正小标宋_GBK" w:hAnsi="方正小标宋_GBK" w:eastAsia="方正小标宋_GBK" w:cs="方正小标宋_GBK"/>
          <w:sz w:val="44"/>
          <w:szCs w:val="44"/>
        </w:rPr>
        <w:t>昌吉州推进旅游业高质量发展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暨旅游</w:t>
      </w:r>
      <w:r>
        <w:rPr>
          <w:rFonts w:hint="eastAsia" w:ascii="方正小标宋_GBK" w:hAnsi="方正小标宋_GBK" w:eastAsia="方正小标宋_GBK" w:cs="方正小标宋_GBK"/>
          <w:sz w:val="44"/>
          <w:szCs w:val="44"/>
        </w:rPr>
        <w:t>景区提档升级整改工作方案</w:t>
      </w:r>
      <w:r>
        <w:rPr>
          <w:rFonts w:hint="eastAsia" w:ascii="方正小标宋_GBK" w:hAnsi="方正小标宋_GBK" w:eastAsia="方正小标宋_GBK" w:cs="方正小标宋_GBK"/>
          <w:sz w:val="44"/>
          <w:szCs w:val="44"/>
          <w:lang w:eastAsia="zh-CN"/>
        </w:rPr>
        <w:t>》的通知</w:t>
      </w:r>
    </w:p>
    <w:bookmarkEnd w:id="0"/>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昌吉州工信局，各县市、园区加快推进全域旅游发展领导小组办公室：</w:t>
      </w:r>
    </w:p>
    <w:p>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现将《昌吉州推进旅游业高质量发展暨旅游景区提档升级整改工作方案》印发你们，请认真贯彻落实。</w:t>
      </w:r>
    </w:p>
    <w:p>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p>
    <w:p>
      <w:pPr>
        <w:pStyle w:val="7"/>
        <w:rPr>
          <w:rFonts w:hint="eastAsia"/>
          <w:lang w:eastAsia="zh-CN"/>
        </w:rPr>
      </w:pPr>
    </w:p>
    <w:p>
      <w:pPr>
        <w:pStyle w:val="7"/>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昌吉州加快推进全域旅游发展领导小组办公室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昌吉州文化体育广播电视和旅游局（代章）</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2021年8月17日</w:t>
      </w:r>
    </w:p>
    <w:p>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val="0"/>
          <w:sz w:val="32"/>
          <w:szCs w:val="32"/>
          <w:lang w:val="en-US" w:eastAsia="zh-CN"/>
        </w:rPr>
      </w:pPr>
    </w:p>
    <w:p>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（联系人：井学峰，联系电话：2350281，传真：2707917）</w:t>
      </w:r>
    </w:p>
    <w:p>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昌吉州推进旅游业高质量发展</w:t>
      </w:r>
      <w:r>
        <w:rPr>
          <w:rFonts w:hint="eastAsia" w:ascii="方正小标宋_GBK" w:hAnsi="方正小标宋_GBK" w:eastAsia="方正小标宋_GBK" w:cs="方正小标宋_GBK"/>
          <w:sz w:val="44"/>
          <w:szCs w:val="44"/>
          <w:lang w:eastAsia="zh-CN"/>
        </w:rPr>
        <w:t>暨旅游</w:t>
      </w:r>
      <w:r>
        <w:rPr>
          <w:rFonts w:hint="eastAsia" w:ascii="方正小标宋_GBK" w:hAnsi="方正小标宋_GBK" w:eastAsia="方正小标宋_GBK" w:cs="方正小标宋_GBK"/>
          <w:sz w:val="44"/>
          <w:szCs w:val="44"/>
        </w:rPr>
        <w:t>景区提档升级整改工作方案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全面贯彻落实自治区推动旺季旅游电视电话会议和自治区党委主要领导关于旅游工作“六个进一步”“四个改善”“四个满意”的批示指示精神，推动自治州旅游业高质量发展暨旅游景区提档升级，根据自治区旅游产业领导小组办公室《关于对昌吉州重点景区调研情况反馈的函》，对标反馈的旅游景区问题清单，自治州加快推进全域旅游发展领导小组办公室举一反三，深入查找制约我州旅游业发展中的薄弱环节和主要因素，结合实际，特制定《昌吉州推进旅游业高质量发展暨旅游景区提档升级整改工作方案》如下：</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一、存在问题及整改措施</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（一）景区管理机制不顺,服务精细化程度不高</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1.具体问题：</w:t>
      </w:r>
      <w:r>
        <w:rPr>
          <w:rFonts w:hint="eastAsia" w:ascii="仿宋_GB2312" w:hAnsi="仿宋_GB2312" w:eastAsia="仿宋_GB2312" w:cs="仿宋_GB2312"/>
          <w:b w:val="0"/>
          <w:bCs w:val="0"/>
          <w:sz w:val="32"/>
          <w:szCs w:val="32"/>
          <w:lang w:val="en-US" w:eastAsia="zh-CN"/>
        </w:rPr>
        <w:t>不少景区管理主体多,协调联动机制不健全,特别是涉及多个县市的景区、线路,难以形成发展合力,严重影响了管理效能。景区环境卫生方面,垃圾清运不及时,施工场地未进行必要的围挡、美化;旅游厕所清洁维护不及时、旅游厕所指示牌设置不足或不规范、门锁掉落、瓷砖脱落、隔板及玻璃破损、卫生洁具破损等现象,因缺水、断电等原因不开放问题时有发生。旅游服务方面,景区区间车承载量、通行时间和路段与游客需求不匹配;从业人员服务意识淡薄、服务过程机械、服务操作不规范、服务提供不及时。</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2.整改措施：一是</w:t>
      </w:r>
      <w:r>
        <w:rPr>
          <w:rFonts w:hint="eastAsia" w:ascii="仿宋_GB2312" w:hAnsi="仿宋_GB2312" w:eastAsia="仿宋_GB2312" w:cs="仿宋_GB2312"/>
          <w:b w:val="0"/>
          <w:bCs w:val="0"/>
          <w:sz w:val="32"/>
          <w:szCs w:val="32"/>
          <w:lang w:val="en-US" w:eastAsia="zh-CN"/>
        </w:rPr>
        <w:t>督促涉及管理主体多的景区和涉及多个县市的景区、线路，成立统一的组织协调机构，建立联动机制，形成发展合力，提高管理效能。</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督促景区及时清运垃圾，做到垃圾日产日清、安排专人巡视、随时打扫；对施工场地外围进行围挡隔离、对围挡隔离墙体喷涂美化。</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督促景区旅游厕所全面对游客开放，加强旅游厕所设施设备的维护保养，及时修复损坏的设施设备；根据游客需求合理增加旅游厕所数量；按照国家《旅游厕所质量等级的划分与评定》标准，设置旅游厕所导示牌、标识牌；安排专人随时打扫，确保旅游厕所干净整洁，空气清新。</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督导景区根据不同时段游客数量，合理调配区间车的发车数量和频率，根据游客需求合理增加停靠点，确保满足游客出行。</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b w:val="0"/>
          <w:bCs w:val="0"/>
          <w:sz w:val="32"/>
          <w:szCs w:val="32"/>
          <w:lang w:val="en-US" w:eastAsia="zh-CN"/>
        </w:rPr>
        <w:t>督导景区持续开展“微笑新疆”服务质量提升行动，定期对从业人员开展服务技能和服务礼仪培训，提升服务质量、增强服务意识。</w:t>
      </w:r>
      <w:r>
        <w:rPr>
          <w:rFonts w:hint="eastAsia" w:ascii="仿宋_GB2312" w:hAnsi="仿宋_GB2312" w:eastAsia="仿宋_GB2312" w:cs="仿宋_GB2312"/>
          <w:b/>
          <w:bCs/>
          <w:sz w:val="32"/>
          <w:szCs w:val="32"/>
          <w:lang w:val="en-US" w:eastAsia="zh-CN"/>
        </w:rPr>
        <w:t>六是</w:t>
      </w:r>
      <w:r>
        <w:rPr>
          <w:rFonts w:hint="eastAsia" w:ascii="仿宋_GB2312" w:hAnsi="仿宋_GB2312" w:eastAsia="仿宋_GB2312" w:cs="仿宋_GB2312"/>
          <w:b w:val="0"/>
          <w:bCs w:val="0"/>
          <w:sz w:val="32"/>
          <w:szCs w:val="32"/>
          <w:lang w:val="en-US" w:eastAsia="zh-CN"/>
        </w:rPr>
        <w:t>定期发布旅游行业“红黑榜”，引导旅游景区诚信经营、文明服务。</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3.牵头单位：</w:t>
      </w:r>
      <w:r>
        <w:rPr>
          <w:rFonts w:hint="eastAsia" w:ascii="仿宋_GB2312" w:hAnsi="仿宋_GB2312" w:eastAsia="仿宋_GB2312" w:cs="仿宋_GB2312"/>
          <w:b w:val="0"/>
          <w:bCs w:val="0"/>
          <w:sz w:val="32"/>
          <w:szCs w:val="32"/>
          <w:lang w:val="en-US" w:eastAsia="zh-CN"/>
        </w:rPr>
        <w:t>自治州加快推进全域旅游发展领导小组办公室。</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4.责任单位：</w:t>
      </w:r>
      <w:r>
        <w:rPr>
          <w:rFonts w:hint="eastAsia" w:ascii="仿宋_GB2312" w:hAnsi="仿宋_GB2312" w:eastAsia="仿宋_GB2312" w:cs="仿宋_GB2312"/>
          <w:b w:val="0"/>
          <w:bCs w:val="0"/>
          <w:sz w:val="32"/>
          <w:szCs w:val="32"/>
          <w:lang w:val="en-US" w:eastAsia="zh-CN"/>
        </w:rPr>
        <w:t>各县市（园区）加快推进全域旅游发展领导小组，各县市（园区）爱卫会、文旅局、交通运输局、住建局、劳动人事局、公安交警大队。</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5.整改时限：</w:t>
      </w:r>
      <w:r>
        <w:rPr>
          <w:rFonts w:hint="eastAsia" w:ascii="仿宋_GB2312" w:hAnsi="仿宋_GB2312" w:eastAsia="仿宋_GB2312" w:cs="仿宋_GB2312"/>
          <w:b w:val="0"/>
          <w:bCs w:val="0"/>
          <w:sz w:val="32"/>
          <w:szCs w:val="32"/>
          <w:lang w:val="en-US" w:eastAsia="zh-CN"/>
        </w:rPr>
        <w:t>2021年9月30日并长期坚持。</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（二）基础设施及配套建设不完善，服务保障能力需要提升</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1.具体问题：</w:t>
      </w:r>
      <w:r>
        <w:rPr>
          <w:rFonts w:hint="eastAsia" w:ascii="仿宋_GB2312" w:hAnsi="仿宋_GB2312" w:eastAsia="仿宋_GB2312" w:cs="仿宋_GB2312"/>
          <w:b w:val="0"/>
          <w:bCs w:val="0"/>
          <w:sz w:val="32"/>
          <w:szCs w:val="32"/>
          <w:lang w:val="en-US" w:eastAsia="zh-CN"/>
        </w:rPr>
        <w:t>道路交通方面,通达景区破损道路维修不及时,沿线道路观光停靠点建设较少、面积小,道路交通指示牌、限速标志、防护栏、落石提醒标识、球面镜等交通设施不足且布局不合理。标志标牌方面，导览导示牌、停车场和卫生间标识、安全警示牌、文明旅游提醒牌等数量不足或不规范;游客休憩休闲设施配备不足,缺少风雨亭、休息亭、餐车、文创产品售卖点等。</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2.整改措施：一是</w:t>
      </w:r>
      <w:r>
        <w:rPr>
          <w:rFonts w:hint="eastAsia" w:ascii="仿宋_GB2312" w:hAnsi="仿宋_GB2312" w:eastAsia="仿宋_GB2312" w:cs="仿宋_GB2312"/>
          <w:b w:val="0"/>
          <w:bCs w:val="0"/>
          <w:sz w:val="32"/>
          <w:szCs w:val="32"/>
          <w:lang w:val="en-US" w:eastAsia="zh-CN"/>
        </w:rPr>
        <w:t>加强通达景区道路的维护保养,及时修复损坏的路面、安全防护设施、警示标识牌等；合理增加景区沿线道路观光停靠点，保证面积满足停靠需求；合理布局、足量配置景区道路交通指示牌、限速标志、防护栏、落石提醒警示牌、球面镜等交通辅助设施。</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严格按照《旅游景区质量等级划分与评定标准》，进一步完善景区内标识系统，规范设置足量的景区导览全景图、导览图、导示牌、停车场标识牌、旅游厕所导示牌、安全警示牌、文明旅游提醒牌等。</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督导景区增加满足游客需求的休憩休闲设施配备，修建布局合理的休憩亭、风雨亭、候车亭。</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在主要游览区、游客聚集区配置适量的餐车，为游客提供用餐服务。</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b w:val="0"/>
          <w:bCs w:val="0"/>
          <w:sz w:val="32"/>
          <w:szCs w:val="32"/>
          <w:lang w:val="en-US" w:eastAsia="zh-CN"/>
        </w:rPr>
        <w:t>在景区购物店、餐饮店、宾馆等场所增加具有本地特色的文创旅游商品销售专柜。</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3.牵头单位：</w:t>
      </w:r>
      <w:r>
        <w:rPr>
          <w:rFonts w:hint="eastAsia" w:ascii="仿宋_GB2312" w:hAnsi="仿宋_GB2312" w:eastAsia="仿宋_GB2312" w:cs="仿宋_GB2312"/>
          <w:b w:val="0"/>
          <w:bCs w:val="0"/>
          <w:sz w:val="32"/>
          <w:szCs w:val="32"/>
          <w:lang w:val="en-US" w:eastAsia="zh-CN"/>
        </w:rPr>
        <w:t>自治州加快推进全域旅游发展领导小组办公室。</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4.责任单位：</w:t>
      </w:r>
      <w:r>
        <w:rPr>
          <w:rFonts w:hint="eastAsia" w:ascii="仿宋_GB2312" w:hAnsi="仿宋_GB2312" w:eastAsia="仿宋_GB2312" w:cs="仿宋_GB2312"/>
          <w:b w:val="0"/>
          <w:bCs w:val="0"/>
          <w:sz w:val="32"/>
          <w:szCs w:val="32"/>
          <w:lang w:val="en-US" w:eastAsia="zh-CN"/>
        </w:rPr>
        <w:t>各县市（园区）文旅局、交通运输局、市场监督管理局、应急管理局、公安交警大队。</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5.整改时限：</w:t>
      </w:r>
      <w:r>
        <w:rPr>
          <w:rFonts w:hint="eastAsia" w:ascii="仿宋_GB2312" w:hAnsi="仿宋_GB2312" w:eastAsia="仿宋_GB2312" w:cs="仿宋_GB2312"/>
          <w:b w:val="0"/>
          <w:bCs w:val="0"/>
          <w:sz w:val="32"/>
          <w:szCs w:val="32"/>
          <w:lang w:val="en-US" w:eastAsia="zh-CN"/>
        </w:rPr>
        <w:t>2021年9月30日并长期坚持。</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（三）线路产品单一,文化内涵挖掘不够</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1.具体问题：</w:t>
      </w:r>
      <w:r>
        <w:rPr>
          <w:rFonts w:hint="eastAsia" w:ascii="仿宋_GB2312" w:hAnsi="仿宋_GB2312" w:eastAsia="仿宋_GB2312" w:cs="仿宋_GB2312"/>
          <w:b w:val="0"/>
          <w:bCs w:val="0"/>
          <w:sz w:val="32"/>
          <w:szCs w:val="32"/>
          <w:lang w:val="en-US" w:eastAsia="zh-CN"/>
        </w:rPr>
        <w:t>依托景区自然生态优势,规划、挖掘、创新开发相关产品业态、旅游商品不足,资源优势作用发挥不明显。新疆的历史民俗和特色文化具有本真性、唯一性,深入挖掘文化内涵、提升个性化、差异化服务能力水平不够。</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2.整改措施：一是</w:t>
      </w:r>
      <w:r>
        <w:rPr>
          <w:rFonts w:hint="eastAsia" w:ascii="仿宋_GB2312" w:hAnsi="仿宋_GB2312" w:eastAsia="仿宋_GB2312" w:cs="仿宋_GB2312"/>
          <w:b w:val="0"/>
          <w:bCs w:val="0"/>
          <w:sz w:val="32"/>
          <w:szCs w:val="32"/>
          <w:lang w:val="en-US" w:eastAsia="zh-CN"/>
        </w:rPr>
        <w:t>在保护自然生态环境的前提下，在景区建设具有当地特色的民族风情展示园，开办民族特色的“牧家乐”，举办民族歌舞展演等。</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在景区游客接待中心、主要游览区等处设立售卖当地民族特色的服饰、小食品、工艺品和“昌吉馕”等伴手礼销售专柜。</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围绕昌吉州馕产业重点项目“馕产业文旅小镇”建设任务，指导打造3A级旅游景区，组织进驻8家旅行社积极“引客入园”，扶持旅游新业态门市填补馕产业园空白业态。</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贯彻天山北麓葡萄酒产业“高质量发展实施方案”，牵头举办“2021年丝绸之路葡萄酒节”，在昌吉农博园景区举行大型踩线发车仪式；精心设计串联百里丹霞景区、国家湿地公园、酒庄旅游示范点的酒庄旅游精品线路，纳入旅行社奖补政策；对7家酒庄的旅游设施进行提升、改造和完善。</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b w:val="0"/>
          <w:bCs w:val="0"/>
          <w:sz w:val="32"/>
          <w:szCs w:val="32"/>
          <w:lang w:val="en-US" w:eastAsia="zh-CN"/>
        </w:rPr>
        <w:t>落实旅游业“兵地融合发展重点措施”，将农十二师头屯河森林公园和纳兰河谷、农六师一万泉和国家沙漠公园、农八师肯斯瓦特水库和李小庄等纳入昌吉州旅游品牌打造扶持范围，联合打造康养旅游、红色旅游、酒庄旅游等跨区域精品线路。</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3.牵头单位：</w:t>
      </w:r>
      <w:r>
        <w:rPr>
          <w:rFonts w:hint="eastAsia" w:ascii="仿宋_GB2312" w:hAnsi="仿宋_GB2312" w:eastAsia="仿宋_GB2312" w:cs="仿宋_GB2312"/>
          <w:b w:val="0"/>
          <w:bCs w:val="0"/>
          <w:sz w:val="32"/>
          <w:szCs w:val="32"/>
          <w:lang w:val="en-US" w:eastAsia="zh-CN"/>
        </w:rPr>
        <w:t>自治州加快推进全域旅游发展领导小组办公室。</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4.责任单位：</w:t>
      </w:r>
      <w:r>
        <w:rPr>
          <w:rFonts w:hint="eastAsia" w:ascii="仿宋_GB2312" w:hAnsi="仿宋_GB2312" w:eastAsia="仿宋_GB2312" w:cs="仿宋_GB2312"/>
          <w:b w:val="0"/>
          <w:bCs w:val="0"/>
          <w:sz w:val="32"/>
          <w:szCs w:val="32"/>
          <w:lang w:val="en-US" w:eastAsia="zh-CN"/>
        </w:rPr>
        <w:t>各县市（园区）文旅局、商务局、市场监督管理局。</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5.整改时限：</w:t>
      </w:r>
      <w:r>
        <w:rPr>
          <w:rFonts w:hint="eastAsia" w:ascii="仿宋_GB2312" w:hAnsi="仿宋_GB2312" w:eastAsia="仿宋_GB2312" w:cs="仿宋_GB2312"/>
          <w:b w:val="0"/>
          <w:bCs w:val="0"/>
          <w:sz w:val="32"/>
          <w:szCs w:val="32"/>
          <w:lang w:val="en-US" w:eastAsia="zh-CN"/>
        </w:rPr>
        <w:t>2021年9月30日并长期坚持。</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（四）疫情防控和安全生产责任压得不实,市场监管力度不够</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1.具体问题：</w:t>
      </w:r>
      <w:r>
        <w:rPr>
          <w:rFonts w:hint="eastAsia" w:ascii="仿宋_GB2312" w:hAnsi="仿宋_GB2312" w:eastAsia="仿宋_GB2312" w:cs="仿宋_GB2312"/>
          <w:b w:val="0"/>
          <w:bCs w:val="0"/>
          <w:sz w:val="32"/>
          <w:szCs w:val="32"/>
          <w:lang w:val="en-US" w:eastAsia="zh-CN"/>
        </w:rPr>
        <w:t>景区多在森林山地,易引起火灾、火势发展迅速,服务区烟头清理不及时,禁烟标识和吸烟区设置不足,存在消防安全隐患。部分农(牧)家乐、民宿档次低、环境卫生和食品卫生尚待提高,缺乏消防供水供电、排污设施设备。部分观景点缺乏安全防护设施和安全巡查救护人员,景区游步道道缺乏维护保养；景区销售部分商品无生产日期、厂家、产品合格证,价格标签不易辨识或没有明码标识,旅游咨询投诉渠道不畅,电话和线上平台回应游客关切不及时。各地疫情防控执行标准不一,个别地州存在层层加码、一刀切的现象,既给游客出行带来了极大不便,造成了负面舆情，也影响旅游发展，游客接待、旅游收入上不去。</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2.整改措施：一是</w:t>
      </w:r>
      <w:r>
        <w:rPr>
          <w:rFonts w:hint="eastAsia" w:ascii="仿宋_GB2312" w:hAnsi="仿宋_GB2312" w:eastAsia="仿宋_GB2312" w:cs="仿宋_GB2312"/>
          <w:b w:val="0"/>
          <w:bCs w:val="0"/>
          <w:sz w:val="32"/>
          <w:szCs w:val="32"/>
          <w:lang w:val="en-US" w:eastAsia="zh-CN"/>
        </w:rPr>
        <w:t>督导景区主管部门积极构建森林草原火灾风险分级管控和隐患排查治理双重预防机制，严格落实森林草原火灾防范措施，全面排查治理各类火灾隐患，足额设置禁火禁烟标识，科学设立吸烟区，强化森林草原防火宣传教育，严禁游客带火种进入景区，坚决防范和遏制森林草原火灾事故的发生。</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按照国家旅游民宿和自治区星级农家乐评定标准，结合乡村振兴和新农村建设，督导农（牧）家乐和旅游民宿经营者绿化美化环境、改善接待服务设施、提升服务质量、保障食品安全、搞好环境卫生、提高环保意识、改善供排水系统、配齐消防器材，推动农（牧）家乐和旅游民宿提档升级。</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全面摸排、完善景区的观景台、观景亭、游步道、邻水、临崖、道路、桥梁等区域的安全防护设施，及时维护保养、修复游步道、观景台、防护栏等基础设施，安排专人负责安全巡查和应急救援，确保游客的生命财产安全。</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强化景区市场监督，杜绝销售无生产日期、厂家、产品合格证的商品,督导商家做到明码标价、规范标价，坚决打击欺行霸市、漫天要价、欺客宰客、扰乱市场秩序的行为。</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b w:val="0"/>
          <w:bCs w:val="0"/>
          <w:sz w:val="32"/>
          <w:szCs w:val="32"/>
          <w:lang w:val="en-US" w:eastAsia="zh-CN"/>
        </w:rPr>
        <w:t>畅通旅游咨询投诉渠道,在政府网站、微信公众号、旅游线上平台、广播电视、报纸、新媒体、宾馆饭店、高速公路服务区等公示旅游主管部门投诉咨询电话号码，在景区的游客接待中心、主要游览区、休憩区、商店等地公示旅游主管部门和旅游景区的投诉咨询电话号码；各级旅游主管部门、各旅游景区要确保投诉咨询电话24小时有人接听，确保游客有问题、有困难能及时反馈、咨询，及时受理、办理投诉案件，耐心解答游客咨询的问题。</w:t>
      </w:r>
      <w:r>
        <w:rPr>
          <w:rFonts w:hint="eastAsia" w:ascii="仿宋_GB2312" w:hAnsi="仿宋_GB2312" w:eastAsia="仿宋_GB2312" w:cs="仿宋_GB2312"/>
          <w:b/>
          <w:bCs/>
          <w:sz w:val="32"/>
          <w:szCs w:val="32"/>
          <w:lang w:val="en-US" w:eastAsia="zh-CN"/>
        </w:rPr>
        <w:t>六是</w:t>
      </w:r>
      <w:r>
        <w:rPr>
          <w:rFonts w:hint="eastAsia" w:ascii="仿宋_GB2312" w:hAnsi="仿宋_GB2312" w:eastAsia="仿宋_GB2312" w:cs="仿宋_GB2312"/>
          <w:b w:val="0"/>
          <w:bCs w:val="0"/>
          <w:sz w:val="32"/>
          <w:szCs w:val="32"/>
          <w:lang w:val="en-US" w:eastAsia="zh-CN"/>
        </w:rPr>
        <w:t>慎终如始抓好旅游市场常态化疫情防控工作。全州旅游行业系统要认真执行《文化和旅游部资源开发司关于印发&lt;旅游景区恢复开放疫情防控措施指南（2021年3月修订版）&gt;的通知》《文化和旅游部办公厅关于进一步加强农村文化和旅游场所安全管理工作的通知》以及区州疫情防控措施要求，严格落实“一码通行、跨区互认”疫情防控工作要求，坚决杜绝因层层加码、过度防疫造成游客行程受阻、滞留等突出问题，为游客畅游昌吉提供便利，为实现昌吉州旅游业高质量发展提供保障。</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3.牵头单位：</w:t>
      </w:r>
      <w:r>
        <w:rPr>
          <w:rFonts w:hint="eastAsia" w:ascii="仿宋_GB2312" w:hAnsi="仿宋_GB2312" w:eastAsia="仿宋_GB2312" w:cs="仿宋_GB2312"/>
          <w:b w:val="0"/>
          <w:bCs w:val="0"/>
          <w:sz w:val="32"/>
          <w:szCs w:val="32"/>
          <w:lang w:val="en-US" w:eastAsia="zh-CN"/>
        </w:rPr>
        <w:t>自治州加快推进全域旅游发展领导小组办公室。</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4.责任单位：</w:t>
      </w:r>
      <w:r>
        <w:rPr>
          <w:rFonts w:hint="eastAsia" w:ascii="仿宋_GB2312" w:hAnsi="仿宋_GB2312" w:eastAsia="仿宋_GB2312" w:cs="仿宋_GB2312"/>
          <w:b w:val="0"/>
          <w:bCs w:val="0"/>
          <w:sz w:val="32"/>
          <w:szCs w:val="32"/>
          <w:lang w:val="en-US" w:eastAsia="zh-CN"/>
        </w:rPr>
        <w:t>各县市（园区）防疫指挥部、文旅局、应急管理局、林草局、消防救援大队、交通运输局、农业农村局、市场监督管理局。</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5.整改时限：</w:t>
      </w:r>
      <w:r>
        <w:rPr>
          <w:rFonts w:hint="eastAsia" w:ascii="仿宋_GB2312" w:hAnsi="仿宋_GB2312" w:eastAsia="仿宋_GB2312" w:cs="仿宋_GB2312"/>
          <w:b w:val="0"/>
          <w:bCs w:val="0"/>
          <w:sz w:val="32"/>
          <w:szCs w:val="32"/>
          <w:lang w:val="en-US" w:eastAsia="zh-CN"/>
        </w:rPr>
        <w:t>2021年9月30日并长期坚持。</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（五）通讯不畅，影响游客体验</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1.具体问题：</w:t>
      </w:r>
      <w:r>
        <w:rPr>
          <w:rFonts w:hint="eastAsia" w:ascii="仿宋_GB2312" w:hAnsi="仿宋_GB2312" w:eastAsia="仿宋_GB2312" w:cs="仿宋_GB2312"/>
          <w:b w:val="0"/>
          <w:bCs w:val="0"/>
          <w:sz w:val="32"/>
          <w:szCs w:val="32"/>
          <w:lang w:val="en-US" w:eastAsia="zh-CN"/>
        </w:rPr>
        <w:t>旅游风景道和景区的部分区域存在手机无信号、网络不通等问题。</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2.整改措施：一是</w:t>
      </w:r>
      <w:r>
        <w:rPr>
          <w:rFonts w:hint="eastAsia" w:ascii="仿宋_GB2312" w:hAnsi="仿宋_GB2312" w:eastAsia="仿宋_GB2312" w:cs="仿宋_GB2312"/>
          <w:b w:val="0"/>
          <w:bCs w:val="0"/>
          <w:sz w:val="32"/>
          <w:szCs w:val="32"/>
          <w:lang w:val="en-US" w:eastAsia="zh-CN"/>
        </w:rPr>
        <w:t>开展摸底排查，建立旅游风景道和景区通讯不畅区域问题清单。</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制定推进工作方案，明确移动公司、联通公司、电信公司和铁塔公司各自工作任务，明确限时办结时间。</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3.牵头单位：</w:t>
      </w:r>
      <w:r>
        <w:rPr>
          <w:rFonts w:hint="eastAsia" w:ascii="仿宋_GB2312" w:hAnsi="仿宋_GB2312" w:eastAsia="仿宋_GB2312" w:cs="仿宋_GB2312"/>
          <w:b w:val="0"/>
          <w:bCs w:val="0"/>
          <w:sz w:val="32"/>
          <w:szCs w:val="32"/>
          <w:lang w:val="en-US" w:eastAsia="zh-CN"/>
        </w:rPr>
        <w:t>昌吉州工信局。</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4.责任单位：</w:t>
      </w:r>
      <w:r>
        <w:rPr>
          <w:rFonts w:hint="eastAsia" w:ascii="仿宋_GB2312" w:hAnsi="仿宋_GB2312" w:eastAsia="仿宋_GB2312" w:cs="仿宋_GB2312"/>
          <w:b w:val="0"/>
          <w:bCs w:val="0"/>
          <w:sz w:val="32"/>
          <w:szCs w:val="32"/>
          <w:lang w:val="en-US" w:eastAsia="zh-CN"/>
        </w:rPr>
        <w:t>昌吉州移动公司、联通公司、电信公司、铁塔公司。</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5.整改时限：</w:t>
      </w:r>
      <w:r>
        <w:rPr>
          <w:rFonts w:hint="eastAsia" w:ascii="仿宋_GB2312" w:hAnsi="仿宋_GB2312" w:eastAsia="仿宋_GB2312" w:cs="仿宋_GB2312"/>
          <w:b w:val="0"/>
          <w:bCs w:val="0"/>
          <w:sz w:val="32"/>
          <w:szCs w:val="32"/>
          <w:lang w:val="en-US" w:eastAsia="zh-CN"/>
        </w:rPr>
        <w:t>2021年9月30日。</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二、工作要求</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（一）强化责任当担。</w:t>
      </w:r>
      <w:r>
        <w:rPr>
          <w:rFonts w:hint="eastAsia" w:ascii="仿宋_GB2312" w:hAnsi="仿宋_GB2312" w:eastAsia="仿宋_GB2312" w:cs="仿宋_GB2312"/>
          <w:b w:val="0"/>
          <w:bCs w:val="0"/>
          <w:sz w:val="32"/>
          <w:szCs w:val="32"/>
          <w:lang w:val="en-US" w:eastAsia="zh-CN"/>
        </w:rPr>
        <w:t>各牵头单位、责任单位要提高政治站位，夯实责任、履行职责、勇于担当，确保自治区党委主要领导关于旅游工作的重要批示指示落实到位。</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（二）强化协作配合。</w:t>
      </w:r>
      <w:r>
        <w:rPr>
          <w:rFonts w:hint="eastAsia" w:ascii="仿宋_GB2312" w:hAnsi="仿宋_GB2312" w:eastAsia="仿宋_GB2312" w:cs="仿宋_GB2312"/>
          <w:b w:val="0"/>
          <w:bCs w:val="0"/>
          <w:sz w:val="32"/>
          <w:szCs w:val="32"/>
          <w:lang w:val="en-US" w:eastAsia="zh-CN"/>
        </w:rPr>
        <w:t>各牵头单位、责任单位和各景区之间要对照自治区调研反馈的问题，加强协作配合，形成整改合力，确保整改工作落实、落细、落到位。</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（三）强化整改实效。</w:t>
      </w:r>
      <w:r>
        <w:rPr>
          <w:rFonts w:hint="eastAsia" w:ascii="仿宋_GB2312" w:hAnsi="仿宋_GB2312" w:eastAsia="仿宋_GB2312" w:cs="仿宋_GB2312"/>
          <w:b w:val="0"/>
          <w:bCs w:val="0"/>
          <w:sz w:val="32"/>
          <w:szCs w:val="32"/>
          <w:lang w:val="en-US" w:eastAsia="zh-CN"/>
        </w:rPr>
        <w:t>各牵头单位、责任单位和各景区对具备条件的，要立即整改；对暂时不具备条件的，要克服困难，创造条件，制定整改方案，明确整改进度，限时完成整改。</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（四）强化督导检查。</w:t>
      </w:r>
      <w:r>
        <w:rPr>
          <w:rFonts w:hint="eastAsia" w:ascii="仿宋_GB2312" w:hAnsi="仿宋_GB2312" w:eastAsia="仿宋_GB2312" w:cs="仿宋_GB2312"/>
          <w:b w:val="0"/>
          <w:bCs w:val="0"/>
          <w:sz w:val="32"/>
          <w:szCs w:val="32"/>
          <w:lang w:val="en-US" w:eastAsia="zh-CN"/>
        </w:rPr>
        <w:t>自治州加快推进全域旅游发展领导小组办公室将对《昌吉州推进旅游业高质量发展暨旅游景区提档升级整改工作方案》进展情况进行跟踪督导检查，对落实整改措施不力、工作进度缓慢的单位将予以通报，确保整改工作有序推进，保障高质量完成各项整改任务。</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（五）强化信息报送。</w:t>
      </w:r>
      <w:r>
        <w:rPr>
          <w:rFonts w:hint="eastAsia" w:ascii="仿宋_GB2312" w:hAnsi="仿宋_GB2312" w:eastAsia="仿宋_GB2312" w:cs="仿宋_GB2312"/>
          <w:b w:val="0"/>
          <w:bCs w:val="0"/>
          <w:sz w:val="32"/>
          <w:szCs w:val="32"/>
          <w:lang w:val="en-US" w:eastAsia="zh-CN"/>
        </w:rPr>
        <w:t>建立整改进度动态报送机制，各牵头单位、各县市（园区）加快推进全域旅游发展领导小组办公室（负责汇总报送本县市、园区责任单位整改落实情况）务必于每周五14:00前报送整改落实情况。</w:t>
      </w: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pStyle w:val="5"/>
        <w:widowControl w:val="0"/>
        <w:numPr>
          <w:ilvl w:val="0"/>
          <w:numId w:val="0"/>
        </w:numPr>
        <w:jc w:val="both"/>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ascii="仿宋_GB2312" w:eastAsia="仿宋_GB2312"/>
          <w:b/>
          <w:bCs/>
          <w:sz w:val="32"/>
          <w:szCs w:val="32"/>
          <w:u w:val="single"/>
        </w:rPr>
      </w:pPr>
      <w:r>
        <w:rPr>
          <w:rFonts w:hint="eastAsia" w:ascii="仿宋_GB2312" w:eastAsia="仿宋_GB2312"/>
          <w:b/>
          <w:bCs/>
          <w:sz w:val="32"/>
          <w:szCs w:val="32"/>
          <w:u w:val="single"/>
        </w:rPr>
        <w:t xml:space="preserve">                                                      </w:t>
      </w:r>
      <w:r>
        <w:rPr>
          <w:rFonts w:hint="eastAsia" w:ascii="仿宋_GB2312" w:eastAsia="仿宋_GB2312"/>
          <w:b/>
          <w:bCs/>
          <w:sz w:val="32"/>
          <w:szCs w:val="32"/>
          <w:u w:val="single"/>
          <w:lang w:val="en-US" w:eastAsia="zh-CN"/>
        </w:rPr>
        <w:t xml:space="preserve">    </w:t>
      </w:r>
      <w:r>
        <w:rPr>
          <w:rFonts w:hint="eastAsia" w:ascii="仿宋_GB2312" w:eastAsia="仿宋_GB2312"/>
          <w:b/>
          <w:bCs/>
          <w:sz w:val="32"/>
          <w:szCs w:val="32"/>
          <w:u w:val="single"/>
        </w:rPr>
        <w:t xml:space="preserve"> </w:t>
      </w:r>
    </w:p>
    <w:p>
      <w:pPr>
        <w:spacing w:line="500" w:lineRule="exact"/>
        <w:ind w:firstLine="252" w:firstLineChars="100"/>
        <w:rPr>
          <w:rFonts w:ascii="仿宋_GB2312" w:hAnsi="宋体" w:eastAsia="仿宋_GB2312"/>
          <w:spacing w:val="-34"/>
          <w:sz w:val="32"/>
          <w:szCs w:val="32"/>
        </w:rPr>
      </w:pPr>
      <w:r>
        <w:rPr>
          <w:rFonts w:hint="eastAsia" w:ascii="仿宋_GB2312" w:hAnsi="宋体" w:eastAsia="仿宋_GB2312" w:cs="宋体"/>
          <w:color w:val="000000"/>
          <w:spacing w:val="-34"/>
          <w:kern w:val="20"/>
          <w:sz w:val="32"/>
          <w:szCs w:val="32"/>
        </w:rPr>
        <w:t>昌吉州</w:t>
      </w:r>
      <w:r>
        <w:rPr>
          <w:rFonts w:hint="eastAsia" w:ascii="仿宋_GB2312" w:eastAsia="仿宋_GB2312"/>
          <w:spacing w:val="-34"/>
          <w:sz w:val="32"/>
          <w:szCs w:val="32"/>
          <w:lang w:val="en-US" w:eastAsia="zh-CN"/>
        </w:rPr>
        <w:t xml:space="preserve">加快推进全域旅游发展领导小组办公室    </w:t>
      </w:r>
      <w:r>
        <w:rPr>
          <w:rFonts w:hint="eastAsia" w:ascii="仿宋_GB2312" w:hAnsi="宋体" w:eastAsia="仿宋_GB2312"/>
          <w:spacing w:val="-34"/>
          <w:sz w:val="32"/>
          <w:szCs w:val="32"/>
          <w:lang w:val="en-US" w:eastAsia="zh-CN"/>
        </w:rPr>
        <w:t>2021</w:t>
      </w:r>
      <w:r>
        <w:rPr>
          <w:rFonts w:hint="eastAsia" w:ascii="仿宋_GB2312" w:hAnsi="宋体" w:eastAsia="仿宋_GB2312"/>
          <w:spacing w:val="-34"/>
          <w:sz w:val="32"/>
          <w:szCs w:val="32"/>
        </w:rPr>
        <w:t>年</w:t>
      </w:r>
      <w:r>
        <w:rPr>
          <w:rFonts w:hint="eastAsia" w:ascii="仿宋_GB2312" w:hAnsi="宋体" w:eastAsia="仿宋_GB2312"/>
          <w:spacing w:val="-34"/>
          <w:sz w:val="32"/>
          <w:szCs w:val="32"/>
          <w:lang w:val="en-US" w:eastAsia="zh-CN"/>
        </w:rPr>
        <w:t>8</w:t>
      </w:r>
      <w:r>
        <w:rPr>
          <w:rFonts w:hint="eastAsia" w:ascii="仿宋_GB2312" w:hAnsi="宋体" w:eastAsia="仿宋_GB2312"/>
          <w:spacing w:val="-34"/>
          <w:sz w:val="32"/>
          <w:szCs w:val="32"/>
        </w:rPr>
        <w:t>月</w:t>
      </w:r>
      <w:r>
        <w:rPr>
          <w:rFonts w:hint="eastAsia" w:ascii="仿宋_GB2312" w:hAnsi="宋体" w:eastAsia="仿宋_GB2312"/>
          <w:spacing w:val="-34"/>
          <w:sz w:val="32"/>
          <w:szCs w:val="32"/>
          <w:lang w:val="en-US" w:eastAsia="zh-CN"/>
        </w:rPr>
        <w:t>17</w:t>
      </w:r>
      <w:r>
        <w:rPr>
          <w:rFonts w:hint="eastAsia" w:ascii="仿宋_GB2312" w:hAnsi="宋体" w:eastAsia="仿宋_GB2312"/>
          <w:spacing w:val="-34"/>
          <w:sz w:val="32"/>
          <w:szCs w:val="32"/>
        </w:rPr>
        <w:t>日印发</w:t>
      </w:r>
    </w:p>
    <w:p>
      <w:pPr>
        <w:pStyle w:val="2"/>
        <w:keepNext w:val="0"/>
        <w:keepLines w:val="0"/>
        <w:pageBreakBefore w:val="0"/>
        <w:widowControl w:val="0"/>
        <w:kinsoku/>
        <w:wordWrap/>
        <w:overflowPunct/>
        <w:topLinePunct w:val="0"/>
        <w:autoSpaceDE/>
        <w:autoSpaceDN/>
        <w:bidi w:val="0"/>
        <w:adjustRightInd/>
        <w:snapToGrid/>
        <w:spacing w:line="100" w:lineRule="exact"/>
        <w:ind w:left="0" w:leftChars="0" w:firstLine="0" w:firstLineChars="0"/>
        <w:textAlignment w:val="auto"/>
        <w:rPr>
          <w:rFonts w:hint="eastAsia"/>
        </w:rPr>
      </w:pP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方正魏碑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12394"/>
    <w:multiLevelType w:val="singleLevel"/>
    <w:tmpl w:val="26D12394"/>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46479"/>
    <w:rsid w:val="00A24A51"/>
    <w:rsid w:val="01127497"/>
    <w:rsid w:val="015F6EC0"/>
    <w:rsid w:val="03D80631"/>
    <w:rsid w:val="041F4F22"/>
    <w:rsid w:val="05F040FC"/>
    <w:rsid w:val="088D5BEA"/>
    <w:rsid w:val="08BA13F6"/>
    <w:rsid w:val="092B6971"/>
    <w:rsid w:val="0B096D00"/>
    <w:rsid w:val="0B37436B"/>
    <w:rsid w:val="0B7D0CDB"/>
    <w:rsid w:val="0C683B72"/>
    <w:rsid w:val="0DB448FB"/>
    <w:rsid w:val="0E0C2B8D"/>
    <w:rsid w:val="0E401B2A"/>
    <w:rsid w:val="0EA54398"/>
    <w:rsid w:val="0FB628A0"/>
    <w:rsid w:val="109B6875"/>
    <w:rsid w:val="10D82227"/>
    <w:rsid w:val="12262808"/>
    <w:rsid w:val="1262363D"/>
    <w:rsid w:val="132978F6"/>
    <w:rsid w:val="13B85877"/>
    <w:rsid w:val="13EF0270"/>
    <w:rsid w:val="16003877"/>
    <w:rsid w:val="16A96B76"/>
    <w:rsid w:val="17E96D1D"/>
    <w:rsid w:val="1A874F13"/>
    <w:rsid w:val="1B6B6D54"/>
    <w:rsid w:val="1CC417D4"/>
    <w:rsid w:val="1CD46479"/>
    <w:rsid w:val="1CF34E12"/>
    <w:rsid w:val="1E607843"/>
    <w:rsid w:val="1F2B04BB"/>
    <w:rsid w:val="20FB4A43"/>
    <w:rsid w:val="213B7A96"/>
    <w:rsid w:val="219C4980"/>
    <w:rsid w:val="228E00E9"/>
    <w:rsid w:val="23367098"/>
    <w:rsid w:val="24F159BB"/>
    <w:rsid w:val="250E3779"/>
    <w:rsid w:val="253E6543"/>
    <w:rsid w:val="25A739DC"/>
    <w:rsid w:val="25EE7318"/>
    <w:rsid w:val="264423EB"/>
    <w:rsid w:val="2B25711F"/>
    <w:rsid w:val="2EB255C0"/>
    <w:rsid w:val="2F680DDB"/>
    <w:rsid w:val="2F8E6A01"/>
    <w:rsid w:val="2FFD0D8F"/>
    <w:rsid w:val="302E4EAF"/>
    <w:rsid w:val="31C84B51"/>
    <w:rsid w:val="31EF765E"/>
    <w:rsid w:val="32035F2F"/>
    <w:rsid w:val="3327063E"/>
    <w:rsid w:val="35592C24"/>
    <w:rsid w:val="37B532C8"/>
    <w:rsid w:val="37E71539"/>
    <w:rsid w:val="38C93964"/>
    <w:rsid w:val="3A3E5608"/>
    <w:rsid w:val="3A921A69"/>
    <w:rsid w:val="3AEF6C53"/>
    <w:rsid w:val="3E696EDF"/>
    <w:rsid w:val="3EF80593"/>
    <w:rsid w:val="3FCA72D5"/>
    <w:rsid w:val="41C1071C"/>
    <w:rsid w:val="41FA222B"/>
    <w:rsid w:val="44634E4F"/>
    <w:rsid w:val="45CB3C28"/>
    <w:rsid w:val="476D18F0"/>
    <w:rsid w:val="47E31CF5"/>
    <w:rsid w:val="496D5C9E"/>
    <w:rsid w:val="4E166863"/>
    <w:rsid w:val="4E273FC7"/>
    <w:rsid w:val="4E2D1B27"/>
    <w:rsid w:val="4ED247BD"/>
    <w:rsid w:val="506D7586"/>
    <w:rsid w:val="508A20F7"/>
    <w:rsid w:val="50E4605A"/>
    <w:rsid w:val="51093C85"/>
    <w:rsid w:val="515D7775"/>
    <w:rsid w:val="523013A8"/>
    <w:rsid w:val="527E52E2"/>
    <w:rsid w:val="52E10E4B"/>
    <w:rsid w:val="53704D88"/>
    <w:rsid w:val="53C93FFE"/>
    <w:rsid w:val="57710FA8"/>
    <w:rsid w:val="59C65766"/>
    <w:rsid w:val="5A3C0C2A"/>
    <w:rsid w:val="5A6E5C85"/>
    <w:rsid w:val="5CC40AF8"/>
    <w:rsid w:val="5CD10F1F"/>
    <w:rsid w:val="5CD94BD1"/>
    <w:rsid w:val="5DE631A4"/>
    <w:rsid w:val="5E537193"/>
    <w:rsid w:val="5F154911"/>
    <w:rsid w:val="5FD46CAF"/>
    <w:rsid w:val="64A37A2E"/>
    <w:rsid w:val="64D72FF5"/>
    <w:rsid w:val="65D72E72"/>
    <w:rsid w:val="6679636F"/>
    <w:rsid w:val="67497DAD"/>
    <w:rsid w:val="67CF054A"/>
    <w:rsid w:val="68411D28"/>
    <w:rsid w:val="68555C72"/>
    <w:rsid w:val="69E739A9"/>
    <w:rsid w:val="6AD935D2"/>
    <w:rsid w:val="6B132F55"/>
    <w:rsid w:val="6B8615AF"/>
    <w:rsid w:val="6E721B3F"/>
    <w:rsid w:val="6F0C7E62"/>
    <w:rsid w:val="70C035C3"/>
    <w:rsid w:val="70D03895"/>
    <w:rsid w:val="710D50BF"/>
    <w:rsid w:val="721268E4"/>
    <w:rsid w:val="725320AA"/>
    <w:rsid w:val="72843F1B"/>
    <w:rsid w:val="730E4359"/>
    <w:rsid w:val="74636302"/>
    <w:rsid w:val="79661E4E"/>
    <w:rsid w:val="797A32ED"/>
    <w:rsid w:val="7A6E1A8F"/>
    <w:rsid w:val="7C216E52"/>
    <w:rsid w:val="7CBD5724"/>
    <w:rsid w:val="7F5508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unhideWhenUsed/>
    <w:qFormat/>
    <w:uiPriority w:val="0"/>
    <w:pPr>
      <w:keepNext/>
      <w:keepLines/>
      <w:spacing w:before="260" w:after="260" w:line="416" w:lineRule="auto"/>
      <w:outlineLvl w:val="1"/>
    </w:pPr>
    <w:rPr>
      <w:rFonts w:eastAsia="黑体"/>
      <w:bCs/>
      <w:kern w:val="2"/>
      <w:sz w:val="32"/>
      <w:szCs w:val="3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99"/>
    <w:pPr>
      <w:ind w:left="0" w:firstLine="420" w:firstLineChars="200"/>
    </w:pPr>
  </w:style>
  <w:style w:type="paragraph" w:styleId="3">
    <w:name w:val="Body Text Indent"/>
    <w:basedOn w:val="1"/>
    <w:next w:val="1"/>
    <w:qFormat/>
    <w:uiPriority w:val="99"/>
    <w:pPr>
      <w:spacing w:after="120"/>
      <w:ind w:left="420" w:leftChars="200"/>
    </w:pPr>
  </w:style>
  <w:style w:type="paragraph" w:styleId="4">
    <w:name w:val="Plain Text"/>
    <w:basedOn w:val="1"/>
    <w:next w:val="5"/>
    <w:qFormat/>
    <w:uiPriority w:val="0"/>
    <w:rPr>
      <w:rFonts w:ascii="宋体" w:hAnsi="Courier New"/>
    </w:rPr>
  </w:style>
  <w:style w:type="paragraph" w:styleId="5">
    <w:name w:val="List Number 5"/>
    <w:basedOn w:val="1"/>
    <w:qFormat/>
    <w:uiPriority w:val="0"/>
    <w:pPr>
      <w:numPr>
        <w:ilvl w:val="0"/>
        <w:numId w:val="1"/>
      </w:numPr>
    </w:pPr>
  </w:style>
  <w:style w:type="paragraph" w:styleId="7">
    <w:name w:val="Normal Indent"/>
    <w:basedOn w:val="1"/>
    <w:qFormat/>
    <w:uiPriority w:val="0"/>
    <w:pPr>
      <w:ind w:firstLine="420" w:firstLineChars="200"/>
    </w:pPr>
  </w:style>
  <w:style w:type="paragraph" w:styleId="8">
    <w:name w:val="index 6"/>
    <w:basedOn w:val="1"/>
    <w:next w:val="1"/>
    <w:qFormat/>
    <w:uiPriority w:val="0"/>
    <w:pPr>
      <w:ind w:firstLine="840"/>
    </w:pPr>
  </w:style>
  <w:style w:type="paragraph" w:styleId="9">
    <w:name w:val="Body Text"/>
    <w:basedOn w:val="1"/>
    <w:qFormat/>
    <w:uiPriority w:val="0"/>
    <w:pPr>
      <w:jc w:val="center"/>
    </w:pPr>
    <w:rPr>
      <w:rFonts w:ascii="Calibri" w:hAnsi="Calibri" w:eastAsia="方正小标宋简体"/>
      <w:sz w:val="36"/>
      <w:szCs w:val="24"/>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next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Body Text Indent 21"/>
    <w:basedOn w:val="1"/>
    <w:qFormat/>
    <w:uiPriority w:val="0"/>
    <w:pPr>
      <w:spacing w:line="480" w:lineRule="auto"/>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2021-04-27T08:48:00Z</dcterms:created>
  <dc:creator>老井</dc:creator>
  <cp:lastModifiedBy>Administrator</cp:lastModifiedBy>
  <cp:lastPrinted>2021-08-18T10:22:53Z</cp:lastPrinted>
  <dcterms:modified xsi:type="dcterms:W3CDTF">2021-08-18T10:25:31Z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