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2020〕10</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26035</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05pt;margin-top:3.55pt;height:3.55pt;width:441pt;z-index:251658240;mso-width-relative:page;mso-height-relative:page;" coordorigin="1134,2354" coordsize="8820,156" o:gfxdata="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oRgeb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对自治州人大第十五届四次会议工交财贸类 </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19</w:t>
      </w:r>
      <w:r>
        <w:rPr>
          <w:rFonts w:hint="eastAsia" w:ascii="方正小标宋简体" w:hAnsi="方正小标宋简体" w:eastAsia="方正小标宋简体" w:cs="方正小标宋简体"/>
          <w:sz w:val="44"/>
          <w:szCs w:val="44"/>
        </w:rPr>
        <w:t>号提案的答复</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尊敬</w:t>
      </w:r>
      <w:r>
        <w:rPr>
          <w:rFonts w:hint="eastAsia" w:ascii="仿宋_GB2312" w:hAnsi="仿宋_GB2312" w:eastAsia="仿宋_GB2312" w:cs="仿宋_GB2312"/>
          <w:sz w:val="32"/>
          <w:szCs w:val="32"/>
          <w:lang w:eastAsia="zh-CN"/>
        </w:rPr>
        <w:t>的哈哈尔、吾尔阿里别克</w:t>
      </w:r>
      <w:r>
        <w:rPr>
          <w:rFonts w:hint="eastAsia" w:ascii="仿宋_GB2312" w:hAnsi="仿宋_GB2312" w:eastAsia="仿宋_GB2312" w:cs="仿宋_GB2312"/>
          <w:sz w:val="32"/>
          <w:szCs w:val="32"/>
          <w:lang w:val="en-US" w:eastAsia="zh-CN"/>
        </w:rPr>
        <w:t>·温哈儿</w:t>
      </w:r>
      <w:r>
        <w:rPr>
          <w:rFonts w:hint="eastAsia" w:ascii="仿宋_GB2312" w:hAnsi="仿宋_GB2312" w:eastAsia="仿宋_GB2312" w:cs="仿宋_GB2312"/>
          <w:color w:val="auto"/>
          <w:sz w:val="32"/>
          <w:szCs w:val="32"/>
          <w:lang w:val="en-US" w:eastAsia="zh-CN"/>
        </w:rPr>
        <w:t>等二</w:t>
      </w:r>
      <w:r>
        <w:rPr>
          <w:rFonts w:hint="eastAsia" w:ascii="仿宋_GB2312" w:hAnsi="仿宋_GB2312" w:eastAsia="仿宋_GB2312" w:cs="仿宋_GB2312"/>
          <w:color w:val="auto"/>
          <w:sz w:val="32"/>
          <w:szCs w:val="32"/>
        </w:rPr>
        <w:t>位代表：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你们</w:t>
      </w:r>
      <w:r>
        <w:rPr>
          <w:rFonts w:hint="eastAsia" w:ascii="仿宋_GB2312" w:hAnsi="仿宋_GB2312" w:eastAsia="仿宋_GB2312" w:cs="仿宋_GB2312"/>
          <w:color w:val="auto"/>
          <w:sz w:val="32"/>
          <w:szCs w:val="32"/>
        </w:rPr>
        <w:t>提出的</w:t>
      </w:r>
      <w:r>
        <w:rPr>
          <w:rFonts w:hint="eastAsia" w:ascii="仿宋_GB2312" w:hAnsi="仿宋_GB2312" w:eastAsia="仿宋_GB2312" w:cs="仿宋_GB2312"/>
          <w:snapToGrid w:val="0"/>
          <w:color w:val="000000"/>
          <w:kern w:val="0"/>
          <w:sz w:val="32"/>
          <w:szCs w:val="32"/>
          <w:lang w:val="en-US" w:eastAsia="zh-CN"/>
        </w:rPr>
        <w:t>工交财贸类第19号</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color w:val="000000"/>
          <w:sz w:val="32"/>
          <w:szCs w:val="32"/>
          <w:lang w:val="en-US" w:eastAsia="zh-CN"/>
        </w:rPr>
        <w:t>关于发展呼图壁县南部山区旅游资源开发，提升S101沿线基础设施的建设的议案</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color w:val="auto"/>
          <w:sz w:val="32"/>
          <w:szCs w:val="32"/>
        </w:rPr>
        <w:t>收悉。经研究办理，现答复如下：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你们的</w:t>
      </w:r>
      <w:r>
        <w:rPr>
          <w:rFonts w:hint="eastAsia" w:ascii="仿宋_GB2312" w:hAnsi="仿宋_GB2312" w:eastAsia="仿宋_GB2312" w:cs="仿宋_GB2312"/>
          <w:sz w:val="32"/>
          <w:szCs w:val="32"/>
        </w:rPr>
        <w:t>建议很好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感谢</w:t>
      </w:r>
      <w:r>
        <w:rPr>
          <w:rFonts w:hint="eastAsia" w:ascii="仿宋_GB2312" w:hAnsi="仿宋_GB2312" w:eastAsia="仿宋_GB2312" w:cs="仿宋_GB2312"/>
          <w:sz w:val="32"/>
          <w:szCs w:val="32"/>
          <w:lang w:eastAsia="zh-CN"/>
        </w:rPr>
        <w:t>你们</w:t>
      </w:r>
      <w:bookmarkStart w:id="0" w:name="_GoBack"/>
      <w:bookmarkEnd w:id="0"/>
      <w:r>
        <w:rPr>
          <w:rFonts w:hint="eastAsia" w:ascii="仿宋_GB2312" w:hAnsi="仿宋_GB2312" w:eastAsia="仿宋_GB2312" w:cs="仿宋_GB2312"/>
          <w:sz w:val="32"/>
          <w:szCs w:val="32"/>
        </w:rPr>
        <w:t>对自治州</w:t>
      </w:r>
      <w:r>
        <w:rPr>
          <w:rFonts w:hint="eastAsia" w:ascii="仿宋_GB2312" w:hAnsi="仿宋_GB2312" w:eastAsia="仿宋_GB2312" w:cs="仿宋_GB2312"/>
          <w:sz w:val="32"/>
          <w:szCs w:val="32"/>
          <w:lang w:eastAsia="zh-CN"/>
        </w:rPr>
        <w:t>旅游行业发展</w:t>
      </w:r>
      <w:r>
        <w:rPr>
          <w:rFonts w:hint="eastAsia" w:ascii="仿宋_GB2312" w:hAnsi="仿宋_GB2312" w:eastAsia="仿宋_GB2312" w:cs="仿宋_GB2312"/>
          <w:sz w:val="32"/>
          <w:szCs w:val="32"/>
        </w:rPr>
        <w:t>的关心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val="en-US" w:eastAsia="zh-CN" w:bidi="ar-SA"/>
        </w:rPr>
        <w:t>石梯子乡是一个“以牧为主、牧农结合”的民族乡镇。全乡辖4自然村，总面积1225.5平方千米。总人口7828人（2017），是一个以哈、汉、回、维、藏、蒙、塔塔尔七个民族聚居的民族乡镇。石梯子乡南部山区有天然牧草地（草场）125.6万亩，每年6月至11月有400余牧民放牧。</w:t>
      </w:r>
      <w:r>
        <w:rPr>
          <w:rFonts w:hint="eastAsia" w:ascii="仿宋_GB2312" w:hAnsi="仿宋_GB2312" w:eastAsia="仿宋_GB2312" w:cs="仿宋_GB2312"/>
          <w:sz w:val="32"/>
          <w:szCs w:val="32"/>
          <w:lang w:val="en-US" w:eastAsia="zh-CN"/>
        </w:rPr>
        <w:t>道路运输四通八达;北疆铁路呼图壁站、乌奎高速公路、S201省道、312国道距乡政府仅有19公里，驱车一小时可到达乌鲁木齐国际机场;新修建的64公里呼石公路由县城直通中山地带,国防公路贯穿整个山区。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进一步推进“旅游兴疆战略”，深化全域旅游示范区创建，自治区人民政府在2019年10月将新疆天山百里丹霞区域所在的S101公路列为2020年自治区人民政府重点打造的四条旅游精品线路之一，暨“S101天山地理画廊精品线”。目前该环线道路的修建已经经自治区人民政府批准，由新疆维吾尔自治区交通运输厅牵头实施修建，该道路项目的前期工作已经全部完成，施工方于2019年11月底已经进场，2020年3月中旬开始动工建设，自治区党委、政府要求2020年10月必须建成通车。该道路建成后，将与“独库”公路连接贯通，是自治区拟打造的“交通+旅游”的旅游公路之一。此路段采用单向三、四级公路标准建设，设计速度采用20km/h、30km/h、40km/h，对应路基宽度6.5 m、7.5 m、8.5m，中桥2座（修复利用）、小桥5座（修复利用）、涵洞148道（修复利用45道、拆除新建36道、新建67道）。合同工期：2020年4月15日～2020年10月30日总工期为199日历天；合同总价：16332.7万元。S101大中修项目截止2020年6月20日，本年度共完成投资 788万元，自开工之日起至今累计完成投资788万元。目前 路基工程完成了10%，桥涵工程完成了0%，路面工程完成了0%。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S101呼图壁段，作为百里丹霞景区的交通脉搏，是拥有审美、自然、文化、历史、考古和游憩价值的旅游风景道，</w:t>
      </w:r>
      <w:r>
        <w:rPr>
          <w:rFonts w:hint="eastAsia" w:ascii="仿宋_GB2312" w:hAnsi="仿宋_GB2312" w:eastAsia="仿宋_GB2312" w:cs="仿宋_GB2312"/>
          <w:sz w:val="32"/>
          <w:szCs w:val="32"/>
        </w:rPr>
        <w:t>为贯彻落实自治区党委旅游兴疆战略和全域旅游“设计好线路，使散落的景区景点串成线、连成片、构成网”部署要求，根据自治区旅游产业发展领导小组《关于做好打造S101等四条精品旅游线路工作的通知》（新旅领发〔2019〕5号）精神，全力打造天山</w:t>
      </w:r>
      <w:r>
        <w:rPr>
          <w:rFonts w:hint="eastAsia" w:ascii="仿宋_GB2312" w:hAnsi="仿宋_GB2312" w:eastAsia="仿宋_GB2312" w:cs="仿宋_GB2312"/>
          <w:sz w:val="32"/>
          <w:szCs w:val="32"/>
          <w:lang w:eastAsia="zh-CN"/>
        </w:rPr>
        <w:t>廊道</w:t>
      </w:r>
      <w:r>
        <w:rPr>
          <w:rFonts w:hint="eastAsia" w:ascii="仿宋_GB2312" w:hAnsi="仿宋_GB2312" w:eastAsia="仿宋_GB2312" w:cs="仿宋_GB2312"/>
          <w:sz w:val="32"/>
          <w:szCs w:val="32"/>
        </w:rPr>
        <w:t>世界遗产风景道（南山伴行旅游公路）、天山百里丹霞旅游风景道（S101公路）、车师古道旅游风景道、北部沙漠环线旅游风景道等</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条旅游风景道，遵循东西贯通、南北通畅的交通发展战略，打造“四线一环”的旅游风景道体系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石梯子乡作为S101线精品旅游线路辐射带动主要村镇，已将石梯子乡纳入《昌吉州全域旅游发展规划及近三年行动计划》和即将出台的《新疆天山百里丹霞旅游区总体规划》和《昌吉州乡村旅游规划》中。</w:t>
      </w:r>
      <w:r>
        <w:rPr>
          <w:rFonts w:hint="eastAsia" w:ascii="仿宋_GB2312" w:hAnsi="仿宋_GB2312" w:eastAsia="仿宋_GB2312" w:cs="仿宋_GB2312"/>
          <w:sz w:val="32"/>
          <w:szCs w:val="32"/>
          <w:lang w:eastAsia="zh-CN"/>
        </w:rPr>
        <w:t>石梯子乡</w:t>
      </w:r>
      <w:r>
        <w:rPr>
          <w:rFonts w:hint="eastAsia" w:ascii="仿宋_GB2312" w:hAnsi="仿宋_GB2312" w:eastAsia="仿宋_GB2312" w:cs="仿宋_GB2312"/>
          <w:color w:val="000000"/>
          <w:kern w:val="2"/>
          <w:sz w:val="32"/>
          <w:szCs w:val="32"/>
          <w:lang w:val="en-US" w:eastAsia="zh-CN" w:bidi="ar-SA"/>
        </w:rPr>
        <w:t>通过核心景区引领向外辐射若干不同主题的度假锚地，以度假锚地为核心载体整合周边旅游景区（点）及其它业态，整体以天山圣水牧场为自然与文化核心，融合石梯子乡牧羊千年的人文特征打造天然个性、集心灵修养、文化体验、户外运动、休闲观光、放牧体验、牧业产业拓展为一体的生态人文旅游产业集群区域有效实现项目的核心价值提炼、差异化产品设计、营销推广和运营管理结合石梯子乡传统社会形态，原生态升级保持牧羊牧区的业态和形态，打造个性化高端生态人文悠牧小镇。</w:t>
      </w:r>
      <w:r>
        <w:rPr>
          <w:rFonts w:hint="eastAsia" w:ascii="仿宋_GB2312" w:hAnsi="仿宋_GB2312" w:eastAsia="仿宋_GB2312" w:cs="仿宋_GB2312"/>
          <w:sz w:val="32"/>
          <w:szCs w:val="32"/>
          <w:lang w:val="en-US" w:eastAsia="zh-CN"/>
        </w:rPr>
        <w:t>沿线可发展以下产业：哈萨克特色民宿，牧家乐（毡房）等（符合草地利用规划为前提）。优质绿色牛羊肉、马肉（马肠子），哈萨克特色美食：包尔萨克、酸奶疙瘩、奶酪、驼奶、马奶、酸奶等。哈萨克传统刺绣，手工艺品：木质餐具、头巾、枕巾、被套、手工毡毯等。骑马观光体验服务等。石梯子洋葱、天之骄子有机小米等，</w:t>
      </w:r>
      <w:r>
        <w:rPr>
          <w:rFonts w:hint="eastAsia" w:ascii="仿宋_GB2312" w:hAnsi="仿宋_GB2312" w:eastAsia="仿宋_GB2312" w:cs="仿宋_GB2312"/>
          <w:color w:val="000000"/>
          <w:kern w:val="2"/>
          <w:sz w:val="32"/>
          <w:szCs w:val="32"/>
          <w:lang w:val="en-US" w:eastAsia="zh-CN" w:bidi="ar-SA"/>
        </w:rPr>
        <w:t>将百里丹霞旅行成本转变为旅行收益成本，从而拉动南部山区景区发展和区域经济。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2018年，州党办印发</w:t>
      </w:r>
      <w:r>
        <w:rPr>
          <w:rFonts w:hint="eastAsia" w:ascii="仿宋_GB2312" w:hAnsi="仿宋_GB2312" w:eastAsia="仿宋_GB2312" w:cs="仿宋_GB2312"/>
          <w:sz w:val="32"/>
          <w:szCs w:val="32"/>
        </w:rPr>
        <w:t>中共昌吉州委员会办公室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昌吉州人民政府办公</w:t>
      </w:r>
      <w:r>
        <w:rPr>
          <w:rFonts w:hint="eastAsia" w:ascii="仿宋_GB2312" w:hAnsi="仿宋_GB2312" w:eastAsia="仿宋_GB2312" w:cs="仿宋_GB2312"/>
          <w:sz w:val="32"/>
          <w:szCs w:val="32"/>
          <w:lang w:eastAsia="zh-CN"/>
        </w:rPr>
        <w:t>室关于印发《自治州落实新发展理念</w:t>
      </w:r>
      <w:r>
        <w:rPr>
          <w:rFonts w:hint="eastAsia" w:ascii="仿宋_GB2312" w:hAnsi="仿宋_GB2312" w:eastAsia="仿宋_GB2312" w:cs="仿宋_GB2312"/>
          <w:sz w:val="32"/>
          <w:szCs w:val="32"/>
          <w:lang w:val="en-US" w:eastAsia="zh-CN"/>
        </w:rPr>
        <w:t xml:space="preserve"> 加快全域旅游发展的优惠政策</w:t>
      </w:r>
      <w:r>
        <w:rPr>
          <w:rFonts w:hint="eastAsia" w:ascii="仿宋_GB2312" w:hAnsi="仿宋_GB2312" w:eastAsia="仿宋_GB2312" w:cs="仿宋_GB2312"/>
          <w:sz w:val="32"/>
          <w:szCs w:val="32"/>
          <w:lang w:eastAsia="zh-CN"/>
        </w:rPr>
        <w:t>》（昌州党办发</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2018〕23号</w:t>
      </w:r>
      <w:r>
        <w:rPr>
          <w:rFonts w:hint="eastAsia" w:ascii="仿宋_GB2312" w:hAnsi="仿宋_GB2312" w:eastAsia="仿宋_GB2312" w:cs="仿宋_GB2312"/>
          <w:sz w:val="32"/>
          <w:szCs w:val="32"/>
          <w:lang w:eastAsia="zh-CN"/>
        </w:rPr>
        <w:t>）及《关于加快推进昌吉州全域旅游发展的意见》（昌州党办发</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2018〕20号</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lang w:val="en-US" w:eastAsia="zh-CN"/>
        </w:rPr>
        <w:t>,2019年自治区拨付我州旅游民宿349.4万元，旅游厕所510万元，州本级财政又投入专项资金250万元，给予提升和改造旅游民宿户厕的经营户每家户厕3000元的奖补资金,2019年，石梯子乡建成旅游民宿客房100间，床位350张，享受床位补贴17.5万元。2020年，石梯子乡计划建成民宿客房54间,床位112张。通过自治区、州财政和财政资金奖励补贴，推动了我州旅游民宿公共服务水平和旅游业品质质量得到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highlight w:val="none"/>
          <w:lang w:val="en-US" w:eastAsia="zh-CN"/>
        </w:rPr>
        <w:t>下一步，我局将加大南部山区景区建设，完成百里丹霞景区的整体规划方案，沿线基础设施建设及其他娱乐游览设施，进一步丰富旅游要素。完成景区道路、水电、通信、环卫等基础设施建设，将南部山区原始森林-天山花海景区-康家石门子景区联通打造，规划设计多种项目的旅游环线。提升景区的接待能力，不断增加娱乐项目，完善配套基础设施，重点打造核心景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25"/>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以上答复请您审议，如有不妥之处，我们将继续与您及相关部门衔接</w:t>
      </w:r>
      <w:r>
        <w:rPr>
          <w:rFonts w:hint="eastAsia" w:ascii="仿宋_GB2312" w:hAnsi="仿宋_GB2312" w:eastAsia="仿宋_GB2312" w:cs="仿宋_GB2312"/>
          <w:sz w:val="32"/>
          <w:szCs w:val="32"/>
          <w:lang w:eastAsia="zh-CN"/>
        </w:rPr>
        <w:t>。</w:t>
      </w:r>
    </w:p>
    <w:p>
      <w:pPr>
        <w:pStyle w:val="2"/>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分管州领导签字：</w:t>
      </w: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jc w:val="left"/>
        <w:textAlignment w:val="auto"/>
        <w:rPr>
          <w:rFonts w:hint="default"/>
          <w:lang w:val="en-US" w:eastAsia="zh-CN"/>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520" w:firstLineChars="11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2020年6月23日</w:t>
      </w:r>
    </w:p>
    <w:p>
      <w:pPr>
        <w:keepNext w:val="0"/>
        <w:keepLines w:val="0"/>
        <w:pageBreakBefore w:val="0"/>
        <w:widowControl w:val="0"/>
        <w:kinsoku/>
        <w:wordWrap/>
        <w:overflowPunct/>
        <w:topLinePunct w:val="0"/>
        <w:autoSpaceDE/>
        <w:autoSpaceDN/>
        <w:bidi w:val="0"/>
        <w:adjustRightInd/>
        <w:snapToGrid/>
        <w:spacing w:line="560" w:lineRule="exact"/>
        <w:ind w:left="-525" w:leftChars="-250" w:right="-525" w:rightChars="-250" w:firstLine="48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叶志东</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color w:val="auto"/>
          <w:sz w:val="32"/>
          <w:szCs w:val="32"/>
          <w:lang w:val="en-US" w:eastAsia="zh-CN"/>
        </w:rPr>
        <w:t>13565634350</w:t>
      </w:r>
    </w:p>
    <w:p>
      <w:pPr>
        <w:pStyle w:val="2"/>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val="en-US" w:eastAsia="zh-CN"/>
        </w:rPr>
      </w:pPr>
    </w:p>
    <w:p>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sectPr>
          <w:footerReference r:id="rId3" w:type="default"/>
          <w:pgSz w:w="11906" w:h="16838"/>
          <w:pgMar w:top="2098" w:right="1474" w:bottom="1587" w:left="1587" w:header="851" w:footer="992" w:gutter="0"/>
          <w:pgNumType w:fmt="numberInDash"/>
          <w:cols w:space="425" w:num="1"/>
          <w:docGrid w:type="lines" w:linePitch="312" w:charSpace="0"/>
        </w:sect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F3A4B63"/>
    <w:rsid w:val="20B27ECD"/>
    <w:rsid w:val="220F14E1"/>
    <w:rsid w:val="26B26E88"/>
    <w:rsid w:val="277D1C40"/>
    <w:rsid w:val="2CC56128"/>
    <w:rsid w:val="2F6B5207"/>
    <w:rsid w:val="3725393F"/>
    <w:rsid w:val="37F326D5"/>
    <w:rsid w:val="3C781CB9"/>
    <w:rsid w:val="3D7143B9"/>
    <w:rsid w:val="42B859F2"/>
    <w:rsid w:val="430159AF"/>
    <w:rsid w:val="46E818EE"/>
    <w:rsid w:val="49223F17"/>
    <w:rsid w:val="4C9C3627"/>
    <w:rsid w:val="4E1E30DC"/>
    <w:rsid w:val="5405298D"/>
    <w:rsid w:val="5B330316"/>
    <w:rsid w:val="60A3744A"/>
    <w:rsid w:val="63ED488B"/>
    <w:rsid w:val="66A668C2"/>
    <w:rsid w:val="69135128"/>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6">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9">
    <w:name w:val="FollowedHyperlink"/>
    <w:basedOn w:val="8"/>
    <w:semiHidden/>
    <w:unhideWhenUsed/>
    <w:qFormat/>
    <w:uiPriority w:val="99"/>
    <w:rPr>
      <w:color w:val="343434"/>
      <w:u w:val="none"/>
    </w:rPr>
  </w:style>
  <w:style w:type="character" w:styleId="10">
    <w:name w:val="Hyperlink"/>
    <w:basedOn w:val="8"/>
    <w:semiHidden/>
    <w:unhideWhenUsed/>
    <w:qFormat/>
    <w:uiPriority w:val="99"/>
    <w:rPr>
      <w:color w:val="343434"/>
      <w:u w:val="non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uiPriority w:val="99"/>
    <w:rPr>
      <w:sz w:val="18"/>
      <w:szCs w:val="18"/>
    </w:rPr>
  </w:style>
  <w:style w:type="character" w:customStyle="1" w:styleId="14">
    <w:name w:val="last-child1"/>
    <w:basedOn w:val="8"/>
    <w:qFormat/>
    <w:uiPriority w:val="0"/>
  </w:style>
  <w:style w:type="character" w:customStyle="1" w:styleId="15">
    <w:name w:val="moreicon"/>
    <w:basedOn w:val="8"/>
    <w:qFormat/>
    <w:uiPriority w:val="0"/>
  </w:style>
  <w:style w:type="character" w:customStyle="1" w:styleId="16">
    <w:name w:val="moreicon1"/>
    <w:basedOn w:val="8"/>
    <w:qFormat/>
    <w:uiPriority w:val="0"/>
  </w:style>
  <w:style w:type="character" w:customStyle="1" w:styleId="17">
    <w:name w:val="hover"/>
    <w:basedOn w:val="8"/>
    <w:qFormat/>
    <w:uiPriority w:val="0"/>
    <w:rPr>
      <w:shd w:val="clear" w:fill="D20003"/>
    </w:rPr>
  </w:style>
  <w:style w:type="character" w:customStyle="1" w:styleId="18">
    <w:name w:val="hover1"/>
    <w:basedOn w:val="8"/>
    <w:qFormat/>
    <w:uiPriority w:val="0"/>
    <w:rPr>
      <w:color w:val="D20003"/>
    </w:rPr>
  </w:style>
  <w:style w:type="character" w:customStyle="1" w:styleId="19">
    <w:name w:val="hover2"/>
    <w:basedOn w:val="8"/>
    <w:qFormat/>
    <w:uiPriority w:val="0"/>
    <w:rPr>
      <w:color w:val="D10000"/>
      <w:bdr w:val="single" w:color="D10000" w:sz="12" w:space="0"/>
    </w:rPr>
  </w:style>
  <w:style w:type="character" w:customStyle="1" w:styleId="20">
    <w:name w:val="logo"/>
    <w:basedOn w:val="8"/>
    <w:qFormat/>
    <w:uiPriority w:val="0"/>
    <w:rPr>
      <w:shd w:val="clear" w:fill="D20003"/>
    </w:rPr>
  </w:style>
  <w:style w:type="character" w:customStyle="1" w:styleId="21">
    <w:name w:val="logo2"/>
    <w:basedOn w:val="8"/>
    <w:qFormat/>
    <w:uiPriority w:val="0"/>
    <w:rPr>
      <w:shd w:val="clear" w:fill="D20003"/>
    </w:rPr>
  </w:style>
  <w:style w:type="character" w:customStyle="1" w:styleId="22">
    <w:name w:val="phone"/>
    <w:basedOn w:val="8"/>
    <w:qFormat/>
    <w:uiPriority w:val="0"/>
  </w:style>
  <w:style w:type="character" w:customStyle="1" w:styleId="23">
    <w:name w:val="swiper-active-switch"/>
    <w:basedOn w:val="8"/>
    <w:qFormat/>
    <w:uiPriority w:val="0"/>
    <w:rPr>
      <w:shd w:val="clear" w:fill="D10000"/>
    </w:rPr>
  </w:style>
  <w:style w:type="character" w:customStyle="1" w:styleId="24">
    <w:name w:val="act"/>
    <w:basedOn w:val="8"/>
    <w:qFormat/>
    <w:uiPriority w:val="0"/>
    <w:rPr>
      <w:color w:val="BD041C"/>
    </w:rPr>
  </w:style>
  <w:style w:type="character" w:customStyle="1" w:styleId="25">
    <w:name w:val="more"/>
    <w:basedOn w:val="8"/>
    <w:qFormat/>
    <w:uiPriority w:val="0"/>
    <w:rPr>
      <w:b/>
      <w:color w:val="3A3A3A"/>
      <w:sz w:val="21"/>
      <w:szCs w:val="21"/>
    </w:rPr>
  </w:style>
  <w:style w:type="character" w:customStyle="1" w:styleId="26">
    <w:name w:val="btn11"/>
    <w:basedOn w:val="8"/>
    <w:qFormat/>
    <w:uiPriority w:val="0"/>
  </w:style>
  <w:style w:type="character" w:customStyle="1" w:styleId="27">
    <w:name w:val="btn3"/>
    <w:basedOn w:val="8"/>
    <w:qFormat/>
    <w:uiPriority w:val="0"/>
  </w:style>
  <w:style w:type="character" w:customStyle="1" w:styleId="28">
    <w:name w:val="last-child"/>
    <w:basedOn w:val="8"/>
    <w:qFormat/>
    <w:uiPriority w:val="0"/>
  </w:style>
  <w:style w:type="character" w:customStyle="1" w:styleId="29">
    <w:name w:val="hover3"/>
    <w:basedOn w:val="8"/>
    <w:qFormat/>
    <w:uiPriority w:val="0"/>
    <w:rPr>
      <w:color w:val="D10000"/>
      <w:bdr w:val="single" w:color="D10000" w:sz="12" w:space="0"/>
    </w:rPr>
  </w:style>
  <w:style w:type="character" w:customStyle="1" w:styleId="30">
    <w:name w:val="logo3"/>
    <w:basedOn w:val="8"/>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2020-06-29T10:13:00Z</cp:lastPrinted>
  <dcterms:modified xsi:type="dcterms:W3CDTF">2020-07-06T02:58:48Z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