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2020〕4</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12065</wp:posOffset>
                </wp:positionH>
                <wp:positionV relativeFrom="paragraph">
                  <wp:posOffset>31115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95pt;margin-top:2.45pt;height:3.55pt;width:441pt;z-index:251658240;mso-width-relative:page;mso-height-relative:page;" coordorigin="1134,2354" coordsize="8820,156" o:gfxdata="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A7vzt2QAAAAgBAAAPAAAAAAAAAAEAIAAAACIAAABkcnMvZG93bnJl&#10;di54bWxQSwECFAAUAAAACACHTuJAhrS3rG4CAADRBgAADgAAAAAAAAABACAAAAAoAQAAZHJzL2Uy&#10;b0RvYy54bWxQSwUGAAAAAAYABgBZAQAACAY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对自治州人大第十五届四次会议科教文卫类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第9号</w:t>
      </w:r>
      <w:r>
        <w:rPr>
          <w:rFonts w:hint="eastAsia" w:ascii="方正小标宋简体" w:hAnsi="方正小标宋简体" w:eastAsia="方正小标宋简体" w:cs="方正小标宋简体"/>
          <w:sz w:val="44"/>
          <w:szCs w:val="44"/>
          <w:lang w:eastAsia="zh-CN"/>
        </w:rPr>
        <w:t>建议</w:t>
      </w:r>
      <w:r>
        <w:rPr>
          <w:rFonts w:hint="eastAsia" w:ascii="方正小标宋简体" w:hAnsi="方正小标宋简体" w:eastAsia="方正小标宋简体" w:cs="方正小标宋简体"/>
          <w:sz w:val="44"/>
          <w:szCs w:val="44"/>
        </w:rPr>
        <w:t>的答复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w:t>
      </w:r>
      <w:r>
        <w:rPr>
          <w:rFonts w:hint="eastAsia" w:ascii="仿宋_GB2312" w:hAnsi="仿宋_GB2312" w:eastAsia="仿宋_GB2312" w:cs="仿宋_GB2312"/>
          <w:color w:val="auto"/>
          <w:sz w:val="32"/>
          <w:szCs w:val="32"/>
          <w:lang w:eastAsia="zh-CN"/>
        </w:rPr>
        <w:t>的阿达里江</w:t>
      </w:r>
      <w:r>
        <w:rPr>
          <w:rFonts w:hint="eastAsia" w:ascii="仿宋_GB2312" w:hAnsi="仿宋_GB2312" w:eastAsia="仿宋_GB2312" w:cs="仿宋_GB2312"/>
          <w:color w:val="auto"/>
          <w:sz w:val="32"/>
          <w:szCs w:val="32"/>
          <w:lang w:val="en-US" w:eastAsia="zh-CN"/>
        </w:rPr>
        <w:t>·卡里木</w:t>
      </w:r>
      <w:r>
        <w:rPr>
          <w:rFonts w:hint="eastAsia" w:ascii="仿宋_GB2312" w:hAnsi="仿宋_GB2312" w:eastAsia="仿宋_GB2312" w:cs="仿宋_GB2312"/>
          <w:color w:val="auto"/>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您</w:t>
      </w:r>
      <w:r>
        <w:rPr>
          <w:rFonts w:hint="eastAsia" w:ascii="仿宋_GB2312" w:hAnsi="仿宋_GB2312" w:eastAsia="仿宋_GB2312" w:cs="仿宋_GB2312"/>
          <w:color w:val="auto"/>
          <w:sz w:val="32"/>
          <w:szCs w:val="32"/>
        </w:rPr>
        <w:t>提出的</w:t>
      </w:r>
      <w:r>
        <w:rPr>
          <w:rFonts w:hint="eastAsia" w:ascii="仿宋_GB2312" w:hAnsi="仿宋_GB2312" w:eastAsia="仿宋_GB2312" w:cs="仿宋_GB2312"/>
          <w:color w:val="auto"/>
          <w:sz w:val="32"/>
          <w:szCs w:val="32"/>
          <w:lang w:eastAsia="zh-CN"/>
        </w:rPr>
        <w:t>科教文卫</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关于</w:t>
      </w:r>
      <w:bookmarkStart w:id="0" w:name="_GoBack"/>
      <w:bookmarkEnd w:id="0"/>
      <w:r>
        <w:rPr>
          <w:rFonts w:hint="eastAsia" w:ascii="仿宋_GB2312" w:hAnsi="仿宋_GB2312" w:eastAsia="仿宋_GB2312" w:cs="仿宋_GB2312"/>
          <w:color w:val="auto"/>
          <w:sz w:val="32"/>
          <w:szCs w:val="32"/>
          <w:lang w:eastAsia="zh-CN"/>
        </w:rPr>
        <w:t>加大旅游示范村扶持力度、促进乡村振兴战略实施的建议</w:t>
      </w:r>
      <w:r>
        <w:rPr>
          <w:rFonts w:hint="eastAsia" w:ascii="仿宋_GB2312" w:hAnsi="仿宋_GB2312" w:eastAsia="仿宋_GB2312" w:cs="仿宋_GB2312"/>
          <w:color w:val="auto"/>
          <w:sz w:val="32"/>
          <w:szCs w:val="32"/>
        </w:rPr>
        <w:t>》收悉。经研究办理，现答复如下：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sz w:val="32"/>
          <w:szCs w:val="32"/>
          <w:lang w:val="en-US"/>
        </w:rPr>
      </w:pPr>
      <w:r>
        <w:rPr>
          <w:rFonts w:hint="eastAsia" w:ascii="仿宋_GB2312" w:hAnsi="仿宋_GB2312" w:eastAsia="仿宋_GB2312" w:cs="仿宋_GB2312"/>
          <w:color w:val="auto"/>
          <w:sz w:val="32"/>
          <w:szCs w:val="32"/>
          <w:lang w:eastAsia="zh-CN"/>
        </w:rPr>
        <w:t>您的建议</w:t>
      </w:r>
      <w:r>
        <w:rPr>
          <w:rFonts w:hint="eastAsia" w:ascii="仿宋_GB2312" w:hAnsi="仿宋_GB2312" w:eastAsia="仿宋_GB2312" w:cs="仿宋_GB2312"/>
          <w:color w:val="auto"/>
          <w:sz w:val="32"/>
          <w:szCs w:val="32"/>
        </w:rPr>
        <w:t>很好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感谢您对自治州</w:t>
      </w:r>
      <w:r>
        <w:rPr>
          <w:rFonts w:hint="eastAsia" w:ascii="仿宋_GB2312" w:hAnsi="仿宋_GB2312" w:eastAsia="仿宋_GB2312" w:cs="仿宋_GB2312"/>
          <w:color w:val="auto"/>
          <w:sz w:val="32"/>
          <w:szCs w:val="32"/>
          <w:lang w:eastAsia="zh-CN"/>
        </w:rPr>
        <w:t>旅游行业发展</w:t>
      </w:r>
      <w:r>
        <w:rPr>
          <w:rFonts w:hint="eastAsia" w:ascii="仿宋_GB2312" w:hAnsi="仿宋_GB2312" w:eastAsia="仿宋_GB2312" w:cs="仿宋_GB2312"/>
          <w:color w:val="auto"/>
          <w:sz w:val="32"/>
          <w:szCs w:val="32"/>
        </w:rPr>
        <w:t>的关心</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关注</w:t>
      </w:r>
      <w:r>
        <w:rPr>
          <w:rFonts w:hint="eastAsia" w:ascii="仿宋_GB2312" w:hAnsi="仿宋_GB2312" w:eastAsia="仿宋_GB2312" w:cs="仿宋_GB2312"/>
          <w:color w:val="auto"/>
          <w:sz w:val="32"/>
          <w:szCs w:val="32"/>
          <w:lang w:eastAsia="zh-CN"/>
        </w:rPr>
        <w:t>。乡村旅游已成为昌吉州旅游业发展的主阵地，农村扶贫开发的主力军。近年来，昌吉州依托“乌昌石克”城市群600多万人口的消</w:t>
      </w:r>
      <w:r>
        <w:rPr>
          <w:rFonts w:hint="eastAsia" w:ascii="仿宋_GB2312" w:hAnsi="仿宋_GB2312" w:eastAsia="仿宋_GB2312" w:cs="仿宋_GB2312"/>
          <w:color w:val="auto"/>
          <w:sz w:val="32"/>
          <w:szCs w:val="32"/>
        </w:rPr>
        <w:t>费市场，</w:t>
      </w:r>
      <w:r>
        <w:rPr>
          <w:rFonts w:hint="eastAsia" w:ascii="仿宋_GB2312" w:hAnsi="仿宋_GB2312" w:eastAsia="仿宋_GB2312" w:cs="仿宋_GB2312"/>
          <w:color w:val="auto"/>
          <w:sz w:val="32"/>
          <w:szCs w:val="32"/>
          <w:lang w:eastAsia="zh-CN"/>
        </w:rPr>
        <w:t>围绕</w:t>
      </w:r>
      <w:r>
        <w:rPr>
          <w:rFonts w:hint="eastAsia" w:ascii="仿宋_GB2312" w:hAnsi="仿宋_GB2312" w:eastAsia="仿宋_GB2312" w:cs="仿宋_GB2312"/>
          <w:color w:val="auto"/>
          <w:sz w:val="32"/>
          <w:szCs w:val="32"/>
        </w:rPr>
        <w:t>乡村生产发展、生态优化、生活富裕，</w:t>
      </w:r>
      <w:r>
        <w:rPr>
          <w:rFonts w:hint="eastAsia" w:ascii="仿宋_GB2312" w:hAnsi="仿宋_GB2312" w:eastAsia="仿宋_GB2312" w:cs="仿宋_GB2312"/>
          <w:color w:val="auto"/>
          <w:sz w:val="32"/>
          <w:szCs w:val="32"/>
          <w:lang w:eastAsia="zh-CN"/>
        </w:rPr>
        <w:t>着力打造</w:t>
      </w:r>
      <w:r>
        <w:rPr>
          <w:rFonts w:hint="eastAsia" w:ascii="仿宋_GB2312" w:hAnsi="仿宋_GB2312" w:eastAsia="仿宋_GB2312" w:cs="仿宋_GB2312"/>
          <w:color w:val="auto"/>
          <w:sz w:val="32"/>
          <w:szCs w:val="32"/>
        </w:rPr>
        <w:t>新疆休闲度假首选地</w:t>
      </w:r>
      <w:r>
        <w:rPr>
          <w:rFonts w:hint="eastAsia" w:ascii="仿宋_GB2312" w:hAnsi="仿宋_GB2312" w:eastAsia="仿宋_GB2312" w:cs="仿宋_GB2312"/>
          <w:color w:val="auto"/>
          <w:sz w:val="32"/>
          <w:szCs w:val="32"/>
          <w:lang w:eastAsia="zh-CN"/>
        </w:rPr>
        <w:t>和目的地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持续推进“丝路庭州嘉年华</w:t>
      </w:r>
      <w:r>
        <w:rPr>
          <w:rFonts w:hint="eastAsia" w:ascii="仿宋_GB2312" w:hAnsi="仿宋_GB2312" w:eastAsia="仿宋_GB2312" w:cs="仿宋_GB2312"/>
          <w:color w:val="auto"/>
          <w:sz w:val="32"/>
          <w:szCs w:val="32"/>
          <w:lang w:val="en-US" w:eastAsia="zh-CN"/>
        </w:rPr>
        <w:t>·昌吉周末快乐游</w:t>
      </w:r>
      <w:r>
        <w:rPr>
          <w:rFonts w:hint="eastAsia" w:ascii="仿宋_GB2312" w:hAnsi="仿宋_GB2312" w:eastAsia="仿宋_GB2312" w:cs="仿宋_GB2312"/>
          <w:color w:val="auto"/>
          <w:sz w:val="32"/>
          <w:szCs w:val="32"/>
          <w:lang w:eastAsia="zh-CN"/>
        </w:rPr>
        <w:t>”。初步统计，</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，全州乡村旅游人次突破</w:t>
      </w:r>
      <w:r>
        <w:rPr>
          <w:rFonts w:hint="eastAsia" w:ascii="仿宋_GB2312" w:hAnsi="仿宋_GB2312" w:eastAsia="仿宋_GB2312" w:cs="仿宋_GB2312"/>
          <w:color w:val="auto"/>
          <w:sz w:val="32"/>
          <w:szCs w:val="32"/>
          <w:lang w:val="en-US" w:eastAsia="zh-CN"/>
        </w:rPr>
        <w:t>2200</w:t>
      </w:r>
      <w:r>
        <w:rPr>
          <w:rFonts w:hint="eastAsia" w:ascii="仿宋_GB2312" w:hAnsi="仿宋_GB2312" w:eastAsia="仿宋_GB2312" w:cs="仿宋_GB2312"/>
          <w:color w:val="auto"/>
          <w:sz w:val="32"/>
          <w:szCs w:val="32"/>
          <w:lang w:eastAsia="zh-CN"/>
        </w:rPr>
        <w:t>万，乡村旅游、休闲农业从业人员达到</w:t>
      </w:r>
      <w:r>
        <w:rPr>
          <w:rFonts w:hint="eastAsia" w:ascii="仿宋_GB2312" w:hAnsi="仿宋_GB2312" w:eastAsia="仿宋_GB2312" w:cs="仿宋_GB2312"/>
          <w:color w:val="auto"/>
          <w:sz w:val="32"/>
          <w:szCs w:val="32"/>
          <w:lang w:val="en-US" w:eastAsia="zh-CN"/>
        </w:rPr>
        <w:t>4万余</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lang w:val="en-US" w:eastAsia="zh-CN"/>
        </w:rPr>
        <w:t xml:space="preserve">带动农户上千户致富增收，实现年人均增收2万元以上。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outlineLvl w:val="9"/>
        <w:rPr>
          <w:rFonts w:hint="eastAsia" w:ascii="仿宋_GB2312" w:hAnsi="仿宋_GB2312" w:eastAsia="仿宋_GB2312" w:cs="仿宋_GB2312"/>
          <w:snapToGrid w:val="0"/>
          <w:kern w:val="0"/>
          <w:sz w:val="32"/>
          <w:szCs w:val="32"/>
        </w:rPr>
      </w:pPr>
      <w:r>
        <w:rPr>
          <w:rFonts w:hint="eastAsia"/>
          <w:lang w:val="en-US" w:eastAsia="zh-CN"/>
        </w:rPr>
        <w:t xml:space="preserve">  </w:t>
      </w:r>
      <w:r>
        <w:rPr>
          <w:rFonts w:hint="eastAsia" w:ascii="楷体_GB2312" w:hAnsi="楷体_GB2312" w:eastAsia="楷体_GB2312" w:cs="楷体_GB2312"/>
          <w:b/>
          <w:bCs/>
          <w:lang w:val="en-US" w:eastAsia="zh-CN"/>
        </w:rPr>
        <w:t xml:space="preserve"> </w:t>
      </w:r>
      <w:r>
        <w:rPr>
          <w:rStyle w:val="11"/>
          <w:rFonts w:hint="eastAsia" w:ascii="楷体_GB2312" w:hAnsi="楷体_GB2312" w:eastAsia="楷体_GB2312" w:cs="楷体_GB2312"/>
          <w:b/>
          <w:bCs/>
          <w:snapToGrid w:val="0"/>
          <w:kern w:val="0"/>
          <w:sz w:val="32"/>
          <w:szCs w:val="32"/>
          <w:lang w:eastAsia="zh-CN"/>
        </w:rPr>
        <w:t>一是</w:t>
      </w:r>
      <w:r>
        <w:rPr>
          <w:rStyle w:val="11"/>
          <w:rFonts w:hint="eastAsia" w:ascii="楷体_GB2312" w:hAnsi="楷体_GB2312" w:eastAsia="楷体_GB2312" w:cs="楷体_GB2312"/>
          <w:b/>
          <w:bCs/>
          <w:snapToGrid w:val="0"/>
          <w:kern w:val="0"/>
          <w:sz w:val="32"/>
          <w:szCs w:val="32"/>
        </w:rPr>
        <w:t>科学统筹</w:t>
      </w:r>
      <w:r>
        <w:rPr>
          <w:rStyle w:val="11"/>
          <w:rFonts w:hint="eastAsia" w:ascii="楷体_GB2312" w:hAnsi="楷体_GB2312" w:eastAsia="楷体_GB2312" w:cs="楷体_GB2312"/>
          <w:b/>
          <w:bCs/>
          <w:snapToGrid w:val="0"/>
          <w:kern w:val="0"/>
          <w:sz w:val="32"/>
          <w:szCs w:val="32"/>
          <w:lang w:eastAsia="zh-CN"/>
        </w:rPr>
        <w:t>，规划引领。</w:t>
      </w:r>
      <w:r>
        <w:rPr>
          <w:rStyle w:val="11"/>
          <w:rFonts w:hint="eastAsia" w:ascii="仿宋_GB2312" w:hAnsi="仿宋_GB2312" w:eastAsia="仿宋_GB2312" w:cs="仿宋_GB2312"/>
          <w:b w:val="0"/>
          <w:bCs w:val="0"/>
          <w:snapToGrid w:val="0"/>
          <w:kern w:val="0"/>
          <w:sz w:val="32"/>
          <w:szCs w:val="32"/>
          <w:lang w:eastAsia="zh-CN"/>
        </w:rPr>
        <w:t>制定</w:t>
      </w:r>
      <w:r>
        <w:rPr>
          <w:rFonts w:hint="eastAsia" w:ascii="仿宋_GB2312" w:hAnsi="仿宋_GB2312" w:eastAsia="仿宋_GB2312" w:cs="仿宋_GB2312"/>
          <w:snapToGrid w:val="0"/>
          <w:kern w:val="0"/>
          <w:sz w:val="32"/>
          <w:szCs w:val="32"/>
        </w:rPr>
        <w:t>出台了《昌吉州全域旅游规划</w:t>
      </w:r>
      <w:r>
        <w:rPr>
          <w:rFonts w:hint="eastAsia" w:ascii="仿宋_GB2312" w:hAnsi="仿宋_GB2312" w:eastAsia="仿宋_GB2312" w:cs="仿宋_GB2312"/>
          <w:snapToGrid w:val="0"/>
          <w:kern w:val="0"/>
          <w:sz w:val="32"/>
          <w:szCs w:val="32"/>
          <w:lang w:eastAsia="zh-CN"/>
        </w:rPr>
        <w:t>及三年行动计划</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CN"/>
        </w:rPr>
        <w:t>，对乡村旅游进行了专章规划，《昌吉州乡村旅游发展规划》目前已完成编制。</w:t>
      </w:r>
      <w:r>
        <w:rPr>
          <w:rFonts w:hint="eastAsia" w:ascii="仿宋_GB2312" w:hAnsi="仿宋_GB2312" w:eastAsia="仿宋_GB2312" w:cs="仿宋_GB2312"/>
          <w:sz w:val="32"/>
          <w:szCs w:val="32"/>
        </w:rPr>
        <w:t>下发了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关于加快发展乡村旅游的实施意见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32"/>
          <w:lang w:eastAsia="zh-CN"/>
        </w:rPr>
        <w:t>出台了</w:t>
      </w:r>
      <w:r>
        <w:rPr>
          <w:rFonts w:hint="eastAsia" w:ascii="仿宋_GB2312" w:hAnsi="仿宋_GB2312" w:eastAsia="仿宋_GB2312" w:cs="仿宋_GB2312"/>
          <w:snapToGrid w:val="0"/>
          <w:kern w:val="0"/>
          <w:sz w:val="32"/>
          <w:szCs w:val="32"/>
        </w:rPr>
        <w:t>昌吉州《乡村旅游示范村评定标准》</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《乡村民宿管理办法》、《乡村民宿服务质量等级划分与评定》、《农业观光休闲旅游示范点评定标准》、《自驾车露营地建设与服务规范》、《葡萄酒庄旅游服务质量标准》</w:t>
      </w:r>
      <w:r>
        <w:rPr>
          <w:rFonts w:hint="eastAsia" w:ascii="仿宋_GB2312" w:hAnsi="仿宋_GB2312" w:eastAsia="仿宋_GB2312" w:cs="仿宋_GB2312"/>
          <w:snapToGrid w:val="0"/>
          <w:kern w:val="0"/>
          <w:sz w:val="32"/>
          <w:szCs w:val="32"/>
          <w:lang w:eastAsia="zh-CN"/>
        </w:rPr>
        <w:t>等地方标准。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二是典型示范，引导发展。</w:t>
      </w:r>
      <w:r>
        <w:rPr>
          <w:rStyle w:val="11"/>
          <w:rFonts w:hint="eastAsia" w:ascii="仿宋_GB2312" w:hAnsi="仿宋_GB2312" w:eastAsia="仿宋_GB2312" w:cs="仿宋_GB2312"/>
          <w:b w:val="0"/>
          <w:bCs w:val="0"/>
          <w:snapToGrid w:val="0"/>
          <w:kern w:val="0"/>
          <w:sz w:val="32"/>
          <w:szCs w:val="32"/>
          <w:lang w:eastAsia="zh-CN"/>
        </w:rPr>
        <w:t>结合美丽乡村建设，在全疆率先开展了乡村旅游示范村创建，推动具备条件的乡镇和村，集中连片、整村整乡发展农家乐，规划打造了10个特色乡镇、18个乡村旅游示范村。引导乡村旅游示范村申创国家级和省级乡村旅游示范点以及全国乡村旅游重点村，通过业主申请、县市辅导推荐、州局复核验收评定等程序，推动乡村旅游品牌化和产业化发展。目前，形成了以昌吉市芸农庄</w:t>
      </w:r>
      <w:r>
        <w:rPr>
          <w:rStyle w:val="11"/>
          <w:rFonts w:hint="eastAsia" w:ascii="仿宋_GB2312" w:hAnsi="仿宋_GB2312" w:eastAsia="仿宋_GB2312" w:cs="仿宋_GB2312"/>
          <w:b w:val="0"/>
          <w:bCs w:val="0"/>
          <w:snapToGrid w:val="0"/>
          <w:kern w:val="0"/>
          <w:sz w:val="32"/>
          <w:szCs w:val="32"/>
          <w:lang w:val="en-US" w:eastAsia="zh-CN"/>
        </w:rPr>
        <w:t>休闲度假，奇台县涨坝村、腰站子村乡村民宿，</w:t>
      </w:r>
      <w:r>
        <w:rPr>
          <w:rStyle w:val="11"/>
          <w:rFonts w:hint="eastAsia" w:ascii="仿宋_GB2312" w:hAnsi="仿宋_GB2312" w:eastAsia="仿宋_GB2312" w:cs="仿宋_GB2312"/>
          <w:b w:val="0"/>
          <w:bCs w:val="0"/>
          <w:snapToGrid w:val="0"/>
          <w:kern w:val="0"/>
          <w:sz w:val="32"/>
          <w:szCs w:val="32"/>
          <w:lang w:eastAsia="zh-CN"/>
        </w:rPr>
        <w:t>木垒县月亮地村、菜籽沟村民俗文化体验，吉木萨尔县新地乡小分子“画家村”摄影写生，阜</w:t>
      </w:r>
      <w:r>
        <w:rPr>
          <w:rFonts w:hint="eastAsia" w:ascii="仿宋_GB2312" w:hAnsi="仿宋_GB2312" w:eastAsia="仿宋_GB2312" w:cs="仿宋_GB2312"/>
          <w:sz w:val="32"/>
          <w:szCs w:val="32"/>
          <w:lang w:eastAsia="zh-CN"/>
        </w:rPr>
        <w:t>康市山坡中心村观光避暑为代表的乡村旅游品牌，全州</w:t>
      </w:r>
      <w:r>
        <w:rPr>
          <w:rFonts w:hint="eastAsia" w:ascii="仿宋_GB2312" w:hAnsi="仿宋_GB2312" w:eastAsia="仿宋_GB2312" w:cs="仿宋_GB2312"/>
          <w:sz w:val="32"/>
          <w:szCs w:val="32"/>
        </w:rPr>
        <w:t>现有自治区级星级农家乐146家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乡村旅游民宿</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outlineLvl w:val="9"/>
        <w:rPr>
          <w:rStyle w:val="11"/>
          <w:rFonts w:hint="eastAsia" w:ascii="仿宋_GB2312" w:hAnsi="仿宋_GB2312" w:eastAsia="仿宋_GB2312" w:cs="仿宋_GB2312"/>
          <w:b w:val="0"/>
          <w:bCs w:val="0"/>
          <w:snapToGrid w:val="0"/>
          <w:kern w:val="0"/>
          <w:sz w:val="32"/>
          <w:szCs w:val="32"/>
          <w:lang w:val="en-US" w:eastAsia="zh-CN" w:bidi="ar-SA"/>
        </w:rPr>
      </w:pPr>
      <w:r>
        <w:rPr>
          <w:rFonts w:hint="eastAsia" w:ascii="楷体_GB2312" w:hAnsi="楷体_GB2312" w:eastAsia="楷体_GB2312" w:cs="楷体_GB2312"/>
          <w:b/>
          <w:bCs w:val="0"/>
          <w:sz w:val="32"/>
          <w:szCs w:val="32"/>
          <w:lang w:eastAsia="zh-CN"/>
        </w:rPr>
        <w:t>三是</w:t>
      </w:r>
      <w:r>
        <w:rPr>
          <w:rFonts w:hint="eastAsia" w:ascii="楷体_GB2312" w:hAnsi="楷体_GB2312" w:eastAsia="楷体_GB2312" w:cs="楷体_GB2312"/>
          <w:b/>
          <w:bCs w:val="0"/>
          <w:color w:val="000000"/>
          <w:kern w:val="0"/>
          <w:sz w:val="32"/>
          <w:szCs w:val="32"/>
          <w:lang w:val="en-US" w:eastAsia="zh-CN" w:bidi="ar-SA"/>
        </w:rPr>
        <w:t>丰富供给</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配套</w:t>
      </w:r>
      <w:r>
        <w:rPr>
          <w:rFonts w:hint="eastAsia" w:ascii="楷体_GB2312" w:hAnsi="楷体_GB2312" w:eastAsia="楷体_GB2312" w:cs="楷体_GB2312"/>
          <w:b/>
          <w:bCs w:val="0"/>
          <w:sz w:val="32"/>
          <w:szCs w:val="32"/>
          <w:lang w:eastAsia="zh-CN"/>
        </w:rPr>
        <w:t>设施</w:t>
      </w:r>
      <w:r>
        <w:rPr>
          <w:rFonts w:hint="eastAsia" w:ascii="楷体_GB2312" w:hAnsi="楷体_GB2312" w:eastAsia="楷体_GB2312" w:cs="楷体_GB2312"/>
          <w:b/>
          <w:bCs w:val="0"/>
          <w:sz w:val="32"/>
          <w:szCs w:val="32"/>
        </w:rPr>
        <w:t>。</w:t>
      </w:r>
      <w:r>
        <w:rPr>
          <w:rStyle w:val="11"/>
          <w:rFonts w:hint="eastAsia" w:ascii="仿宋_GB2312" w:hAnsi="仿宋_GB2312" w:eastAsia="仿宋_GB2312" w:cs="仿宋_GB2312"/>
          <w:b w:val="0"/>
          <w:bCs w:val="0"/>
          <w:snapToGrid w:val="0"/>
          <w:kern w:val="0"/>
          <w:sz w:val="32"/>
          <w:szCs w:val="32"/>
          <w:lang w:val="en-US" w:eastAsia="zh-CN" w:bidi="ar-SA"/>
        </w:rPr>
        <w:t>积极引导和支持当地群众创办特色餐饮、特色农庄、特色民宿、特色观光、康养、休闲、采摘、娱乐、种养等风格各异的乡村旅游产品。鼓励农产品生产加工企业开发具有昌吉特色的休闲食品、工艺品等旅游商品，拓展延伸乡村旅游产品链，促进乡村旅游消费，增加农牧民收入。策划举办系列乡风民俗、农事节会活动，实现“以节庆促旅游、以节庆促增收、以节庆带富民”。加快乡村旅游基础设施建设，规范乡村旅游接待服务体系建设，引导接待户进行客房、厨房、厕所的改造提升。根据《昌吉州旅游民宿户厕建设参考标准》和《昌吉州旅游民宿建设实施方案》，自治区下达昌吉州旅游民宿床位补贴资金349.4万元，自治州财政下达旅游民宿户厕补贴资金250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Style w:val="11"/>
          <w:rFonts w:hint="eastAsia" w:ascii="仿宋_GB2312" w:hAnsi="仿宋_GB2312" w:eastAsia="仿宋_GB2312" w:cs="仿宋_GB2312"/>
          <w:b w:val="0"/>
          <w:bCs w:val="0"/>
          <w:snapToGrid w:val="0"/>
          <w:kern w:val="0"/>
          <w:sz w:val="32"/>
          <w:szCs w:val="32"/>
          <w:lang w:val="en-US" w:eastAsia="zh-CN" w:bidi="ar-SA"/>
        </w:rPr>
      </w:pPr>
      <w:r>
        <w:rPr>
          <w:rStyle w:val="11"/>
          <w:rFonts w:hint="eastAsia" w:ascii="仿宋_GB2312" w:hAnsi="仿宋_GB2312" w:eastAsia="仿宋_GB2312" w:cs="仿宋_GB2312"/>
          <w:b w:val="0"/>
          <w:bCs w:val="0"/>
          <w:snapToGrid w:val="0"/>
          <w:kern w:val="0"/>
          <w:sz w:val="32"/>
          <w:szCs w:val="32"/>
          <w:lang w:val="en-US" w:eastAsia="zh-CN" w:bidi="ar-SA"/>
        </w:rPr>
        <w:t>实施乡村振兴战略以来，在政策出台、整体部署、加大基础设施等方面有了很大的提高，乡村旅游发展有了较大提升，但是还存在服务水平较低、服务覆盖面还不够广、服务还未能达到均等化，乡村旅游发展基础薄弱，投入不足等问题。针对这些问题，将重点做好以下几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Style w:val="11"/>
          <w:rFonts w:hint="eastAsia" w:ascii="仿宋_GB2312" w:hAnsi="仿宋_GB2312" w:eastAsia="仿宋_GB2312" w:cs="仿宋_GB2312"/>
          <w:b w:val="0"/>
          <w:bCs w:val="0"/>
          <w:snapToGrid w:val="0"/>
          <w:kern w:val="0"/>
          <w:sz w:val="32"/>
          <w:szCs w:val="32"/>
          <w:lang w:eastAsia="zh-CN"/>
        </w:rPr>
      </w:pPr>
      <w:r>
        <w:rPr>
          <w:rFonts w:hint="eastAsia" w:ascii="楷体_GB2312" w:hAnsi="楷体_GB2312" w:eastAsia="楷体_GB2312" w:cs="楷体_GB2312"/>
          <w:b/>
          <w:i w:val="0"/>
          <w:caps w:val="0"/>
          <w:color w:val="auto"/>
          <w:spacing w:val="0"/>
          <w:kern w:val="0"/>
          <w:sz w:val="32"/>
          <w:szCs w:val="32"/>
          <w:lang w:val="en-US" w:eastAsia="zh-CN" w:bidi="ar"/>
        </w:rPr>
        <w:t>一是打造乡村旅游优势品牌。</w:t>
      </w:r>
      <w:r>
        <w:rPr>
          <w:rStyle w:val="11"/>
          <w:rFonts w:hint="eastAsia" w:ascii="仿宋_GB2312" w:hAnsi="仿宋_GB2312" w:eastAsia="仿宋_GB2312" w:cs="仿宋_GB2312"/>
          <w:b w:val="0"/>
          <w:bCs w:val="0"/>
          <w:snapToGrid w:val="0"/>
          <w:kern w:val="0"/>
          <w:sz w:val="32"/>
          <w:szCs w:val="32"/>
          <w:lang w:val="en-US" w:eastAsia="zh-CN"/>
        </w:rPr>
        <w:t>充分利用我州乡村旅游资源十分丰富的优势，做好特色文章，体现乡土特色，持续推进乡村旅游示范村培育创建，打造乡村旅游优势品牌。</w:t>
      </w:r>
      <w:r>
        <w:rPr>
          <w:rStyle w:val="11"/>
          <w:rFonts w:hint="eastAsia" w:ascii="仿宋_GB2312" w:hAnsi="仿宋_GB2312" w:eastAsia="仿宋_GB2312" w:cs="仿宋_GB2312"/>
          <w:b w:val="0"/>
          <w:bCs w:val="0"/>
          <w:snapToGrid w:val="0"/>
          <w:kern w:val="0"/>
          <w:sz w:val="32"/>
          <w:szCs w:val="32"/>
          <w:lang w:eastAsia="zh-CN"/>
        </w:rPr>
        <w:t>提升发展农业观光、文化体验、民俗风情、特色餐饮等传统乡村旅游产品；着力引导乡村民宿、乡村营地、乡村俱乐部、康养农庄四大休闲度假业态；积极发展养生养老、创意农业、农耕体验、乡村手工艺、教育农场、欢乐渔场、运动基地、文创基地、自驾车营地等特色业态。结合“美丽乡村”，培育发展多元化、集聚式的乡村民宿，推进乡村旅游住宿业发展。支持开发具有地方特色的农产品、手工艺品，结合地方集市发展乡村购物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Style w:val="11"/>
          <w:rFonts w:hint="eastAsia" w:ascii="仿宋_GB2312" w:hAnsi="仿宋_GB2312" w:eastAsia="仿宋_GB2312" w:cs="仿宋_GB2312"/>
          <w:b w:val="0"/>
          <w:bCs w:val="0"/>
          <w:snapToGrid w:val="0"/>
          <w:kern w:val="0"/>
          <w:sz w:val="32"/>
          <w:szCs w:val="32"/>
          <w:lang w:eastAsia="zh-CN"/>
        </w:rPr>
      </w:pPr>
      <w:r>
        <w:rPr>
          <w:rFonts w:hint="eastAsia" w:ascii="楷体_GB2312" w:hAnsi="楷体_GB2312" w:eastAsia="楷体_GB2312" w:cs="楷体_GB2312"/>
          <w:b/>
          <w:bCs/>
          <w:kern w:val="1"/>
          <w:sz w:val="32"/>
          <w:szCs w:val="32"/>
          <w:lang w:eastAsia="zh-CN"/>
        </w:rPr>
        <w:t>二是持续</w:t>
      </w:r>
      <w:r>
        <w:rPr>
          <w:rFonts w:hint="eastAsia" w:ascii="楷体_GB2312" w:hAnsi="楷体_GB2312" w:eastAsia="楷体_GB2312" w:cs="楷体_GB2312"/>
          <w:b/>
          <w:bCs/>
          <w:snapToGrid w:val="0"/>
          <w:color w:val="000000"/>
          <w:kern w:val="2"/>
          <w:sz w:val="32"/>
          <w:szCs w:val="32"/>
          <w:lang w:val="en-US" w:eastAsia="zh-CN" w:bidi="ar-SA"/>
        </w:rPr>
        <w:t>完善旅游基础服务设施。</w:t>
      </w:r>
      <w:r>
        <w:rPr>
          <w:rStyle w:val="11"/>
          <w:rFonts w:hint="eastAsia" w:ascii="仿宋_GB2312" w:hAnsi="仿宋_GB2312" w:eastAsia="仿宋_GB2312" w:cs="仿宋_GB2312"/>
          <w:b w:val="0"/>
          <w:bCs w:val="0"/>
          <w:snapToGrid w:val="0"/>
          <w:kern w:val="0"/>
          <w:sz w:val="32"/>
          <w:szCs w:val="32"/>
          <w:lang w:val="en-US" w:eastAsia="zh-CN"/>
        </w:rPr>
        <w:t>重点抓好</w:t>
      </w:r>
      <w:r>
        <w:rPr>
          <w:rStyle w:val="11"/>
          <w:rFonts w:hint="eastAsia" w:ascii="仿宋_GB2312" w:hAnsi="仿宋_GB2312" w:eastAsia="仿宋_GB2312" w:cs="仿宋_GB2312"/>
          <w:b w:val="0"/>
          <w:bCs w:val="0"/>
          <w:snapToGrid w:val="0"/>
          <w:kern w:val="0"/>
          <w:sz w:val="32"/>
          <w:szCs w:val="32"/>
          <w:lang w:eastAsia="zh-CN"/>
        </w:rPr>
        <w:t>天山廊道世界遗产风景道（南山伴行旅游公路）、天山百里丹霞旅游风景道（S101公路）、车师古道旅游风景道、北部沙漠环线旅游风景道等四条旅游风景道</w:t>
      </w:r>
      <w:r>
        <w:rPr>
          <w:rStyle w:val="11"/>
          <w:rFonts w:hint="eastAsia" w:ascii="仿宋_GB2312" w:hAnsi="仿宋_GB2312" w:eastAsia="仿宋_GB2312" w:cs="仿宋_GB2312"/>
          <w:b w:val="0"/>
          <w:bCs w:val="0"/>
          <w:snapToGrid w:val="0"/>
          <w:kern w:val="0"/>
          <w:sz w:val="32"/>
          <w:szCs w:val="32"/>
          <w:lang w:val="en-US" w:eastAsia="zh-CN"/>
        </w:rPr>
        <w:t>沿线的玛纳斯县清水河乡红坑民俗村、呼图壁县石梯子乡白杨河村、昌吉市硫磺沟镇的楼庄子村，吉木萨尔县泉子街镇的太平村等11个旅游示范村的培育打造。</w:t>
      </w:r>
      <w:r>
        <w:rPr>
          <w:rStyle w:val="11"/>
          <w:rFonts w:hint="eastAsia" w:ascii="仿宋_GB2312" w:hAnsi="仿宋_GB2312" w:eastAsia="仿宋_GB2312" w:cs="仿宋_GB2312"/>
          <w:b w:val="0"/>
          <w:bCs w:val="0"/>
          <w:snapToGrid w:val="0"/>
          <w:kern w:val="0"/>
          <w:sz w:val="32"/>
          <w:szCs w:val="32"/>
          <w:lang w:eastAsia="zh-CN"/>
        </w:rPr>
        <w:t>集中改善四条环线沿线道路、停车场、驿站、观景台等配套设施建设，完善</w:t>
      </w:r>
      <w:r>
        <w:rPr>
          <w:rStyle w:val="11"/>
          <w:rFonts w:hint="eastAsia" w:ascii="仿宋_GB2312" w:hAnsi="仿宋_GB2312" w:eastAsia="仿宋_GB2312" w:cs="仿宋_GB2312"/>
          <w:b w:val="0"/>
          <w:bCs w:val="0"/>
          <w:snapToGrid w:val="0"/>
          <w:kern w:val="0"/>
          <w:sz w:val="32"/>
          <w:szCs w:val="32"/>
          <w:lang w:val="en-US" w:eastAsia="zh-CN"/>
        </w:rPr>
        <w:t>旅游交通标识标牌</w:t>
      </w:r>
      <w:r>
        <w:rPr>
          <w:rStyle w:val="11"/>
          <w:rFonts w:hint="eastAsia" w:ascii="仿宋_GB2312" w:hAnsi="仿宋_GB2312" w:eastAsia="仿宋_GB2312" w:cs="仿宋_GB2312"/>
          <w:b w:val="0"/>
          <w:bCs w:val="0"/>
          <w:snapToGrid w:val="0"/>
          <w:kern w:val="0"/>
          <w:sz w:val="32"/>
          <w:szCs w:val="32"/>
          <w:lang w:eastAsia="zh-CN"/>
        </w:rPr>
        <w:t>，提升昌吉州旅游整体形象。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Style w:val="11"/>
          <w:rFonts w:hint="eastAsia" w:ascii="仿宋_GB2312" w:hAnsi="仿宋_GB2312" w:eastAsia="仿宋_GB2312" w:cs="仿宋_GB2312"/>
          <w:b w:val="0"/>
          <w:bCs w:val="0"/>
          <w:snapToGrid w:val="0"/>
          <w:kern w:val="0"/>
          <w:sz w:val="32"/>
          <w:szCs w:val="32"/>
          <w:lang w:val="en-US" w:eastAsia="zh-CN"/>
        </w:rPr>
      </w:pPr>
      <w:r>
        <w:rPr>
          <w:rFonts w:hint="eastAsia" w:ascii="楷体_GB2312" w:hAnsi="楷体_GB2312" w:eastAsia="楷体_GB2312" w:cs="楷体_GB2312"/>
          <w:b/>
          <w:bCs/>
          <w:kern w:val="1"/>
          <w:sz w:val="32"/>
          <w:szCs w:val="32"/>
          <w:lang w:val="en-US" w:eastAsia="zh-CN"/>
        </w:rPr>
        <w:t>三是促进旅游示范村的培育和旅游民宿建设顺利完成。</w:t>
      </w:r>
      <w:r>
        <w:rPr>
          <w:rStyle w:val="11"/>
          <w:rFonts w:hint="eastAsia" w:ascii="仿宋_GB2312" w:hAnsi="仿宋_GB2312" w:eastAsia="仿宋_GB2312" w:cs="仿宋_GB2312"/>
          <w:b w:val="0"/>
          <w:bCs w:val="0"/>
          <w:snapToGrid w:val="0"/>
          <w:kern w:val="0"/>
          <w:sz w:val="32"/>
          <w:szCs w:val="32"/>
          <w:lang w:val="en-US" w:eastAsia="zh-CN"/>
        </w:rPr>
        <w:t>全年计划提升培育乡村旅游示范村共11个，新建民宿280家，根据上半年完成任务情况看，旅游示范村培育和和旅游民宿建设稳步进行。由于疫情影响，下半年的工作中，提供有效的优惠帮扶措施，通过简化办理证书手续、政府资金帮扶等措施，帮助乡村示范村和旅游民宿建设度过难过，进一步促进相关任务的顺利推</w:t>
      </w:r>
      <w:r>
        <w:rPr>
          <w:rStyle w:val="11"/>
          <w:rFonts w:hint="eastAsia" w:ascii="仿宋_GB2312" w:hAnsi="仿宋_GB2312" w:eastAsia="仿宋_GB2312" w:cs="仿宋_GB2312"/>
          <w:b w:val="0"/>
          <w:bCs w:val="0"/>
          <w:snapToGrid w:val="0"/>
          <w:spacing w:val="-6"/>
          <w:kern w:val="0"/>
          <w:sz w:val="32"/>
          <w:szCs w:val="32"/>
          <w:lang w:val="en-US" w:eastAsia="zh-CN"/>
        </w:rPr>
        <w:t>进，完成既定任务，</w:t>
      </w:r>
      <w:r>
        <w:rPr>
          <w:rStyle w:val="11"/>
          <w:rFonts w:hint="eastAsia" w:ascii="仿宋_GB2312" w:hAnsi="仿宋_GB2312" w:eastAsia="仿宋_GB2312" w:cs="仿宋_GB2312"/>
          <w:b w:val="0"/>
          <w:bCs w:val="0"/>
          <w:snapToGrid w:val="0"/>
          <w:spacing w:val="-6"/>
          <w:kern w:val="0"/>
          <w:sz w:val="32"/>
          <w:szCs w:val="32"/>
          <w:lang w:eastAsia="zh-CN"/>
        </w:rPr>
        <w:t>为疫情后的乡村旅游接待能力做好充足的准备。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Style w:val="11"/>
          <w:rFonts w:hint="eastAsia" w:ascii="仿宋_GB2312" w:hAnsi="仿宋_GB2312" w:eastAsia="仿宋_GB2312" w:cs="仿宋_GB2312"/>
          <w:b w:val="0"/>
          <w:bCs w:val="0"/>
          <w:snapToGrid w:val="0"/>
          <w:kern w:val="0"/>
          <w:sz w:val="32"/>
          <w:szCs w:val="32"/>
          <w:lang w:eastAsia="zh-CN"/>
        </w:rPr>
      </w:pPr>
      <w:r>
        <w:rPr>
          <w:rFonts w:hint="eastAsia" w:ascii="楷体_GB2312" w:hAnsi="楷体_GB2312" w:eastAsia="楷体_GB2312" w:cs="楷体_GB2312"/>
          <w:b/>
          <w:bCs/>
          <w:kern w:val="1"/>
          <w:sz w:val="32"/>
          <w:szCs w:val="32"/>
          <w:lang w:val="en-US" w:eastAsia="zh-CN"/>
        </w:rPr>
        <w:t>四是提升乡村旅游发展能力和影响力。</w:t>
      </w:r>
      <w:r>
        <w:rPr>
          <w:rStyle w:val="11"/>
          <w:rFonts w:hint="eastAsia" w:ascii="仿宋_GB2312" w:hAnsi="仿宋_GB2312" w:eastAsia="仿宋_GB2312" w:cs="仿宋_GB2312"/>
          <w:b w:val="0"/>
          <w:bCs w:val="0"/>
          <w:snapToGrid w:val="0"/>
          <w:kern w:val="0"/>
          <w:sz w:val="32"/>
          <w:szCs w:val="32"/>
          <w:lang w:val="en-US" w:eastAsia="zh-CN"/>
        </w:rPr>
        <w:t>进一步强化服务意识，抢抓</w:t>
      </w:r>
      <w:r>
        <w:rPr>
          <w:rStyle w:val="11"/>
          <w:rFonts w:hint="eastAsia" w:ascii="仿宋_GB2312" w:hAnsi="仿宋_GB2312" w:eastAsia="仿宋_GB2312" w:cs="仿宋_GB2312"/>
          <w:b w:val="0"/>
          <w:bCs w:val="0"/>
          <w:snapToGrid w:val="0"/>
          <w:kern w:val="0"/>
          <w:sz w:val="32"/>
          <w:szCs w:val="32"/>
          <w:lang w:eastAsia="zh-CN"/>
        </w:rPr>
        <w:t>乡村旅游快速发展的重要机遇，</w:t>
      </w:r>
      <w:r>
        <w:rPr>
          <w:rStyle w:val="11"/>
          <w:rFonts w:hint="eastAsia" w:ascii="仿宋_GB2312" w:hAnsi="仿宋_GB2312" w:eastAsia="仿宋_GB2312" w:cs="仿宋_GB2312"/>
          <w:b w:val="0"/>
          <w:bCs w:val="0"/>
          <w:snapToGrid w:val="0"/>
          <w:kern w:val="0"/>
          <w:sz w:val="32"/>
          <w:szCs w:val="32"/>
          <w:lang w:val="en-US" w:eastAsia="zh-CN"/>
        </w:rPr>
        <w:t>加快我州乡村旅游的建设步伐和进度。加大宣传力度，提高我州乡村旅游的市场认知度。利用疫情防控的旅游空档期，加强乡村旅游管理人才和从业人员的培训，提升乡村旅游管理水平。做好乡村旅游营销的指导和协调工作，促进乡村旅游提质增效。持续</w:t>
      </w:r>
      <w:r>
        <w:rPr>
          <w:rStyle w:val="11"/>
          <w:rFonts w:hint="eastAsia" w:ascii="仿宋_GB2312" w:hAnsi="仿宋_GB2312" w:eastAsia="仿宋_GB2312" w:cs="仿宋_GB2312"/>
          <w:b w:val="0"/>
          <w:bCs w:val="0"/>
          <w:snapToGrid w:val="0"/>
          <w:kern w:val="0"/>
          <w:sz w:val="32"/>
          <w:szCs w:val="32"/>
          <w:lang w:eastAsia="zh-CN"/>
        </w:rPr>
        <w:t>举办“丝路庭州嘉年华 昌吉周末快乐游”系列活动，实现“以节庆促旅游、以节庆促增收、以节庆带富民”。推出特色民俗节庆活动，如玛纳斯县的乡村民俗旅游节、大佛寺庙会，呼图壁县的新疆曲子节、海棠花节，昌吉市的美食文化节，阜康市的乡村旅游节，吉木萨尔县的六月六庙会，奇台县的古城美食节等。</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Style w:val="11"/>
          <w:rFonts w:hint="eastAsia" w:ascii="仿宋_GB2312" w:hAnsi="仿宋_GB2312" w:eastAsia="仿宋_GB2312" w:cs="仿宋_GB2312"/>
          <w:b w:val="0"/>
          <w:bCs w:val="0"/>
          <w:snapToGrid w:val="0"/>
          <w:kern w:val="0"/>
          <w:sz w:val="32"/>
          <w:szCs w:val="32"/>
          <w:lang w:eastAsia="zh-CN"/>
        </w:rPr>
      </w:pPr>
      <w:r>
        <w:rPr>
          <w:rFonts w:hint="eastAsia" w:ascii="楷体_GB2312" w:hAnsi="楷体_GB2312" w:eastAsia="楷体_GB2312" w:cs="楷体_GB2312"/>
          <w:b/>
          <w:bCs/>
          <w:kern w:val="1"/>
          <w:sz w:val="32"/>
          <w:szCs w:val="32"/>
          <w:lang w:eastAsia="zh-CN"/>
        </w:rPr>
        <w:t>五是大力发展本地旅游和疆内旅游，积极探索乡村旅游发展与经营模式。</w:t>
      </w:r>
      <w:r>
        <w:rPr>
          <w:rStyle w:val="11"/>
          <w:rFonts w:hint="eastAsia" w:ascii="仿宋_GB2312" w:hAnsi="仿宋_GB2312" w:eastAsia="仿宋_GB2312" w:cs="仿宋_GB2312"/>
          <w:b w:val="0"/>
          <w:bCs w:val="0"/>
          <w:snapToGrid w:val="0"/>
          <w:kern w:val="0"/>
          <w:sz w:val="32"/>
          <w:szCs w:val="32"/>
          <w:lang w:eastAsia="zh-CN"/>
        </w:rPr>
        <w:t>着重发展疆内旅游，注重疆内市场，尤其是本地市场的开拓，重视疫情低风险区旅游市场；进一步探索适合本地区的乡村旅游发展新模式，探索旅游扶贫新路子。如：通过旅行社联合营销，形成共同开发市场的“旅行社带村”模式；通过推动景区辐射带动周边，重视本地市场和疆内市场的开发和营销，形成景区与乡村共建共生的“景区带村”模式；通过壮大企业和社会资本主导乡村旅游经营，吸纳当地村民参与的“公司+农户”模式；引导专业合作社积极参与，形成专业化服务与规模化经营相结合的“合作社+农户”模式。同时，进一步重视农副产品的开发，打造“后备箱”工程和“新疆礼物”、“昌吉礼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1"/>
          <w:rFonts w:hint="eastAsia" w:ascii="仿宋_GB2312" w:hAnsi="仿宋_GB2312" w:eastAsia="仿宋_GB2312" w:cs="仿宋_GB2312"/>
          <w:b w:val="0"/>
          <w:bCs w:val="0"/>
          <w:snapToGrid w:val="0"/>
          <w:kern w:val="0"/>
          <w:sz w:val="32"/>
          <w:szCs w:val="32"/>
          <w:lang w:eastAsia="zh-CN"/>
        </w:rPr>
      </w:pPr>
      <w:r>
        <w:rPr>
          <w:rStyle w:val="11"/>
          <w:rFonts w:hint="eastAsia" w:ascii="仿宋_GB2312" w:hAnsi="仿宋_GB2312" w:eastAsia="仿宋_GB2312" w:cs="仿宋_GB2312"/>
          <w:b w:val="0"/>
          <w:bCs w:val="0"/>
          <w:snapToGrid w:val="0"/>
          <w:kern w:val="0"/>
          <w:sz w:val="32"/>
          <w:szCs w:val="32"/>
          <w:lang w:eastAsia="zh-CN"/>
        </w:rPr>
        <w:t>以上答复请您审议，如有不妥之处，我们将继续与您及相关部门衔接。</w:t>
      </w: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分管州领导签字：  </w:t>
      </w:r>
      <w:r>
        <w:rPr>
          <w:rFonts w:hint="eastAsia" w:ascii="仿宋_GB2312" w:hAnsi="仿宋_GB2312" w:eastAsia="仿宋_GB2312" w:cs="仿宋_GB2312"/>
          <w:color w:val="auto"/>
          <w:sz w:val="32"/>
          <w:szCs w:val="32"/>
        </w:rPr>
        <w:t xml:space="preserve">                                      </w:t>
      </w:r>
    </w:p>
    <w:p>
      <w:pPr>
        <w:keepNext w:val="0"/>
        <w:keepLines w:val="0"/>
        <w:pageBreakBefore w:val="0"/>
        <w:widowControl w:val="0"/>
        <w:tabs>
          <w:tab w:val="left" w:pos="3954"/>
        </w:tabs>
        <w:kinsoku/>
        <w:wordWrap/>
        <w:overflowPunct/>
        <w:topLinePunct w:val="0"/>
        <w:autoSpaceDE/>
        <w:autoSpaceDN/>
        <w:bidi w:val="0"/>
        <w:adjustRightInd/>
        <w:snapToGrid/>
        <w:spacing w:line="560" w:lineRule="exact"/>
        <w:ind w:left="-525" w:leftChars="-250" w:right="-525" w:rightChars="-250" w:firstLine="480"/>
        <w:jc w:val="left"/>
        <w:textAlignment w:val="auto"/>
        <w:rPr>
          <w:rFonts w:hint="eastAsia"/>
          <w:lang w:eastAsia="zh-CN"/>
        </w:rPr>
      </w:pPr>
      <w:r>
        <w:rPr>
          <w:rFonts w:hint="eastAsia" w:ascii="仿宋_GB2312" w:hAnsi="仿宋_GB2312" w:eastAsia="仿宋_GB2312" w:cs="仿宋_GB2312"/>
          <w:color w:val="auto"/>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520" w:firstLineChars="1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sz w:val="32"/>
          <w:szCs w:val="32"/>
          <w:lang w:val="en-US" w:eastAsia="zh-CN"/>
        </w:rPr>
        <w:t>杨亚萍</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sz w:val="32"/>
          <w:szCs w:val="32"/>
          <w:lang w:val="en-US" w:eastAsia="zh-CN"/>
        </w:rPr>
        <w:t>18699498716</w:t>
      </w:r>
    </w:p>
    <w:p>
      <w:pPr>
        <w:pStyle w:val="2"/>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both"/>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78B1825"/>
    <w:rsid w:val="091741FD"/>
    <w:rsid w:val="13213336"/>
    <w:rsid w:val="13795C2D"/>
    <w:rsid w:val="13B16EF3"/>
    <w:rsid w:val="16A56D13"/>
    <w:rsid w:val="1721427F"/>
    <w:rsid w:val="18FF55D8"/>
    <w:rsid w:val="1A4125D8"/>
    <w:rsid w:val="1F3A4B63"/>
    <w:rsid w:val="20B27ECD"/>
    <w:rsid w:val="220F14E1"/>
    <w:rsid w:val="22ED359F"/>
    <w:rsid w:val="24E421B9"/>
    <w:rsid w:val="26B26E88"/>
    <w:rsid w:val="277D1C40"/>
    <w:rsid w:val="2CC56128"/>
    <w:rsid w:val="316E7273"/>
    <w:rsid w:val="3725393F"/>
    <w:rsid w:val="37F326D5"/>
    <w:rsid w:val="3D7143B9"/>
    <w:rsid w:val="42B859F2"/>
    <w:rsid w:val="430159AF"/>
    <w:rsid w:val="46E818EE"/>
    <w:rsid w:val="49223F17"/>
    <w:rsid w:val="4C9C3627"/>
    <w:rsid w:val="5405298D"/>
    <w:rsid w:val="58CF5AD1"/>
    <w:rsid w:val="5B330316"/>
    <w:rsid w:val="5DB66CFA"/>
    <w:rsid w:val="63ED488B"/>
    <w:rsid w:val="66A668C2"/>
    <w:rsid w:val="6DF839BA"/>
    <w:rsid w:val="74F00C15"/>
    <w:rsid w:val="767C174B"/>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firstLineChars="200"/>
    </w:pPr>
  </w:style>
  <w:style w:type="character" w:styleId="11">
    <w:name w:val="Strong"/>
    <w:basedOn w:val="10"/>
    <w:qFormat/>
    <w:locked/>
    <w:uiPriority w:val="22"/>
    <w:rPr>
      <w:rFonts w:cs="Times New Roman"/>
      <w:b/>
      <w:bCs/>
    </w:rPr>
  </w:style>
  <w:style w:type="character" w:styleId="12">
    <w:name w:val="FollowedHyperlink"/>
    <w:basedOn w:val="10"/>
    <w:semiHidden/>
    <w:unhideWhenUsed/>
    <w:qFormat/>
    <w:uiPriority w:val="99"/>
    <w:rPr>
      <w:color w:val="343434"/>
      <w:u w:val="none"/>
    </w:rPr>
  </w:style>
  <w:style w:type="character" w:styleId="13">
    <w:name w:val="Hyperlink"/>
    <w:basedOn w:val="10"/>
    <w:semiHidden/>
    <w:unhideWhenUsed/>
    <w:qFormat/>
    <w:uiPriority w:val="99"/>
    <w:rPr>
      <w:color w:val="343434"/>
      <w:u w:val="none"/>
    </w:rPr>
  </w:style>
  <w:style w:type="character" w:customStyle="1" w:styleId="14">
    <w:name w:val="Heading 2 Char"/>
    <w:basedOn w:val="10"/>
    <w:link w:val="2"/>
    <w:semiHidden/>
    <w:qFormat/>
    <w:locked/>
    <w:uiPriority w:val="99"/>
    <w:rPr>
      <w:rFonts w:ascii="Cambria" w:hAnsi="Cambria" w:eastAsia="宋体" w:cs="Times New Roman"/>
      <w:b/>
      <w:bCs/>
      <w:sz w:val="32"/>
      <w:szCs w:val="32"/>
    </w:rPr>
  </w:style>
  <w:style w:type="character" w:customStyle="1" w:styleId="15">
    <w:name w:val="Footer Char"/>
    <w:basedOn w:val="10"/>
    <w:link w:val="4"/>
    <w:semiHidden/>
    <w:qFormat/>
    <w:locked/>
    <w:uiPriority w:val="99"/>
    <w:rPr>
      <w:rFonts w:cs="Times New Roman"/>
      <w:sz w:val="18"/>
      <w:szCs w:val="18"/>
    </w:rPr>
  </w:style>
  <w:style w:type="character" w:customStyle="1" w:styleId="16">
    <w:name w:val="Header Char"/>
    <w:basedOn w:val="10"/>
    <w:link w:val="5"/>
    <w:semiHidden/>
    <w:qFormat/>
    <w:uiPriority w:val="99"/>
    <w:rPr>
      <w:sz w:val="18"/>
      <w:szCs w:val="18"/>
    </w:rPr>
  </w:style>
  <w:style w:type="character" w:customStyle="1" w:styleId="17">
    <w:name w:val="last-child1"/>
    <w:basedOn w:val="10"/>
    <w:qFormat/>
    <w:uiPriority w:val="0"/>
  </w:style>
  <w:style w:type="character" w:customStyle="1" w:styleId="18">
    <w:name w:val="moreicon"/>
    <w:basedOn w:val="10"/>
    <w:qFormat/>
    <w:uiPriority w:val="0"/>
  </w:style>
  <w:style w:type="character" w:customStyle="1" w:styleId="19">
    <w:name w:val="moreicon1"/>
    <w:basedOn w:val="10"/>
    <w:qFormat/>
    <w:uiPriority w:val="0"/>
  </w:style>
  <w:style w:type="character" w:customStyle="1" w:styleId="20">
    <w:name w:val="hover"/>
    <w:basedOn w:val="10"/>
    <w:qFormat/>
    <w:uiPriority w:val="0"/>
    <w:rPr>
      <w:shd w:val="clear" w:fill="D20003"/>
    </w:rPr>
  </w:style>
  <w:style w:type="character" w:customStyle="1" w:styleId="21">
    <w:name w:val="hover1"/>
    <w:basedOn w:val="10"/>
    <w:qFormat/>
    <w:uiPriority w:val="0"/>
    <w:rPr>
      <w:color w:val="D20003"/>
    </w:rPr>
  </w:style>
  <w:style w:type="character" w:customStyle="1" w:styleId="22">
    <w:name w:val="hover2"/>
    <w:basedOn w:val="10"/>
    <w:qFormat/>
    <w:uiPriority w:val="0"/>
    <w:rPr>
      <w:color w:val="D10000"/>
      <w:bdr w:val="single" w:color="D10000" w:sz="12" w:space="0"/>
    </w:rPr>
  </w:style>
  <w:style w:type="character" w:customStyle="1" w:styleId="23">
    <w:name w:val="logo"/>
    <w:basedOn w:val="10"/>
    <w:qFormat/>
    <w:uiPriority w:val="0"/>
    <w:rPr>
      <w:shd w:val="clear" w:fill="D20003"/>
    </w:rPr>
  </w:style>
  <w:style w:type="character" w:customStyle="1" w:styleId="24">
    <w:name w:val="logo2"/>
    <w:basedOn w:val="10"/>
    <w:qFormat/>
    <w:uiPriority w:val="0"/>
    <w:rPr>
      <w:shd w:val="clear" w:fill="D20003"/>
    </w:rPr>
  </w:style>
  <w:style w:type="character" w:customStyle="1" w:styleId="25">
    <w:name w:val="phone"/>
    <w:basedOn w:val="10"/>
    <w:qFormat/>
    <w:uiPriority w:val="0"/>
  </w:style>
  <w:style w:type="character" w:customStyle="1" w:styleId="26">
    <w:name w:val="swiper-active-switch"/>
    <w:basedOn w:val="10"/>
    <w:qFormat/>
    <w:uiPriority w:val="0"/>
    <w:rPr>
      <w:shd w:val="clear" w:fill="D10000"/>
    </w:rPr>
  </w:style>
  <w:style w:type="character" w:customStyle="1" w:styleId="27">
    <w:name w:val="act"/>
    <w:basedOn w:val="10"/>
    <w:qFormat/>
    <w:uiPriority w:val="0"/>
    <w:rPr>
      <w:color w:val="BD041C"/>
    </w:rPr>
  </w:style>
  <w:style w:type="character" w:customStyle="1" w:styleId="28">
    <w:name w:val="more"/>
    <w:basedOn w:val="10"/>
    <w:qFormat/>
    <w:uiPriority w:val="0"/>
    <w:rPr>
      <w:b/>
      <w:color w:val="3A3A3A"/>
      <w:sz w:val="21"/>
      <w:szCs w:val="21"/>
    </w:rPr>
  </w:style>
  <w:style w:type="character" w:customStyle="1" w:styleId="29">
    <w:name w:val="btn11"/>
    <w:basedOn w:val="10"/>
    <w:qFormat/>
    <w:uiPriority w:val="0"/>
  </w:style>
  <w:style w:type="character" w:customStyle="1" w:styleId="30">
    <w:name w:val="btn3"/>
    <w:basedOn w:val="10"/>
    <w:qFormat/>
    <w:uiPriority w:val="0"/>
  </w:style>
  <w:style w:type="character" w:customStyle="1" w:styleId="31">
    <w:name w:val="last-child"/>
    <w:basedOn w:val="10"/>
    <w:qFormat/>
    <w:uiPriority w:val="0"/>
  </w:style>
  <w:style w:type="character" w:customStyle="1" w:styleId="32">
    <w:name w:val="hover3"/>
    <w:basedOn w:val="10"/>
    <w:qFormat/>
    <w:uiPriority w:val="0"/>
    <w:rPr>
      <w:color w:val="D10000"/>
      <w:bdr w:val="single" w:color="D10000" w:sz="12" w:space="0"/>
    </w:rPr>
  </w:style>
  <w:style w:type="character" w:customStyle="1" w:styleId="33">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2020-06-29T10:09:54Z</cp:lastPrinted>
  <dcterms:modified xsi:type="dcterms:W3CDTF">2020-06-29T10:13:29Z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