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10" w:lineRule="atLeast"/>
        <w:ind w:left="0" w:right="0"/>
        <w:jc w:val="left"/>
        <w:rPr>
          <w:rFonts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eastAsia="å®‹ä½“" w:cs="Calibri"/>
          <w:color w:val="333333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附件：</w:t>
      </w:r>
    </w:p>
    <w:tbl>
      <w:tblPr>
        <w:tblStyle w:val="3"/>
        <w:tblpPr w:leftFromText="180" w:rightFromText="180" w:vertAnchor="text" w:horzAnchor="page" w:tblpX="1361" w:tblpY="978"/>
        <w:tblOverlap w:val="never"/>
        <w:tblW w:w="14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2450"/>
        <w:gridCol w:w="2101"/>
        <w:gridCol w:w="2937"/>
        <w:gridCol w:w="4438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2"/>
                <w:szCs w:val="32"/>
              </w:rPr>
              <w:t>序 号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2"/>
                <w:szCs w:val="32"/>
              </w:rPr>
              <w:t>反 馈 问 题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2"/>
                <w:szCs w:val="32"/>
              </w:rPr>
              <w:t>整 改 目 标</w:t>
            </w:r>
          </w:p>
        </w:tc>
        <w:tc>
          <w:tcPr>
            <w:tcW w:w="2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2"/>
                <w:szCs w:val="32"/>
              </w:rPr>
              <w:t>整 改 措 施</w:t>
            </w:r>
          </w:p>
        </w:tc>
        <w:tc>
          <w:tcPr>
            <w:tcW w:w="4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sz w:val="32"/>
                <w:szCs w:val="32"/>
              </w:rPr>
              <w:t>整改完成情况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32"/>
                <w:szCs w:val="32"/>
              </w:rPr>
              <w:t>效 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3" w:hRule="atLeast"/>
        </w:trPr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43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昌吉州阜康市2015年、2016年冬季采暖期大气环境质量持续下降，尤其是2016年，阜康市采暖期PM10平均浓度较2014年上升65%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到2020年，昌吉市PM2.5浓度达到《关于加强乌鲁木齐、昌吉、石河子、五家渠区域环境同防同治的意见》（新政发〔2016〕140号）确定的环境质量目标，重度及以上污染天数较2017年下降15%。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严格制定煤炭消费总量控制方案及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消减计划。2017年煤炭消耗量为801.87万吨。2018至2020年，分别消减上年度总量的2%，分别为：2018年为785万吨、2019年为770万吨，到2020年底前煤炭消费总量控制在755万吨以内。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结合我市实际建立了全市用煤企业台账，制定印发了《阜康市2018年煤炭消费总量控制方案及煤炭消减计划》细化工作任务，明确责任主体、整改时限及具体措施。依据各企业用煤情况，制定了2018年全市用煤企业月度煤炭消耗控制作战图，对表、对标、对时，按月落实煤耗情况；涉煤企业实行一企一策管理，相关用煤企业全部按照目标任务要求，制定本公司的煤炭消减计划、煤炭消耗台账和煤炭管控整改方案，并实行煤耗控制挂图作战；专门组织全市能耗业务专项培训2次，按月抓好煤耗监察工作，联合环保局、产业园、对全市14家重点用煤企业通过查看生产现场和查阅企业统计报表、台账等检查方式，逐一核实了重点用煤企业2018年度煤炭消减计划任务完成落实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截止2018年12月底，阜康市全年累计消耗煤炭777.48万吨，与去年（801.87万吨）相比减少用煤24.39万吨，完成了年度消减16.07万吨的目标任务。已完成了2018年煤炭消费总量控制在785万吨的整改任务。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已整改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1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lang w:eastAsia="zh-CN"/>
        </w:rPr>
        <w:t>昌吉州</w:t>
      </w: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中央环境保护督察反馈意见整改情况公示表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10C2E"/>
    <w:rsid w:val="5D1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2020-04-22T10:13:00Z</dcterms:created>
  <dc:creator>admin</dc:creator>
  <cp:lastModifiedBy>admin</cp:lastModifiedBy>
  <dcterms:modified xsi:type="dcterms:W3CDTF">2020-04-22T10:16:06Z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