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附件2-1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所在省市：</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工业和信息化部制</w:t>
      </w: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sectPr>
          <w:footerReference r:id="rId4" w:type="default"/>
          <w:pgSz w:w="11906" w:h="16838"/>
          <w:pgMar w:top="1440" w:right="1800" w:bottom="1440" w:left="1800" w:header="851" w:footer="992" w:gutter="0"/>
          <w:cols w:space="720" w:num="1"/>
          <w:docGrid w:type="lines" w:linePitch="312"/>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四、自评价报告应按照规定格式填写，并使用A4纸打印装订（一式三份、电子版一份）。</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645"/>
        <w:gridCol w:w="3111"/>
        <w:gridCol w:w="1240"/>
        <w:gridCol w:w="2336"/>
      </w:tblGrid>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7" w:firstLineChars="207"/>
              <w:rPr>
                <w:rFonts w:ascii="Times New Roman" w:hAnsi="Times New Roman" w:eastAsia="仿宋_GB2312" w:cs="Times New Roman"/>
                <w:kern w:val="0"/>
                <w:sz w:val="24"/>
              </w:rPr>
            </w:pPr>
          </w:p>
          <w:p>
            <w:pPr>
              <w:widowControl/>
              <w:ind w:firstLine="497"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7"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对照</w:t>
      </w:r>
      <w:r>
        <w:rPr>
          <w:rFonts w:hint="eastAsia" w:ascii="Times New Roman" w:hAnsi="Times New Roman" w:eastAsia="仿宋_GB2312" w:cs="Times New Roman"/>
          <w:color w:val="000000"/>
          <w:kern w:val="0"/>
          <w:sz w:val="32"/>
          <w:szCs w:val="32"/>
        </w:rPr>
        <w:t>《绿色工厂评价要求》</w:t>
      </w:r>
      <w:r>
        <w:rPr>
          <w:rFonts w:ascii="Times New Roman" w:hAnsi="Times New Roman" w:eastAsia="仿宋_GB2312" w:cs="Times New Roman"/>
          <w:color w:val="000000"/>
          <w:kern w:val="0"/>
          <w:sz w:val="32"/>
          <w:szCs w:val="32"/>
        </w:rPr>
        <w:t xml:space="preserve">主要对工厂的基础设施、管理体系、能源资源投入、产品、环境排放等内容进行情况描述。 </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基础设施情况。主要描述工厂的建筑、照明</w:t>
      </w:r>
      <w:r>
        <w:rPr>
          <w:rFonts w:hint="eastAsia" w:ascii="Times New Roman" w:hAnsi="Times New Roman" w:eastAsia="仿宋_GB2312" w:cs="Times New Roman"/>
          <w:color w:val="000000"/>
          <w:kern w:val="0"/>
          <w:sz w:val="32"/>
          <w:szCs w:val="32"/>
        </w:rPr>
        <w:t>、设备设施（包括专用设备、通用设备、计量设备及污染物处理设备设施等）</w:t>
      </w:r>
      <w:r>
        <w:rPr>
          <w:rFonts w:ascii="Times New Roman" w:hAnsi="Times New Roman" w:eastAsia="仿宋_GB2312" w:cs="Times New Roman"/>
          <w:color w:val="000000"/>
          <w:kern w:val="0"/>
          <w:sz w:val="32"/>
          <w:szCs w:val="32"/>
        </w:rPr>
        <w:t>情况，以及相关标准落实情况。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w:t>
      </w:r>
      <w:r>
        <w:rPr>
          <w:rFonts w:hint="eastAsia" w:ascii="Times New Roman" w:hAnsi="Times New Roman" w:eastAsia="仿宋_GB2312" w:cs="Times New Roman"/>
          <w:color w:val="000000"/>
          <w:kern w:val="0"/>
          <w:sz w:val="32"/>
          <w:szCs w:val="32"/>
        </w:rPr>
        <w:t>生态</w:t>
      </w:r>
      <w:r>
        <w:rPr>
          <w:rFonts w:ascii="Times New Roman" w:hAnsi="Times New Roman" w:eastAsia="仿宋_GB2312" w:cs="Times New Roman"/>
          <w:color w:val="000000"/>
          <w:kern w:val="0"/>
          <w:sz w:val="32"/>
          <w:szCs w:val="32"/>
        </w:rPr>
        <w:t>设计、有害物质使用</w:t>
      </w:r>
      <w:r>
        <w:rPr>
          <w:rFonts w:hint="eastAsia" w:ascii="Times New Roman" w:hAnsi="Times New Roman" w:eastAsia="仿宋_GB2312" w:cs="Times New Roman"/>
          <w:color w:val="000000"/>
          <w:kern w:val="0"/>
          <w:sz w:val="32"/>
          <w:szCs w:val="32"/>
        </w:rPr>
        <w:t>、节能、减碳以及可回收利用</w:t>
      </w:r>
      <w:r>
        <w:rPr>
          <w:rFonts w:ascii="Times New Roman" w:hAnsi="Times New Roman" w:eastAsia="仿宋_GB2312" w:cs="Times New Roman"/>
          <w:color w:val="000000"/>
          <w:kern w:val="0"/>
          <w:sz w:val="32"/>
          <w:szCs w:val="32"/>
        </w:rPr>
        <w:t>等情况，以及相关标准落实情况。</w:t>
      </w:r>
    </w:p>
    <w:p>
      <w:pPr>
        <w:pStyle w:val="11"/>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环境排放情况。主要描述大气污染物、水体污染物、固体</w:t>
      </w:r>
      <w:r>
        <w:rPr>
          <w:rFonts w:hint="eastAsia" w:ascii="Times New Roman" w:hAnsi="Times New Roman" w:eastAsia="仿宋_GB2312" w:cs="Times New Roman"/>
          <w:color w:val="000000"/>
          <w:kern w:val="0"/>
          <w:sz w:val="32"/>
          <w:szCs w:val="32"/>
        </w:rPr>
        <w:t>废弃</w:t>
      </w:r>
      <w:r>
        <w:rPr>
          <w:rFonts w:ascii="Times New Roman" w:hAnsi="Times New Roman" w:eastAsia="仿宋_GB2312" w:cs="Times New Roman"/>
          <w:color w:val="000000"/>
          <w:kern w:val="0"/>
          <w:sz w:val="32"/>
          <w:szCs w:val="32"/>
        </w:rPr>
        <w:t>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1"/>
        <w:widowControl/>
        <w:snapToGrid w:val="0"/>
        <w:spacing w:line="360" w:lineRule="auto"/>
        <w:ind w:firstLine="640"/>
        <w:rPr>
          <w:rFonts w:ascii="Times New Roman" w:hAnsi="Times New Roman" w:eastAsia="黑体" w:cs="Times New Roman"/>
          <w:bCs/>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1"/>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依据工厂情况和《绿色工厂评价要求》，工厂进行自评，并填写附表1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和附表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企业组织机构代码证复印件（适用时）；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2"/>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仿宋_GB2312" w:hAnsi="仿宋_GB2312" w:eastAsia="仿宋_GB2312" w:cs="仿宋_GB2312"/>
          <w:sz w:val="32"/>
          <w:szCs w:val="32"/>
        </w:rPr>
      </w:pPr>
      <w:r>
        <w:rPr>
          <w:rFonts w:ascii="Times New Roman" w:hAnsi="Times New Roman" w:eastAsia="仿宋_GB2312" w:cs="Times New Roman"/>
          <w:sz w:val="32"/>
        </w:rPr>
        <w:br w:type="page"/>
      </w:r>
      <w:r>
        <w:rPr>
          <w:rFonts w:hint="eastAsia" w:ascii="仿宋_GB2312" w:hAnsi="仿宋_GB2312" w:eastAsia="仿宋_GB2312" w:cs="仿宋_GB2312"/>
          <w:sz w:val="32"/>
          <w:szCs w:val="32"/>
        </w:rPr>
        <w:t>附表1.1</w:t>
      </w:r>
    </w:p>
    <w:p>
      <w:pPr>
        <w:widowControl/>
        <w:jc w:val="center"/>
        <w:rPr>
          <w:rFonts w:ascii="Times New Roman" w:hAnsi="Times New Roman" w:eastAsia="黑体" w:cs="Times New Roman"/>
          <w:bCs/>
          <w:sz w:val="36"/>
          <w:szCs w:val="36"/>
        </w:rPr>
      </w:pPr>
      <w:bookmarkStart w:id="0" w:name="_GoBack"/>
      <w:bookmarkEnd w:id="0"/>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19"/>
        <w:gridCol w:w="2217"/>
        <w:gridCol w:w="2086"/>
      </w:tblGrid>
      <w:tr>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近三年（含成立不足三年）无较大及以上安全、环保、质量等事故。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最高管理者在绿色工厂方面的领导作用和承诺满足GB/T 36132 中4.3.1 a)的要求。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仿宋_GB2312" w:hAnsi="宋体" w:eastAsia="仿宋_GB2312" w:cs="宋体"/>
                <w:kern w:val="0"/>
                <w:sz w:val="24"/>
              </w:rPr>
              <w:t>确保在工厂内部分配并沟通与绿色工厂相关角色的职责和权限，且满足GB/T 36132 中4.3.1 b)的要求。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工厂应设有绿色工厂管理机构，负责有关绿色工厂的制度建设、实施、考核及奖励工作，建立目标责任制。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工厂应有开展绿色工厂的中长期规划及年度目标、指标和实施方案。可行时，指标应明确且可量化。</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工厂应传播绿色制造的概念和知识，定期为员工提供绿色制造相关知识的教育、培训，并对教育和培训的结果进行考评。</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pacing w:line="360" w:lineRule="auto"/>
        <w:jc w:val="center"/>
        <w:sectPr>
          <w:pgSz w:w="11906" w:h="16838"/>
          <w:pgMar w:top="1440" w:right="1800" w:bottom="1440" w:left="1800" w:header="851" w:footer="992" w:gutter="0"/>
          <w:cols w:space="720" w:num="1"/>
          <w:docGrid w:type="lines" w:linePitch="312"/>
        </w:sectPr>
      </w:pPr>
    </w:p>
    <w:p>
      <w:pPr>
        <w:rPr>
          <w:rFonts w:ascii="Times New Roman" w:hAnsi="Times New Roman" w:eastAsia="黑体" w:cs="Times New Roman"/>
          <w:bCs/>
          <w:sz w:val="36"/>
          <w:szCs w:val="36"/>
        </w:rPr>
      </w:pPr>
      <w:r>
        <w:rPr>
          <w:rFonts w:hint="eastAsia" w:ascii="仿宋_GB2312" w:hAnsi="仿宋_GB2312" w:eastAsia="仿宋_GB2312" w:cs="仿宋_GB2312"/>
          <w:sz w:val="32"/>
          <w:szCs w:val="32"/>
        </w:rPr>
        <w:t>附表1.2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31"/>
        <w:gridCol w:w="1443"/>
        <w:gridCol w:w="5060"/>
        <w:gridCol w:w="3473"/>
        <w:gridCol w:w="2367"/>
      </w:tblGrid>
      <w:tr>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工厂的建筑应满足国家或地方相关法律法规及标准的要求。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新建、改建和扩建建筑时，应遵守国家“固定资产投资项目节能评估审查制度”、“三同时制度”、“工业项目建设用地控制指标”等产业政策和有关要求。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危险品仓库、有毒有害操作间、废弃物处理间等产生污染物的房间应独立设置。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人工照明应符合GB 50034规定。</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不同场所的照明应进行分级设计。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pStyle w:val="12"/>
              <w:autoSpaceDE w:val="0"/>
              <w:autoSpaceDN w:val="0"/>
              <w:adjustRightInd w:val="0"/>
              <w:spacing w:beforeAutospacing="0" w:afterAutospacing="0"/>
              <w:jc w:val="both"/>
              <w:rPr>
                <w:rFonts w:ascii="Times New Roman" w:hAnsi="Times New Roman" w:eastAsia="仿宋_GB2312" w:cs="Times New Roman"/>
                <w:szCs w:val="24"/>
              </w:rPr>
            </w:pPr>
            <w:r>
              <w:rPr>
                <w:rFonts w:hint="eastAsia" w:ascii="仿宋_GB2312" w:eastAsia="仿宋_GB2312"/>
              </w:rPr>
              <w:t>工厂应依据GB 17167、GB24789等要求配备、使用和管理能源、水以及其他资源的计量器具和装置。</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再生资源及能源利用：（1）可再生能源的使用占建筑总能耗的比例大于10%；（2）采用节水器具和设备，节水率不低于10%。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适用时，工厂的厂房采用多层建筑。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工厂厂区及各房间或场所的照明尽量利用自然光。</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工艺适用时，节能灯等节能型照明设备的使用占比不低于50%。</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工厂使用的通用用能设备采用了节能型产品或效率高、能耗低、水耗低、物耗低的产品。</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工厂应建立、实施并保持质量管理体系和职业健康安全管理体系。工厂的质量管理体系应满足GB/T 19001的要求，职业健康安全管理体系应满足GB/T 28001的要求。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工厂应建立、实施并保持环境管理体系。工厂的环境管理体系应满足GB/T 24001的要求。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工厂应建立、实施并保持能源管理体系。工厂的能源管理体系应满足GB/T 23331的要求。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工厂应优化用能结构，在保证安全、质量的前提下减少不可再生能源投入。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681"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工厂应减少材料、尤其是有害物质的使用，评估有害物质及化学品减量使用或替代的可行性。</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577"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工厂应制定并实施包括环保要求的选择、评价和重新评价供方的准则。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建有能源管理中心。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使用回收料、可回收材料替代原生材料、不可回收材料。</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工厂向供方提供的采购信息包含有害物质使用、可回收材料使用、能效等环保要求。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工厂在产品设计中引入生态设计的理念。</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工厂生产的产品（包括原料和辅料）应减少有害物质的使用，避免有害物质的泄露，满足国家对产品中有害物质限制使用的要求。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工厂生产的产品若为用能产品或在使用过程中对最终产品/构造的能耗有影响的产品，适用时，应满足相关标准的限定值要求。未制定标准的，产品能效应不低于行业平均值。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24256对生产的产品进行生态设计。</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trHeight w:val="669"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32161对生产的产品进行生态设计产品评价，满足绿色产品（生态设计产品）评价要求。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实现有害物质替代。</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达到相关标准中的节能评价值/先进值要求，未制定标准的，产品能效达到行业前20%的水平。</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20862的要求计算其产品的可回收利用率。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工厂产生的固体废弃物的处理应符合GB 18599及相关标准的要求。工厂无法自行处理的，应将固体废弃物转交给具备相应能力和资质的处理厂进行处理。</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工厂的主要水体污染物排放满足标准中更高等级的要求。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rPr>
                <w:rFonts w:ascii="Times New Roman" w:hAnsi="Times New Roman" w:eastAsia="仿宋_GB2312" w:cs="Times New Roman"/>
                <w:kern w:val="0"/>
                <w:sz w:val="24"/>
                <w:szCs w:val="24"/>
              </w:rPr>
            </w:pPr>
            <w:r>
              <w:rPr>
                <w:rFonts w:hint="eastAsia" w:ascii="仿宋_GB2312" w:hAnsi="宋体" w:eastAsia="仿宋_GB2312" w:cs="宋体"/>
                <w:kern w:val="0"/>
                <w:sz w:val="24"/>
              </w:rPr>
              <w:t>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可行时，利用核算或核查结果对其温室气体的排放进行改善。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1443" w:type="dxa"/>
            <w:vMerge w:val="restart"/>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建筑密度</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产能（或：单位面积产值）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绿色物料使用情况（率）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10"/>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sectPr>
          <w:pgSz w:w="16838" w:h="11906" w:orient="landscape"/>
          <w:pgMar w:top="1800" w:right="1440" w:bottom="1800" w:left="1440" w:header="851" w:footer="992" w:gutter="0"/>
          <w:cols w:space="720" w:num="1"/>
          <w:docGrid w:type="lines" w:linePitch="312"/>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名</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称：</w:t>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 xml:space="preserve">  </w:t>
      </w:r>
    </w:p>
    <w:p>
      <w:pPr>
        <w:spacing w:line="360" w:lineRule="auto"/>
        <w:ind w:firstLine="1928" w:firstLineChars="600"/>
        <w:rPr>
          <w:rFonts w:ascii="Times New Roman" w:hAnsi="Times New Roman" w:eastAsia="仿宋_GB2312" w:cs="Times New Roman"/>
          <w:b/>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第三方评价机构名称：</w:t>
      </w:r>
      <w:r>
        <w:rPr>
          <w:rFonts w:ascii="Times New Roman" w:hAnsi="Times New Roman" w:eastAsia="仿宋_GB2312" w:cs="Times New Roman"/>
          <w:sz w:val="32"/>
          <w:szCs w:val="32"/>
          <w:u w:val="single"/>
        </w:rPr>
        <w:t xml:space="preserve">                        </w:t>
      </w: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pPr>
        <w:ind w:firstLine="420" w:firstLineChars="150"/>
        <w:rPr>
          <w:rFonts w:ascii="Times New Roman" w:hAnsi="Times New Roman" w:eastAsia="方正仿宋简体" w:cs="Times New Roman"/>
          <w:sz w:val="28"/>
        </w:rPr>
      </w:pPr>
    </w:p>
    <w:p>
      <w:pPr>
        <w:spacing w:line="360" w:lineRule="auto"/>
        <w:jc w:val="center"/>
        <w:rPr>
          <w:rFonts w:ascii="仿宋_GB2312" w:hAnsi="仿宋_GB2312" w:eastAsia="仿宋_GB2312" w:cs="仿宋_GB2312"/>
          <w:sz w:val="30"/>
        </w:rPr>
      </w:pPr>
      <w:r>
        <w:rPr>
          <w:rFonts w:hint="eastAsia" w:ascii="仿宋_GB2312" w:hAnsi="仿宋_GB2312" w:eastAsia="仿宋_GB2312" w:cs="仿宋_GB2312"/>
          <w:sz w:val="30"/>
        </w:rPr>
        <w:t>工业和信息化部制</w:t>
      </w:r>
    </w:p>
    <w:p>
      <w:pPr>
        <w:jc w:val="center"/>
        <w:rPr>
          <w:rFonts w:ascii="仿宋_GB2312" w:hAnsi="仿宋_GB2312" w:eastAsia="仿宋_GB2312" w:cs="仿宋_GB2312"/>
          <w:sz w:val="32"/>
          <w:szCs w:val="32"/>
        </w:rPr>
      </w:pPr>
      <w:r>
        <w:rPr>
          <w:rFonts w:hint="eastAsia" w:ascii="仿宋_GB2312" w:hAnsi="仿宋_GB2312" w:eastAsia="仿宋_GB2312" w:cs="仿宋_GB2312"/>
          <w:sz w:val="30"/>
        </w:rPr>
        <w:t>20  年    月    日</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35"/>
        <w:gridCol w:w="2268"/>
        <w:gridCol w:w="1701"/>
        <w:gridCol w:w="2318"/>
      </w:tblGrid>
      <w:tr>
        <w:trPr>
          <w:trHeight w:val="567" w:hRule="atLeast"/>
        </w:trPr>
        <w:tc>
          <w:tcPr>
            <w:tcW w:w="8522" w:type="dxa"/>
            <w:gridSpan w:val="4"/>
            <w:vAlign w:val="center"/>
          </w:tcPr>
          <w:p>
            <w:pPr>
              <w:widowControl/>
              <w:jc w:val="left"/>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一、工厂基本信息</w:t>
            </w: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工厂地址</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统一社会信用代码</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单位</w:t>
            </w:r>
            <w:r>
              <w:rPr>
                <w:rFonts w:ascii="Times New Roman" w:hAnsi="Times New Roman" w:eastAsia="仿宋_GB2312" w:cs="Times New Roman"/>
                <w:color w:val="000000"/>
                <w:kern w:val="0"/>
                <w:sz w:val="24"/>
              </w:rPr>
              <w:t>性质</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工厂法定代表人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w:t>
            </w:r>
            <w:r>
              <w:rPr>
                <w:rFonts w:hint="eastAsia" w:ascii="Times New Roman" w:hAnsi="Times New Roman" w:eastAsia="仿宋_GB2312" w:cs="Times New Roman"/>
                <w:color w:val="000000"/>
                <w:kern w:val="0"/>
                <w:sz w:val="24"/>
              </w:rPr>
              <w:t>代表</w:t>
            </w:r>
            <w:r>
              <w:rPr>
                <w:rFonts w:ascii="Times New Roman" w:hAnsi="Times New Roman" w:eastAsia="仿宋_GB2312" w:cs="Times New Roman"/>
                <w:color w:val="000000"/>
                <w:kern w:val="0"/>
                <w:sz w:val="24"/>
              </w:rPr>
              <w:t>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工厂联系人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电子邮件</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二、第三方机构信息</w:t>
            </w: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第三方机构名称</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第三方机构地址</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机构法定代表人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机构联系人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报告编制负责人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报告审核人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三、绿色工厂评价结果</w:t>
            </w:r>
          </w:p>
        </w:tc>
      </w:tr>
      <w:tr>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一般要求</w:t>
            </w:r>
          </w:p>
        </w:tc>
        <w:tc>
          <w:tcPr>
            <w:tcW w:w="2268" w:type="dxa"/>
            <w:vAlign w:val="center"/>
          </w:tcPr>
          <w:p>
            <w:pPr>
              <w:widowControl/>
              <w:jc w:val="center"/>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w:t>
            </w:r>
            <w:r>
              <w:rPr>
                <w:rFonts w:ascii="Times New Roman" w:hAnsi="Times New Roman" w:eastAsia="仿宋_GB2312" w:cs="Times New Roman"/>
                <w:color w:val="000000"/>
                <w:kern w:val="0"/>
                <w:sz w:val="24"/>
              </w:rPr>
              <w:t xml:space="preserve">符合  </w:t>
            </w:r>
            <w:r>
              <w:rPr>
                <w:rFonts w:hint="eastAsia" w:ascii="仿宋_GB2312" w:hAnsi="仿宋" w:eastAsia="仿宋_GB2312" w:cs="Times New Roman"/>
                <w:color w:val="000000"/>
                <w:kern w:val="0"/>
                <w:sz w:val="24"/>
              </w:rPr>
              <w:t>□</w:t>
            </w:r>
            <w:r>
              <w:rPr>
                <w:rFonts w:ascii="Times New Roman" w:hAnsi="Times New Roman" w:eastAsia="仿宋_GB2312" w:cs="Times New Roman"/>
                <w:color w:val="000000"/>
                <w:kern w:val="0"/>
                <w:sz w:val="24"/>
              </w:rPr>
              <w:t>不符合</w:t>
            </w: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指标</w:t>
            </w:r>
            <w:r>
              <w:rPr>
                <w:rFonts w:hint="eastAsia" w:ascii="Times New Roman" w:hAnsi="Times New Roman" w:eastAsia="仿宋_GB2312" w:cs="Times New Roman"/>
                <w:color w:val="000000"/>
                <w:kern w:val="0"/>
                <w:sz w:val="24"/>
              </w:rPr>
              <w:t>得分</w:t>
            </w:r>
          </w:p>
        </w:tc>
        <w:tc>
          <w:tcPr>
            <w:tcW w:w="2318" w:type="dxa"/>
            <w:vAlign w:val="center"/>
          </w:tcPr>
          <w:p>
            <w:pPr>
              <w:widowControl/>
              <w:jc w:val="center"/>
              <w:rPr>
                <w:rFonts w:ascii="Times New Roman" w:hAnsi="Times New Roman" w:eastAsia="仿宋_GB2312" w:cs="Times New Roman"/>
                <w:color w:val="000000"/>
                <w:kern w:val="0"/>
                <w:sz w:val="24"/>
              </w:rPr>
            </w:pPr>
          </w:p>
        </w:tc>
      </w:tr>
      <w:tr>
        <w:trPr>
          <w:trHeight w:val="567" w:hRule="atLeast"/>
        </w:trPr>
        <w:tc>
          <w:tcPr>
            <w:tcW w:w="8522" w:type="dxa"/>
            <w:gridSpan w:val="4"/>
            <w:vAlign w:val="center"/>
          </w:tcPr>
          <w:p>
            <w:pPr>
              <w:widowControl/>
              <w:spacing w:line="360" w:lineRule="auto"/>
              <w:ind w:firstLine="480" w:firstLineChars="20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本机构承诺，已对申请单位材料进行了全面审核，材料真实有效，第三方评价程序规范完整，结论客观公正。评价报告若存在弄虚作假，本机构愿承担责任。</w:t>
            </w:r>
          </w:p>
          <w:p>
            <w:pPr>
              <w:widowControl/>
              <w:wordWrap w:val="0"/>
              <w:spacing w:line="360" w:lineRule="auto"/>
              <w:ind w:right="240"/>
              <w:jc w:val="right"/>
              <w:rPr>
                <w:rFonts w:ascii="Times New Roman" w:hAnsi="Times New Roman" w:eastAsia="仿宋_GB2312" w:cs="Times New Roman"/>
                <w:b/>
                <w:color w:val="000000"/>
                <w:kern w:val="0"/>
                <w:sz w:val="24"/>
              </w:rPr>
            </w:pPr>
          </w:p>
          <w:p>
            <w:pPr>
              <w:widowControl/>
              <w:wordWrap w:val="0"/>
              <w:spacing w:line="360" w:lineRule="auto"/>
              <w:ind w:right="240"/>
              <w:jc w:val="right"/>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 xml:space="preserve">负责人签字：             </w:t>
            </w:r>
          </w:p>
          <w:p>
            <w:pPr>
              <w:widowControl/>
              <w:spacing w:line="360" w:lineRule="auto"/>
              <w:ind w:right="240"/>
              <w:jc w:val="right"/>
              <w:rPr>
                <w:rFonts w:ascii="Times New Roman" w:hAnsi="Times New Roman" w:eastAsia="仿宋_GB2312" w:cs="Times New Roman"/>
                <w:b/>
                <w:color w:val="000000"/>
                <w:kern w:val="0"/>
                <w:sz w:val="24"/>
              </w:rPr>
            </w:pPr>
          </w:p>
          <w:p>
            <w:pPr>
              <w:widowControl/>
              <w:wordWrap w:val="0"/>
              <w:spacing w:line="360" w:lineRule="auto"/>
              <w:jc w:val="righ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（单位公章）</w:t>
            </w:r>
            <w:r>
              <w:rPr>
                <w:rFonts w:ascii="Times New Roman" w:hAnsi="Times New Roman" w:eastAsia="仿宋_GB2312" w:cs="Times New Roman"/>
                <w:color w:val="000000"/>
                <w:kern w:val="0"/>
                <w:sz w:val="24"/>
              </w:rPr>
              <w:t xml:space="preserve">              </w:t>
            </w:r>
          </w:p>
          <w:p>
            <w:pPr>
              <w:widowControl/>
              <w:wordWrap w:val="0"/>
              <w:spacing w:line="360" w:lineRule="auto"/>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p>
          <w:p>
            <w:pPr>
              <w:widowControl/>
              <w:jc w:val="center"/>
              <w:rPr>
                <w:rFonts w:ascii="Times New Roman" w:hAnsi="Times New Roman" w:eastAsia="仿宋_GB2312" w:cs="Times New Roman"/>
                <w:color w:val="000000"/>
                <w:kern w:val="0"/>
                <w:sz w:val="24"/>
              </w:rPr>
            </w:pPr>
          </w:p>
        </w:tc>
      </w:tr>
    </w:tbl>
    <w:p>
      <w:pPr>
        <w:snapToGrid w:val="0"/>
        <w:spacing w:line="480" w:lineRule="auto"/>
        <w:jc w:val="center"/>
        <w:outlineLvl w:val="0"/>
        <w:rPr>
          <w:rFonts w:ascii="Times New Roman" w:hAnsi="Times New Roman" w:eastAsia="黑体" w:cs="Times New Roman"/>
          <w:bCs/>
          <w:color w:val="000000"/>
          <w:sz w:val="36"/>
        </w:rPr>
      </w:pPr>
      <w:r>
        <w:rPr>
          <w:rFonts w:ascii="Times New Roman" w:hAnsi="Times New Roman" w:eastAsia="黑体" w:cs="Times New Roman"/>
          <w:bCs/>
          <w:sz w:val="44"/>
          <w:szCs w:val="44"/>
        </w:rPr>
        <w:br w:type="page"/>
      </w:r>
    </w:p>
    <w:p>
      <w:pPr>
        <w:snapToGrid w:val="0"/>
        <w:spacing w:line="480" w:lineRule="auto"/>
        <w:jc w:val="center"/>
        <w:outlineLvl w:val="0"/>
        <w:rPr>
          <w:rFonts w:ascii="Times New Roman" w:hAnsi="Times New Roman" w:eastAsia="黑体" w:cs="Times New Roman"/>
          <w:bCs/>
          <w:color w:val="000000"/>
          <w:sz w:val="36"/>
        </w:rPr>
      </w:pPr>
      <w:r>
        <w:rPr>
          <w:rFonts w:ascii="Times New Roman" w:hAnsi="Times New Roman" w:eastAsia="黑体" w:cs="Times New Roman"/>
          <w:bCs/>
          <w:color w:val="000000"/>
          <w:sz w:val="36"/>
        </w:rPr>
        <w:t>绿色工厂评价报告（格式）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主要介绍绿色工厂评价的目的、范围及准则。</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主要介绍评价组织安排、文件评审情况、现场</w:t>
      </w:r>
      <w:r>
        <w:rPr>
          <w:rFonts w:hint="eastAsia" w:ascii="Times New Roman" w:hAnsi="Times New Roman" w:eastAsia="仿宋_GB2312" w:cs="Times New Roman"/>
          <w:sz w:val="30"/>
          <w:szCs w:val="30"/>
        </w:rPr>
        <w:t>评价</w:t>
      </w:r>
      <w:r>
        <w:rPr>
          <w:rFonts w:ascii="Times New Roman" w:hAnsi="Times New Roman" w:eastAsia="仿宋_GB2312" w:cs="Times New Roman"/>
          <w:sz w:val="30"/>
          <w:szCs w:val="30"/>
        </w:rPr>
        <w:t>情况、核查报告编写及内部技术复核情况。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第三方应按以下内容对申报工厂材料进行评价：</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对申报工厂的基础设施、管理体系、能源</w:t>
      </w:r>
      <w:r>
        <w:rPr>
          <w:rFonts w:hint="eastAsia" w:ascii="Times New Roman" w:hAnsi="Times New Roman" w:eastAsia="仿宋_GB2312" w:cs="Times New Roman"/>
          <w:sz w:val="30"/>
          <w:szCs w:val="30"/>
        </w:rPr>
        <w:t>与</w:t>
      </w:r>
      <w:r>
        <w:rPr>
          <w:rFonts w:ascii="Times New Roman" w:hAnsi="Times New Roman" w:eastAsia="仿宋_GB2312" w:cs="Times New Roman"/>
          <w:sz w:val="30"/>
          <w:szCs w:val="30"/>
        </w:rPr>
        <w:t>资源投入、产品、环境排放、绩效等方面进行描述，并对工厂申报报告中的相关内容进行核实；</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依据《绿色工厂评价要求》，核实数据真实性、计算范围及计算方法，检查相关计量设备和有关标准的落实等情况；</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对企业自评所出现的问题情况进行描述。</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对申报工厂是否符合绿色工厂要求进行评价，说明各评价指标值及是否符合评价要求情况，描述主要创建做法及工作亮点等。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对工厂持续创建绿色工厂的下一步工作提出建议。</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六、参考文件</w:t>
      </w:r>
    </w:p>
    <w:p>
      <w:pPr>
        <w:ind w:left="298" w:leftChars="142" w:firstLine="300" w:firstLineChars="100"/>
        <w:rPr>
          <w:rFonts w:ascii="Times New Roman" w:hAnsi="Times New Roman" w:eastAsia="仿宋_GB2312" w:cs="Times New Roman"/>
          <w:sz w:val="30"/>
          <w:szCs w:val="30"/>
        </w:rPr>
      </w:pPr>
      <w:r>
        <w:rPr>
          <w:rFonts w:ascii="Times New Roman" w:hAnsi="Times New Roman" w:eastAsia="仿宋_GB2312" w:cs="Times New Roman"/>
          <w:sz w:val="30"/>
          <w:szCs w:val="30"/>
        </w:rPr>
        <w:t>列出报告编写过程中所使用的相关参考文件（与</w:t>
      </w:r>
      <w:r>
        <w:rPr>
          <w:rFonts w:hint="eastAsia" w:ascii="Times New Roman" w:hAnsi="Times New Roman" w:eastAsia="仿宋_GB2312" w:cs="Times New Roman"/>
          <w:sz w:val="30"/>
          <w:szCs w:val="30"/>
        </w:rPr>
        <w:t>附表2.1及附表2.2</w:t>
      </w:r>
      <w:r>
        <w:rPr>
          <w:rFonts w:ascii="Times New Roman" w:hAnsi="Times New Roman" w:eastAsia="仿宋_GB2312" w:cs="Times New Roman"/>
          <w:sz w:val="30"/>
          <w:szCs w:val="30"/>
        </w:rPr>
        <w:t>的证明材料索引一栏对应）。</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七、第三方机构资质符合性证明材料</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列出第三方机构满足条件的资质符合性证明材料。</w:t>
      </w:r>
    </w:p>
    <w:p>
      <w:pPr>
        <w:sectPr>
          <w:pgSz w:w="11906" w:h="16838"/>
          <w:pgMar w:top="1440" w:right="1800" w:bottom="1440" w:left="1800" w:header="851" w:footer="992" w:gutter="0"/>
          <w:cols w:space="720" w:num="1"/>
          <w:docGrid w:type="lines" w:linePitch="312"/>
        </w:sectPr>
      </w:pPr>
    </w:p>
    <w:p>
      <w:pP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附表2.1</w:t>
      </w:r>
    </w:p>
    <w:p/>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基本要求第三方</w:t>
      </w:r>
      <w:r>
        <w:rPr>
          <w:rFonts w:ascii="Times New Roman" w:hAnsi="Times New Roman" w:eastAsia="黑体" w:cs="Times New Roman"/>
          <w:bCs/>
          <w:sz w:val="36"/>
          <w:szCs w:val="36"/>
        </w:rPr>
        <w:t>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W w:w="14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46"/>
        <w:gridCol w:w="6689"/>
        <w:gridCol w:w="1392"/>
        <w:gridCol w:w="4281"/>
      </w:tblGrid>
      <w:tr>
        <w:trPr>
          <w:trHeight w:val="270" w:hRule="atLeast"/>
          <w:tblHeader/>
        </w:trPr>
        <w:tc>
          <w:tcPr>
            <w:tcW w:w="8435" w:type="dxa"/>
            <w:gridSpan w:val="2"/>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基本要求</w:t>
            </w:r>
          </w:p>
        </w:tc>
        <w:tc>
          <w:tcPr>
            <w:tcW w:w="1392"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是否符合</w:t>
            </w:r>
          </w:p>
        </w:tc>
        <w:tc>
          <w:tcPr>
            <w:tcW w:w="4281"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符合性说明及证明材料索引</w:t>
            </w:r>
          </w:p>
        </w:tc>
      </w:tr>
      <w:tr>
        <w:trPr>
          <w:trHeight w:val="810" w:hRule="atLeast"/>
        </w:trPr>
        <w:tc>
          <w:tcPr>
            <w:tcW w:w="1746"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基础合规性与相关方要求</w:t>
            </w: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绿色工厂应依法设立，在建设和生产过程中应遵守有关法律、法规、政策和标准。</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745" w:hRule="atLeast"/>
        </w:trPr>
        <w:tc>
          <w:tcPr>
            <w:tcW w:w="1746" w:type="dxa"/>
            <w:vMerge w:val="continue"/>
            <w:vAlign w:val="center"/>
          </w:tcPr>
          <w:p>
            <w:pPr>
              <w:rPr>
                <w:rFonts w:ascii="仿宋_GB2312" w:hAnsi="仿宋_GB2312" w:eastAsia="仿宋_GB2312" w:cs="仿宋_GB2312"/>
                <w:sz w:val="24"/>
                <w:szCs w:val="24"/>
              </w:rPr>
            </w:pP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近三年（含成立不足三年）无较大及以上安全、环保、质量等事故。</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continue"/>
            <w:vAlign w:val="center"/>
          </w:tcPr>
          <w:p>
            <w:pPr>
              <w:rPr>
                <w:rFonts w:ascii="仿宋_GB2312" w:hAnsi="仿宋_GB2312" w:eastAsia="仿宋_GB2312" w:cs="仿宋_GB2312"/>
                <w:sz w:val="24"/>
                <w:szCs w:val="24"/>
              </w:rPr>
            </w:pP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对利益相关方的环境要求做出承诺的，应同时满足有关承诺的要求。</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基础管理职责——最高管理者</w:t>
            </w: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最高管理者在绿色工厂方面的领导作用和承诺满足GB/T 36132 中4.3.1 a)的要求。</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continue"/>
            <w:vAlign w:val="center"/>
          </w:tcPr>
          <w:p>
            <w:pPr>
              <w:rPr>
                <w:rFonts w:ascii="仿宋_GB2312" w:hAnsi="仿宋_GB2312" w:eastAsia="仿宋_GB2312" w:cs="仿宋_GB2312"/>
                <w:sz w:val="24"/>
                <w:szCs w:val="24"/>
              </w:rPr>
            </w:pP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最高管理者确保在工厂内部分配并沟通与绿色工厂相关角色的职责和权限，且满足GB/T 36132 中4.3.1 b)的要求。</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基础管理职责——工厂</w:t>
            </w: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应设有绿色工厂管理机构，负责有关绿色工厂的制度建设、实施、考核及奖励工作，建立目标责任制。</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continue"/>
            <w:vAlign w:val="center"/>
          </w:tcPr>
          <w:p>
            <w:pPr>
              <w:rPr>
                <w:rFonts w:ascii="仿宋_GB2312" w:hAnsi="仿宋_GB2312" w:eastAsia="仿宋_GB2312" w:cs="仿宋_GB2312"/>
                <w:sz w:val="24"/>
                <w:szCs w:val="24"/>
              </w:rPr>
            </w:pP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应有开展绿色工厂的中长期规划及年度目标、指标和实施方案。可行时，指标应明确且可量化。</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rPr>
          <w:trHeight w:val="480" w:hRule="atLeast"/>
        </w:trPr>
        <w:tc>
          <w:tcPr>
            <w:tcW w:w="1746" w:type="dxa"/>
            <w:vMerge w:val="continue"/>
            <w:vAlign w:val="center"/>
          </w:tcPr>
          <w:p>
            <w:pPr>
              <w:rPr>
                <w:rFonts w:ascii="仿宋_GB2312" w:hAnsi="仿宋_GB2312" w:eastAsia="仿宋_GB2312" w:cs="仿宋_GB2312"/>
                <w:sz w:val="24"/>
                <w:szCs w:val="24"/>
              </w:rPr>
            </w:pPr>
          </w:p>
        </w:tc>
        <w:tc>
          <w:tcPr>
            <w:tcW w:w="668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应传播绿色制造的概念和知识，定期为员工提供绿色制造相关知识的教育、培训，并对教育和培训的结果进行考评。</w:t>
            </w:r>
          </w:p>
        </w:tc>
        <w:tc>
          <w:tcPr>
            <w:tcW w:w="1392" w:type="dxa"/>
            <w:vAlign w:val="center"/>
          </w:tcPr>
          <w:p>
            <w:pPr>
              <w:rPr>
                <w:rFonts w:ascii="仿宋_GB2312" w:hAnsi="仿宋_GB2312" w:eastAsia="仿宋_GB2312" w:cs="仿宋_GB2312"/>
                <w:sz w:val="24"/>
                <w:szCs w:val="24"/>
              </w:rPr>
            </w:pPr>
          </w:p>
        </w:tc>
        <w:tc>
          <w:tcPr>
            <w:tcW w:w="4281"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bl>
    <w:p>
      <w:pP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br w:type="page"/>
      </w:r>
    </w:p>
    <w:p>
      <w:pP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附表2.2</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w:t>
      </w:r>
      <w:r>
        <w:rPr>
          <w:rFonts w:hint="eastAsia" w:ascii="Times New Roman" w:hAnsi="Times New Roman" w:eastAsia="黑体" w:cs="Times New Roman"/>
          <w:bCs/>
          <w:sz w:val="36"/>
          <w:szCs w:val="36"/>
        </w:rPr>
        <w:t>第三方</w:t>
      </w:r>
      <w:r>
        <w:rPr>
          <w:rFonts w:ascii="Times New Roman" w:hAnsi="Times New Roman" w:eastAsia="黑体" w:cs="Times New Roman"/>
          <w:bCs/>
          <w:sz w:val="36"/>
          <w:szCs w:val="36"/>
        </w:rPr>
        <w:t>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W w:w="13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4"/>
        <w:gridCol w:w="1135"/>
        <w:gridCol w:w="1135"/>
        <w:gridCol w:w="4960"/>
        <w:gridCol w:w="2407"/>
        <w:gridCol w:w="1275"/>
        <w:gridCol w:w="851"/>
        <w:gridCol w:w="711"/>
        <w:gridCol w:w="770"/>
      </w:tblGrid>
      <w:tr>
        <w:trPr>
          <w:trHeight w:val="270" w:hRule="atLeast"/>
          <w:tblHeader/>
        </w:trPr>
        <w:tc>
          <w:tcPr>
            <w:tcW w:w="704" w:type="dxa"/>
            <w:vAlign w:val="center"/>
          </w:tcPr>
          <w:p>
            <w:pPr>
              <w:widowControl/>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序号</w:t>
            </w:r>
          </w:p>
        </w:tc>
        <w:tc>
          <w:tcPr>
            <w:tcW w:w="113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一级指标</w:t>
            </w:r>
          </w:p>
        </w:tc>
        <w:tc>
          <w:tcPr>
            <w:tcW w:w="113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二级指标</w:t>
            </w:r>
          </w:p>
        </w:tc>
        <w:tc>
          <w:tcPr>
            <w:tcW w:w="496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具体评价要求</w:t>
            </w:r>
          </w:p>
        </w:tc>
        <w:tc>
          <w:tcPr>
            <w:tcW w:w="2407"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符合性说明及证明材料索引</w:t>
            </w:r>
          </w:p>
        </w:tc>
        <w:tc>
          <w:tcPr>
            <w:tcW w:w="1275"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要求类型</w:t>
            </w:r>
          </w:p>
        </w:tc>
        <w:tc>
          <w:tcPr>
            <w:tcW w:w="851"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711"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权重</w:t>
            </w:r>
          </w:p>
        </w:tc>
        <w:tc>
          <w:tcPr>
            <w:tcW w:w="77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得分</w:t>
            </w:r>
          </w:p>
        </w:tc>
      </w:tr>
      <w:tr>
        <w:trPr>
          <w:trHeight w:val="72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基础设施</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建筑</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工厂的建筑应满足国家或地方相关法律法规及标准的要求。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新建、改建和扩建建筑时，应遵守国家“固定资产投资项目节能评估审查制度”、“三同时制度”、“工业项目建设用地控制指标”等产业政策和有关要求。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厂房内部装饰装修材料中醛、苯、氨、氡等有害物质应符合国家和地方法律、标准要求。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危险品仓库、有毒有害操作间、废弃物处理间等产生污染物的房间应独立设置。</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96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建筑结构：采用钢结构、砌体结构和木结构等资源消耗和环境影响小的建筑结构体系。</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1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再生资源及能源利用：（1）可再生能源的使用占建筑总能耗的比例大于10%；（2）采用节水器具和设备，节水率不低于10%。</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适用时，工厂的厂房采用多层建筑。</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照明</w:t>
            </w: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人工照明应符合GB 50034规定。</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不同场所的照明应进行分级设计。</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工厂厂区及各房间或场所的照明尽量利用自然光。</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工艺适用时，节能灯等节能型照明设备的使用占比不低于50%。</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公共场所的照明采取分区、分组与定时自动调光等措施。</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设施</w:t>
            </w: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pStyle w:val="12"/>
              <w:autoSpaceDE w:val="0"/>
              <w:autoSpaceDN w:val="0"/>
              <w:adjustRightInd w:val="0"/>
              <w:spacing w:beforeAutospacing="0" w:afterAutospacing="0"/>
              <w:jc w:val="both"/>
              <w:rPr>
                <w:rFonts w:ascii="仿宋_GB2312" w:hAnsi="仿宋_GB2312" w:eastAsia="仿宋_GB2312" w:cs="仿宋_GB2312"/>
                <w:szCs w:val="24"/>
              </w:rPr>
            </w:pPr>
            <w:r>
              <w:rPr>
                <w:rFonts w:hint="eastAsia" w:ascii="仿宋_GB2312" w:eastAsia="仿宋_GB2312"/>
              </w:rPr>
              <w:t>工厂应依据GB 17167、GB24789等要求配备、使用和管理能源、水以及其他资源的计量器具和装置。</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工厂使用的通用用能设备采用了节能型产品或效率高、能耗低、水耗低、物耗低的产品。</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48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管理体系</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一般</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19001的要求的质量管理体系。</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通过质量管理体系第三方认证。</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28001要求的职业健康安全管理体系。</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通过职业健康安全管理体系第三方认证。</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65" w:hRule="exac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环境管理体系</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24001要求的环境管理体系。</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通过环境管理体系第三方认证。</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能源管理体系</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23331要求的能源管理体系。</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通过能源管理体系第三方认证。</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责任</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每年发布社会责任报告，说明履行利益相关方责任的情况，特别是环境社会责任的履行情况，报告公开可获得。</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能源资源投入</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投入</w:t>
            </w:r>
          </w:p>
        </w:tc>
        <w:tc>
          <w:tcPr>
            <w:tcW w:w="4960" w:type="dxa"/>
            <w:vAlign w:val="center"/>
          </w:tcPr>
          <w:p>
            <w:pPr>
              <w:rPr>
                <w:rFonts w:ascii="仿宋_GB2312" w:hAnsi="仿宋_GB2312" w:eastAsia="仿宋_GB2312" w:cs="仿宋_GB2312"/>
                <w:sz w:val="24"/>
                <w:szCs w:val="24"/>
              </w:rPr>
            </w:pPr>
            <w:r>
              <w:rPr>
                <w:rFonts w:hint="eastAsia" w:eastAsia="仿宋_GB2312" w:cs="Times New Roman"/>
                <w:sz w:val="24"/>
              </w:rPr>
              <w:t>工厂应优化用能结构，在保证安全、质量的前提下减少不可再生能源投入。</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建有能源管理中心。</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建有厂区光伏电站、智能微电网。</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使用了低碳清洁的新能源。</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使用可再生能源代替不可再生能源。</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充分利用余热余压。</w:t>
            </w:r>
          </w:p>
        </w:tc>
        <w:tc>
          <w:tcPr>
            <w:tcW w:w="2407"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资源</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投入</w:t>
            </w: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工厂应减少材料、尤其是有害物质的使用，评估有害物质及化学品减量使用或替代的可行性。</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宋体" w:eastAsia="仿宋_GB2312" w:cs="宋体"/>
                <w:kern w:val="0"/>
                <w:sz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使用回收料、可回收材料替代原生材料、不可回收材料。</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采购</w:t>
            </w: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工厂应制定并实施包括环保要求的选择、评价和重新评价供方的准则</w:t>
            </w:r>
            <w:r>
              <w:rPr>
                <w:rFonts w:hint="eastAsia" w:ascii="仿宋_GB2312" w:hAnsi="仿宋_GB2312" w:eastAsia="仿宋_GB2312" w:cs="仿宋_GB2312"/>
                <w:sz w:val="24"/>
                <w:szCs w:val="24"/>
              </w:rPr>
              <w:t>。</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工厂向供方提供的采购信息包含有害物质使用、可回收材料使用、能效等环保要求。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满足绿色供应链评价要求。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72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产品</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生态</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工厂在产品设计中引入生态设计的理念。</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按照GB/T 24256对生产的产品进行生态设计。</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32161对生产的产品进行生态设计产品评价，满足绿色产品（生态设计产品）评价要求。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有害物质使用</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工厂生产的产品（包括原料和辅料）应减少有害物质的使用，避免有害物质的泄露，满足国家对产品中有害物质限制使用的要求。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实现有害物质替代。</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节能</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工厂生产的产品若为用能产品或在使用过程中对最终产品/构造的能耗有影响的产品，适用时，应满足相关标准的限定值要求。未制定标准的，产品能效应不低于行业平均值。</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必选（适用时）</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达到相关标准中的节能评价值/先进值要求，未制定标准的，产品能效达到行业前</w:t>
            </w:r>
            <w:r>
              <w:rPr>
                <w:rFonts w:hint="eastAsia" w:ascii="仿宋_GB2312" w:eastAsia="仿宋_GB2312" w:cs="宋体"/>
                <w:kern w:val="0"/>
                <w:sz w:val="24"/>
              </w:rPr>
              <w:t>20%</w:t>
            </w:r>
            <w:r>
              <w:rPr>
                <w:rFonts w:hint="eastAsia" w:ascii="仿宋_GB2312" w:hAnsi="宋体" w:eastAsia="仿宋_GB2312" w:cs="宋体"/>
                <w:kern w:val="0"/>
                <w:sz w:val="24"/>
              </w:rPr>
              <w:t>的水平，前5%为满分。</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可选（适用时）</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减碳</w:t>
            </w: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采用适用的标准或规范对产品进行碳足迹核算或核查。</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利用核算或核查结果对其产品的碳足迹进行改善。核算或核查结果对外公布。</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宋体" w:eastAsia="仿宋_GB2312" w:cs="宋体"/>
                <w:kern w:val="0"/>
                <w:sz w:val="24"/>
              </w:rPr>
              <w:t>适用时，产品满足相关低碳产品要求。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可回收利用率</w:t>
            </w: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按照GB/T 20862的要求计算其产品的可回收利用率。</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vAlign w:val="center"/>
          </w:tcPr>
          <w:p>
            <w:pPr>
              <w:jc w:val="center"/>
              <w:rPr>
                <w:rFonts w:ascii="仿宋_GB2312" w:hAnsi="仿宋_GB2312" w:eastAsia="仿宋_GB2312" w:cs="仿宋_GB2312"/>
                <w:sz w:val="24"/>
                <w:szCs w:val="24"/>
              </w:rPr>
            </w:pP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72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环境排放</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大气污染物</w:t>
            </w: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jc w:val="cente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jc w:val="cente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水体污染物</w:t>
            </w: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autoSpaceDE w:val="0"/>
              <w:autoSpaceDN w:val="0"/>
              <w:adjustRightInd w:val="0"/>
              <w:rPr>
                <w:rFonts w:ascii="仿宋_GB2312" w:hAnsi="宋体" w:eastAsia="仿宋_GB2312" w:cs="宋体"/>
                <w:kern w:val="0"/>
                <w:sz w:val="24"/>
              </w:rPr>
            </w:pPr>
            <w:r>
              <w:rPr>
                <w:rFonts w:hint="eastAsia" w:ascii="仿宋_GB2312" w:hAnsi="宋体" w:eastAsia="仿宋_GB2312" w:cs="宋体"/>
                <w:kern w:val="0"/>
                <w:sz w:val="24"/>
              </w:rPr>
              <w:t>工厂的主要水体污染物排放满足标准中更高等级的要求。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固体废弃物</w:t>
            </w: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噪声</w:t>
            </w:r>
          </w:p>
        </w:tc>
        <w:tc>
          <w:tcPr>
            <w:tcW w:w="4960" w:type="dxa"/>
            <w:vAlign w:val="center"/>
          </w:tcPr>
          <w:p>
            <w:pPr>
              <w:autoSpaceDE w:val="0"/>
              <w:autoSpaceDN w:val="0"/>
              <w:adjustRightInd w:val="0"/>
              <w:rPr>
                <w:rFonts w:ascii="仿宋_GB2312" w:hAnsi="仿宋_GB2312" w:eastAsia="仿宋_GB2312" w:cs="仿宋_GB2312"/>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温室</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气体</w:t>
            </w:r>
          </w:p>
        </w:tc>
        <w:tc>
          <w:tcPr>
            <w:tcW w:w="4960" w:type="dxa"/>
            <w:vAlign w:val="center"/>
          </w:tcPr>
          <w:p>
            <w:pPr>
              <w:adjustRightInd w:val="0"/>
              <w:snapToGrid w:val="0"/>
              <w:rPr>
                <w:rFonts w:ascii="仿宋_GB2312" w:hAnsi="仿宋_GB2312" w:eastAsia="仿宋_GB2312" w:cs="仿宋_GB2312"/>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获得温室气体排放量第三方核查声明。</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核查结果对外公布。</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可行时，利用核算或核查结果对其温室气体的排放进行改善。</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绩效</w:t>
            </w: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用地集约化</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36132附录A计算工厂容积率，指标应不低于《工业项目建设用地控制指标》的要求。</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36132附录A计算工厂容积率，指标达到《工业项目建设用地控制指标》要求的1.2倍及以上，2倍及以上为满分。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36132附录A计算工厂建筑密度，建筑密度不低于30%。</w:t>
            </w:r>
          </w:p>
        </w:tc>
        <w:tc>
          <w:tcPr>
            <w:tcW w:w="2407" w:type="dxa"/>
            <w:vMerge w:val="restart"/>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36132附录A计算工厂建筑密度，建筑密度达到40%。</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原料无害化</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36132附录A识别、统计和计算工厂的绿色物料使用情况。</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36132附录A计算工厂主要物料的绿色物料使用率达30%及以上。</w:t>
            </w:r>
          </w:p>
        </w:tc>
        <w:tc>
          <w:tcPr>
            <w:tcW w:w="240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　</w:t>
            </w:r>
          </w:p>
        </w:tc>
      </w:tr>
      <w:tr>
        <w:trPr>
          <w:trHeight w:val="96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生产洁净化</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36132附录A计算单位产品废气产生量，指标应不高于行业平均水平。（装备、电子、电器等离散制造业可采用单位产值或单位工业增加值指标。）</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36132附录A计算单位产品废气产生量，指标优于行业前20%水平。（装备、电子、电器等离散制造业可采用单位产值或单位工业增加值指标。）前5%为满分。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36132附录A计算单位产品废水产生量，指标应不高于行业平均水平。（装备、电子、电器等离散制造业可采用单位产值或单位工业增加值指标。）</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36132附录A计算单位产品废水产生量，指标优于行业前20%水平。（装备、电子、电器等离散制造业可采用单位产值或单位工业增加值指标。）前5%为满分。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废物资源化</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36132附录A计算单位产品主要原材料消耗量，指标应不高于行业平均水平。</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36132附录A计算单位产品主要原材料消耗量，指标优于行业前20%水平，前5%为满分。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36132附录A计算工业固体废物综合利用率，指标应大于65%（根据行业特点，该指标可在±20%之间选取）。</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48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36132附录A计算工业固体废物综合利用率，指标达到73%（根据行业特点，该指标可在±20%之间选取），90%为满分。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36132附录A计算废水处理回用率，指标高于行业平均值。</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27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jc w:val="cente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36132附录A计算废水处理回用率，指标优于行业前20%水平，前5%为满分。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96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能源低碳化</w:t>
            </w: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96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36132附录A计算单位产品碳排放量，指标应优于行业平均水平。（装备、电子、电器等离散制造业可采用单位产值或单位工业增加值指标。）</w:t>
            </w:r>
          </w:p>
        </w:tc>
        <w:tc>
          <w:tcPr>
            <w:tcW w:w="2407" w:type="dxa"/>
            <w:vMerge w:val="restar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704"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1135" w:type="dxa"/>
            <w:vMerge w:val="continue"/>
            <w:vAlign w:val="center"/>
          </w:tcPr>
          <w:p>
            <w:pPr>
              <w:rPr>
                <w:rFonts w:ascii="仿宋_GB2312" w:hAnsi="仿宋_GB2312" w:eastAsia="仿宋_GB2312" w:cs="仿宋_GB2312"/>
                <w:sz w:val="24"/>
                <w:szCs w:val="24"/>
              </w:rPr>
            </w:pPr>
          </w:p>
        </w:tc>
        <w:tc>
          <w:tcPr>
            <w:tcW w:w="4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按照GB/T 36132附录A计算单位产品碳排放量，指标优于行业前20%水平。（装备、电子、电器等离散制造业可采用单位产值或单位工业增加值指标。）前5%为满分。</w:t>
            </w:r>
          </w:p>
        </w:tc>
        <w:tc>
          <w:tcPr>
            <w:tcW w:w="2407" w:type="dxa"/>
            <w:vMerge w:val="continue"/>
            <w:vAlign w:val="center"/>
          </w:tcPr>
          <w:p>
            <w:pPr>
              <w:rPr>
                <w:rFonts w:ascii="仿宋_GB2312" w:hAnsi="仿宋_GB2312" w:eastAsia="仿宋_GB2312" w:cs="仿宋_GB2312"/>
                <w:sz w:val="24"/>
                <w:szCs w:val="24"/>
              </w:rPr>
            </w:pPr>
          </w:p>
        </w:tc>
        <w:tc>
          <w:tcPr>
            <w:tcW w:w="127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可选</w:t>
            </w:r>
          </w:p>
        </w:tc>
        <w:tc>
          <w:tcPr>
            <w:tcW w:w="85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11" w:type="dxa"/>
            <w:vMerge w:val="continue"/>
            <w:vAlign w:val="center"/>
          </w:tcPr>
          <w:p>
            <w:pPr>
              <w:rPr>
                <w:rFonts w:ascii="仿宋_GB2312" w:hAnsi="仿宋_GB2312" w:eastAsia="仿宋_GB2312" w:cs="仿宋_GB2312"/>
                <w:sz w:val="24"/>
                <w:szCs w:val="24"/>
              </w:rPr>
            </w:pPr>
          </w:p>
        </w:tc>
        <w:tc>
          <w:tcPr>
            <w:tcW w:w="770" w:type="dxa"/>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rPr>
          <w:trHeight w:val="720" w:hRule="atLeast"/>
        </w:trPr>
        <w:tc>
          <w:tcPr>
            <w:tcW w:w="13178" w:type="dxa"/>
            <w:gridSpan w:val="8"/>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770" w:type="dxa"/>
            <w:vAlign w:val="center"/>
          </w:tcPr>
          <w:p>
            <w:pPr>
              <w:jc w:val="left"/>
              <w:rPr>
                <w:rFonts w:ascii="仿宋_GB2312" w:hAnsi="仿宋_GB2312" w:eastAsia="仿宋_GB2312" w:cs="仿宋_GB2312"/>
                <w:color w:val="000000"/>
                <w:sz w:val="24"/>
                <w:szCs w:val="24"/>
              </w:rPr>
            </w:pPr>
          </w:p>
        </w:tc>
      </w:tr>
    </w:tbl>
    <w:p>
      <w:pPr>
        <w:snapToGrid w:val="0"/>
        <w:spacing w:line="480" w:lineRule="auto"/>
        <w:outlineLvl w:val="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注：绿色工厂必须满足各项必选要求，可选要求按照受评工厂满足程度在0分到满分中取值。</w:t>
      </w:r>
    </w:p>
    <w:p>
      <w:pPr>
        <w:jc w:val="center"/>
        <w:rPr>
          <w:rFonts w:ascii="Times New Roman" w:hAnsi="Times New Roman" w:eastAsia="仿宋_GB2312" w:cs="Times New Roman"/>
          <w:sz w:val="24"/>
          <w:szCs w:val="24"/>
        </w:rPr>
      </w:pPr>
    </w:p>
    <w:p/>
    <w:p/>
    <w:p/>
    <w:p/>
    <w:p/>
    <w:p/>
    <w:p/>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_x0000_s1026"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suff w:val="space"/>
      <w:lvlText w:val="%1."/>
      <w:lvlJc w:val="left"/>
    </w:lvl>
  </w:abstractNum>
  <w:abstractNum w:abstractNumId="11">
    <w:nsid w:val="0000000B"/>
    <w:multiLevelType w:val="multilevel"/>
    <w:tmpl w:val="0000000B"/>
    <w:lvl w:ilvl="0" w:tentative="1">
      <w:start w:val="1"/>
      <w:numFmt w:val="decimal"/>
      <w:suff w:val="space"/>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2">
    <w:nsid w:val="0000000C"/>
    <w:multiLevelType w:val="multilevel"/>
    <w:tmpl w:val="0000000C"/>
    <w:lvl w:ilvl="0" w:tentative="1">
      <w:start w:val="1"/>
      <w:numFmt w:val="decimal"/>
      <w:suff w:val="space"/>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11"/>
  </w:num>
  <w:num w:numId="2">
    <w:abstractNumId w:val="10"/>
  </w:num>
  <w:num w:numId="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8">
    <w:name w:val="Default Paragraph Font"/>
  </w:style>
  <w:style w:type="paragraph" w:styleId="2">
    <w:name w:val="批注框文本"/>
    <w:basedOn w:val="1"/>
    <w:link w:val="3"/>
    <w:rPr>
      <w:kern w:val="2"/>
      <w:sz w:val="18"/>
      <w:szCs w:val="18"/>
    </w:rPr>
  </w:style>
  <w:style w:type="character" w:customStyle="1" w:styleId="3">
    <w:name w:val="批注框文本 Char"/>
    <w:link w:val="2"/>
    <w:semiHidden/>
    <w:rPr>
      <w:kern w:val="2"/>
      <w:sz w:val="18"/>
      <w:szCs w:val="18"/>
    </w:rPr>
  </w:style>
  <w:style w:type="paragraph" w:styleId="4">
    <w:name w:val="footer"/>
    <w:basedOn w:val="1"/>
    <w:link w:val="5"/>
    <w:pPr>
      <w:tabs>
        <w:tab w:val="center" w:pos="4153"/>
        <w:tab w:val="right" w:pos="8306"/>
      </w:tabs>
      <w:snapToGrid w:val="0"/>
      <w:jc w:val="left"/>
    </w:pPr>
    <w:rPr>
      <w:kern w:val="2"/>
      <w:sz w:val="18"/>
      <w:szCs w:val="18"/>
    </w:rPr>
  </w:style>
  <w:style w:type="character" w:customStyle="1" w:styleId="5">
    <w:name w:val="页脚 Char"/>
    <w:link w:val="4"/>
    <w:semiHidden/>
    <w:rPr>
      <w:kern w:val="2"/>
      <w:sz w:val="18"/>
      <w:szCs w:val="18"/>
    </w:rPr>
  </w:style>
  <w:style w:type="paragraph" w:styleId="6">
    <w:name w:val="header"/>
    <w:basedOn w:val="1"/>
    <w:link w:val="7"/>
    <w:pPr>
      <w:pBdr>
        <w:bottom w:val="single" w:color="auto" w:sz="6" w:space="1"/>
      </w:pBdr>
      <w:tabs>
        <w:tab w:val="center" w:pos="4153"/>
        <w:tab w:val="right" w:pos="8306"/>
      </w:tabs>
      <w:snapToGrid w:val="0"/>
      <w:jc w:val="center"/>
    </w:pPr>
    <w:rPr>
      <w:rFonts w:ascii="Calibri" w:hAnsi="Calibri" w:cs="黑体"/>
      <w:kern w:val="2"/>
      <w:sz w:val="18"/>
      <w:szCs w:val="18"/>
    </w:rPr>
  </w:style>
  <w:style w:type="character" w:customStyle="1" w:styleId="7">
    <w:name w:val="页眉 Char"/>
    <w:link w:val="6"/>
    <w:semiHidden/>
    <w:rPr>
      <w:rFonts w:ascii="Calibri" w:hAnsi="Calibri" w:cs="黑体"/>
      <w:kern w:val="2"/>
      <w:sz w:val="18"/>
      <w:szCs w:val="18"/>
    </w:rPr>
  </w:style>
  <w:style w:type="character" w:styleId="9">
    <w:name w:val="Hyperlink"/>
    <w:rPr>
      <w:color w:val="0000FF"/>
      <w:u w:val="single"/>
    </w:rPr>
  </w:style>
  <w:style w:type="paragraph" w:customStyle="1" w:styleId="10">
    <w:name w:val="列出段落1"/>
    <w:basedOn w:val="1"/>
    <w:pPr>
      <w:ind w:firstLine="420" w:firstLineChars="200"/>
    </w:pPr>
  </w:style>
  <w:style w:type="paragraph" w:customStyle="1" w:styleId="11">
    <w:name w:val="列出段落2"/>
    <w:basedOn w:val="1"/>
    <w:pPr>
      <w:ind w:firstLine="420" w:firstLineChars="200"/>
    </w:pPr>
  </w:style>
  <w:style w:type="paragraph" w:customStyle="1" w:styleId="12">
    <w:name w:val="列出段落3"/>
    <w:basedOn w:val="1"/>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1851</Words>
  <Characters>10555</Characters>
  <Lines>87</Lines>
  <Paragraphs>24</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2019-03-20T12:36:00Z</dcterms:created>
  <dc:creator>admin</dc:creator>
  <cp:lastPrinted>2017-02-20T14:11:00Z</cp:lastPrinted>
  <dcterms:modified xsi:type="dcterms:W3CDTF">2019-03-21T19:10:36Z</dcterms:modified>
  <dc:title>附件1  绿色工厂试点申报材料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