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所在地州：</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rPr>
      </w:pPr>
      <w:r>
        <w:rPr>
          <w:rFonts w:hint="eastAsia" w:ascii="仿宋_GB2312" w:hAnsi="仿宋_GB2312" w:eastAsia="仿宋_GB2312" w:cs="仿宋_GB2312"/>
          <w:sz w:val="30"/>
        </w:rPr>
        <w:t>联系人（联系方式）：</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新疆维吾尔自治区经济和信息化委员会制</w:t>
      </w: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ascii="仿宋_GB2312" w:hAnsi="仿宋_GB2312" w:eastAsia="仿宋_GB2312" w:cs="仿宋_GB2312"/>
          <w:b/>
          <w:sz w:val="30"/>
        </w:rPr>
        <w:sectPr>
          <w:pgSz w:w="11906" w:h="16838"/>
          <w:pgMar w:top="1440" w:right="1800" w:bottom="1440" w:left="1800" w:header="851" w:footer="992" w:gutter="0"/>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四、自评价报告应按照规定格式填写，并使用A4纸打印装订（一式三份、电子版一份）。</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7"/>
        <w:tblW w:w="83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6" w:firstLineChars="207"/>
              <w:rPr>
                <w:rFonts w:ascii="Times New Roman" w:hAnsi="Times New Roman" w:eastAsia="仿宋_GB2312" w:cs="Times New Roman"/>
                <w:kern w:val="0"/>
                <w:sz w:val="24"/>
              </w:rPr>
            </w:pPr>
          </w:p>
          <w:p>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对照《绿色工厂评价要求》主要对工厂的基础设施、管理体系、能源资源投入、产品、环境排放等内容进行情况描述。 </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基础设施情况。主要描述工厂的建筑、计量设备、照明配置情况，以及相关标准落实情况。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管理体系情况。主要描述工厂管理体系建设情况。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产品情况。主要描述产品的设计、能效、有害物质限制使用等情况，以及相关标准落实情况。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环境排放情况。主要描述污染物处理设备、大气污染物、水体污染物、固体废物、噪声、温室气体的排放及管理现状，以及相关标准的落实情况。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依据工厂情况和《绿色工厂评价要求》，工厂进行自评，并填写附表1和附表2。</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企业组织机构代码证复印件（适用时）；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numPr>
          <w:ilvl w:val="0"/>
          <w:numId w:val="2"/>
        </w:numPr>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附表1</w:t>
      </w:r>
    </w:p>
    <w:p>
      <w:pPr>
        <w:widowControl/>
        <w:jc w:val="left"/>
        <w:rPr>
          <w:rFonts w:ascii="Times New Roman" w:hAnsi="Times New Roman" w:eastAsia="黑体" w:cs="Times New Roman"/>
          <w:bCs/>
          <w:sz w:val="36"/>
          <w:szCs w:val="36"/>
        </w:rPr>
      </w:pP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绿色工厂一般要求自评表</w:t>
      </w:r>
    </w:p>
    <w:p>
      <w:pPr>
        <w:widowControl/>
        <w:jc w:val="center"/>
        <w:rPr>
          <w:rFonts w:ascii="Times New Roman" w:hAnsi="Times New Roman" w:eastAsia="黑体" w:cs="Times New Roman"/>
          <w:bCs/>
          <w:sz w:val="36"/>
          <w:szCs w:val="36"/>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一般要求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近三年无重大安全、环保、质量等事故，成立不足三年的企业，成立以来无重大安全、环保、质量等事故。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对利益相关方环境要求做出承诺的，应同时满足有关承诺要求。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最高管理者应分派绿色工厂相关的职责和权限，确保相关资源的获得，并承诺和确保满足绿色工厂评价要求。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工厂应设有绿色工厂管理机构，负责有关绿色制造的制度建设、实施、考核及奖励工作，建立目标责任制。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工厂应有绿色工厂建设中长期规划及量化的年度目标和实施方案。</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工厂定期提供绿色工厂相关教育、培训，并评估教育和培训结果。</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bl>
    <w:p>
      <w:pPr>
        <w:spacing w:line="360" w:lineRule="auto"/>
        <w:jc w:val="center"/>
        <w:rPr>
          <w:rFonts w:ascii="Times New Roman" w:hAnsi="Times New Roman" w:eastAsia="方正小标宋简体" w:cs="Times New Roman"/>
          <w:bCs/>
          <w:sz w:val="44"/>
          <w:szCs w:val="44"/>
        </w:rPr>
        <w:sectPr>
          <w:pgSz w:w="11906" w:h="16838"/>
          <w:pgMar w:top="1440" w:right="1800" w:bottom="1440" w:left="1800" w:header="851" w:footer="992" w:gutter="0"/>
          <w:cols w:space="720" w:num="1"/>
          <w:docGrid w:type="lines" w:linePitch="312" w:charSpace="0"/>
        </w:sectPr>
      </w:pPr>
      <w:bookmarkStart w:id="0" w:name="_GoBack"/>
      <w:bookmarkEnd w:id="0"/>
    </w:p>
    <w:p>
      <w:pPr>
        <w:rPr>
          <w:rFonts w:ascii="Times New Roman" w:hAnsi="Times New Roman" w:eastAsia="黑体" w:cs="Times New Roman"/>
          <w:bCs/>
          <w:sz w:val="36"/>
          <w:szCs w:val="36"/>
        </w:rPr>
      </w:pPr>
      <w:r>
        <w:rPr>
          <w:rFonts w:hint="eastAsia" w:ascii="仿宋_GB2312" w:hAnsi="仿宋_GB2312" w:eastAsia="仿宋_GB2312" w:cs="仿宋_GB2312"/>
          <w:sz w:val="32"/>
          <w:szCs w:val="32"/>
        </w:rPr>
        <w:t>附表2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二级指标</w:t>
            </w:r>
          </w:p>
        </w:tc>
        <w:tc>
          <w:tcPr>
            <w:tcW w:w="347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工厂新建、改建和扩建建筑时，应遵守国家“固定资产投资项目节能评估审查制度”、“三同时制度”、“工业项目建设用地控制指标”等产业政策和有关要求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工厂的建筑应满足国家或地方相关法律法规及标准的要求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厂房内部装饰装修材料中醛、苯、氨、氡等有害物质必须符合国家和地方法律、标准要求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危险品仓库、有毒有害操作间、废弃物处理间等产生污染物的房间应独立设置</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工厂应依据GB 17167、GB</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24789 等要求配备、使用和管理能源、水以及其他资源的计量器具和装置。能源及资源使用的类型不同时，应进行分类计量</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工厂厂区及各房间或场所的照明功率密度应符合GB 50034 规定现行值</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工厂建筑从建筑材料、建筑结构、绿化及场地、再生资源及能源利用等方面进行建筑的节材、节能、节水、节地及可再生能源利用</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适用时，工厂的厂房采用多层建筑</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工厂厂区和办公区采用自然光照明</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工厂应建立、实施并保持满足GB/T 19001 的要求的质量管理体系和满足GB/T 28001 的要求的职业健康安全管理体系</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工厂应建立、实施并保持满足GB/T 24001 要求的环境管理体系</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工厂应建立、实施并保持满足GB/T 23331 要求的能源管理体系</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每年发布社会责任报告，说明履行利益相关方责任的情况，特别是环境社会责任的履行情况，报告公开可获得</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工厂应优化用能结构，在保证安全、质量的前提下减少能源投入</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工厂及其生产的产品应满足工业节能相关的强制性标准</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已明令禁止生产、使用的和能耗高、效率低的设备应限期淘汰更新，用能设备或系统的实际运行效率或主要运行参数应符合该设备经济运行的要求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适用时，工厂使用的设备应达到相关标准中能效限定值的强制性要求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工厂应减少原材料、尤其是有害物质的使用</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工厂应评估有害物质及化学品减量使用或替代的可行性</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工厂应制定并实施选择、评价和重新评价供方的准则，确保供方能够提供符合工厂环保要求的材料、元器件、部件或组件</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工厂应确定并实施检验或其他必要的活动，确保采购的产品满足规定的采购要求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工厂建有能源管理中心</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工厂建有厂区光伏电站、智能微电网</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工厂使用的通用用能设备采用了节能型产品或效率高、能耗低的产品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工厂使用了低碳清洁的新能源</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可行时，使用可再生能源替代不可再生能源</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工厂在产品设计中引入生态设计的理念</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工厂生产的产品若为用能产品，应满足相关产品的国家、行业或地方发布的产品能效标准中的限定值要求，未制定产品能效标准的，产品能效应不低于行业平均值</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工厂生产的产品应减少有害物质的使用，并满足国家对产品中有害物质限制使用的要求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满足绿色产品（生态设计产品）评价要求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达到国家、行业或地方发布的产品能效标准中的先进值要求，未制定产品能效标准的，产品能效达到行业前20%的水平</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采用公众可获取的标准或规范对产品进行碳足迹盘查或核查</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利用盘查或核查结果对其产品的碳足迹进行改善。盘查或核查结果对外公布</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实现有害物质替代</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工厂应投入适宜的污染物处理设备，以确保其污染物排放达到相关法律法规及标准要求。污染物处理设备的处理能力应与工厂生产排放相适应，并应正常运行</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工厂的大气污染物排放应符合相关国家标准及地方标准要求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工厂的水体污染物排放应符合相关国家标准及地方标准要求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工厂需委托具有能力和资质的企业进行固体废弃物处理，适用时应符合相关废弃产品拆解处理要求标准</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工厂的厂界环境噪声排放应符合相关国家标准及地方标准要求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工厂应采用公众可获取的标准或规范对其厂界范围内的温室气体排放进行盘查，并利用盘查结果对其温室气体的排放进行改善</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利用核查结果对其温室气体的排放进行改善</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核查结果对外公布</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指标</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工厂容积率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rPr>
              <w:t>产值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bl>
    <w:p>
      <w:pPr>
        <w:rPr>
          <w:rFonts w:ascii="Times New Roman" w:hAnsi="Times New Roman" w:eastAsia="仿宋_GB2312" w:cs="Times New Roman"/>
          <w:sz w:val="32"/>
        </w:rPr>
      </w:pPr>
    </w:p>
    <w:p>
      <w:pPr>
        <w:rPr>
          <w:rFonts w:ascii="Times New Roman" w:hAnsi="Times New Roman" w:eastAsia="仿宋_GB2312" w:cs="Times New Roman"/>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33626F27"/>
    <w:multiLevelType w:val="multilevel"/>
    <w:tmpl w:val="33626F27"/>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2"/>
  </w:compat>
  <w:rsids>
    <w:rsidRoot w:val="201B3F96"/>
    <w:rsid w:val="00005523"/>
    <w:rsid w:val="0001722D"/>
    <w:rsid w:val="00022BD1"/>
    <w:rsid w:val="000278B6"/>
    <w:rsid w:val="00047F4E"/>
    <w:rsid w:val="000D4244"/>
    <w:rsid w:val="0012309A"/>
    <w:rsid w:val="001654DA"/>
    <w:rsid w:val="00170F78"/>
    <w:rsid w:val="0017297A"/>
    <w:rsid w:val="00193C00"/>
    <w:rsid w:val="00222662"/>
    <w:rsid w:val="0026367F"/>
    <w:rsid w:val="00295E51"/>
    <w:rsid w:val="002B211F"/>
    <w:rsid w:val="002C7F92"/>
    <w:rsid w:val="002D6988"/>
    <w:rsid w:val="00311E70"/>
    <w:rsid w:val="0032037C"/>
    <w:rsid w:val="003E1766"/>
    <w:rsid w:val="00444A34"/>
    <w:rsid w:val="004A1DB1"/>
    <w:rsid w:val="004C52FB"/>
    <w:rsid w:val="004D5A03"/>
    <w:rsid w:val="00512562"/>
    <w:rsid w:val="005268B7"/>
    <w:rsid w:val="00535A98"/>
    <w:rsid w:val="0057187A"/>
    <w:rsid w:val="005A22FB"/>
    <w:rsid w:val="005B4994"/>
    <w:rsid w:val="00614F34"/>
    <w:rsid w:val="00644D49"/>
    <w:rsid w:val="00651918"/>
    <w:rsid w:val="006857FF"/>
    <w:rsid w:val="006A713A"/>
    <w:rsid w:val="006C2248"/>
    <w:rsid w:val="006E326F"/>
    <w:rsid w:val="006E63D7"/>
    <w:rsid w:val="0070375B"/>
    <w:rsid w:val="00723BBE"/>
    <w:rsid w:val="00732B52"/>
    <w:rsid w:val="00736131"/>
    <w:rsid w:val="007649A6"/>
    <w:rsid w:val="00784D50"/>
    <w:rsid w:val="007B0F18"/>
    <w:rsid w:val="007D5EF2"/>
    <w:rsid w:val="008029F3"/>
    <w:rsid w:val="0081107E"/>
    <w:rsid w:val="00815041"/>
    <w:rsid w:val="00820407"/>
    <w:rsid w:val="00835B2B"/>
    <w:rsid w:val="00850394"/>
    <w:rsid w:val="00865A10"/>
    <w:rsid w:val="0087618F"/>
    <w:rsid w:val="008B679C"/>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91142"/>
    <w:rsid w:val="00F1114C"/>
    <w:rsid w:val="00F1729F"/>
    <w:rsid w:val="00F63A65"/>
    <w:rsid w:val="00F81732"/>
    <w:rsid w:val="00F83FA9"/>
    <w:rsid w:val="00F90826"/>
    <w:rsid w:val="00FA062A"/>
    <w:rsid w:val="00FB2744"/>
    <w:rsid w:val="01B62F5C"/>
    <w:rsid w:val="03AD5615"/>
    <w:rsid w:val="04A80D30"/>
    <w:rsid w:val="055F62E0"/>
    <w:rsid w:val="07965F00"/>
    <w:rsid w:val="087245E9"/>
    <w:rsid w:val="0A600591"/>
    <w:rsid w:val="0B6E6550"/>
    <w:rsid w:val="0C476233"/>
    <w:rsid w:val="0C583F4F"/>
    <w:rsid w:val="0E5B3E90"/>
    <w:rsid w:val="1124702B"/>
    <w:rsid w:val="121037B1"/>
    <w:rsid w:val="12943D8A"/>
    <w:rsid w:val="150B2214"/>
    <w:rsid w:val="15861B5E"/>
    <w:rsid w:val="1587214C"/>
    <w:rsid w:val="158E49EC"/>
    <w:rsid w:val="15D00CD9"/>
    <w:rsid w:val="17D0041E"/>
    <w:rsid w:val="18104A8B"/>
    <w:rsid w:val="18453C60"/>
    <w:rsid w:val="18AE7E0C"/>
    <w:rsid w:val="1940737B"/>
    <w:rsid w:val="19525BB3"/>
    <w:rsid w:val="1A95222B"/>
    <w:rsid w:val="1D274763"/>
    <w:rsid w:val="1D433149"/>
    <w:rsid w:val="1E376452"/>
    <w:rsid w:val="1E9A4645"/>
    <w:rsid w:val="1F0E6B82"/>
    <w:rsid w:val="201B3F96"/>
    <w:rsid w:val="202366CA"/>
    <w:rsid w:val="20526261"/>
    <w:rsid w:val="21290176"/>
    <w:rsid w:val="22ED32DA"/>
    <w:rsid w:val="23CF16CE"/>
    <w:rsid w:val="23EA6A78"/>
    <w:rsid w:val="25C96F0A"/>
    <w:rsid w:val="26B2753C"/>
    <w:rsid w:val="26C40427"/>
    <w:rsid w:val="26DE0FD1"/>
    <w:rsid w:val="28F64EC4"/>
    <w:rsid w:val="29A504DF"/>
    <w:rsid w:val="2C5348C6"/>
    <w:rsid w:val="2CF96358"/>
    <w:rsid w:val="2D275BA3"/>
    <w:rsid w:val="2E560813"/>
    <w:rsid w:val="2F750C6B"/>
    <w:rsid w:val="30802422"/>
    <w:rsid w:val="31AF4AA2"/>
    <w:rsid w:val="31CA113F"/>
    <w:rsid w:val="33C521FE"/>
    <w:rsid w:val="33CD1809"/>
    <w:rsid w:val="371428EB"/>
    <w:rsid w:val="37CF521C"/>
    <w:rsid w:val="37D02C9E"/>
    <w:rsid w:val="37EE5AD1"/>
    <w:rsid w:val="380E0584"/>
    <w:rsid w:val="389B2389"/>
    <w:rsid w:val="39764653"/>
    <w:rsid w:val="39BF474D"/>
    <w:rsid w:val="3A8F731E"/>
    <w:rsid w:val="3B9A4359"/>
    <w:rsid w:val="3BD266B1"/>
    <w:rsid w:val="3C173922"/>
    <w:rsid w:val="3E5553C8"/>
    <w:rsid w:val="44373D73"/>
    <w:rsid w:val="46315CB6"/>
    <w:rsid w:val="46B92717"/>
    <w:rsid w:val="477361FD"/>
    <w:rsid w:val="491834FB"/>
    <w:rsid w:val="49210587"/>
    <w:rsid w:val="492F3120"/>
    <w:rsid w:val="499140BE"/>
    <w:rsid w:val="4A2B0A3A"/>
    <w:rsid w:val="4B450039"/>
    <w:rsid w:val="4BC15658"/>
    <w:rsid w:val="4D040E3D"/>
    <w:rsid w:val="4EBD75BF"/>
    <w:rsid w:val="4EF03291"/>
    <w:rsid w:val="4F3C0B94"/>
    <w:rsid w:val="506875FB"/>
    <w:rsid w:val="52844274"/>
    <w:rsid w:val="52CC4866"/>
    <w:rsid w:val="52E93A6C"/>
    <w:rsid w:val="551A792E"/>
    <w:rsid w:val="56A80039"/>
    <w:rsid w:val="56FA45C0"/>
    <w:rsid w:val="57117A69"/>
    <w:rsid w:val="582E113A"/>
    <w:rsid w:val="5AFC7FD4"/>
    <w:rsid w:val="5B705D94"/>
    <w:rsid w:val="5D9E4D24"/>
    <w:rsid w:val="5EF665DA"/>
    <w:rsid w:val="5F0C077E"/>
    <w:rsid w:val="5FDD1CD0"/>
    <w:rsid w:val="5FE22D60"/>
    <w:rsid w:val="5FF351F8"/>
    <w:rsid w:val="61385890"/>
    <w:rsid w:val="621A25FF"/>
    <w:rsid w:val="63896059"/>
    <w:rsid w:val="648065F1"/>
    <w:rsid w:val="65F32C4F"/>
    <w:rsid w:val="67E77C07"/>
    <w:rsid w:val="67EC37C9"/>
    <w:rsid w:val="689C6431"/>
    <w:rsid w:val="68D11D83"/>
    <w:rsid w:val="68E42FA2"/>
    <w:rsid w:val="6A000277"/>
    <w:rsid w:val="6B151F5F"/>
    <w:rsid w:val="6C404029"/>
    <w:rsid w:val="6CCA0AF9"/>
    <w:rsid w:val="6D5857D0"/>
    <w:rsid w:val="6D67188D"/>
    <w:rsid w:val="6DF523F6"/>
    <w:rsid w:val="6DFD3F7F"/>
    <w:rsid w:val="6EA70BE4"/>
    <w:rsid w:val="6F86090D"/>
    <w:rsid w:val="6F8D3411"/>
    <w:rsid w:val="6FCB457A"/>
    <w:rsid w:val="70136EED"/>
    <w:rsid w:val="70473EC4"/>
    <w:rsid w:val="708539A9"/>
    <w:rsid w:val="709177BB"/>
    <w:rsid w:val="716F71A9"/>
    <w:rsid w:val="726915C0"/>
    <w:rsid w:val="738D3920"/>
    <w:rsid w:val="73D8631E"/>
    <w:rsid w:val="73E26C2E"/>
    <w:rsid w:val="74096AED"/>
    <w:rsid w:val="741F0C91"/>
    <w:rsid w:val="75681F2D"/>
    <w:rsid w:val="767A306F"/>
    <w:rsid w:val="772D6395"/>
    <w:rsid w:val="773B1E28"/>
    <w:rsid w:val="77F47058"/>
    <w:rsid w:val="77FE53E9"/>
    <w:rsid w:val="79FC31DA"/>
    <w:rsid w:val="7AA678C6"/>
    <w:rsid w:val="7B186900"/>
    <w:rsid w:val="7B5754EB"/>
    <w:rsid w:val="7BFB2776"/>
    <w:rsid w:val="7D5C10B9"/>
    <w:rsid w:val="7F08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paragraph" w:customStyle="1" w:styleId="10">
    <w:name w:val="列出段落2"/>
    <w:basedOn w:val="1"/>
    <w:qFormat/>
    <w:uiPriority w:val="99"/>
    <w:pPr>
      <w:ind w:firstLine="420" w:firstLineChars="200"/>
    </w:pPr>
  </w:style>
  <w:style w:type="character" w:customStyle="1" w:styleId="11">
    <w:name w:val="页脚 Char"/>
    <w:link w:val="3"/>
    <w:qFormat/>
    <w:uiPriority w:val="99"/>
    <w:rPr>
      <w:kern w:val="2"/>
      <w:sz w:val="18"/>
      <w:szCs w:val="18"/>
    </w:rPr>
  </w:style>
  <w:style w:type="character" w:customStyle="1" w:styleId="12">
    <w:name w:val="批注框文本 Char"/>
    <w:link w:val="2"/>
    <w:qFormat/>
    <w:uiPriority w:val="0"/>
    <w:rPr>
      <w:kern w:val="2"/>
      <w:sz w:val="18"/>
      <w:szCs w:val="18"/>
    </w:rPr>
  </w:style>
  <w:style w:type="character" w:customStyle="1" w:styleId="13">
    <w:name w:val="页眉 Char"/>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623</Words>
  <Characters>3552</Characters>
  <Lines>29</Lines>
  <Paragraphs>8</Paragraphs>
  <TotalTime>0</TotalTime>
  <ScaleCrop>false</ScaleCrop>
  <LinksUpToDate>false</LinksUpToDate>
  <CharactersWithSpaces>4167</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2017-02-15T08:23:00Z</dcterms:created>
  <dc:creator>admin</dc:creator>
  <cp:lastModifiedBy>周强</cp:lastModifiedBy>
  <cp:lastPrinted>2017-02-20T06:11:00Z</cp:lastPrinted>
  <dcterms:modified xsi:type="dcterms:W3CDTF">2018-01-23T12:23:44Z</dcterms:modified>
  <dc:title>附件1  绿色工厂试点申报材料</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