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kern w:val="0"/>
          <w:sz w:val="32"/>
          <w:szCs w:val="32"/>
        </w:rPr>
      </w:pPr>
      <w:r>
        <w:rPr>
          <w:rFonts w:ascii="黑体" w:eastAsia="黑体"/>
          <w:kern w:val="0"/>
          <w:sz w:val="32"/>
          <w:szCs w:val="32"/>
        </w:rPr>
        <w:t>附</w:t>
      </w:r>
      <w:r>
        <w:rPr>
          <w:rFonts w:hint="eastAsia" w:ascii="黑体" w:eastAsia="黑体"/>
          <w:kern w:val="0"/>
          <w:sz w:val="32"/>
          <w:szCs w:val="32"/>
        </w:rPr>
        <w:t>2</w:t>
      </w:r>
    </w:p>
    <w:p>
      <w:pPr>
        <w:widowControl/>
        <w:spacing w:line="408" w:lineRule="auto"/>
        <w:jc w:val="left"/>
        <w:rPr>
          <w:spacing w:val="30"/>
          <w:kern w:val="0"/>
          <w:sz w:val="36"/>
        </w:rPr>
      </w:pPr>
    </w:p>
    <w:p>
      <w:pPr>
        <w:widowControl/>
        <w:jc w:val="center"/>
        <w:rPr>
          <w:rFonts w:ascii="方正小标宋_GBK" w:eastAsia="方正小标宋_GBK"/>
          <w:kern w:val="0"/>
          <w:sz w:val="36"/>
        </w:rPr>
      </w:pPr>
      <w:bookmarkStart w:id="0" w:name="_GoBack"/>
      <w:r>
        <w:rPr>
          <w:rFonts w:hint="eastAsia" w:ascii="方正小标宋_GBK" w:hAnsi="方正小标宋_GBK" w:eastAsia="方正小标宋_GBK"/>
          <w:spacing w:val="30"/>
          <w:kern w:val="0"/>
          <w:sz w:val="36"/>
        </w:rPr>
        <w:t>危险废物（含医疗废物）经营单位</w:t>
      </w:r>
      <w:r>
        <w:rPr>
          <w:rFonts w:hint="eastAsia" w:ascii="方正小标宋_GBK" w:hAnsi="方正小标宋_GBK" w:eastAsia="方正小标宋_GBK"/>
          <w:spacing w:val="40"/>
          <w:kern w:val="0"/>
          <w:sz w:val="36"/>
        </w:rPr>
        <w:t>规范化管理指标及</w:t>
      </w:r>
      <w:r>
        <w:rPr>
          <w:rFonts w:hint="eastAsia" w:ascii="方正小标宋_GBK" w:hAnsi="方正小标宋_GBK" w:eastAsia="方正小标宋_GBK"/>
          <w:spacing w:val="30"/>
          <w:kern w:val="0"/>
          <w:sz w:val="36"/>
        </w:rPr>
        <w:t>抽查</w:t>
      </w:r>
      <w:r>
        <w:rPr>
          <w:rFonts w:hint="eastAsia" w:ascii="方正小标宋_GBK" w:hAnsi="方正小标宋_GBK" w:eastAsia="方正小标宋_GBK"/>
          <w:kern w:val="0"/>
          <w:sz w:val="36"/>
        </w:rPr>
        <w:t>表</w:t>
      </w:r>
    </w:p>
    <w:bookmarkEnd w:id="0"/>
    <w:p>
      <w:pPr>
        <w:widowControl/>
        <w:snapToGrid w:val="0"/>
        <w:spacing w:line="520" w:lineRule="atLeast"/>
        <w:jc w:val="left"/>
        <w:rPr>
          <w:rFonts w:ascii="仿宋_GB2312" w:eastAsia="仿宋_GB2312"/>
          <w:kern w:val="0"/>
          <w:sz w:val="30"/>
        </w:rPr>
      </w:pPr>
    </w:p>
    <w:p>
      <w:pPr>
        <w:widowControl/>
        <w:snapToGrid w:val="0"/>
        <w:spacing w:line="520" w:lineRule="atLeast"/>
        <w:jc w:val="left"/>
        <w:rPr>
          <w:rFonts w:ascii="仿宋_GB2312" w:eastAsia="仿宋_GB2312"/>
          <w:kern w:val="0"/>
          <w:sz w:val="30"/>
        </w:rPr>
      </w:pPr>
      <w:r>
        <w:rPr>
          <w:rFonts w:ascii="仿宋_GB2312" w:eastAsia="仿宋_GB2312"/>
          <w:spacing w:val="33"/>
          <w:kern w:val="0"/>
          <w:sz w:val="30"/>
        </w:rPr>
        <w:t>单位</w:t>
      </w:r>
      <w:r>
        <w:rPr>
          <w:rFonts w:hint="eastAsia" w:ascii="仿宋_GB2312" w:eastAsia="仿宋_GB2312"/>
          <w:spacing w:val="33"/>
          <w:kern w:val="0"/>
          <w:sz w:val="30"/>
        </w:rPr>
        <w:t>名</w:t>
      </w:r>
      <w:r>
        <w:rPr>
          <w:rFonts w:hint="eastAsia" w:ascii="仿宋_GB2312" w:eastAsia="仿宋_GB2312"/>
          <w:spacing w:val="1"/>
          <w:kern w:val="0"/>
          <w:sz w:val="30"/>
        </w:rPr>
        <w:t>称</w:t>
      </w:r>
      <w:r>
        <w:rPr>
          <w:rFonts w:ascii="仿宋_GB2312" w:eastAsia="仿宋_GB2312"/>
          <w:kern w:val="0"/>
          <w:sz w:val="30"/>
        </w:rPr>
        <w:t>：</w:t>
      </w:r>
    </w:p>
    <w:p>
      <w:pPr>
        <w:widowControl/>
        <w:snapToGrid w:val="0"/>
        <w:spacing w:line="520" w:lineRule="atLeast"/>
        <w:jc w:val="left"/>
        <w:rPr>
          <w:rFonts w:ascii="仿宋_GB2312" w:eastAsia="仿宋_GB2312"/>
          <w:kern w:val="0"/>
          <w:sz w:val="30"/>
        </w:rPr>
      </w:pPr>
      <w:r>
        <w:rPr>
          <w:rFonts w:hint="eastAsia" w:ascii="仿宋_GB2312" w:eastAsia="仿宋_GB2312"/>
          <w:spacing w:val="33"/>
          <w:kern w:val="0"/>
          <w:sz w:val="30"/>
        </w:rPr>
        <w:t>单位地</w:t>
      </w:r>
      <w:r>
        <w:rPr>
          <w:rFonts w:hint="eastAsia" w:ascii="仿宋_GB2312" w:eastAsia="仿宋_GB2312"/>
          <w:spacing w:val="1"/>
          <w:kern w:val="0"/>
          <w:sz w:val="30"/>
        </w:rPr>
        <w:t>址</w:t>
      </w:r>
      <w:r>
        <w:rPr>
          <w:rFonts w:hint="eastAsia" w:ascii="仿宋_GB2312" w:eastAsia="仿宋_GB2312"/>
          <w:kern w:val="0"/>
          <w:sz w:val="30"/>
        </w:rPr>
        <w:t>：</w:t>
      </w:r>
    </w:p>
    <w:p>
      <w:pPr>
        <w:widowControl/>
        <w:snapToGrid w:val="0"/>
        <w:spacing w:line="520" w:lineRule="atLeast"/>
        <w:jc w:val="left"/>
        <w:rPr>
          <w:rFonts w:ascii="仿宋_GB2312" w:eastAsia="仿宋_GB2312"/>
          <w:kern w:val="0"/>
          <w:sz w:val="30"/>
        </w:rPr>
      </w:pPr>
      <w:r>
        <w:rPr>
          <w:rFonts w:ascii="仿宋_GB2312" w:eastAsia="仿宋_GB2312"/>
          <w:kern w:val="0"/>
          <w:sz w:val="30"/>
        </w:rPr>
        <w:t xml:space="preserve">法定代表人：                        </w:t>
      </w:r>
      <w:r>
        <w:rPr>
          <w:rFonts w:hint="eastAsia" w:ascii="仿宋_GB2312" w:eastAsia="仿宋_GB2312"/>
          <w:kern w:val="0"/>
          <w:sz w:val="30"/>
        </w:rPr>
        <w:t>环保负责人</w:t>
      </w:r>
      <w:r>
        <w:rPr>
          <w:rFonts w:ascii="仿宋_GB2312" w:eastAsia="仿宋_GB2312"/>
          <w:kern w:val="0"/>
          <w:sz w:val="30"/>
        </w:rPr>
        <w:t>：</w:t>
      </w:r>
    </w:p>
    <w:p>
      <w:pPr>
        <w:widowControl/>
        <w:snapToGrid w:val="0"/>
        <w:spacing w:line="520" w:lineRule="atLeast"/>
        <w:jc w:val="left"/>
        <w:rPr>
          <w:kern w:val="0"/>
          <w:sz w:val="30"/>
        </w:rPr>
      </w:pPr>
      <w:r>
        <w:rPr>
          <w:rFonts w:hint="eastAsia" w:ascii="仿宋_GB2312" w:eastAsia="仿宋_GB2312"/>
          <w:spacing w:val="33"/>
          <w:kern w:val="0"/>
          <w:sz w:val="30"/>
        </w:rPr>
        <w:t>检查时</w:t>
      </w:r>
      <w:r>
        <w:rPr>
          <w:rFonts w:hint="eastAsia" w:ascii="仿宋_GB2312" w:eastAsia="仿宋_GB2312"/>
          <w:spacing w:val="1"/>
          <w:kern w:val="0"/>
          <w:sz w:val="30"/>
        </w:rPr>
        <w:t>间</w:t>
      </w:r>
      <w:r>
        <w:rPr>
          <w:rFonts w:hint="eastAsia" w:ascii="仿宋_GB2312" w:eastAsia="仿宋_GB2312"/>
          <w:kern w:val="0"/>
          <w:sz w:val="30"/>
        </w:rPr>
        <w:t>：   年   月   日   时至   时</w:t>
      </w:r>
    </w:p>
    <w:p>
      <w:pPr>
        <w:widowControl/>
        <w:snapToGrid w:val="0"/>
        <w:spacing w:line="360" w:lineRule="auto"/>
        <w:rPr>
          <w:rFonts w:ascii="仿宋_GB2312" w:eastAsia="仿宋_GB2312"/>
          <w:kern w:val="0"/>
          <w:sz w:val="30"/>
        </w:rPr>
      </w:pPr>
      <w:r>
        <w:rPr>
          <w:rFonts w:ascii="仿宋_GB2312" w:eastAsia="仿宋_GB2312"/>
          <w:spacing w:val="33"/>
          <w:kern w:val="0"/>
          <w:sz w:val="30"/>
        </w:rPr>
        <w:t>检查人</w:t>
      </w:r>
      <w:r>
        <w:rPr>
          <w:rFonts w:ascii="仿宋_GB2312" w:eastAsia="仿宋_GB2312"/>
          <w:spacing w:val="1"/>
          <w:kern w:val="0"/>
          <w:sz w:val="30"/>
        </w:rPr>
        <w:t>员</w:t>
      </w:r>
      <w:r>
        <w:rPr>
          <w:rFonts w:ascii="仿宋_GB2312" w:eastAsia="仿宋_GB2312"/>
          <w:kern w:val="0"/>
          <w:sz w:val="30"/>
        </w:rPr>
        <w:t xml:space="preserve">： </w:t>
      </w:r>
      <w:r>
        <w:rPr>
          <w:rFonts w:hint="eastAsia" w:ascii="仿宋_GB2312" w:eastAsia="仿宋_GB2312"/>
          <w:kern w:val="0"/>
          <w:sz w:val="30"/>
        </w:rPr>
        <w:tab/>
      </w:r>
      <w:r>
        <w:rPr>
          <w:rFonts w:ascii="仿宋_GB2312" w:eastAsia="仿宋_GB2312"/>
          <w:kern w:val="0"/>
          <w:sz w:val="30"/>
        </w:rPr>
        <w:t xml:space="preserve">姓名：    </w:t>
      </w:r>
      <w:r>
        <w:rPr>
          <w:rFonts w:hint="eastAsia" w:ascii="仿宋_GB2312" w:eastAsia="仿宋_GB2312"/>
          <w:kern w:val="0"/>
          <w:sz w:val="30"/>
        </w:rPr>
        <w:t xml:space="preserve">  单位</w:t>
      </w:r>
      <w:r>
        <w:rPr>
          <w:rFonts w:ascii="仿宋_GB2312" w:eastAsia="仿宋_GB2312"/>
          <w:kern w:val="0"/>
          <w:sz w:val="30"/>
        </w:rPr>
        <w:t xml:space="preserve">： </w:t>
      </w:r>
      <w:r>
        <w:rPr>
          <w:rFonts w:hint="eastAsia" w:ascii="仿宋_GB2312" w:eastAsia="仿宋_GB2312"/>
          <w:kern w:val="0"/>
          <w:sz w:val="30"/>
        </w:rPr>
        <w:t xml:space="preserve"> </w:t>
      </w:r>
      <w:r>
        <w:rPr>
          <w:kern w:val="0"/>
          <w:sz w:val="30"/>
        </w:rPr>
        <w:t xml:space="preserve">       </w:t>
      </w:r>
      <w:r>
        <w:rPr>
          <w:rFonts w:hint="eastAsia" w:ascii="仿宋_GB2312" w:eastAsia="仿宋_GB2312"/>
          <w:kern w:val="0"/>
          <w:sz w:val="30"/>
        </w:rPr>
        <w:t xml:space="preserve">     </w:t>
      </w:r>
      <w:r>
        <w:rPr>
          <w:kern w:val="0"/>
          <w:sz w:val="30"/>
        </w:rPr>
        <w:t xml:space="preserve"> </w:t>
      </w:r>
      <w:r>
        <w:rPr>
          <w:rFonts w:hint="eastAsia" w:ascii="仿宋_GB2312" w:eastAsia="仿宋_GB2312"/>
          <w:kern w:val="0"/>
          <w:sz w:val="30"/>
        </w:rPr>
        <w:t xml:space="preserve">   环境监察执法证件号</w:t>
      </w:r>
      <w:r>
        <w:rPr>
          <w:rFonts w:ascii="仿宋_GB2312" w:eastAsia="仿宋_GB2312"/>
          <w:kern w:val="0"/>
          <w:sz w:val="30"/>
        </w:rPr>
        <w:t>：</w:t>
      </w:r>
    </w:p>
    <w:p>
      <w:pPr>
        <w:widowControl/>
        <w:snapToGrid w:val="0"/>
        <w:spacing w:line="360" w:lineRule="auto"/>
        <w:rPr>
          <w:kern w:val="0"/>
          <w:sz w:val="30"/>
        </w:rPr>
      </w:pPr>
      <w:r>
        <w:rPr>
          <w:rFonts w:hint="eastAsia" w:ascii="仿宋_GB2312" w:eastAsia="仿宋_GB2312"/>
          <w:kern w:val="0"/>
          <w:sz w:val="30"/>
        </w:rPr>
        <w:t xml:space="preserve">             </w:t>
      </w:r>
      <w:r>
        <w:rPr>
          <w:rFonts w:hint="eastAsia" w:ascii="仿宋_GB2312" w:eastAsia="仿宋_GB2312"/>
          <w:kern w:val="0"/>
          <w:sz w:val="30"/>
        </w:rPr>
        <w:tab/>
      </w:r>
      <w:r>
        <w:rPr>
          <w:rFonts w:ascii="仿宋_GB2312" w:eastAsia="仿宋_GB2312"/>
          <w:kern w:val="0"/>
          <w:sz w:val="30"/>
        </w:rPr>
        <w:t xml:space="preserve">姓名：    </w:t>
      </w:r>
      <w:r>
        <w:rPr>
          <w:rFonts w:hint="eastAsia" w:ascii="仿宋_GB2312" w:eastAsia="仿宋_GB2312"/>
          <w:kern w:val="0"/>
          <w:sz w:val="30"/>
        </w:rPr>
        <w:t xml:space="preserve">  单位</w:t>
      </w:r>
      <w:r>
        <w:rPr>
          <w:rFonts w:ascii="仿宋_GB2312" w:eastAsia="仿宋_GB2312"/>
          <w:kern w:val="0"/>
          <w:sz w:val="30"/>
        </w:rPr>
        <w:t xml:space="preserve">：         </w:t>
      </w:r>
      <w:r>
        <w:rPr>
          <w:rFonts w:hint="eastAsia" w:ascii="仿宋_GB2312" w:eastAsia="仿宋_GB2312"/>
          <w:kern w:val="0"/>
          <w:sz w:val="30"/>
        </w:rPr>
        <w:t xml:space="preserve">         环境监察执法证件号</w:t>
      </w:r>
      <w:r>
        <w:rPr>
          <w:rFonts w:ascii="仿宋_GB2312" w:eastAsia="仿宋_GB2312"/>
          <w:kern w:val="0"/>
          <w:sz w:val="30"/>
        </w:rPr>
        <w:t>：</w:t>
      </w:r>
    </w:p>
    <w:p>
      <w:pPr>
        <w:widowControl/>
        <w:snapToGrid w:val="0"/>
        <w:spacing w:line="360" w:lineRule="auto"/>
        <w:rPr>
          <w:kern w:val="0"/>
        </w:rPr>
      </w:pPr>
      <w:r>
        <w:rPr>
          <w:rFonts w:hint="eastAsia" w:ascii="仿宋_GB2312" w:eastAsia="仿宋_GB2312"/>
          <w:kern w:val="0"/>
          <w:sz w:val="30"/>
        </w:rPr>
        <w:t xml:space="preserve">            </w:t>
      </w:r>
      <w:r>
        <w:rPr>
          <w:rFonts w:hint="eastAsia" w:ascii="仿宋_GB2312" w:eastAsia="仿宋_GB2312"/>
          <w:kern w:val="0"/>
          <w:sz w:val="30"/>
        </w:rPr>
        <w:tab/>
      </w:r>
      <w:r>
        <w:rPr>
          <w:rFonts w:ascii="仿宋_GB2312" w:eastAsia="仿宋_GB2312"/>
          <w:kern w:val="0"/>
          <w:sz w:val="30"/>
        </w:rPr>
        <w:t xml:space="preserve">姓名：    </w:t>
      </w:r>
      <w:r>
        <w:rPr>
          <w:rFonts w:hint="eastAsia" w:ascii="仿宋_GB2312" w:eastAsia="仿宋_GB2312"/>
          <w:kern w:val="0"/>
          <w:sz w:val="30"/>
        </w:rPr>
        <w:t xml:space="preserve">  单位</w:t>
      </w:r>
      <w:r>
        <w:rPr>
          <w:rFonts w:ascii="仿宋_GB2312" w:eastAsia="仿宋_GB2312"/>
          <w:kern w:val="0"/>
          <w:sz w:val="30"/>
        </w:rPr>
        <w:t xml:space="preserve">：             </w:t>
      </w:r>
      <w:r>
        <w:rPr>
          <w:rFonts w:hint="eastAsia" w:ascii="仿宋_GB2312" w:eastAsia="仿宋_GB2312"/>
          <w:kern w:val="0"/>
          <w:sz w:val="30"/>
        </w:rPr>
        <w:t xml:space="preserve">     环境监察执法证件号</w:t>
      </w:r>
      <w:r>
        <w:rPr>
          <w:rFonts w:ascii="仿宋_GB2312" w:eastAsia="仿宋_GB2312"/>
          <w:kern w:val="0"/>
          <w:sz w:val="30"/>
        </w:rPr>
        <w:t>：</w:t>
      </w:r>
    </w:p>
    <w:p>
      <w:pPr>
        <w:widowControl/>
        <w:snapToGrid w:val="0"/>
        <w:spacing w:line="360" w:lineRule="auto"/>
        <w:jc w:val="left"/>
        <w:rPr>
          <w:rFonts w:ascii="仿宋_GB2312" w:eastAsia="仿宋_GB2312"/>
          <w:kern w:val="0"/>
          <w:sz w:val="30"/>
        </w:rPr>
      </w:pPr>
    </w:p>
    <w:p>
      <w:pPr>
        <w:widowControl/>
        <w:snapToGrid w:val="0"/>
        <w:spacing w:line="348" w:lineRule="auto"/>
        <w:ind w:left="360" w:hanging="360"/>
        <w:jc w:val="left"/>
        <w:rPr>
          <w:kern w:val="0"/>
        </w:rPr>
      </w:pPr>
      <w:r>
        <w:rPr>
          <w:rFonts w:ascii="宋体" w:hAnsi="宋体"/>
          <w:kern w:val="0"/>
        </w:rPr>
        <w:t>注：1.检查组应当至少包括两名具有执法证件的人员，可邀请专家参与检查。 2.检查人员要填写检查记录并签字。 3.对</w:t>
      </w:r>
      <w:r>
        <w:rPr>
          <w:rFonts w:hint="eastAsia" w:ascii="宋体" w:hAnsi="宋体"/>
          <w:kern w:val="0"/>
        </w:rPr>
        <w:t>危险</w:t>
      </w:r>
      <w:r>
        <w:rPr>
          <w:rFonts w:ascii="宋体" w:hAnsi="宋体"/>
          <w:kern w:val="0"/>
        </w:rPr>
        <w:t>废物流向、贮存、利用、处置等信息，要核查原始凭证。 4.根据评分细则给出得分。 5.备注栏可对检查情况进行简要记录。</w:t>
      </w:r>
      <w:r>
        <w:rPr>
          <w:rFonts w:hint="eastAsia" w:ascii="宋体" w:hAnsi="宋体"/>
          <w:kern w:val="0"/>
        </w:rPr>
        <w:t xml:space="preserve"> 6</w:t>
      </w:r>
      <w:r>
        <w:rPr>
          <w:kern w:val="0"/>
        </w:rPr>
        <w:t>.</w:t>
      </w:r>
      <w:r>
        <w:rPr>
          <w:rFonts w:ascii="宋体" w:hAnsi="宋体"/>
          <w:kern w:val="0"/>
        </w:rPr>
        <w:t xml:space="preserve">危险废物经营单位在利用处置危险废物同时产生新的危险废物的，应执行危险废物产生单位的“管理计划制度”和“申报登记制度”。 </w:t>
      </w:r>
      <w:r>
        <w:rPr>
          <w:rFonts w:hint="eastAsia" w:ascii="宋体" w:hAnsi="宋体"/>
          <w:kern w:val="0"/>
        </w:rPr>
        <w:t>7</w:t>
      </w:r>
      <w:r>
        <w:rPr>
          <w:kern w:val="0"/>
        </w:rPr>
        <w:t>.</w:t>
      </w:r>
      <w:r>
        <w:rPr>
          <w:rFonts w:ascii="宋体" w:hAnsi="宋体"/>
          <w:kern w:val="0"/>
        </w:rPr>
        <w:t>检查的主要内容不适用的，计为0分，并将该项分值从满分中扣除后，按比例换算达标、基本达标、不达标界值。</w:t>
      </w:r>
    </w:p>
    <w:tbl>
      <w:tblPr>
        <w:tblStyle w:val="3"/>
        <w:tblW w:w="13718" w:type="dxa"/>
        <w:tblInd w:w="0" w:type="dxa"/>
        <w:tblLayout w:type="fixed"/>
        <w:tblCellMar>
          <w:top w:w="0" w:type="dxa"/>
          <w:left w:w="108" w:type="dxa"/>
          <w:bottom w:w="0" w:type="dxa"/>
          <w:right w:w="108" w:type="dxa"/>
        </w:tblCellMar>
      </w:tblPr>
      <w:tblGrid>
        <w:gridCol w:w="1377"/>
        <w:gridCol w:w="2135"/>
        <w:gridCol w:w="708"/>
        <w:gridCol w:w="708"/>
        <w:gridCol w:w="1894"/>
        <w:gridCol w:w="4781"/>
        <w:gridCol w:w="1410"/>
        <w:gridCol w:w="705"/>
      </w:tblGrid>
      <w:tr>
        <w:tblPrEx>
          <w:tblLayout w:type="fixed"/>
          <w:tblCellMar>
            <w:top w:w="0" w:type="dxa"/>
            <w:left w:w="108" w:type="dxa"/>
            <w:bottom w:w="0" w:type="dxa"/>
            <w:right w:w="108" w:type="dxa"/>
          </w:tblCellMar>
        </w:tblPrEx>
        <w:trPr>
          <w:trHeight w:val="285" w:hRule="atLeast"/>
          <w:tblHeader/>
        </w:trPr>
        <w:tc>
          <w:tcPr>
            <w:tcW w:w="1377" w:type="dxa"/>
            <w:vMerge w:val="restart"/>
            <w:tcBorders>
              <w:top w:val="single" w:color="auto" w:sz="4" w:space="0"/>
              <w:left w:val="single" w:color="auto" w:sz="4" w:space="0"/>
              <w:bottom w:val="single" w:color="000000" w:sz="4" w:space="0"/>
              <w:right w:val="single" w:color="000000" w:sz="4" w:space="0"/>
            </w:tcBorders>
            <w:vAlign w:val="center"/>
          </w:tcPr>
          <w:p>
            <w:pPr>
              <w:widowControl/>
              <w:snapToGrid w:val="0"/>
              <w:spacing w:line="348" w:lineRule="auto"/>
              <w:ind w:left="422" w:hanging="420"/>
              <w:jc w:val="center"/>
              <w:rPr>
                <w:rFonts w:ascii="黑体" w:eastAsia="黑体"/>
                <w:b/>
                <w:kern w:val="0"/>
              </w:rPr>
            </w:pPr>
            <w:r>
              <w:rPr>
                <w:rFonts w:hint="eastAsia" w:ascii="黑体" w:hAnsi="宋体" w:eastAsia="黑体"/>
                <w:b/>
                <w:kern w:val="0"/>
              </w:rPr>
              <w:t>检查项目</w:t>
            </w:r>
          </w:p>
        </w:tc>
        <w:tc>
          <w:tcPr>
            <w:tcW w:w="2135" w:type="dxa"/>
            <w:vMerge w:val="restart"/>
            <w:tcBorders>
              <w:top w:val="single" w:color="auto" w:sz="4" w:space="0"/>
              <w:left w:val="nil"/>
              <w:bottom w:val="single" w:color="000000" w:sz="4" w:space="0"/>
              <w:right w:val="single" w:color="000000" w:sz="4" w:space="0"/>
            </w:tcBorders>
            <w:vAlign w:val="center"/>
          </w:tcPr>
          <w:p>
            <w:pPr>
              <w:widowControl/>
              <w:snapToGrid w:val="0"/>
              <w:spacing w:line="348" w:lineRule="auto"/>
              <w:ind w:left="422" w:hanging="420"/>
              <w:jc w:val="center"/>
              <w:rPr>
                <w:rFonts w:ascii="黑体" w:eastAsia="黑体"/>
                <w:b/>
                <w:kern w:val="0"/>
              </w:rPr>
            </w:pPr>
            <w:r>
              <w:rPr>
                <w:rFonts w:hint="eastAsia" w:ascii="黑体" w:hAnsi="宋体" w:eastAsia="黑体"/>
                <w:b/>
                <w:kern w:val="0"/>
              </w:rPr>
              <w:t>检查主要内容</w:t>
            </w:r>
          </w:p>
        </w:tc>
        <w:tc>
          <w:tcPr>
            <w:tcW w:w="1416" w:type="dxa"/>
            <w:gridSpan w:val="2"/>
            <w:tcBorders>
              <w:top w:val="single" w:color="auto" w:sz="4" w:space="0"/>
              <w:left w:val="nil"/>
              <w:bottom w:val="single" w:color="000000" w:sz="4" w:space="0"/>
              <w:right w:val="single" w:color="000000" w:sz="4" w:space="0"/>
            </w:tcBorders>
            <w:vAlign w:val="center"/>
          </w:tcPr>
          <w:p>
            <w:pPr>
              <w:widowControl/>
              <w:snapToGrid w:val="0"/>
              <w:spacing w:line="348" w:lineRule="auto"/>
              <w:ind w:left="422" w:hanging="420"/>
              <w:jc w:val="center"/>
              <w:rPr>
                <w:rFonts w:ascii="黑体" w:eastAsia="黑体"/>
                <w:b/>
                <w:kern w:val="0"/>
              </w:rPr>
            </w:pPr>
            <w:r>
              <w:rPr>
                <w:rFonts w:hint="eastAsia" w:ascii="黑体" w:hAnsi="宋体" w:eastAsia="黑体"/>
                <w:b/>
                <w:kern w:val="0"/>
              </w:rPr>
              <w:t>分数</w:t>
            </w:r>
          </w:p>
        </w:tc>
        <w:tc>
          <w:tcPr>
            <w:tcW w:w="1894" w:type="dxa"/>
            <w:vMerge w:val="restart"/>
            <w:tcBorders>
              <w:top w:val="single" w:color="auto" w:sz="4" w:space="0"/>
              <w:left w:val="nil"/>
              <w:bottom w:val="single" w:color="000000" w:sz="4" w:space="0"/>
              <w:right w:val="single" w:color="000000" w:sz="4" w:space="0"/>
            </w:tcBorders>
            <w:vAlign w:val="center"/>
          </w:tcPr>
          <w:p>
            <w:pPr>
              <w:widowControl/>
              <w:snapToGrid w:val="0"/>
              <w:spacing w:line="348" w:lineRule="auto"/>
              <w:ind w:left="422" w:hanging="420"/>
              <w:jc w:val="center"/>
              <w:rPr>
                <w:rFonts w:ascii="黑体" w:eastAsia="黑体"/>
                <w:b/>
                <w:kern w:val="0"/>
              </w:rPr>
            </w:pPr>
            <w:r>
              <w:rPr>
                <w:rFonts w:hint="eastAsia" w:ascii="黑体" w:hAnsi="宋体" w:eastAsia="黑体"/>
                <w:b/>
                <w:kern w:val="0"/>
              </w:rPr>
              <w:t>达标标准</w:t>
            </w:r>
          </w:p>
        </w:tc>
        <w:tc>
          <w:tcPr>
            <w:tcW w:w="4781" w:type="dxa"/>
            <w:vMerge w:val="restart"/>
            <w:tcBorders>
              <w:top w:val="single" w:color="auto" w:sz="4" w:space="0"/>
              <w:left w:val="nil"/>
              <w:bottom w:val="single" w:color="000000" w:sz="4" w:space="0"/>
              <w:right w:val="single" w:color="000000" w:sz="4" w:space="0"/>
            </w:tcBorders>
            <w:vAlign w:val="center"/>
          </w:tcPr>
          <w:p>
            <w:pPr>
              <w:widowControl/>
              <w:snapToGrid w:val="0"/>
              <w:spacing w:line="348" w:lineRule="auto"/>
              <w:ind w:left="422" w:hanging="420"/>
              <w:jc w:val="center"/>
              <w:rPr>
                <w:rFonts w:ascii="黑体" w:eastAsia="黑体"/>
                <w:b/>
                <w:kern w:val="0"/>
              </w:rPr>
            </w:pPr>
            <w:r>
              <w:rPr>
                <w:rFonts w:hint="eastAsia" w:ascii="黑体" w:hAnsi="宋体" w:eastAsia="黑体"/>
                <w:b/>
                <w:kern w:val="0"/>
              </w:rPr>
              <w:t>评分细则</w:t>
            </w:r>
          </w:p>
        </w:tc>
        <w:tc>
          <w:tcPr>
            <w:tcW w:w="1410" w:type="dxa"/>
            <w:vMerge w:val="restart"/>
            <w:tcBorders>
              <w:top w:val="single" w:color="auto" w:sz="4" w:space="0"/>
              <w:left w:val="nil"/>
              <w:bottom w:val="single" w:color="000000" w:sz="4" w:space="0"/>
              <w:right w:val="single" w:color="000000" w:sz="4" w:space="0"/>
            </w:tcBorders>
            <w:vAlign w:val="center"/>
          </w:tcPr>
          <w:p>
            <w:pPr>
              <w:widowControl/>
              <w:snapToGrid w:val="0"/>
              <w:spacing w:line="348" w:lineRule="auto"/>
              <w:ind w:left="422" w:hanging="420"/>
              <w:jc w:val="center"/>
              <w:rPr>
                <w:rFonts w:ascii="黑体" w:eastAsia="黑体"/>
                <w:b/>
                <w:kern w:val="0"/>
              </w:rPr>
            </w:pPr>
            <w:r>
              <w:rPr>
                <w:rFonts w:hint="eastAsia" w:ascii="黑体" w:hAnsi="宋体" w:eastAsia="黑体"/>
                <w:b/>
                <w:kern w:val="0"/>
              </w:rPr>
              <w:t>检查方法</w:t>
            </w:r>
          </w:p>
        </w:tc>
        <w:tc>
          <w:tcPr>
            <w:tcW w:w="705" w:type="dxa"/>
            <w:vMerge w:val="restart"/>
            <w:tcBorders>
              <w:top w:val="single" w:color="auto" w:sz="4" w:space="0"/>
              <w:left w:val="nil"/>
              <w:bottom w:val="single" w:color="000000" w:sz="4" w:space="0"/>
              <w:right w:val="single" w:color="auto" w:sz="4" w:space="0"/>
            </w:tcBorders>
            <w:vAlign w:val="center"/>
          </w:tcPr>
          <w:p>
            <w:pPr>
              <w:widowControl/>
              <w:snapToGrid w:val="0"/>
              <w:spacing w:line="348" w:lineRule="auto"/>
              <w:ind w:left="422" w:hanging="420"/>
              <w:jc w:val="center"/>
              <w:rPr>
                <w:rFonts w:ascii="黑体" w:eastAsia="黑体"/>
                <w:b/>
                <w:kern w:val="0"/>
              </w:rPr>
            </w:pPr>
            <w:r>
              <w:rPr>
                <w:rFonts w:hint="eastAsia" w:ascii="黑体" w:hAnsi="宋体" w:eastAsia="黑体"/>
                <w:b/>
                <w:kern w:val="0"/>
              </w:rPr>
              <w:t>备注</w:t>
            </w:r>
          </w:p>
        </w:tc>
      </w:tr>
      <w:tr>
        <w:tblPrEx>
          <w:tblLayout w:type="fixed"/>
          <w:tblCellMar>
            <w:top w:w="0" w:type="dxa"/>
            <w:left w:w="108" w:type="dxa"/>
            <w:bottom w:w="0" w:type="dxa"/>
            <w:right w:w="108" w:type="dxa"/>
          </w:tblCellMar>
        </w:tblPrEx>
        <w:trPr>
          <w:trHeight w:val="244" w:hRule="atLeast"/>
          <w:tblHeader/>
        </w:trPr>
        <w:tc>
          <w:tcPr>
            <w:tcW w:w="1377" w:type="dxa"/>
            <w:vMerge w:val="continue"/>
            <w:tcBorders>
              <w:top w:val="single" w:color="000000" w:sz="4" w:space="0"/>
              <w:left w:val="single" w:color="auto" w:sz="4" w:space="0"/>
              <w:bottom w:val="single" w:color="000000" w:sz="4" w:space="0"/>
              <w:right w:val="single" w:color="000000" w:sz="4" w:space="0"/>
            </w:tcBorders>
            <w:vAlign w:val="center"/>
          </w:tcPr>
          <w:p>
            <w:pPr>
              <w:widowControl/>
              <w:rPr>
                <w:rFonts w:ascii="黑体" w:eastAsia="黑体"/>
                <w:b/>
                <w:kern w:val="0"/>
              </w:rPr>
            </w:pPr>
          </w:p>
        </w:tc>
        <w:tc>
          <w:tcPr>
            <w:tcW w:w="2135" w:type="dxa"/>
            <w:vMerge w:val="continue"/>
            <w:tcBorders>
              <w:top w:val="single" w:color="000000" w:sz="4" w:space="0"/>
              <w:left w:val="nil"/>
              <w:bottom w:val="single" w:color="000000" w:sz="4" w:space="0"/>
              <w:right w:val="single" w:color="000000" w:sz="4" w:space="0"/>
            </w:tcBorders>
            <w:vAlign w:val="center"/>
          </w:tcPr>
          <w:p>
            <w:pPr>
              <w:widowControl/>
              <w:jc w:val="center"/>
              <w:rPr>
                <w:rFonts w:ascii="黑体" w:eastAsia="黑体"/>
                <w:b/>
                <w:kern w:val="0"/>
              </w:rPr>
            </w:pPr>
          </w:p>
        </w:tc>
        <w:tc>
          <w:tcPr>
            <w:tcW w:w="708" w:type="dxa"/>
            <w:tcBorders>
              <w:top w:val="nil"/>
              <w:left w:val="nil"/>
              <w:bottom w:val="single" w:color="000000" w:sz="4" w:space="0"/>
              <w:right w:val="single" w:color="000000" w:sz="4" w:space="0"/>
            </w:tcBorders>
            <w:vAlign w:val="center"/>
          </w:tcPr>
          <w:p>
            <w:pPr>
              <w:widowControl/>
              <w:jc w:val="center"/>
              <w:rPr>
                <w:rFonts w:ascii="黑体" w:eastAsia="黑体"/>
                <w:b/>
                <w:kern w:val="0"/>
              </w:rPr>
            </w:pPr>
            <w:r>
              <w:rPr>
                <w:rFonts w:hint="eastAsia" w:ascii="黑体" w:hAnsi="宋体" w:eastAsia="黑体"/>
                <w:b/>
                <w:kern w:val="0"/>
              </w:rPr>
              <w:t>满分</w:t>
            </w:r>
          </w:p>
        </w:tc>
        <w:tc>
          <w:tcPr>
            <w:tcW w:w="708" w:type="dxa"/>
            <w:tcBorders>
              <w:top w:val="nil"/>
              <w:left w:val="nil"/>
              <w:bottom w:val="single" w:color="000000" w:sz="4" w:space="0"/>
              <w:right w:val="single" w:color="000000" w:sz="4" w:space="0"/>
            </w:tcBorders>
            <w:vAlign w:val="center"/>
          </w:tcPr>
          <w:p>
            <w:pPr>
              <w:widowControl/>
              <w:jc w:val="center"/>
              <w:rPr>
                <w:rFonts w:ascii="黑体" w:eastAsia="黑体"/>
                <w:b/>
                <w:kern w:val="0"/>
              </w:rPr>
            </w:pPr>
            <w:r>
              <w:rPr>
                <w:rFonts w:hint="eastAsia" w:ascii="黑体" w:hAnsi="宋体" w:eastAsia="黑体"/>
                <w:b/>
                <w:kern w:val="0"/>
              </w:rPr>
              <w:t>得分</w:t>
            </w:r>
          </w:p>
        </w:tc>
        <w:tc>
          <w:tcPr>
            <w:tcW w:w="1894" w:type="dxa"/>
            <w:vMerge w:val="continue"/>
            <w:tcBorders>
              <w:top w:val="single" w:color="000000" w:sz="4" w:space="0"/>
              <w:left w:val="nil"/>
              <w:bottom w:val="single" w:color="000000" w:sz="4" w:space="0"/>
              <w:right w:val="single" w:color="000000" w:sz="4" w:space="0"/>
            </w:tcBorders>
            <w:vAlign w:val="center"/>
          </w:tcPr>
          <w:p>
            <w:pPr>
              <w:widowControl/>
              <w:jc w:val="center"/>
              <w:rPr>
                <w:rFonts w:ascii="黑体" w:eastAsia="黑体"/>
                <w:b/>
                <w:kern w:val="0"/>
              </w:rPr>
            </w:pPr>
          </w:p>
        </w:tc>
        <w:tc>
          <w:tcPr>
            <w:tcW w:w="4781" w:type="dxa"/>
            <w:vMerge w:val="continue"/>
            <w:tcBorders>
              <w:top w:val="single" w:color="000000" w:sz="4" w:space="0"/>
              <w:left w:val="nil"/>
              <w:bottom w:val="single" w:color="000000" w:sz="4" w:space="0"/>
              <w:right w:val="single" w:color="000000" w:sz="4" w:space="0"/>
            </w:tcBorders>
            <w:vAlign w:val="center"/>
          </w:tcPr>
          <w:p>
            <w:pPr>
              <w:widowControl/>
              <w:jc w:val="center"/>
              <w:rPr>
                <w:rFonts w:ascii="黑体" w:eastAsia="黑体"/>
                <w:b/>
                <w:kern w:val="0"/>
              </w:rPr>
            </w:pPr>
          </w:p>
        </w:tc>
        <w:tc>
          <w:tcPr>
            <w:tcW w:w="1410" w:type="dxa"/>
            <w:vMerge w:val="continue"/>
            <w:tcBorders>
              <w:top w:val="single" w:color="000000" w:sz="4" w:space="0"/>
              <w:left w:val="nil"/>
              <w:bottom w:val="single" w:color="000000" w:sz="4" w:space="0"/>
              <w:right w:val="single" w:color="000000" w:sz="4" w:space="0"/>
            </w:tcBorders>
            <w:vAlign w:val="center"/>
          </w:tcPr>
          <w:p>
            <w:pPr>
              <w:widowControl/>
              <w:jc w:val="center"/>
              <w:rPr>
                <w:rFonts w:ascii="黑体" w:eastAsia="黑体"/>
                <w:b/>
                <w:kern w:val="0"/>
              </w:rPr>
            </w:pPr>
          </w:p>
        </w:tc>
        <w:tc>
          <w:tcPr>
            <w:tcW w:w="705" w:type="dxa"/>
            <w:vMerge w:val="continue"/>
            <w:tcBorders>
              <w:top w:val="single" w:color="000000" w:sz="4" w:space="0"/>
              <w:left w:val="nil"/>
              <w:bottom w:val="single" w:color="000000" w:sz="4" w:space="0"/>
              <w:right w:val="single" w:color="auto" w:sz="4" w:space="0"/>
            </w:tcBorders>
            <w:vAlign w:val="center"/>
          </w:tcPr>
          <w:p>
            <w:pPr>
              <w:widowControl/>
              <w:jc w:val="center"/>
              <w:rPr>
                <w:rFonts w:ascii="黑体" w:eastAsia="黑体"/>
                <w:b/>
                <w:kern w:val="0"/>
              </w:rPr>
            </w:pPr>
          </w:p>
        </w:tc>
      </w:tr>
      <w:tr>
        <w:tblPrEx>
          <w:tblLayout w:type="fixed"/>
          <w:tblCellMar>
            <w:top w:w="0" w:type="dxa"/>
            <w:left w:w="108" w:type="dxa"/>
            <w:bottom w:w="0" w:type="dxa"/>
            <w:right w:w="108" w:type="dxa"/>
          </w:tblCellMar>
        </w:tblPrEx>
        <w:trPr>
          <w:trHeight w:val="3241" w:hRule="atLeast"/>
        </w:trPr>
        <w:tc>
          <w:tcPr>
            <w:tcW w:w="1377" w:type="dxa"/>
            <w:vMerge w:val="restart"/>
            <w:tcBorders>
              <w:top w:val="nil"/>
              <w:left w:val="single" w:color="auto" w:sz="4" w:space="0"/>
              <w:right w:val="single" w:color="000000" w:sz="4" w:space="0"/>
            </w:tcBorders>
            <w:vAlign w:val="center"/>
          </w:tcPr>
          <w:p>
            <w:pPr>
              <w:widowControl/>
              <w:rPr>
                <w:rFonts w:ascii="宋体" w:hAnsi="宋体"/>
                <w:kern w:val="0"/>
              </w:rPr>
            </w:pPr>
            <w:r>
              <w:rPr>
                <w:rFonts w:hint="eastAsia" w:ascii="宋体" w:hAnsi="宋体"/>
                <w:kern w:val="0"/>
              </w:rPr>
              <w:t>一、经营许可证制度（《固体废物污染环境防治法》，以下简称《固体法》，第五十七条；《危险废物经营许可证管理办法》，以下简称《许可办法》，第二十条）</w:t>
            </w:r>
          </w:p>
        </w:tc>
        <w:tc>
          <w:tcPr>
            <w:tcW w:w="2135"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1.从事收集、贮存、利用和处置危险废物经营活动的单位，依法申请领取了危险废物经营许可证。</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6</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具有与其经营范围相对应的环保部门颁发的危险废物经营许可证，且具备相应的资质。</w:t>
            </w:r>
          </w:p>
        </w:tc>
        <w:tc>
          <w:tcPr>
            <w:tcW w:w="4781" w:type="dxa"/>
            <w:tcBorders>
              <w:top w:val="nil"/>
              <w:left w:val="nil"/>
              <w:bottom w:val="single" w:color="000000" w:sz="4" w:space="0"/>
              <w:right w:val="single" w:color="000000" w:sz="4" w:space="0"/>
            </w:tcBorders>
            <w:vAlign w:val="center"/>
          </w:tcPr>
          <w:p>
            <w:pPr>
              <w:widowControl/>
              <w:spacing w:line="240" w:lineRule="atLeast"/>
              <w:jc w:val="left"/>
              <w:rPr>
                <w:rFonts w:ascii="宋体" w:hAnsi="宋体"/>
                <w:kern w:val="0"/>
              </w:rPr>
            </w:pPr>
            <w:r>
              <w:rPr>
                <w:rFonts w:hint="eastAsia" w:ascii="宋体" w:hAnsi="宋体"/>
                <w:kern w:val="0"/>
              </w:rPr>
              <w:t>A.危险废物运输单位及车辆具有相应的危险货物运输资质；</w:t>
            </w:r>
          </w:p>
          <w:p>
            <w:pPr>
              <w:widowControl/>
              <w:spacing w:line="240" w:lineRule="atLeast"/>
              <w:jc w:val="left"/>
              <w:rPr>
                <w:rFonts w:ascii="宋体" w:hAnsi="宋体"/>
                <w:kern w:val="0"/>
              </w:rPr>
            </w:pPr>
            <w:r>
              <w:rPr>
                <w:rFonts w:hint="eastAsia" w:ascii="宋体" w:hAnsi="宋体"/>
                <w:kern w:val="0"/>
              </w:rPr>
              <w:t>B.危险废物贮存设施有环评材料，且完成了“三同时”验收；</w:t>
            </w:r>
          </w:p>
          <w:p>
            <w:pPr>
              <w:widowControl/>
              <w:spacing w:line="240" w:lineRule="atLeast"/>
              <w:jc w:val="left"/>
              <w:rPr>
                <w:rFonts w:ascii="宋体" w:hAnsi="宋体"/>
                <w:kern w:val="0"/>
              </w:rPr>
            </w:pPr>
            <w:r>
              <w:rPr>
                <w:rFonts w:hint="eastAsia" w:ascii="宋体" w:hAnsi="宋体"/>
                <w:kern w:val="0"/>
              </w:rPr>
              <w:t>C.危险废物利用、处置设施有环评材料，且完成了“三同时”验收；</w:t>
            </w:r>
          </w:p>
          <w:p>
            <w:pPr>
              <w:widowControl/>
              <w:spacing w:line="240" w:lineRule="atLeast"/>
              <w:jc w:val="left"/>
              <w:rPr>
                <w:rFonts w:ascii="宋体" w:hAnsi="宋体"/>
                <w:kern w:val="0"/>
              </w:rPr>
            </w:pPr>
            <w:r>
              <w:rPr>
                <w:rFonts w:hint="eastAsia" w:ascii="宋体" w:hAnsi="宋体"/>
                <w:kern w:val="0"/>
              </w:rPr>
              <w:t>D.贮存场所符合《危险废物贮存污染控制标准》的有关要求（贮存场所地面须作硬化及防渗处理；场所应有雨棚、围堰或围墙；设置废水导排管道或渠道，将冲洗废水纳入企业废水处理设施处理或危险废物管理；贮存液态或半固态废物的，需设置泄露液体收集装置；装载危险废物的容器完好无损）。</w:t>
            </w:r>
          </w:p>
          <w:p>
            <w:pPr>
              <w:widowControl/>
              <w:spacing w:line="240" w:lineRule="atLeast"/>
              <w:jc w:val="left"/>
              <w:rPr>
                <w:rFonts w:ascii="宋体" w:hAnsi="宋体"/>
                <w:kern w:val="0"/>
              </w:rPr>
            </w:pPr>
          </w:p>
          <w:p>
            <w:pPr>
              <w:widowControl/>
              <w:spacing w:line="240" w:lineRule="atLeast"/>
              <w:jc w:val="left"/>
              <w:rPr>
                <w:rFonts w:ascii="宋体" w:hAnsi="宋体"/>
                <w:kern w:val="0"/>
              </w:rPr>
            </w:pPr>
            <w:r>
              <w:rPr>
                <w:rFonts w:hint="eastAsia" w:ascii="宋体" w:hAnsi="宋体"/>
                <w:kern w:val="0"/>
              </w:rPr>
              <w:t>A、B项每项符合得1分，C、D项每项符合得2分。</w:t>
            </w:r>
          </w:p>
        </w:tc>
        <w:tc>
          <w:tcPr>
            <w:tcW w:w="1410"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资料检查（查看运输单位的相关资质；查看危险废物经营许可证、环评批复、验收报告等）、现场核查（检查贮存场所“三防”措施）</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538" w:hRule="atLeast"/>
        </w:trPr>
        <w:tc>
          <w:tcPr>
            <w:tcW w:w="1377" w:type="dxa"/>
            <w:vMerge w:val="continue"/>
            <w:tcBorders>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2.领取危险废物收集经营许可证的单位，应当与处置单位签订接收合同，并将收集的危险废物在90个工作日内提供或者委托给处置单位处置。（仅适用于持危险废物收集经营许可证的单位）</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签订了符合要求的合同，并能在90个工作日内将危险废物移给上述单位。</w:t>
            </w:r>
          </w:p>
        </w:tc>
        <w:tc>
          <w:tcPr>
            <w:tcW w:w="4781" w:type="dxa"/>
            <w:tcBorders>
              <w:top w:val="nil"/>
              <w:left w:val="nil"/>
              <w:bottom w:val="single" w:color="000000" w:sz="4" w:space="0"/>
              <w:right w:val="single" w:color="000000" w:sz="4" w:space="0"/>
            </w:tcBorders>
            <w:vAlign w:val="center"/>
          </w:tcPr>
          <w:p>
            <w:pPr>
              <w:widowControl/>
              <w:spacing w:line="240" w:lineRule="atLeast"/>
              <w:jc w:val="left"/>
              <w:rPr>
                <w:rFonts w:ascii="宋体" w:hAnsi="宋体"/>
                <w:kern w:val="0"/>
              </w:rPr>
            </w:pPr>
            <w:r>
              <w:rPr>
                <w:rFonts w:hint="eastAsia" w:ascii="宋体" w:hAnsi="宋体"/>
                <w:kern w:val="0"/>
              </w:rPr>
              <w:t>1.能在90个工作日内将收集的危险废物转移给具有相应经营资质的单位处理，能提供相应的合同、危险废物经营许可证及经营记录簿等相关证明材料，超期的提供发证环保部门同意延期的证明材料。得1分。</w:t>
            </w:r>
            <w:r>
              <w:rPr>
                <w:rFonts w:hint="eastAsia" w:ascii="宋体" w:hAnsi="宋体"/>
                <w:kern w:val="0"/>
              </w:rPr>
              <w:br w:type="textWrapping"/>
            </w:r>
            <w:r>
              <w:rPr>
                <w:rFonts w:hint="eastAsia" w:ascii="宋体" w:hAnsi="宋体"/>
                <w:kern w:val="0"/>
              </w:rPr>
              <w:t>2.未在90个工作日内将收集的危险废物转移给具有相应经营资质的单位，又不能提供发证环保部门同意延期的证明材料，或未提供相应的合同、危险废物经营许可证及经营记录簿等相关证明材料。得0分。</w:t>
            </w:r>
          </w:p>
        </w:tc>
        <w:tc>
          <w:tcPr>
            <w:tcW w:w="1410"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资料检查（查看接收合同和接收单位的危险废物经营许可证等相关材料；查看经营情况记录簿）</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541" w:hRule="atLeast"/>
        </w:trPr>
        <w:tc>
          <w:tcPr>
            <w:tcW w:w="1377" w:type="dxa"/>
            <w:tcBorders>
              <w:top w:val="nil"/>
              <w:left w:val="single" w:color="auto" w:sz="4" w:space="0"/>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一、经营许可证制度（《固体法》，第五十七条；《许可办法》，第二十条）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*3.按照危险废物经营许可证规定从事危险废物收集、贮存、利用、处置的经营活动。</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严格按照危险废物经营许可证规定从事经营活动。</w:t>
            </w:r>
          </w:p>
        </w:tc>
        <w:tc>
          <w:tcPr>
            <w:tcW w:w="4781" w:type="dxa"/>
            <w:tcBorders>
              <w:top w:val="nil"/>
              <w:left w:val="nil"/>
              <w:bottom w:val="single" w:color="000000" w:sz="4" w:space="0"/>
              <w:right w:val="single" w:color="000000" w:sz="4" w:space="0"/>
            </w:tcBorders>
            <w:vAlign w:val="center"/>
          </w:tcPr>
          <w:p>
            <w:pPr>
              <w:widowControl/>
              <w:spacing w:line="240" w:lineRule="atLeast"/>
              <w:jc w:val="left"/>
              <w:rPr>
                <w:rFonts w:ascii="宋体" w:hAnsi="宋体"/>
                <w:kern w:val="0"/>
              </w:rPr>
            </w:pPr>
            <w:r>
              <w:rPr>
                <w:rFonts w:hint="eastAsia" w:ascii="宋体" w:hAnsi="宋体"/>
                <w:kern w:val="0"/>
              </w:rPr>
              <w:t>1.严格按照危险废物经营许可证规定从事经营活动，经营范围与环保部门颁发的危险废物经营许可证所列范围一致，且在有效期内。得1分。</w:t>
            </w:r>
            <w:r>
              <w:rPr>
                <w:rFonts w:hint="eastAsia" w:ascii="宋体" w:hAnsi="宋体"/>
                <w:kern w:val="0"/>
              </w:rPr>
              <w:br w:type="textWrapping"/>
            </w:r>
            <w:r>
              <w:rPr>
                <w:rFonts w:hint="eastAsia" w:ascii="宋体" w:hAnsi="宋体"/>
                <w:kern w:val="0"/>
              </w:rPr>
              <w:t>2.未按照危险废物经营许可证规定从事经营活动。得0分。</w:t>
            </w:r>
          </w:p>
        </w:tc>
        <w:tc>
          <w:tcPr>
            <w:tcW w:w="1410"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资料检查、现场核查（对照所持危险废物经营许可证的相关规定核对是否按要求从事经营活动）</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318" w:hRule="atLeast"/>
        </w:trPr>
        <w:tc>
          <w:tcPr>
            <w:tcW w:w="1377" w:type="dxa"/>
            <w:vMerge w:val="restart"/>
            <w:tcBorders>
              <w:top w:val="nil"/>
              <w:left w:val="single" w:color="auto" w:sz="4" w:space="0"/>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二、识别标识制度（《固体法》第五十二条）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4.危险废物的容器和包装物必须设置危险废物识别标志。</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vMerge w:val="restart"/>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依据《危险废物贮存污染控制标准》（GB18597）附录A、《环境保护图形标志-固体废物贮存（处置）场》（GB15562.2）、《医疗废物专用包装物、容器标准和警示标识规</w:t>
            </w:r>
            <w:r>
              <w:rPr>
                <w:rFonts w:hint="eastAsia" w:ascii="宋体" w:hAnsi="宋体"/>
                <w:spacing w:val="-20"/>
                <w:kern w:val="0"/>
              </w:rPr>
              <w:t>定》（HJ421-2008）</w:t>
            </w:r>
            <w:r>
              <w:rPr>
                <w:rFonts w:hint="eastAsia" w:ascii="宋体" w:hAnsi="宋体"/>
                <w:kern w:val="0"/>
              </w:rPr>
              <w:t>所示标签设置危险废物（含医疗废物）识别标志。</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1.设置了规范的（样式正确、内容填写完整）危险废物识别标志。得1分。</w:t>
            </w:r>
          </w:p>
          <w:p>
            <w:pPr>
              <w:widowControl/>
              <w:jc w:val="left"/>
              <w:rPr>
                <w:rFonts w:ascii="宋体" w:hAnsi="宋体"/>
                <w:kern w:val="0"/>
              </w:rPr>
            </w:pPr>
            <w:r>
              <w:rPr>
                <w:rFonts w:hint="eastAsia" w:ascii="宋体" w:hAnsi="宋体"/>
                <w:kern w:val="0"/>
              </w:rPr>
              <w:t>2.识别标志有1处错误。得0.5分。</w:t>
            </w:r>
          </w:p>
          <w:p>
            <w:pPr>
              <w:widowControl/>
              <w:jc w:val="left"/>
              <w:rPr>
                <w:rFonts w:ascii="宋体" w:hAnsi="宋体"/>
                <w:kern w:val="0"/>
              </w:rPr>
            </w:pPr>
            <w:r>
              <w:rPr>
                <w:rFonts w:hint="eastAsia" w:ascii="宋体" w:hAnsi="宋体"/>
                <w:kern w:val="0"/>
              </w:rPr>
              <w:t>3.未设置识别标志、识别标志样式不正确或填写内容有两处及以上错误。得0分。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现场核查</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628" w:hRule="atLeast"/>
        </w:trPr>
        <w:tc>
          <w:tcPr>
            <w:tcW w:w="1377" w:type="dxa"/>
            <w:vMerge w:val="continue"/>
            <w:tcBorders>
              <w:top w:val="nil"/>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5.收集、贮存、运输、利用、处置危险废物的设施和场所，必须设置危险废物识别标志。</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vMerge w:val="continue"/>
            <w:tcBorders>
              <w:top w:val="nil"/>
              <w:left w:val="nil"/>
              <w:bottom w:val="single" w:color="000000" w:sz="4" w:space="0"/>
              <w:right w:val="single" w:color="000000" w:sz="4" w:space="0"/>
            </w:tcBorders>
            <w:vAlign w:val="center"/>
          </w:tcPr>
          <w:p>
            <w:pPr>
              <w:widowControl/>
              <w:rPr>
                <w:rFonts w:ascii="宋体" w:hAnsi="宋体"/>
                <w:kern w:val="0"/>
              </w:rPr>
            </w:pP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1.在收集、贮存、运输、利用、处置危险废物的设施、场所均设置了规范（形状、颜色、图案均正确，错误两处及以下）的危险废物识别标志。得1分。</w:t>
            </w:r>
            <w:r>
              <w:rPr>
                <w:rFonts w:hint="eastAsia" w:ascii="宋体" w:hAnsi="宋体"/>
                <w:kern w:val="0"/>
              </w:rPr>
              <w:br w:type="textWrapping"/>
            </w:r>
            <w:r>
              <w:rPr>
                <w:rFonts w:hint="eastAsia" w:ascii="宋体" w:hAnsi="宋体"/>
                <w:kern w:val="0"/>
              </w:rPr>
              <w:t>2.识别标志图案错误或危险废物的设施、场所有两处及以上未设置识别标志。得0分。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现场核查</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35" w:hRule="atLeast"/>
        </w:trPr>
        <w:tc>
          <w:tcPr>
            <w:tcW w:w="1377" w:type="dxa"/>
            <w:vMerge w:val="restart"/>
            <w:tcBorders>
              <w:top w:val="nil"/>
              <w:left w:val="single" w:color="auto" w:sz="4" w:space="0"/>
              <w:right w:val="single" w:color="000000" w:sz="4" w:space="0"/>
            </w:tcBorders>
            <w:vAlign w:val="center"/>
          </w:tcPr>
          <w:p>
            <w:pPr>
              <w:widowControl/>
              <w:rPr>
                <w:rFonts w:ascii="宋体" w:hAnsi="宋体"/>
                <w:kern w:val="0"/>
              </w:rPr>
            </w:pPr>
            <w:r>
              <w:rPr>
                <w:rFonts w:hint="eastAsia" w:ascii="宋体" w:hAnsi="宋体"/>
                <w:kern w:val="0"/>
              </w:rPr>
              <w:t>三、管理计划制度（《固体法》第五十三条）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6.危险废物管理计划包括减少危险废物产生量和危害性的措施，以及危险废物贮存、利用、处置措施。</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2</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spacing w:line="260" w:lineRule="atLeast"/>
              <w:rPr>
                <w:rFonts w:ascii="宋体" w:hAnsi="宋体"/>
                <w:kern w:val="0"/>
              </w:rPr>
            </w:pPr>
            <w:r>
              <w:rPr>
                <w:rFonts w:hint="eastAsia" w:ascii="宋体" w:hAnsi="宋体"/>
                <w:kern w:val="0"/>
              </w:rPr>
              <w:t>制定了危险废物管理计划；内容齐全，危险废物的产生环节、种类、危害特性、产生量、利用处置方式描述清晰。</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A.危险废物的产生环节、种类表述清晰；</w:t>
            </w:r>
          </w:p>
          <w:p>
            <w:pPr>
              <w:widowControl/>
              <w:jc w:val="left"/>
              <w:rPr>
                <w:rFonts w:ascii="宋体" w:hAnsi="宋体"/>
                <w:kern w:val="0"/>
              </w:rPr>
            </w:pPr>
            <w:r>
              <w:rPr>
                <w:rFonts w:hint="eastAsia" w:ascii="宋体" w:hAnsi="宋体"/>
                <w:kern w:val="0"/>
              </w:rPr>
              <w:t>B.危险废物产生量预测依据充分，且提出了减少产生量的措施；</w:t>
            </w:r>
          </w:p>
          <w:p>
            <w:pPr>
              <w:widowControl/>
              <w:jc w:val="left"/>
              <w:rPr>
                <w:rFonts w:ascii="宋体" w:hAnsi="宋体"/>
                <w:kern w:val="0"/>
              </w:rPr>
            </w:pPr>
            <w:r>
              <w:rPr>
                <w:rFonts w:hint="eastAsia" w:ascii="宋体" w:hAnsi="宋体"/>
                <w:kern w:val="0"/>
              </w:rPr>
              <w:t>C.危险废物的危害特性表述准确，且提出了减少危害性的措施；</w:t>
            </w:r>
          </w:p>
          <w:p>
            <w:pPr>
              <w:widowControl/>
              <w:jc w:val="left"/>
              <w:rPr>
                <w:rFonts w:ascii="宋体" w:hAnsi="宋体"/>
                <w:kern w:val="0"/>
              </w:rPr>
            </w:pPr>
            <w:r>
              <w:rPr>
                <w:rFonts w:hint="eastAsia" w:ascii="宋体" w:hAnsi="宋体"/>
                <w:kern w:val="0"/>
              </w:rPr>
              <w:t>D. 危险废物贮存、利用、处置措施表述清楚。</w:t>
            </w:r>
          </w:p>
          <w:p>
            <w:pPr>
              <w:widowControl/>
              <w:jc w:val="left"/>
              <w:rPr>
                <w:rFonts w:ascii="宋体" w:hAnsi="宋体"/>
                <w:kern w:val="0"/>
              </w:rPr>
            </w:pPr>
            <w:r>
              <w:rPr>
                <w:rFonts w:hint="eastAsia" w:ascii="宋体" w:hAnsi="宋体"/>
                <w:kern w:val="0"/>
              </w:rPr>
              <w:br w:type="textWrapping"/>
            </w:r>
            <w:r>
              <w:rPr>
                <w:rFonts w:hint="eastAsia" w:ascii="宋体" w:hAnsi="宋体"/>
                <w:kern w:val="0"/>
              </w:rPr>
              <w:t>以上每项符合得0.5分。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资料检查（查看危险废物管理计划）</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906" w:hRule="atLeast"/>
        </w:trPr>
        <w:tc>
          <w:tcPr>
            <w:tcW w:w="1377" w:type="dxa"/>
            <w:vMerge w:val="continue"/>
            <w:tcBorders>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7.报所在地县级以上地方人民政府环境保护行政主管部门备案。危险废物管理计划内容有重大改变的，应当及时申报。</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报环保部门备案；及时申报了重大改变。</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1.经县（市、区）环保部门备案，并可提供相关备案证明材料；管理计划内容有重大改变及时报县（市、区）环保部门重新备案。得1分。</w:t>
            </w:r>
            <w:r>
              <w:rPr>
                <w:rFonts w:hint="eastAsia" w:ascii="宋体" w:hAnsi="宋体"/>
                <w:kern w:val="0"/>
              </w:rPr>
              <w:br w:type="textWrapping"/>
            </w:r>
            <w:r>
              <w:rPr>
                <w:rFonts w:hint="eastAsia" w:ascii="宋体" w:hAnsi="宋体"/>
                <w:kern w:val="0"/>
              </w:rPr>
              <w:t>2.未报县（市、区）环保部门备案或未能提供相关证明材料，或有重大改变未及时申报。得0分。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资料检查（由企业提供已经进行备案的证明材料）</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3008" w:hRule="atLeast"/>
        </w:trPr>
        <w:tc>
          <w:tcPr>
            <w:tcW w:w="1377" w:type="dxa"/>
            <w:tcBorders>
              <w:top w:val="nil"/>
              <w:left w:val="single" w:color="auto" w:sz="4" w:space="0"/>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四、申报登记制度（《固体法》第五十三条）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8.如实地向所在地县级以上地方人民政府环境保护行政主管部门申报危险废物的种类、产生量、流向、贮存、处置等有关资料。</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4</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spacing w:line="240" w:lineRule="exact"/>
              <w:rPr>
                <w:rFonts w:ascii="宋体" w:hAnsi="宋体"/>
                <w:kern w:val="0"/>
              </w:rPr>
            </w:pPr>
            <w:r>
              <w:rPr>
                <w:rFonts w:hint="eastAsia" w:ascii="宋体" w:hAnsi="宋体"/>
                <w:kern w:val="0"/>
              </w:rPr>
              <w:t>如实申报（可以是专门的危险废物申报或纳入排污申报、环境统计中一并申报）；内容齐全；能提供证明材料，证明所申报数据的真实性和合理性，如关于危险废物产生和处理情况的日常记录等。</w:t>
            </w:r>
          </w:p>
        </w:tc>
        <w:tc>
          <w:tcPr>
            <w:tcW w:w="4781"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1.全面、准确地申报了危险废物的种类、产生量、流向、贮存、利用、处置情况；且可提供证明材料（如：环评文件、竣工验收文件、危险废物管理台账、危险废物转移联单、危险废物处置利用合同、财务数据等等）。得4分。</w:t>
            </w:r>
            <w:r>
              <w:rPr>
                <w:rFonts w:hint="eastAsia" w:ascii="宋体" w:hAnsi="宋体"/>
                <w:kern w:val="0"/>
              </w:rPr>
              <w:br w:type="textWrapping"/>
            </w:r>
            <w:r>
              <w:rPr>
                <w:rFonts w:hint="eastAsia" w:ascii="宋体" w:hAnsi="宋体"/>
                <w:kern w:val="0"/>
              </w:rPr>
              <w:t>2.申报登记表中存在两处及以下错误。得2分。</w:t>
            </w:r>
            <w:r>
              <w:rPr>
                <w:rFonts w:hint="eastAsia" w:ascii="宋体" w:hAnsi="宋体"/>
                <w:kern w:val="0"/>
              </w:rPr>
              <w:br w:type="textWrapping"/>
            </w:r>
            <w:r>
              <w:rPr>
                <w:rFonts w:hint="eastAsia" w:ascii="宋体" w:hAnsi="宋体"/>
                <w:kern w:val="0"/>
              </w:rPr>
              <w:t>3.不报或虚报、漏报、瞒报关键危险废物的，或申报登记表中关于危险废物的种类、产生量、流向、贮存、利用和处置情况存在两处以上错误。得0分。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资料检查（由企业提供已经申报登记的证明材料和相应的其他证明材料）</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257" w:hRule="atLeast"/>
        </w:trPr>
        <w:tc>
          <w:tcPr>
            <w:tcW w:w="1377" w:type="dxa"/>
            <w:tcBorders>
              <w:top w:val="nil"/>
              <w:left w:val="single" w:color="auto" w:sz="4" w:space="0"/>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四、申报登记制度（《固体法》第五十三条）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9.申报事项有重大改变的，应当及时申报。</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及时申报了重大改变。</w:t>
            </w:r>
          </w:p>
        </w:tc>
        <w:tc>
          <w:tcPr>
            <w:tcW w:w="4781"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1.申报事项有重大改变的进行了及时申报。得1分。</w:t>
            </w:r>
          </w:p>
          <w:p>
            <w:pPr>
              <w:widowControl/>
              <w:rPr>
                <w:rFonts w:ascii="宋体" w:hAnsi="宋体"/>
                <w:kern w:val="0"/>
              </w:rPr>
            </w:pPr>
            <w:r>
              <w:rPr>
                <w:rFonts w:hint="eastAsia" w:ascii="宋体" w:hAnsi="宋体"/>
                <w:kern w:val="0"/>
              </w:rPr>
              <w:t>2.发生重大改变未及时申报。得0分。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资料检查（由企业提供已经进行备案的证明材料）</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3057" w:hRule="atLeast"/>
        </w:trPr>
        <w:tc>
          <w:tcPr>
            <w:tcW w:w="1377" w:type="dxa"/>
            <w:vMerge w:val="restart"/>
            <w:tcBorders>
              <w:top w:val="nil"/>
              <w:left w:val="single" w:color="auto" w:sz="4" w:space="0"/>
              <w:right w:val="single" w:color="000000" w:sz="4" w:space="0"/>
            </w:tcBorders>
            <w:vAlign w:val="center"/>
          </w:tcPr>
          <w:p>
            <w:pPr>
              <w:widowControl/>
              <w:rPr>
                <w:rFonts w:ascii="宋体" w:hAnsi="宋体"/>
                <w:kern w:val="0"/>
              </w:rPr>
            </w:pPr>
            <w:r>
              <w:rPr>
                <w:rFonts w:hint="eastAsia" w:ascii="宋体" w:hAnsi="宋体"/>
                <w:kern w:val="0"/>
              </w:rPr>
              <w:t>五、转移联单制度（《固体法》第五十九条）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10.按照《危险废物转移联单管理办法》有关规定，如实填写转移联单中接受单位栏目，并加盖公章。</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2</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按照实际接收的危险废物，如实填写危险废物转移联单。</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1.根据实际转移的危险废物，按照《危险废物转移联单管理办法》如实填写接收单位栏目并加盖公章，联单按规定交付相应单位。得2分。</w:t>
            </w:r>
            <w:r>
              <w:rPr>
                <w:rFonts w:hint="eastAsia" w:ascii="宋体" w:hAnsi="宋体"/>
                <w:kern w:val="0"/>
              </w:rPr>
              <w:br w:type="textWrapping"/>
            </w:r>
            <w:r>
              <w:rPr>
                <w:rFonts w:hint="eastAsia" w:ascii="宋体" w:hAnsi="宋体"/>
                <w:kern w:val="0"/>
              </w:rPr>
              <w:t>2.对联单未按规定交付相应单位、未如实填写联单接收单位栏，或未加盖公章。得0分。</w:t>
            </w:r>
          </w:p>
          <w:p>
            <w:pPr>
              <w:widowControl/>
              <w:jc w:val="left"/>
              <w:rPr>
                <w:rFonts w:ascii="宋体" w:hAnsi="宋体"/>
                <w:kern w:val="0"/>
              </w:rPr>
            </w:pPr>
          </w:p>
          <w:p>
            <w:pPr>
              <w:widowControl/>
              <w:jc w:val="left"/>
              <w:rPr>
                <w:rFonts w:ascii="宋体" w:hAnsi="宋体"/>
                <w:kern w:val="0"/>
              </w:rPr>
            </w:pPr>
            <w:r>
              <w:rPr>
                <w:rFonts w:hint="eastAsia" w:ascii="宋体" w:hAnsi="宋体"/>
                <w:b/>
                <w:kern w:val="0"/>
              </w:rPr>
              <w:t>注：</w:t>
            </w:r>
            <w:r>
              <w:rPr>
                <w:rFonts w:hint="eastAsia" w:ascii="宋体" w:hAnsi="宋体"/>
                <w:kern w:val="0"/>
              </w:rPr>
              <w:t xml:space="preserve"> 若当地实行电子转移联单，企业如实、规范填写电子转移联单，也视为符合要求，得2分。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资料检查、现场核查（现场查看联单，并与经营情况记录等进行核对）</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3000" w:hRule="atLeast"/>
        </w:trPr>
        <w:tc>
          <w:tcPr>
            <w:tcW w:w="1377" w:type="dxa"/>
            <w:vMerge w:val="continue"/>
            <w:tcBorders>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11.转移联单保存齐全，并与危险废物经营情况记录簿同期保存。</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当年截止检查日期前的危险废物转移联单齐全。</w:t>
            </w:r>
          </w:p>
        </w:tc>
        <w:tc>
          <w:tcPr>
            <w:tcW w:w="4781"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2.近五年内危险废物转移联单保存齐全，数据、类别等信息与经营记录薄一致。得1分。</w:t>
            </w:r>
          </w:p>
          <w:p>
            <w:pPr>
              <w:widowControl/>
              <w:rPr>
                <w:rFonts w:ascii="宋体" w:hAnsi="宋体"/>
                <w:kern w:val="0"/>
              </w:rPr>
            </w:pPr>
            <w:r>
              <w:rPr>
                <w:rFonts w:hint="eastAsia" w:ascii="宋体" w:hAnsi="宋体"/>
                <w:kern w:val="0"/>
              </w:rPr>
              <w:t>3.联单保存不齐全或数据、类别等信息与经营记录薄不一致。得0分。</w:t>
            </w:r>
          </w:p>
          <w:p>
            <w:pPr>
              <w:widowControl/>
              <w:rPr>
                <w:rFonts w:ascii="宋体" w:hAnsi="宋体"/>
                <w:kern w:val="0"/>
              </w:rPr>
            </w:pPr>
          </w:p>
          <w:p>
            <w:pPr>
              <w:widowControl/>
              <w:jc w:val="left"/>
              <w:rPr>
                <w:rFonts w:ascii="宋体" w:hAnsi="宋体"/>
                <w:kern w:val="0"/>
              </w:rPr>
            </w:pPr>
            <w:r>
              <w:rPr>
                <w:rFonts w:hint="eastAsia" w:ascii="宋体" w:hAnsi="宋体"/>
                <w:kern w:val="0"/>
              </w:rPr>
              <w:t>注：往年度此项检查已扣分的，核查其他年度情况，不重复扣分。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资料检查、现场核查（现场查看联单，并与经营情况记录等进行核对）</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697" w:hRule="atLeast"/>
        </w:trPr>
        <w:tc>
          <w:tcPr>
            <w:tcW w:w="1377" w:type="dxa"/>
            <w:vMerge w:val="restart"/>
            <w:tcBorders>
              <w:top w:val="nil"/>
              <w:left w:val="single" w:color="auto" w:sz="4" w:space="0"/>
              <w:right w:val="single" w:color="000000" w:sz="4" w:space="0"/>
            </w:tcBorders>
            <w:vAlign w:val="center"/>
          </w:tcPr>
          <w:p>
            <w:pPr>
              <w:widowControl/>
              <w:rPr>
                <w:rFonts w:ascii="宋体" w:hAnsi="宋体"/>
                <w:kern w:val="0"/>
              </w:rPr>
            </w:pPr>
            <w:r>
              <w:rPr>
                <w:rFonts w:hint="eastAsia" w:ascii="宋体" w:hAnsi="宋体"/>
                <w:kern w:val="0"/>
              </w:rPr>
              <w:t>五、转移联单制度（《固体法》第五十九条）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*12.需转移给外单位利用或处置的危险废物，全部提供或委托给持危险废物经营许可证的单位从事收集、贮存、利用、处置的活动。</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利用处置过程产生但不能自行利用处置的危险废物，全部提供或委托给持危险废物经营许可证的单位。</w:t>
            </w:r>
          </w:p>
        </w:tc>
        <w:tc>
          <w:tcPr>
            <w:tcW w:w="4781" w:type="dxa"/>
            <w:tcBorders>
              <w:top w:val="nil"/>
              <w:left w:val="nil"/>
              <w:bottom w:val="single" w:color="000000" w:sz="4" w:space="0"/>
              <w:right w:val="single" w:color="000000" w:sz="4" w:space="0"/>
            </w:tcBorders>
            <w:vAlign w:val="center"/>
          </w:tcPr>
          <w:p>
            <w:pPr>
              <w:widowControl/>
              <w:spacing w:line="260" w:lineRule="atLeast"/>
              <w:jc w:val="left"/>
              <w:rPr>
                <w:rFonts w:ascii="宋体" w:hAnsi="宋体"/>
                <w:kern w:val="0"/>
              </w:rPr>
            </w:pPr>
            <w:r>
              <w:rPr>
                <w:rFonts w:hint="eastAsia" w:ascii="宋体" w:hAnsi="宋体"/>
                <w:kern w:val="0"/>
              </w:rPr>
              <w:t>1.利用处置过程产生但不能自行利用处置的危险废物，全部提供或委托给持相应危险废物经营许可证的单位，可提供危险废物经营许可证、转移联单等证明材料。得1分。</w:t>
            </w:r>
            <w:r>
              <w:rPr>
                <w:rFonts w:hint="eastAsia" w:ascii="宋体" w:hAnsi="宋体"/>
                <w:kern w:val="0"/>
              </w:rPr>
              <w:br w:type="textWrapping"/>
            </w:r>
            <w:r>
              <w:rPr>
                <w:rFonts w:hint="eastAsia" w:ascii="宋体" w:hAnsi="宋体"/>
                <w:kern w:val="0"/>
              </w:rPr>
              <w:t>2.利用处置过程产生但不能自行利用处置的危险废物，未全部提供或委托给持危险废物经营许可证的单位，或无法提供相应的危险废物经营许可证、转移联单等证明材料。得0分。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现场核查 （根据危险废物经营情况记录簿逐一核对，如核查焚烧飞灰的去向等）</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835" w:hRule="atLeast"/>
        </w:trPr>
        <w:tc>
          <w:tcPr>
            <w:tcW w:w="1377" w:type="dxa"/>
            <w:vMerge w:val="continue"/>
            <w:tcBorders>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13.利用处置过程产生不能自行利用处置的危险废物应与有相应资质的危险废物经营单位签订的委托利用、处置危险废物合同。</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有与持危险废物经营许可证的单位签订的合同。</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1.有与相应资质的危险废物经营单位签订的合同，且合同在有效期内。得1分。</w:t>
            </w:r>
            <w:r>
              <w:rPr>
                <w:rFonts w:hint="eastAsia" w:ascii="宋体" w:hAnsi="宋体"/>
                <w:kern w:val="0"/>
              </w:rPr>
              <w:br w:type="textWrapping"/>
            </w:r>
            <w:r>
              <w:rPr>
                <w:rFonts w:hint="eastAsia" w:ascii="宋体" w:hAnsi="宋体"/>
                <w:kern w:val="0"/>
              </w:rPr>
              <w:t>2.不能提供与有相应资质的危险废物经营单位签订的合同，或合同已失效。得0分。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资料检查（查看合同）</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331" w:hRule="atLeast"/>
        </w:trPr>
        <w:tc>
          <w:tcPr>
            <w:tcW w:w="1377" w:type="dxa"/>
            <w:tcBorders>
              <w:top w:val="nil"/>
              <w:left w:val="single" w:color="auto" w:sz="4" w:space="0"/>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六、应急预案备案制度（《固体法》第六十二条）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14.参照《危险废物经营单位编制应急预案指南》（原国家环境保护总局公告2007年第48号）制定了意外事故的防范措施和应急预案。</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有意外事故应急预案。</w:t>
            </w:r>
          </w:p>
        </w:tc>
        <w:tc>
          <w:tcPr>
            <w:tcW w:w="4781" w:type="dxa"/>
            <w:tcBorders>
              <w:top w:val="nil"/>
              <w:left w:val="nil"/>
              <w:bottom w:val="single" w:color="000000" w:sz="4" w:space="0"/>
              <w:right w:val="single" w:color="000000" w:sz="4" w:space="0"/>
            </w:tcBorders>
            <w:vAlign w:val="center"/>
          </w:tcPr>
          <w:p>
            <w:pPr>
              <w:widowControl/>
              <w:spacing w:line="240" w:lineRule="atLeast"/>
              <w:jc w:val="left"/>
              <w:rPr>
                <w:rFonts w:ascii="宋体" w:hAnsi="宋体"/>
                <w:kern w:val="0"/>
              </w:rPr>
            </w:pPr>
            <w:r>
              <w:rPr>
                <w:rFonts w:hint="eastAsia" w:ascii="宋体" w:hAnsi="宋体"/>
                <w:kern w:val="0"/>
              </w:rPr>
              <w:t>A.应急预案有明确的管理机构及负责人；</w:t>
            </w:r>
          </w:p>
          <w:p>
            <w:pPr>
              <w:widowControl/>
              <w:spacing w:line="240" w:lineRule="atLeast"/>
              <w:jc w:val="left"/>
              <w:rPr>
                <w:rFonts w:ascii="宋体" w:hAnsi="宋体"/>
                <w:kern w:val="0"/>
              </w:rPr>
            </w:pPr>
            <w:r>
              <w:rPr>
                <w:rFonts w:hint="eastAsia" w:ascii="宋体" w:hAnsi="宋体"/>
                <w:kern w:val="0"/>
              </w:rPr>
              <w:t>B.有意外事故的情形及相应的处理措施；</w:t>
            </w:r>
          </w:p>
          <w:p>
            <w:pPr>
              <w:widowControl/>
              <w:spacing w:line="240" w:lineRule="atLeast"/>
              <w:jc w:val="left"/>
              <w:rPr>
                <w:rFonts w:ascii="宋体" w:hAnsi="宋体"/>
                <w:kern w:val="0"/>
              </w:rPr>
            </w:pPr>
            <w:r>
              <w:rPr>
                <w:rFonts w:hint="eastAsia" w:ascii="宋体" w:hAnsi="宋体"/>
                <w:kern w:val="0"/>
              </w:rPr>
              <w:t>C.有应急预案中要求配置的应急装备及物资；</w:t>
            </w:r>
          </w:p>
          <w:p>
            <w:pPr>
              <w:widowControl/>
              <w:spacing w:line="240" w:lineRule="atLeast"/>
              <w:jc w:val="left"/>
              <w:rPr>
                <w:rFonts w:ascii="宋体" w:hAnsi="宋体"/>
                <w:kern w:val="0"/>
              </w:rPr>
            </w:pPr>
            <w:r>
              <w:rPr>
                <w:rFonts w:hint="eastAsia" w:ascii="宋体" w:hAnsi="宋体"/>
                <w:kern w:val="0"/>
              </w:rPr>
              <w:t>D.内部及外部环境发生改变时，及时对应急预案进行了修订。</w:t>
            </w:r>
          </w:p>
          <w:p>
            <w:pPr>
              <w:widowControl/>
              <w:spacing w:line="240" w:lineRule="atLeast"/>
              <w:jc w:val="left"/>
              <w:rPr>
                <w:rFonts w:ascii="宋体" w:hAnsi="宋体"/>
                <w:kern w:val="0"/>
              </w:rPr>
            </w:pPr>
          </w:p>
          <w:p>
            <w:pPr>
              <w:widowControl/>
              <w:spacing w:line="240" w:lineRule="atLeast"/>
              <w:jc w:val="left"/>
              <w:rPr>
                <w:rFonts w:ascii="宋体" w:hAnsi="宋体"/>
                <w:kern w:val="0"/>
              </w:rPr>
            </w:pPr>
            <w:r>
              <w:rPr>
                <w:rFonts w:hint="eastAsia" w:ascii="宋体" w:hAnsi="宋体"/>
                <w:kern w:val="0"/>
              </w:rPr>
              <w:t>1.制定了应急预案且达到以上全部要求。得1分。</w:t>
            </w:r>
          </w:p>
          <w:p>
            <w:pPr>
              <w:widowControl/>
              <w:spacing w:line="240" w:lineRule="atLeast"/>
              <w:jc w:val="left"/>
              <w:rPr>
                <w:rFonts w:ascii="宋体" w:hAnsi="宋体"/>
                <w:kern w:val="0"/>
              </w:rPr>
            </w:pPr>
            <w:r>
              <w:rPr>
                <w:rFonts w:hint="eastAsia" w:ascii="宋体" w:hAnsi="宋体"/>
                <w:kern w:val="0"/>
              </w:rPr>
              <w:t>2.未制定应急预案或不能达到上述要求。得0分。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资料检查（查看应急预案）</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254" w:hRule="atLeast"/>
        </w:trPr>
        <w:tc>
          <w:tcPr>
            <w:tcW w:w="1377" w:type="dxa"/>
            <w:vMerge w:val="restart"/>
            <w:tcBorders>
              <w:top w:val="nil"/>
              <w:left w:val="single" w:color="auto" w:sz="4" w:space="0"/>
              <w:right w:val="single" w:color="000000" w:sz="4" w:space="0"/>
            </w:tcBorders>
            <w:vAlign w:val="center"/>
          </w:tcPr>
          <w:p>
            <w:pPr>
              <w:widowControl/>
              <w:rPr>
                <w:rFonts w:ascii="宋体" w:hAnsi="宋体"/>
                <w:kern w:val="0"/>
              </w:rPr>
            </w:pPr>
            <w:r>
              <w:rPr>
                <w:rFonts w:hint="eastAsia" w:ascii="宋体" w:hAnsi="宋体"/>
                <w:kern w:val="0"/>
              </w:rPr>
              <w:t>六、应急预案备案制度（《固体法》第六十二条）</w:t>
            </w: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15.向所在地县级以上地方人民政府环境保护行政主管部门备案。</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在当地环保部门备案。</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1.应急预案报所在地县（市、区）环保部门备案，有相关的证明材料。得1分。</w:t>
            </w:r>
            <w:r>
              <w:rPr>
                <w:rFonts w:hint="eastAsia" w:ascii="宋体" w:hAnsi="宋体"/>
                <w:kern w:val="0"/>
              </w:rPr>
              <w:br w:type="textWrapping"/>
            </w:r>
            <w:r>
              <w:rPr>
                <w:rFonts w:hint="eastAsia" w:ascii="宋体" w:hAnsi="宋体"/>
                <w:kern w:val="0"/>
              </w:rPr>
              <w:t>2.未备案或无相关的证明材料。得0分。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资料检查（由企业提供已经进行备案的证明材料）</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655" w:hRule="atLeast"/>
        </w:trPr>
        <w:tc>
          <w:tcPr>
            <w:tcW w:w="1377" w:type="dxa"/>
            <w:vMerge w:val="continue"/>
            <w:tcBorders>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16.按照预案要求每年组织应急演练。</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2</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上年度组织应急预案演练。</w:t>
            </w:r>
          </w:p>
        </w:tc>
        <w:tc>
          <w:tcPr>
            <w:tcW w:w="4781" w:type="dxa"/>
            <w:tcBorders>
              <w:top w:val="nil"/>
              <w:left w:val="nil"/>
              <w:bottom w:val="single" w:color="000000" w:sz="4" w:space="0"/>
              <w:right w:val="single" w:color="000000" w:sz="4" w:space="0"/>
            </w:tcBorders>
            <w:vAlign w:val="center"/>
          </w:tcPr>
          <w:p>
            <w:pPr>
              <w:widowControl/>
              <w:spacing w:line="240" w:lineRule="atLeast"/>
              <w:jc w:val="left"/>
              <w:rPr>
                <w:rFonts w:ascii="宋体" w:hAnsi="宋体"/>
                <w:kern w:val="0"/>
              </w:rPr>
            </w:pPr>
            <w:r>
              <w:rPr>
                <w:rFonts w:hint="eastAsia" w:ascii="宋体" w:hAnsi="宋体"/>
                <w:kern w:val="0"/>
              </w:rPr>
              <w:t>A.有详细的演练计划；</w:t>
            </w:r>
          </w:p>
          <w:p>
            <w:pPr>
              <w:widowControl/>
              <w:spacing w:line="240" w:lineRule="atLeast"/>
              <w:jc w:val="left"/>
              <w:rPr>
                <w:rFonts w:ascii="宋体" w:hAnsi="宋体"/>
                <w:kern w:val="0"/>
              </w:rPr>
            </w:pPr>
            <w:r>
              <w:rPr>
                <w:rFonts w:hint="eastAsia" w:ascii="宋体" w:hAnsi="宋体"/>
                <w:kern w:val="0"/>
              </w:rPr>
              <w:t>B.有演练的图片、文字或视频等记录；</w:t>
            </w:r>
          </w:p>
          <w:p>
            <w:pPr>
              <w:widowControl/>
              <w:spacing w:line="240" w:lineRule="atLeast"/>
              <w:jc w:val="left"/>
              <w:rPr>
                <w:rFonts w:ascii="宋体" w:hAnsi="宋体"/>
                <w:kern w:val="0"/>
              </w:rPr>
            </w:pPr>
            <w:r>
              <w:rPr>
                <w:rFonts w:hint="eastAsia" w:ascii="宋体" w:hAnsi="宋体"/>
                <w:kern w:val="0"/>
              </w:rPr>
              <w:t>C.有演练后的总结材料；</w:t>
            </w:r>
          </w:p>
          <w:p>
            <w:pPr>
              <w:widowControl/>
              <w:spacing w:line="240" w:lineRule="atLeast"/>
              <w:jc w:val="left"/>
              <w:rPr>
                <w:rFonts w:ascii="宋体" w:hAnsi="宋体"/>
                <w:kern w:val="0"/>
              </w:rPr>
            </w:pPr>
            <w:r>
              <w:rPr>
                <w:rFonts w:hint="eastAsia" w:ascii="宋体" w:hAnsi="宋体"/>
                <w:kern w:val="0"/>
              </w:rPr>
              <w:t>D.参加演练人员熟悉应急防范措施。</w:t>
            </w:r>
          </w:p>
          <w:p>
            <w:pPr>
              <w:widowControl/>
              <w:spacing w:line="240" w:lineRule="atLeast"/>
              <w:jc w:val="left"/>
              <w:rPr>
                <w:rFonts w:ascii="宋体" w:hAnsi="宋体"/>
                <w:kern w:val="0"/>
              </w:rPr>
            </w:pPr>
          </w:p>
          <w:p>
            <w:pPr>
              <w:widowControl/>
              <w:spacing w:line="240" w:lineRule="atLeast"/>
              <w:jc w:val="left"/>
              <w:rPr>
                <w:rFonts w:ascii="宋体" w:hAnsi="宋体"/>
                <w:kern w:val="0"/>
              </w:rPr>
            </w:pPr>
            <w:r>
              <w:rPr>
                <w:rFonts w:hint="eastAsia" w:ascii="宋体" w:hAnsi="宋体"/>
                <w:kern w:val="0"/>
              </w:rPr>
              <w:t>以上每项符合得0.5分。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资料检查（查看演练记录）、现场询问</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368" w:hRule="atLeast"/>
        </w:trPr>
        <w:tc>
          <w:tcPr>
            <w:tcW w:w="1377" w:type="dxa"/>
            <w:vMerge w:val="restart"/>
            <w:tcBorders>
              <w:top w:val="nil"/>
              <w:left w:val="single" w:color="auto" w:sz="4" w:space="0"/>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七、贮存设施（《固体法》第十三条、第五十八条）</w:t>
            </w:r>
          </w:p>
        </w:tc>
        <w:tc>
          <w:tcPr>
            <w:tcW w:w="2135" w:type="dxa"/>
            <w:tcBorders>
              <w:top w:val="nil"/>
              <w:left w:val="nil"/>
              <w:bottom w:val="single" w:color="000000" w:sz="4" w:space="0"/>
              <w:right w:val="single" w:color="000000" w:sz="4" w:space="0"/>
            </w:tcBorders>
            <w:vAlign w:val="center"/>
          </w:tcPr>
          <w:p>
            <w:pPr>
              <w:widowControl/>
              <w:spacing w:line="240" w:lineRule="atLeast"/>
              <w:rPr>
                <w:rFonts w:ascii="宋体" w:hAnsi="宋体"/>
                <w:spacing w:val="-6"/>
                <w:kern w:val="0"/>
              </w:rPr>
            </w:pPr>
            <w:r>
              <w:rPr>
                <w:rFonts w:hint="eastAsia" w:ascii="宋体" w:hAnsi="宋体"/>
                <w:spacing w:val="-6"/>
                <w:kern w:val="0"/>
              </w:rPr>
              <w:t>17.贮存期限不超过一年；延长贮存期限的，报经相应环保部门批准。</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spacing w:val="-6"/>
                <w:kern w:val="0"/>
              </w:rPr>
            </w:pPr>
            <w:r>
              <w:rPr>
                <w:rFonts w:hint="eastAsia" w:ascii="宋体" w:hAnsi="宋体"/>
                <w:spacing w:val="-6"/>
                <w:kern w:val="0"/>
              </w:rPr>
              <w:t>危险废物贮存不超过一年；超过一年的报经相应环保部门批准。</w:t>
            </w:r>
          </w:p>
        </w:tc>
        <w:tc>
          <w:tcPr>
            <w:tcW w:w="4781" w:type="dxa"/>
            <w:tcBorders>
              <w:top w:val="nil"/>
              <w:left w:val="nil"/>
              <w:bottom w:val="single" w:color="000000" w:sz="4" w:space="0"/>
              <w:right w:val="single" w:color="000000" w:sz="4" w:space="0"/>
            </w:tcBorders>
            <w:vAlign w:val="center"/>
          </w:tcPr>
          <w:p>
            <w:pPr>
              <w:widowControl/>
              <w:spacing w:line="240" w:lineRule="atLeast"/>
              <w:jc w:val="left"/>
              <w:rPr>
                <w:rFonts w:ascii="宋体" w:hAnsi="宋体"/>
                <w:kern w:val="0"/>
              </w:rPr>
            </w:pPr>
            <w:r>
              <w:rPr>
                <w:rFonts w:hint="eastAsia" w:ascii="宋体" w:hAnsi="宋体"/>
                <w:spacing w:val="-6"/>
                <w:kern w:val="0"/>
              </w:rPr>
              <w:t>1.危险废物贮存不超过一年，超过一年的报经原批准经营许可证的环境保护行政主管部门批准，提供相应的证明材料。得1分。</w:t>
            </w:r>
            <w:r>
              <w:rPr>
                <w:rFonts w:hint="eastAsia" w:ascii="宋体" w:hAnsi="宋体"/>
                <w:spacing w:val="-6"/>
                <w:kern w:val="0"/>
              </w:rPr>
              <w:br w:type="textWrapping"/>
            </w:r>
            <w:r>
              <w:rPr>
                <w:rFonts w:hint="eastAsia" w:ascii="宋体" w:hAnsi="宋体"/>
                <w:spacing w:val="-6"/>
                <w:kern w:val="0"/>
              </w:rPr>
              <w:t>2.危险废物贮存超过一年但未获有效批准。得0分。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资料检查（查看经营情况记录簿）、现场核查</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959" w:hRule="atLeast"/>
        </w:trPr>
        <w:tc>
          <w:tcPr>
            <w:tcW w:w="1377" w:type="dxa"/>
            <w:vMerge w:val="continue"/>
            <w:tcBorders>
              <w:top w:val="nil"/>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18.分类收集、贮存危险废物，未混合贮存性质不相容且未经安全性处置的危险废物，装载危险废物的容器完好无损。</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2</w:t>
            </w:r>
          </w:p>
        </w:tc>
        <w:tc>
          <w:tcPr>
            <w:tcW w:w="708" w:type="dxa"/>
            <w:tcBorders>
              <w:top w:val="nil"/>
              <w:left w:val="nil"/>
              <w:bottom w:val="single" w:color="000000" w:sz="4" w:space="0"/>
              <w:right w:val="single" w:color="000000" w:sz="4" w:space="0"/>
            </w:tcBorders>
            <w:vAlign w:val="top"/>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做到分类贮存；装载危险废物的容器和包装物无破损、泄漏和其他缺陷。</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A.危险废物做好了分类收集、贮存；</w:t>
            </w:r>
          </w:p>
          <w:p>
            <w:pPr>
              <w:widowControl/>
              <w:jc w:val="left"/>
              <w:rPr>
                <w:rFonts w:ascii="宋体" w:hAnsi="宋体"/>
                <w:kern w:val="0"/>
              </w:rPr>
            </w:pPr>
            <w:r>
              <w:rPr>
                <w:rFonts w:hint="eastAsia" w:ascii="宋体" w:hAnsi="宋体"/>
                <w:kern w:val="0"/>
              </w:rPr>
              <w:t>B.装载危险废物的容器和包装物无破损、泄漏和其他缺陷；</w:t>
            </w:r>
          </w:p>
          <w:p>
            <w:pPr>
              <w:widowControl/>
              <w:jc w:val="left"/>
              <w:rPr>
                <w:rFonts w:ascii="宋体" w:hAnsi="宋体"/>
                <w:kern w:val="0"/>
              </w:rPr>
            </w:pPr>
            <w:r>
              <w:rPr>
                <w:rFonts w:hint="eastAsia" w:ascii="宋体" w:hAnsi="宋体"/>
                <w:kern w:val="0"/>
              </w:rPr>
              <w:br w:type="textWrapping"/>
            </w:r>
            <w:r>
              <w:rPr>
                <w:rFonts w:hint="eastAsia" w:ascii="宋体" w:hAnsi="宋体"/>
                <w:kern w:val="0"/>
              </w:rPr>
              <w:t>以上每项符合得1分。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现场核查</w:t>
            </w:r>
          </w:p>
        </w:tc>
        <w:tc>
          <w:tcPr>
            <w:tcW w:w="705" w:type="dxa"/>
            <w:tcBorders>
              <w:top w:val="nil"/>
              <w:left w:val="nil"/>
              <w:bottom w:val="single" w:color="000000" w:sz="4" w:space="0"/>
              <w:right w:val="single" w:color="auto" w:sz="4" w:space="0"/>
            </w:tcBorders>
            <w:vAlign w:val="top"/>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828" w:hRule="atLeast"/>
        </w:trPr>
        <w:tc>
          <w:tcPr>
            <w:tcW w:w="1377" w:type="dxa"/>
            <w:vMerge w:val="continue"/>
            <w:tcBorders>
              <w:top w:val="nil"/>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rPr>
                <w:rFonts w:ascii="宋体" w:hAnsi="宋体"/>
                <w:spacing w:val="-6"/>
                <w:kern w:val="0"/>
              </w:rPr>
            </w:pPr>
            <w:r>
              <w:rPr>
                <w:rFonts w:hint="eastAsia" w:ascii="宋体" w:hAnsi="宋体"/>
                <w:spacing w:val="-6"/>
                <w:kern w:val="0"/>
              </w:rPr>
              <w:t>19.未将危险废物混入非危险废物中贮存。</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top"/>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做到分类贮存。</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1.危险废物未混入非危险废物中贮存。得1分。</w:t>
            </w:r>
            <w:r>
              <w:rPr>
                <w:rFonts w:hint="eastAsia" w:ascii="宋体" w:hAnsi="宋体"/>
                <w:kern w:val="0"/>
              </w:rPr>
              <w:br w:type="textWrapping"/>
            </w:r>
            <w:r>
              <w:rPr>
                <w:rFonts w:hint="eastAsia" w:ascii="宋体" w:hAnsi="宋体"/>
                <w:kern w:val="0"/>
              </w:rPr>
              <w:t>2.危险废物混入非危险废物中贮存。得0分。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现场核查</w:t>
            </w:r>
          </w:p>
        </w:tc>
        <w:tc>
          <w:tcPr>
            <w:tcW w:w="705" w:type="dxa"/>
            <w:tcBorders>
              <w:top w:val="nil"/>
              <w:left w:val="nil"/>
              <w:bottom w:val="single" w:color="000000" w:sz="4" w:space="0"/>
              <w:right w:val="single" w:color="auto" w:sz="4" w:space="0"/>
            </w:tcBorders>
            <w:vAlign w:val="top"/>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780" w:hRule="atLeast"/>
        </w:trPr>
        <w:tc>
          <w:tcPr>
            <w:tcW w:w="1377" w:type="dxa"/>
            <w:vMerge w:val="restart"/>
            <w:tcBorders>
              <w:top w:val="nil"/>
              <w:left w:val="single" w:color="auto" w:sz="4" w:space="0"/>
              <w:right w:val="single" w:color="000000" w:sz="4" w:space="0"/>
            </w:tcBorders>
            <w:vAlign w:val="center"/>
          </w:tcPr>
          <w:p>
            <w:pPr>
              <w:rPr>
                <w:rFonts w:ascii="宋体" w:hAnsi="宋体"/>
                <w:kern w:val="0"/>
              </w:rPr>
            </w:pPr>
            <w:r>
              <w:rPr>
                <w:rFonts w:hint="eastAsia" w:ascii="宋体" w:hAnsi="宋体"/>
                <w:kern w:val="0"/>
              </w:rPr>
              <w:t>八、利用处置设施（《固体法》第十三条、五十五条；《许可办法》第二十一条）</w:t>
            </w:r>
          </w:p>
        </w:tc>
        <w:tc>
          <w:tcPr>
            <w:tcW w:w="2135"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20.按照有关要求定期对利用处置设施污染物排放进行环境监测，并符合《危险废物焚烧污染控制标准》、《危险废物填埋污染控制标准》、《危险废物集中焚烧处置工程建设技术规范》等相关标准要求。</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14</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监测频次符合要求，有定期环境监测报告，并且污染控制符合相关标准要求。</w:t>
            </w:r>
          </w:p>
        </w:tc>
        <w:tc>
          <w:tcPr>
            <w:tcW w:w="4781" w:type="dxa"/>
            <w:tcBorders>
              <w:top w:val="nil"/>
              <w:left w:val="nil"/>
              <w:bottom w:val="single" w:color="000000" w:sz="4" w:space="0"/>
              <w:right w:val="single" w:color="000000" w:sz="4" w:space="0"/>
            </w:tcBorders>
            <w:vAlign w:val="center"/>
          </w:tcPr>
          <w:p>
            <w:pPr>
              <w:widowControl/>
              <w:spacing w:line="240" w:lineRule="atLeast"/>
              <w:jc w:val="left"/>
              <w:rPr>
                <w:rFonts w:ascii="宋体" w:hAnsi="宋体"/>
                <w:kern w:val="0"/>
              </w:rPr>
            </w:pPr>
            <w:r>
              <w:rPr>
                <w:rFonts w:hint="eastAsia" w:ascii="宋体" w:hAnsi="宋体"/>
                <w:kern w:val="0"/>
              </w:rPr>
              <w:t>1.近一年内对污染物排放情况进行了监测，有环境监测报告且监测频次和项目符合要求，污染控制（包括焚烧、填埋）符合控制标准的要求。得14分。</w:t>
            </w:r>
          </w:p>
          <w:p>
            <w:pPr>
              <w:widowControl/>
              <w:spacing w:line="240" w:lineRule="atLeast"/>
              <w:jc w:val="left"/>
              <w:rPr>
                <w:rFonts w:ascii="宋体" w:hAnsi="宋体"/>
                <w:kern w:val="0"/>
              </w:rPr>
            </w:pPr>
            <w:r>
              <w:rPr>
                <w:rFonts w:hint="eastAsia" w:ascii="宋体" w:hAnsi="宋体"/>
                <w:kern w:val="0"/>
              </w:rPr>
              <w:t>2.近一年内进行了监测，但监测项目或频次不满足相关要求、监测出现超标后及时经过整改能落实达标排放的，可酌情打分。</w:t>
            </w:r>
            <w:r>
              <w:rPr>
                <w:rFonts w:hint="eastAsia" w:ascii="宋体" w:hAnsi="宋体"/>
                <w:kern w:val="0"/>
              </w:rPr>
              <w:br w:type="textWrapping"/>
            </w:r>
            <w:r>
              <w:rPr>
                <w:rFonts w:hint="eastAsia" w:ascii="宋体" w:hAnsi="宋体"/>
                <w:kern w:val="0"/>
              </w:rPr>
              <w:t>3.近一年内未对污染物排放情况进行监测，或污染物出现超标排放后未及时采取有效整改措施。得0分。</w:t>
            </w:r>
            <w:r>
              <w:rPr>
                <w:rFonts w:hint="eastAsia" w:ascii="宋体" w:hAnsi="宋体"/>
                <w:kern w:val="0"/>
              </w:rPr>
              <w:br w:type="textWrapping"/>
            </w:r>
            <w:r>
              <w:rPr>
                <w:rFonts w:hint="eastAsia" w:ascii="宋体" w:hAnsi="宋体"/>
                <w:kern w:val="0"/>
              </w:rPr>
              <w:br w:type="textWrapping"/>
            </w:r>
            <w:r>
              <w:rPr>
                <w:rFonts w:hint="eastAsia" w:ascii="宋体" w:hAnsi="宋体"/>
                <w:kern w:val="0"/>
              </w:rPr>
              <w:t>注：监测频次与项目可按环评、验收、监测计划及相关标准等要求执行。</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对照相关标准查看环境监测报告、现场核查</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3266" w:hRule="atLeast"/>
        </w:trPr>
        <w:tc>
          <w:tcPr>
            <w:tcW w:w="1377" w:type="dxa"/>
            <w:vMerge w:val="continue"/>
            <w:tcBorders>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21.填埋危险废物的经营设施服役期届满后，危险废物经营单位应当对填埋过危险废物的土地采取封闭措施，并在划定的封闭区域设置永久性标记。</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对封场的填埋场采取封闭措施，设置了永久性标记。</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1.对封场的填埋场采取封闭措施，设置了永久性标记。得1分。</w:t>
            </w:r>
            <w:r>
              <w:rPr>
                <w:rFonts w:hint="eastAsia" w:ascii="宋体" w:hAnsi="宋体"/>
                <w:kern w:val="0"/>
              </w:rPr>
              <w:br w:type="textWrapping"/>
            </w:r>
            <w:r>
              <w:rPr>
                <w:rFonts w:hint="eastAsia" w:ascii="宋体" w:hAnsi="宋体"/>
                <w:kern w:val="0"/>
              </w:rPr>
              <w:t>2.对封场的填埋场未采取封闭措施或未设置永久性标志。得0分。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现场核查</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451" w:hRule="atLeast"/>
        </w:trPr>
        <w:tc>
          <w:tcPr>
            <w:tcW w:w="1377" w:type="dxa"/>
            <w:vMerge w:val="restart"/>
            <w:tcBorders>
              <w:top w:val="nil"/>
              <w:left w:val="single" w:color="auto" w:sz="4" w:space="0"/>
              <w:right w:val="single" w:color="000000" w:sz="4" w:space="0"/>
            </w:tcBorders>
            <w:shd w:val="clear" w:color="auto" w:fill="auto"/>
            <w:vAlign w:val="center"/>
          </w:tcPr>
          <w:p>
            <w:pPr>
              <w:widowControl/>
              <w:rPr>
                <w:rFonts w:ascii="宋体" w:hAnsi="宋体"/>
                <w:kern w:val="0"/>
              </w:rPr>
            </w:pPr>
            <w:r>
              <w:rPr>
                <w:rFonts w:hint="eastAsia" w:ascii="宋体" w:hAnsi="宋体"/>
                <w:kern w:val="0"/>
              </w:rPr>
              <w:t>九、运行安全要求（《许可办法》第五条）</w:t>
            </w:r>
          </w:p>
        </w:tc>
        <w:tc>
          <w:tcPr>
            <w:tcW w:w="2135"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22.危险废物（医疗废物除外）入厂时进行特性分析。</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2</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对所接收的性质不明确的危险废物进行危险特性分析。</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kern w:val="0"/>
              </w:rPr>
            </w:pPr>
            <w:r>
              <w:rPr>
                <w:rFonts w:hint="eastAsia" w:ascii="宋体" w:hAnsi="宋体"/>
                <w:kern w:val="0"/>
              </w:rPr>
              <w:t>1.对所接收的性质不明确的危险废物进行危险特性分析，提供分析报告。得2分。</w:t>
            </w:r>
            <w:r>
              <w:rPr>
                <w:rFonts w:hint="eastAsia" w:ascii="宋体" w:hAnsi="宋体"/>
                <w:kern w:val="0"/>
              </w:rPr>
              <w:br w:type="textWrapping"/>
            </w:r>
            <w:r>
              <w:rPr>
                <w:rFonts w:hint="eastAsia" w:ascii="宋体" w:hAnsi="宋体"/>
                <w:kern w:val="0"/>
              </w:rPr>
              <w:t>2.对所接收的性质不明确的危险废物未进行危险特性分析，或无法提供分析报告。得0分。</w:t>
            </w:r>
          </w:p>
          <w:p>
            <w:pPr>
              <w:widowControl/>
              <w:jc w:val="left"/>
              <w:rPr>
                <w:rFonts w:ascii="宋体" w:hAnsi="宋体"/>
                <w:kern w:val="0"/>
              </w:rPr>
            </w:pPr>
            <w:r>
              <w:rPr>
                <w:rFonts w:hint="eastAsia" w:ascii="宋体" w:hAnsi="宋体"/>
                <w:kern w:val="0"/>
              </w:rPr>
              <w:br w:type="textWrapping"/>
            </w:r>
            <w:r>
              <w:rPr>
                <w:rFonts w:hint="eastAsia" w:ascii="宋体" w:hAnsi="宋体"/>
                <w:kern w:val="0"/>
              </w:rPr>
              <w:t>注：对于接受种类单一、未有性质不明确的危险废物的经营单位，该项可不做考核。</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资料检查（查看分析报告等）</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1699" w:hRule="atLeast"/>
        </w:trPr>
        <w:tc>
          <w:tcPr>
            <w:tcW w:w="1377" w:type="dxa"/>
            <w:vMerge w:val="continue"/>
            <w:tcBorders>
              <w:left w:val="single" w:color="auto" w:sz="4" w:space="0"/>
              <w:right w:val="single" w:color="000000" w:sz="4" w:space="0"/>
            </w:tcBorders>
            <w:shd w:val="clear" w:color="auto" w:fill="auto"/>
            <w:vAlign w:val="center"/>
          </w:tcPr>
          <w:p>
            <w:pPr>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spacing w:line="240" w:lineRule="exact"/>
              <w:jc w:val="left"/>
              <w:rPr>
                <w:rFonts w:ascii="宋体" w:hAnsi="宋体"/>
                <w:kern w:val="0"/>
              </w:rPr>
            </w:pPr>
            <w:r>
              <w:rPr>
                <w:rFonts w:hint="eastAsia" w:ascii="宋体" w:hAnsi="宋体"/>
                <w:kern w:val="0"/>
              </w:rPr>
              <w:t>23.定期对处置设施、监测设备、安全和应急设备、以及运行设备等进行检查，发现破损，应及时采取措施清理更换，应对环境监测和分析仪器进行校正和维护。</w:t>
            </w:r>
          </w:p>
        </w:tc>
        <w:tc>
          <w:tcPr>
            <w:tcW w:w="708"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kern w:val="0"/>
              </w:rPr>
            </w:pPr>
            <w:r>
              <w:rPr>
                <w:rFonts w:hint="eastAsia" w:ascii="宋体" w:hAnsi="宋体"/>
                <w:kern w:val="0"/>
              </w:rPr>
              <w:t>5</w:t>
            </w:r>
          </w:p>
        </w:tc>
        <w:tc>
          <w:tcPr>
            <w:tcW w:w="708"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spacing w:line="240" w:lineRule="atLeast"/>
              <w:rPr>
                <w:rFonts w:ascii="宋体" w:hAnsi="宋体"/>
                <w:kern w:val="0"/>
              </w:rPr>
            </w:pPr>
            <w:r>
              <w:rPr>
                <w:rFonts w:hint="eastAsia" w:ascii="宋体" w:hAnsi="宋体"/>
                <w:kern w:val="0"/>
              </w:rPr>
              <w:t>定期对相关设施进行检查和维护，且运行正常。</w:t>
            </w:r>
          </w:p>
        </w:tc>
        <w:tc>
          <w:tcPr>
            <w:tcW w:w="4781" w:type="dxa"/>
            <w:tcBorders>
              <w:top w:val="nil"/>
              <w:left w:val="nil"/>
              <w:bottom w:val="single" w:color="000000" w:sz="4" w:space="0"/>
              <w:right w:val="single" w:color="000000" w:sz="4" w:space="0"/>
            </w:tcBorders>
            <w:vAlign w:val="center"/>
          </w:tcPr>
          <w:p>
            <w:pPr>
              <w:widowControl/>
              <w:jc w:val="left"/>
              <w:rPr>
                <w:rFonts w:ascii="宋体" w:hAnsi="宋体"/>
                <w:spacing w:val="-6"/>
                <w:kern w:val="0"/>
              </w:rPr>
            </w:pPr>
            <w:r>
              <w:rPr>
                <w:rFonts w:hint="eastAsia" w:ascii="宋体" w:hAnsi="宋体"/>
                <w:spacing w:val="-6"/>
                <w:kern w:val="0"/>
              </w:rPr>
              <w:t>A.定期对处置设施进行检查和维护，且运行正常；</w:t>
            </w:r>
            <w:r>
              <w:rPr>
                <w:rFonts w:hint="eastAsia" w:ascii="宋体" w:hAnsi="宋体"/>
                <w:spacing w:val="-6"/>
                <w:kern w:val="0"/>
              </w:rPr>
              <w:br w:type="textWrapping"/>
            </w:r>
            <w:r>
              <w:rPr>
                <w:rFonts w:hint="eastAsia" w:ascii="宋体" w:hAnsi="宋体"/>
                <w:spacing w:val="-6"/>
                <w:kern w:val="0"/>
              </w:rPr>
              <w:t>B.定期对监测设备进行检查和维护，且运行正常；</w:t>
            </w:r>
            <w:r>
              <w:rPr>
                <w:rFonts w:hint="eastAsia" w:ascii="宋体" w:hAnsi="宋体"/>
                <w:spacing w:val="-6"/>
                <w:kern w:val="0"/>
              </w:rPr>
              <w:br w:type="textWrapping"/>
            </w:r>
            <w:r>
              <w:rPr>
                <w:rFonts w:hint="eastAsia" w:ascii="宋体" w:hAnsi="宋体"/>
                <w:spacing w:val="-12"/>
                <w:kern w:val="0"/>
              </w:rPr>
              <w:t>C.定期对安全和应急设备进行检查和维护，且运行正常；</w:t>
            </w:r>
            <w:r>
              <w:rPr>
                <w:rFonts w:hint="eastAsia" w:ascii="宋体" w:hAnsi="宋体"/>
                <w:spacing w:val="-6"/>
                <w:kern w:val="0"/>
              </w:rPr>
              <w:br w:type="textWrapping"/>
            </w:r>
            <w:r>
              <w:rPr>
                <w:rFonts w:hint="eastAsia" w:ascii="宋体" w:hAnsi="宋体"/>
                <w:spacing w:val="-6"/>
                <w:kern w:val="0"/>
              </w:rPr>
              <w:t>D.定期对运行设备进行检查和维护，且运行正常；</w:t>
            </w:r>
            <w:r>
              <w:rPr>
                <w:rFonts w:hint="eastAsia" w:ascii="宋体" w:hAnsi="宋体"/>
                <w:spacing w:val="-6"/>
                <w:kern w:val="0"/>
              </w:rPr>
              <w:br w:type="textWrapping"/>
            </w:r>
            <w:r>
              <w:rPr>
                <w:rFonts w:hint="eastAsia" w:ascii="宋体" w:hAnsi="宋体"/>
                <w:spacing w:val="-6"/>
                <w:kern w:val="0"/>
              </w:rPr>
              <w:t>E.定期对环境监测和分析仪器进行校正和维护，且检测精准。</w:t>
            </w:r>
          </w:p>
          <w:p>
            <w:pPr>
              <w:widowControl/>
              <w:jc w:val="left"/>
              <w:rPr>
                <w:rFonts w:ascii="宋体" w:hAnsi="宋体"/>
                <w:spacing w:val="-6"/>
                <w:kern w:val="0"/>
              </w:rPr>
            </w:pPr>
            <w:r>
              <w:rPr>
                <w:rFonts w:hint="eastAsia" w:ascii="宋体" w:hAnsi="宋体"/>
                <w:spacing w:val="-6"/>
                <w:kern w:val="0"/>
              </w:rPr>
              <w:br w:type="textWrapping"/>
            </w:r>
            <w:r>
              <w:rPr>
                <w:rFonts w:hint="eastAsia" w:ascii="宋体" w:hAnsi="宋体"/>
                <w:spacing w:val="-6"/>
                <w:kern w:val="0"/>
              </w:rPr>
              <w:t>以上每项符合得1分。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资料检查、现场核查（查看检查和维护记录）</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05" w:hRule="atLeast"/>
        </w:trPr>
        <w:tc>
          <w:tcPr>
            <w:tcW w:w="1377" w:type="dxa"/>
            <w:tcBorders>
              <w:left w:val="single" w:color="auto" w:sz="4" w:space="0"/>
              <w:bottom w:val="single" w:color="000000" w:sz="4" w:space="0"/>
              <w:right w:val="single" w:color="000000" w:sz="4" w:space="0"/>
            </w:tcBorders>
            <w:shd w:val="clear" w:color="auto" w:fill="auto"/>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24.按照培训计划定期对危险废物利用处置的管理人员、操作人员和技术人员进行培训。</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2</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spacing w:line="280" w:lineRule="exact"/>
              <w:rPr>
                <w:rFonts w:ascii="宋体" w:hAnsi="宋体"/>
                <w:spacing w:val="-8"/>
                <w:kern w:val="0"/>
              </w:rPr>
            </w:pPr>
            <w:r>
              <w:rPr>
                <w:rFonts w:hint="eastAsia" w:ascii="宋体" w:hAnsi="宋体"/>
                <w:spacing w:val="-8"/>
                <w:kern w:val="0"/>
              </w:rPr>
              <w:t>制定了培训计划，并开展相关培训。单位负责人、相关管理人员和从事危险物收集、运输、暂存、利用和处置等工作的人员掌握国家相关法律法规、规章和有关规范性文件的规定；熟悉本单位制定的危险废物管理规章制度、工作流程和应急预案等各项要求；掌握危险废物分类收集、运输、暂存、利用和处置的正确方法和操作程序。</w:t>
            </w:r>
          </w:p>
        </w:tc>
        <w:tc>
          <w:tcPr>
            <w:tcW w:w="4781" w:type="dxa"/>
            <w:tcBorders>
              <w:top w:val="nil"/>
              <w:left w:val="nil"/>
              <w:bottom w:val="single" w:color="000000" w:sz="4" w:space="0"/>
              <w:right w:val="single" w:color="000000" w:sz="4" w:space="0"/>
            </w:tcBorders>
            <w:vAlign w:val="center"/>
          </w:tcPr>
          <w:p>
            <w:pPr>
              <w:widowControl/>
              <w:spacing w:before="156" w:beforeLines="50"/>
              <w:jc w:val="left"/>
              <w:rPr>
                <w:rFonts w:ascii="宋体" w:hAnsi="宋体"/>
                <w:kern w:val="0"/>
              </w:rPr>
            </w:pPr>
            <w:r>
              <w:rPr>
                <w:rFonts w:hint="eastAsia" w:ascii="宋体" w:hAnsi="宋体"/>
                <w:kern w:val="0"/>
              </w:rPr>
              <w:t>A.对管理人员和从事危险物收集、运输、暂存、利用和处置等工作的人员进行了培训，有开展培训的图片、文字或视频等资料；</w:t>
            </w:r>
            <w:r>
              <w:rPr>
                <w:rFonts w:hint="eastAsia" w:ascii="宋体" w:hAnsi="宋体"/>
                <w:kern w:val="0"/>
              </w:rPr>
              <w:br w:type="textWrapping"/>
            </w:r>
            <w:r>
              <w:rPr>
                <w:rFonts w:hint="eastAsia" w:ascii="宋体" w:hAnsi="宋体"/>
                <w:kern w:val="0"/>
              </w:rPr>
              <w:t>B.制定了人员培训计划，全年培训材料涵盖危险废物管理的所有制度、本单位危险废物规章制度、工作流程；</w:t>
            </w:r>
            <w:r>
              <w:rPr>
                <w:rFonts w:hint="eastAsia" w:ascii="宋体" w:hAnsi="宋体"/>
                <w:kern w:val="0"/>
              </w:rPr>
              <w:br w:type="textWrapping"/>
            </w:r>
            <w:r>
              <w:rPr>
                <w:rFonts w:hint="eastAsia" w:ascii="宋体" w:hAnsi="宋体"/>
                <w:kern w:val="0"/>
              </w:rPr>
              <w:t>C.对培训人员进行了考核，有培训人员签到记录；</w:t>
            </w:r>
            <w:r>
              <w:rPr>
                <w:rFonts w:hint="eastAsia" w:ascii="宋体" w:hAnsi="宋体"/>
                <w:kern w:val="0"/>
              </w:rPr>
              <w:br w:type="textWrapping"/>
            </w:r>
            <w:r>
              <w:rPr>
                <w:rFonts w:hint="eastAsia" w:ascii="宋体" w:hAnsi="宋体"/>
                <w:kern w:val="0"/>
              </w:rPr>
              <w:t>D.参加培训人员对危险废物管理制度、相应岗位危险废物的管理要求、工作流程较熟悉。</w:t>
            </w:r>
          </w:p>
          <w:p>
            <w:pPr>
              <w:widowControl/>
              <w:jc w:val="left"/>
              <w:rPr>
                <w:rFonts w:ascii="宋体" w:hAnsi="宋体"/>
                <w:kern w:val="0"/>
              </w:rPr>
            </w:pPr>
          </w:p>
          <w:p>
            <w:pPr>
              <w:widowControl/>
              <w:jc w:val="left"/>
              <w:rPr>
                <w:rFonts w:ascii="宋体" w:hAnsi="宋体"/>
                <w:kern w:val="0"/>
              </w:rPr>
            </w:pPr>
            <w:r>
              <w:rPr>
                <w:rFonts w:hint="eastAsia" w:ascii="宋体" w:hAnsi="宋体"/>
                <w:kern w:val="0"/>
              </w:rPr>
              <w:br w:type="textWrapping"/>
            </w:r>
            <w:r>
              <w:rPr>
                <w:rFonts w:hint="eastAsia" w:ascii="宋体" w:hAnsi="宋体"/>
                <w:kern w:val="0"/>
              </w:rPr>
              <w:t>以上每项符合得0.5分。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资料检查（查看培训计划和培训记录）、现场询问</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3319" w:hRule="atLeast"/>
        </w:trPr>
        <w:tc>
          <w:tcPr>
            <w:tcW w:w="1377" w:type="dxa"/>
            <w:vMerge w:val="restart"/>
            <w:tcBorders>
              <w:top w:val="single" w:color="000000" w:sz="4" w:space="0"/>
              <w:left w:val="single" w:color="auto" w:sz="4" w:space="0"/>
              <w:right w:val="single" w:color="000000" w:sz="4" w:space="0"/>
            </w:tcBorders>
            <w:vAlign w:val="center"/>
          </w:tcPr>
          <w:p>
            <w:pPr>
              <w:rPr>
                <w:rFonts w:ascii="宋体" w:hAnsi="宋体"/>
                <w:kern w:val="0"/>
              </w:rPr>
            </w:pPr>
            <w:r>
              <w:rPr>
                <w:rFonts w:hint="eastAsia" w:ascii="宋体" w:hAnsi="宋体"/>
                <w:kern w:val="0"/>
              </w:rPr>
              <w:t>十、记录和报告经营情况制度（《固体法》第五十七条、第六十四条；《许可办法》第十八条）</w:t>
            </w:r>
          </w:p>
        </w:tc>
        <w:tc>
          <w:tcPr>
            <w:tcW w:w="2135" w:type="dxa"/>
            <w:tcBorders>
              <w:top w:val="nil"/>
              <w:left w:val="nil"/>
              <w:bottom w:val="single" w:color="000000" w:sz="4" w:space="0"/>
              <w:right w:val="single" w:color="000000" w:sz="4" w:space="0"/>
            </w:tcBorders>
            <w:vAlign w:val="center"/>
          </w:tcPr>
          <w:p>
            <w:pPr>
              <w:widowControl/>
              <w:spacing w:line="280" w:lineRule="atLeast"/>
              <w:rPr>
                <w:rFonts w:ascii="宋体" w:hAnsi="宋体"/>
                <w:kern w:val="0"/>
              </w:rPr>
            </w:pPr>
            <w:r>
              <w:rPr>
                <w:rFonts w:hint="eastAsia" w:ascii="宋体" w:hAnsi="宋体"/>
                <w:kern w:val="0"/>
              </w:rPr>
              <w:t>25.参照《危险废物经营单位记录和报告经营情况指南》（环境保护部公告2009年第55号）建立危险废物经营情况记录簿，如实记载收集、贮存、处置危险废物的类别、来源去向和有无事故等事项。</w:t>
            </w:r>
          </w:p>
        </w:tc>
        <w:tc>
          <w:tcPr>
            <w:tcW w:w="708" w:type="dxa"/>
            <w:tcBorders>
              <w:top w:val="nil"/>
              <w:left w:val="nil"/>
              <w:bottom w:val="single" w:color="000000" w:sz="4" w:space="0"/>
              <w:right w:val="single" w:color="000000" w:sz="4" w:space="0"/>
            </w:tcBorders>
            <w:vAlign w:val="center"/>
          </w:tcPr>
          <w:p>
            <w:pPr>
              <w:widowControl/>
              <w:spacing w:line="280" w:lineRule="atLeast"/>
              <w:jc w:val="center"/>
              <w:rPr>
                <w:rFonts w:ascii="宋体" w:hAnsi="宋体"/>
                <w:kern w:val="0"/>
              </w:rPr>
            </w:pPr>
            <w:r>
              <w:rPr>
                <w:rFonts w:hint="eastAsia" w:ascii="宋体" w:hAnsi="宋体"/>
                <w:kern w:val="0"/>
              </w:rPr>
              <w:t>2</w:t>
            </w:r>
          </w:p>
        </w:tc>
        <w:tc>
          <w:tcPr>
            <w:tcW w:w="708" w:type="dxa"/>
            <w:tcBorders>
              <w:top w:val="nil"/>
              <w:left w:val="nil"/>
              <w:bottom w:val="single" w:color="000000" w:sz="4" w:space="0"/>
              <w:right w:val="single" w:color="000000" w:sz="4" w:space="0"/>
            </w:tcBorders>
            <w:vAlign w:val="center"/>
          </w:tcPr>
          <w:p>
            <w:pPr>
              <w:widowControl/>
              <w:spacing w:line="280" w:lineRule="atLeast"/>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spacing w:line="280" w:lineRule="atLeast"/>
              <w:rPr>
                <w:rFonts w:ascii="宋体" w:hAnsi="宋体"/>
                <w:kern w:val="0"/>
              </w:rPr>
            </w:pPr>
            <w:r>
              <w:rPr>
                <w:rFonts w:hint="eastAsia" w:ascii="宋体" w:hAnsi="宋体"/>
                <w:kern w:val="0"/>
              </w:rPr>
              <w:t>建立了经营情况记录簿，能如实记载危险废物经营情况。</w:t>
            </w:r>
          </w:p>
        </w:tc>
        <w:tc>
          <w:tcPr>
            <w:tcW w:w="4781" w:type="dxa"/>
            <w:tcBorders>
              <w:top w:val="nil"/>
              <w:left w:val="nil"/>
              <w:bottom w:val="single" w:color="000000" w:sz="4" w:space="0"/>
              <w:right w:val="single" w:color="000000" w:sz="4" w:space="0"/>
            </w:tcBorders>
            <w:vAlign w:val="center"/>
          </w:tcPr>
          <w:p>
            <w:pPr>
              <w:widowControl/>
              <w:spacing w:line="280" w:lineRule="atLeast"/>
              <w:jc w:val="left"/>
              <w:rPr>
                <w:rFonts w:ascii="宋体" w:hAnsi="宋体"/>
                <w:kern w:val="0"/>
              </w:rPr>
            </w:pPr>
            <w:r>
              <w:rPr>
                <w:rFonts w:hint="eastAsia" w:ascii="宋体" w:hAnsi="宋体"/>
                <w:kern w:val="0"/>
              </w:rPr>
              <w:t>1.建立了经营情况记录簿，涵盖了危险废物详细分析记录、接收记录、利用处置记录、新产生危险废物记录（不新产生危险废物的单位除外）、内部检查记录、设施运行及环境监测记录、人员培训记录、事故记录和报告、应急预案演练记录等9项内容，且如实记载危险废物经营情况，数据准确。得2分。</w:t>
            </w:r>
            <w:r>
              <w:rPr>
                <w:rFonts w:hint="eastAsia" w:ascii="宋体" w:hAnsi="宋体"/>
                <w:kern w:val="0"/>
              </w:rPr>
              <w:br w:type="textWrapping"/>
            </w:r>
            <w:r>
              <w:rPr>
                <w:rFonts w:hint="eastAsia" w:ascii="宋体" w:hAnsi="宋体"/>
                <w:kern w:val="0"/>
              </w:rPr>
              <w:t>2.记录簿涵盖的内容缺失一</w:t>
            </w:r>
            <w:r>
              <w:rPr>
                <w:rFonts w:hint="eastAsia" w:ascii="宋体" w:hAnsi="宋体"/>
                <w:spacing w:val="-14"/>
                <w:kern w:val="0"/>
              </w:rPr>
              <w:t>项、数据错误一处。得1</w:t>
            </w:r>
            <w:r>
              <w:rPr>
                <w:rFonts w:hint="eastAsia" w:ascii="宋体" w:hAnsi="宋体"/>
                <w:kern w:val="0"/>
              </w:rPr>
              <w:t>分。</w:t>
            </w:r>
          </w:p>
          <w:p>
            <w:pPr>
              <w:widowControl/>
              <w:spacing w:line="280" w:lineRule="atLeast"/>
              <w:jc w:val="left"/>
              <w:rPr>
                <w:rFonts w:ascii="宋体" w:hAnsi="宋体"/>
                <w:kern w:val="0"/>
              </w:rPr>
            </w:pPr>
            <w:r>
              <w:rPr>
                <w:rFonts w:hint="eastAsia" w:ascii="宋体" w:hAnsi="宋体"/>
                <w:kern w:val="0"/>
              </w:rPr>
              <w:t>3.未建立经营情况记录簿，或记录簿涵盖的内容缺两项及以上、数据错误两处及以上。得0分。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资料检查（查看其危险废物经营情况记录簿；依据联单抽查若干批危险废物的经营、记录情况）</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092" w:hRule="atLeast"/>
        </w:trPr>
        <w:tc>
          <w:tcPr>
            <w:tcW w:w="1377" w:type="dxa"/>
            <w:vMerge w:val="continue"/>
            <w:tcBorders>
              <w:left w:val="single" w:color="auto" w:sz="4" w:space="0"/>
              <w:bottom w:val="single" w:color="000000" w:sz="4" w:space="0"/>
              <w:right w:val="single" w:color="000000" w:sz="4" w:space="0"/>
            </w:tcBorders>
            <w:vAlign w:val="center"/>
          </w:tcPr>
          <w:p>
            <w:pPr>
              <w:widowControl/>
              <w:rPr>
                <w:rFonts w:ascii="宋体" w:hAnsi="宋体"/>
                <w:kern w:val="0"/>
              </w:rPr>
            </w:pPr>
          </w:p>
        </w:tc>
        <w:tc>
          <w:tcPr>
            <w:tcW w:w="2135" w:type="dxa"/>
            <w:tcBorders>
              <w:top w:val="nil"/>
              <w:left w:val="nil"/>
              <w:bottom w:val="single" w:color="000000" w:sz="4" w:space="0"/>
              <w:right w:val="single" w:color="000000" w:sz="4" w:space="0"/>
            </w:tcBorders>
            <w:vAlign w:val="center"/>
          </w:tcPr>
          <w:p>
            <w:pPr>
              <w:widowControl/>
              <w:spacing w:line="280" w:lineRule="atLeast"/>
              <w:rPr>
                <w:rFonts w:ascii="宋体" w:hAnsi="宋体"/>
                <w:spacing w:val="-6"/>
                <w:kern w:val="0"/>
              </w:rPr>
            </w:pPr>
            <w:r>
              <w:rPr>
                <w:rFonts w:hint="eastAsia" w:ascii="宋体" w:hAnsi="宋体"/>
                <w:spacing w:val="-6"/>
                <w:kern w:val="0"/>
              </w:rPr>
              <w:t>26.按照危险废物经营许可证及环保部门的要求，定期报告危险废物经营活动情况。</w:t>
            </w:r>
          </w:p>
        </w:tc>
        <w:tc>
          <w:tcPr>
            <w:tcW w:w="708" w:type="dxa"/>
            <w:tcBorders>
              <w:top w:val="nil"/>
              <w:left w:val="nil"/>
              <w:bottom w:val="single" w:color="000000" w:sz="4" w:space="0"/>
              <w:right w:val="single" w:color="000000" w:sz="4" w:space="0"/>
            </w:tcBorders>
            <w:vAlign w:val="center"/>
          </w:tcPr>
          <w:p>
            <w:pPr>
              <w:widowControl/>
              <w:spacing w:line="280" w:lineRule="atLeast"/>
              <w:jc w:val="center"/>
              <w:rPr>
                <w:rFonts w:ascii="宋体" w:hAnsi="宋体"/>
                <w:kern w:val="0"/>
              </w:rPr>
            </w:pPr>
            <w:r>
              <w:rPr>
                <w:rFonts w:hint="eastAsia" w:ascii="宋体" w:hAnsi="宋体"/>
                <w:kern w:val="0"/>
              </w:rPr>
              <w:t>2</w:t>
            </w:r>
          </w:p>
        </w:tc>
        <w:tc>
          <w:tcPr>
            <w:tcW w:w="708" w:type="dxa"/>
            <w:tcBorders>
              <w:top w:val="nil"/>
              <w:left w:val="nil"/>
              <w:bottom w:val="single" w:color="000000" w:sz="4" w:space="0"/>
              <w:right w:val="single" w:color="000000" w:sz="4" w:space="0"/>
            </w:tcBorders>
            <w:vAlign w:val="center"/>
          </w:tcPr>
          <w:p>
            <w:pPr>
              <w:widowControl/>
              <w:spacing w:line="280" w:lineRule="atLeast"/>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spacing w:line="280" w:lineRule="atLeast"/>
              <w:rPr>
                <w:rFonts w:ascii="宋体" w:hAnsi="宋体"/>
                <w:kern w:val="0"/>
              </w:rPr>
            </w:pPr>
            <w:r>
              <w:rPr>
                <w:rFonts w:hint="eastAsia" w:ascii="宋体" w:hAnsi="宋体"/>
                <w:kern w:val="0"/>
              </w:rPr>
              <w:t>每年定期向环保部门报告危险废物经营情况。</w:t>
            </w:r>
          </w:p>
        </w:tc>
        <w:tc>
          <w:tcPr>
            <w:tcW w:w="4781" w:type="dxa"/>
            <w:tcBorders>
              <w:top w:val="nil"/>
              <w:left w:val="nil"/>
              <w:bottom w:val="single" w:color="000000" w:sz="4" w:space="0"/>
              <w:right w:val="single" w:color="000000" w:sz="4" w:space="0"/>
            </w:tcBorders>
            <w:vAlign w:val="center"/>
          </w:tcPr>
          <w:p>
            <w:pPr>
              <w:widowControl/>
              <w:spacing w:line="280" w:lineRule="atLeast"/>
              <w:jc w:val="left"/>
              <w:rPr>
                <w:rFonts w:ascii="宋体" w:hAnsi="宋体"/>
                <w:kern w:val="0"/>
              </w:rPr>
            </w:pPr>
            <w:r>
              <w:rPr>
                <w:rFonts w:hint="eastAsia" w:ascii="宋体" w:hAnsi="宋体"/>
                <w:kern w:val="0"/>
              </w:rPr>
              <w:t>1.定期向环保部门报告危险废物经营情况，数据真实可靠，可提供相应的证明材料。得2分。</w:t>
            </w:r>
            <w:r>
              <w:rPr>
                <w:rFonts w:hint="eastAsia" w:ascii="宋体" w:hAnsi="宋体"/>
                <w:kern w:val="0"/>
              </w:rPr>
              <w:br w:type="textWrapping"/>
            </w:r>
            <w:r>
              <w:rPr>
                <w:rFonts w:hint="eastAsia" w:ascii="宋体" w:hAnsi="宋体"/>
                <w:kern w:val="0"/>
              </w:rPr>
              <w:t>2.未定期向环保部门报告危险废物经营情况，或存在虚报、漏报、瞒报等情况。得0分。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资料检查（查看近几年危险废物经营情况报告）</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697" w:hRule="atLeast"/>
        </w:trPr>
        <w:tc>
          <w:tcPr>
            <w:tcW w:w="1377" w:type="dxa"/>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十、记录和报告经营情况制度（《固体法》第五十七条、第六十四条；《许可办法》第十八条）</w:t>
            </w:r>
          </w:p>
        </w:tc>
        <w:tc>
          <w:tcPr>
            <w:tcW w:w="2135" w:type="dxa"/>
            <w:tcBorders>
              <w:top w:val="nil"/>
              <w:left w:val="nil"/>
              <w:bottom w:val="single" w:color="000000" w:sz="4" w:space="0"/>
              <w:right w:val="single" w:color="000000" w:sz="4" w:space="0"/>
            </w:tcBorders>
            <w:vAlign w:val="center"/>
          </w:tcPr>
          <w:p>
            <w:pPr>
              <w:widowControl/>
              <w:spacing w:line="280" w:lineRule="atLeast"/>
              <w:rPr>
                <w:rFonts w:ascii="宋体" w:hAnsi="宋体"/>
                <w:spacing w:val="-6"/>
                <w:kern w:val="0"/>
              </w:rPr>
            </w:pPr>
            <w:r>
              <w:rPr>
                <w:rFonts w:hint="eastAsia" w:ascii="宋体" w:hAnsi="宋体"/>
                <w:spacing w:val="-6"/>
                <w:kern w:val="0"/>
              </w:rPr>
              <w:t>27.将危险废物经营情况记录簿保存10年以上，以填埋方式处置危险废物的经营情况记录簿应当永久保存。</w:t>
            </w:r>
          </w:p>
        </w:tc>
        <w:tc>
          <w:tcPr>
            <w:tcW w:w="708" w:type="dxa"/>
            <w:tcBorders>
              <w:top w:val="nil"/>
              <w:left w:val="nil"/>
              <w:bottom w:val="single" w:color="000000" w:sz="4" w:space="0"/>
              <w:right w:val="single" w:color="000000" w:sz="4" w:space="0"/>
            </w:tcBorders>
            <w:vAlign w:val="center"/>
          </w:tcPr>
          <w:p>
            <w:pPr>
              <w:widowControl/>
              <w:spacing w:line="280" w:lineRule="atLeast"/>
              <w:jc w:val="center"/>
              <w:rPr>
                <w:rFonts w:ascii="宋体" w:hAnsi="宋体"/>
                <w:kern w:val="0"/>
              </w:rPr>
            </w:pPr>
            <w:r>
              <w:rPr>
                <w:rFonts w:hint="eastAsia" w:ascii="宋体" w:hAnsi="宋体"/>
                <w:kern w:val="0"/>
              </w:rPr>
              <w:t>1</w:t>
            </w:r>
          </w:p>
        </w:tc>
        <w:tc>
          <w:tcPr>
            <w:tcW w:w="708" w:type="dxa"/>
            <w:tcBorders>
              <w:top w:val="nil"/>
              <w:left w:val="nil"/>
              <w:bottom w:val="single" w:color="000000" w:sz="4" w:space="0"/>
              <w:right w:val="single" w:color="000000" w:sz="4" w:space="0"/>
            </w:tcBorders>
            <w:vAlign w:val="center"/>
          </w:tcPr>
          <w:p>
            <w:pPr>
              <w:widowControl/>
              <w:spacing w:line="280" w:lineRule="atLeast"/>
              <w:jc w:val="center"/>
              <w:rPr>
                <w:rFonts w:ascii="宋体" w:hAnsi="宋体"/>
                <w:kern w:val="0"/>
              </w:rPr>
            </w:pPr>
          </w:p>
        </w:tc>
        <w:tc>
          <w:tcPr>
            <w:tcW w:w="1894" w:type="dxa"/>
            <w:tcBorders>
              <w:top w:val="nil"/>
              <w:left w:val="nil"/>
              <w:bottom w:val="single" w:color="000000" w:sz="4" w:space="0"/>
              <w:right w:val="single" w:color="000000" w:sz="4" w:space="0"/>
            </w:tcBorders>
            <w:vAlign w:val="center"/>
          </w:tcPr>
          <w:p>
            <w:pPr>
              <w:widowControl/>
              <w:spacing w:line="280" w:lineRule="atLeast"/>
              <w:rPr>
                <w:rFonts w:ascii="宋体" w:hAnsi="宋体"/>
                <w:kern w:val="0"/>
              </w:rPr>
            </w:pPr>
            <w:r>
              <w:rPr>
                <w:rFonts w:hint="eastAsia" w:ascii="宋体" w:hAnsi="宋体"/>
                <w:kern w:val="0"/>
              </w:rPr>
              <w:t>符合保存时限要求。</w:t>
            </w:r>
          </w:p>
        </w:tc>
        <w:tc>
          <w:tcPr>
            <w:tcW w:w="4781" w:type="dxa"/>
            <w:tcBorders>
              <w:top w:val="nil"/>
              <w:left w:val="nil"/>
              <w:bottom w:val="single" w:color="000000" w:sz="4" w:space="0"/>
              <w:right w:val="single" w:color="000000" w:sz="4" w:space="0"/>
            </w:tcBorders>
            <w:vAlign w:val="center"/>
          </w:tcPr>
          <w:p>
            <w:pPr>
              <w:widowControl/>
              <w:spacing w:line="280" w:lineRule="atLeast"/>
              <w:jc w:val="left"/>
              <w:rPr>
                <w:rFonts w:ascii="宋体" w:hAnsi="宋体"/>
                <w:kern w:val="0"/>
              </w:rPr>
            </w:pPr>
            <w:r>
              <w:rPr>
                <w:rFonts w:hint="eastAsia" w:ascii="宋体" w:hAnsi="宋体"/>
                <w:kern w:val="0"/>
              </w:rPr>
              <w:t>1.危险废物经营记录簿保存10年以上（以填埋方式处置危险废物的永久保存）。得1分。</w:t>
            </w:r>
            <w:r>
              <w:rPr>
                <w:rFonts w:hint="eastAsia" w:ascii="宋体" w:hAnsi="宋体"/>
                <w:kern w:val="0"/>
              </w:rPr>
              <w:br w:type="textWrapping"/>
            </w:r>
            <w:r>
              <w:rPr>
                <w:rFonts w:hint="eastAsia" w:ascii="宋体" w:hAnsi="宋体"/>
                <w:kern w:val="0"/>
              </w:rPr>
              <w:t>2.危险废物经营记录簿未保存10年以上（以填埋方式处置危险废物的未永久保存）。得0分。</w:t>
            </w:r>
          </w:p>
        </w:tc>
        <w:tc>
          <w:tcPr>
            <w:tcW w:w="1410" w:type="dxa"/>
            <w:tcBorders>
              <w:top w:val="nil"/>
              <w:left w:val="nil"/>
              <w:bottom w:val="single" w:color="000000" w:sz="4" w:space="0"/>
              <w:right w:val="single" w:color="000000" w:sz="4" w:space="0"/>
            </w:tcBorders>
            <w:vAlign w:val="center"/>
          </w:tcPr>
          <w:p>
            <w:pPr>
              <w:widowControl/>
              <w:rPr>
                <w:rFonts w:ascii="宋体" w:hAnsi="宋体"/>
                <w:kern w:val="0"/>
              </w:rPr>
            </w:pPr>
            <w:r>
              <w:rPr>
                <w:rFonts w:hint="eastAsia" w:ascii="宋体" w:hAnsi="宋体"/>
                <w:kern w:val="0"/>
              </w:rPr>
              <w:t>资料检查（查看其每年度的经营情况记录簿）</w:t>
            </w:r>
          </w:p>
        </w:tc>
        <w:tc>
          <w:tcPr>
            <w:tcW w:w="705" w:type="dxa"/>
            <w:tcBorders>
              <w:top w:val="nil"/>
              <w:left w:val="nil"/>
              <w:bottom w:val="single" w:color="000000" w:sz="4" w:space="0"/>
              <w:right w:val="single" w:color="auto" w:sz="4" w:space="0"/>
            </w:tcBorders>
            <w:vAlign w:val="center"/>
          </w:tcPr>
          <w:p>
            <w:pPr>
              <w:widowControl/>
              <w:jc w:val="left"/>
              <w:rPr>
                <w:rFonts w:ascii="宋体" w:hAnsi="宋体"/>
                <w:kern w:val="0"/>
              </w:rPr>
            </w:pPr>
          </w:p>
        </w:tc>
      </w:tr>
      <w:tr>
        <w:tblPrEx>
          <w:tblLayout w:type="fixed"/>
          <w:tblCellMar>
            <w:top w:w="0" w:type="dxa"/>
            <w:left w:w="108" w:type="dxa"/>
            <w:bottom w:w="0" w:type="dxa"/>
            <w:right w:w="108" w:type="dxa"/>
          </w:tblCellMar>
        </w:tblPrEx>
        <w:trPr>
          <w:trHeight w:val="285" w:hRule="atLeast"/>
        </w:trPr>
        <w:tc>
          <w:tcPr>
            <w:tcW w:w="3512" w:type="dxa"/>
            <w:gridSpan w:val="2"/>
            <w:tcBorders>
              <w:top w:val="nil"/>
              <w:left w:val="single" w:color="auto" w:sz="4" w:space="0"/>
              <w:bottom w:val="single" w:color="000000" w:sz="4" w:space="0"/>
              <w:right w:val="single" w:color="000000" w:sz="4" w:space="0"/>
            </w:tcBorders>
            <w:vAlign w:val="center"/>
          </w:tcPr>
          <w:p>
            <w:pPr>
              <w:widowControl/>
              <w:rPr>
                <w:rFonts w:ascii="宋体" w:hAnsi="宋体"/>
                <w:b/>
                <w:kern w:val="0"/>
              </w:rPr>
            </w:pPr>
            <w:r>
              <w:rPr>
                <w:rFonts w:hint="eastAsia" w:ascii="宋体" w:hAnsi="宋体"/>
                <w:b/>
                <w:kern w:val="0"/>
              </w:rPr>
              <w:t>合  计</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kern w:val="0"/>
              </w:rPr>
            </w:pPr>
            <w:r>
              <w:rPr>
                <w:rFonts w:hint="eastAsia" w:ascii="宋体" w:hAnsi="宋体"/>
                <w:kern w:val="0"/>
              </w:rPr>
              <w:t>60</w:t>
            </w:r>
          </w:p>
        </w:tc>
        <w:tc>
          <w:tcPr>
            <w:tcW w:w="9498" w:type="dxa"/>
            <w:gridSpan w:val="5"/>
            <w:tcBorders>
              <w:top w:val="nil"/>
              <w:left w:val="nil"/>
              <w:bottom w:val="single" w:color="000000" w:sz="4" w:space="0"/>
              <w:right w:val="single" w:color="auto" w:sz="4" w:space="0"/>
            </w:tcBorders>
            <w:vAlign w:val="center"/>
          </w:tcPr>
          <w:p>
            <w:pPr>
              <w:widowControl/>
              <w:rPr>
                <w:rFonts w:ascii="宋体" w:hAnsi="宋体"/>
                <w:kern w:val="0"/>
              </w:rPr>
            </w:pPr>
          </w:p>
        </w:tc>
      </w:tr>
      <w:tr>
        <w:tblPrEx>
          <w:tblLayout w:type="fixed"/>
          <w:tblCellMar>
            <w:top w:w="0" w:type="dxa"/>
            <w:left w:w="108" w:type="dxa"/>
            <w:bottom w:w="0" w:type="dxa"/>
            <w:right w:w="108" w:type="dxa"/>
          </w:tblCellMar>
        </w:tblPrEx>
        <w:trPr>
          <w:trHeight w:val="363" w:hRule="atLeast"/>
        </w:trPr>
        <w:tc>
          <w:tcPr>
            <w:tcW w:w="13718" w:type="dxa"/>
            <w:gridSpan w:val="8"/>
            <w:tcBorders>
              <w:top w:val="nil"/>
              <w:left w:val="single" w:color="auto" w:sz="4" w:space="0"/>
              <w:bottom w:val="single" w:color="000000" w:sz="4" w:space="0"/>
              <w:right w:val="single" w:color="auto" w:sz="4" w:space="0"/>
            </w:tcBorders>
            <w:vAlign w:val="center"/>
          </w:tcPr>
          <w:p>
            <w:pPr>
              <w:widowControl/>
              <w:rPr>
                <w:rFonts w:ascii="宋体" w:hAnsi="宋体"/>
                <w:kern w:val="0"/>
              </w:rPr>
            </w:pPr>
            <w:r>
              <w:rPr>
                <w:rFonts w:hint="eastAsia" w:ascii="宋体" w:hAnsi="宋体"/>
                <w:kern w:val="0"/>
              </w:rPr>
              <w:t>综合评估：达标  □    基本达标 □   不达标□</w:t>
            </w:r>
          </w:p>
        </w:tc>
      </w:tr>
      <w:tr>
        <w:tblPrEx>
          <w:tblLayout w:type="fixed"/>
          <w:tblCellMar>
            <w:top w:w="0" w:type="dxa"/>
            <w:left w:w="108" w:type="dxa"/>
            <w:bottom w:w="0" w:type="dxa"/>
            <w:right w:w="108" w:type="dxa"/>
          </w:tblCellMar>
        </w:tblPrEx>
        <w:trPr>
          <w:trHeight w:val="1264" w:hRule="atLeast"/>
        </w:trPr>
        <w:tc>
          <w:tcPr>
            <w:tcW w:w="13718" w:type="dxa"/>
            <w:gridSpan w:val="8"/>
            <w:tcBorders>
              <w:top w:val="nil"/>
              <w:left w:val="single" w:color="auto" w:sz="4" w:space="0"/>
              <w:bottom w:val="single" w:color="auto" w:sz="4" w:space="0"/>
              <w:right w:val="single" w:color="auto" w:sz="4" w:space="0"/>
            </w:tcBorders>
            <w:vAlign w:val="center"/>
          </w:tcPr>
          <w:p>
            <w:pPr>
              <w:widowControl/>
              <w:rPr>
                <w:rFonts w:ascii="宋体" w:hAnsi="宋体"/>
                <w:kern w:val="0"/>
              </w:rPr>
            </w:pPr>
            <w:r>
              <w:rPr>
                <w:rFonts w:hint="eastAsia" w:ascii="宋体" w:hAnsi="宋体"/>
                <w:kern w:val="0"/>
              </w:rPr>
              <w:t>综合评估标准：</w:t>
            </w:r>
          </w:p>
          <w:p>
            <w:pPr>
              <w:widowControl/>
              <w:rPr>
                <w:rFonts w:ascii="宋体" w:hAnsi="宋体"/>
                <w:kern w:val="0"/>
              </w:rPr>
            </w:pPr>
            <w:r>
              <w:rPr>
                <w:rFonts w:hint="eastAsia" w:ascii="宋体" w:hAnsi="宋体"/>
                <w:kern w:val="0"/>
              </w:rPr>
              <w:t>1.满分为60分，48分及以上为达标；36-47分为基本达标；35分及以下为不达标。</w:t>
            </w:r>
          </w:p>
          <w:p>
            <w:pPr>
              <w:widowControl/>
              <w:rPr>
                <w:rFonts w:ascii="宋体" w:hAnsi="宋体"/>
                <w:kern w:val="0"/>
              </w:rPr>
            </w:pPr>
            <w:r>
              <w:rPr>
                <w:rFonts w:hint="eastAsia" w:ascii="宋体" w:hAnsi="宋体"/>
                <w:kern w:val="0"/>
              </w:rPr>
              <w:t>2.第3条、12条为否决项，即该项不得分，则综合评估不达标。</w:t>
            </w:r>
          </w:p>
          <w:p>
            <w:pPr>
              <w:widowControl/>
              <w:rPr>
                <w:rFonts w:ascii="宋体" w:hAnsi="宋体"/>
                <w:kern w:val="0"/>
              </w:rPr>
            </w:pPr>
            <w:r>
              <w:rPr>
                <w:rFonts w:hint="eastAsia" w:ascii="宋体" w:hAnsi="宋体"/>
                <w:kern w:val="0"/>
              </w:rPr>
              <w:t>3.考核年度内企业由于危险废物管理不当发生了突发环境事件的（参照《国家突发环境事件应急预案》中规定）</w:t>
            </w:r>
            <w:r>
              <w:rPr>
                <w:rFonts w:ascii="宋体" w:hAnsi="宋体"/>
                <w:kern w:val="0"/>
              </w:rPr>
              <w:t>，综合评估为不达标。</w:t>
            </w:r>
          </w:p>
        </w:tc>
      </w:tr>
    </w:tbl>
    <w:p>
      <w:pPr>
        <w:spacing w:line="560" w:lineRule="exact"/>
        <w:rPr>
          <w:rFonts w:ascii="仿宋_GB2312" w:eastAsia="仿宋_GB2312"/>
          <w:sz w:val="32"/>
          <w:szCs w:val="32"/>
        </w:rPr>
      </w:pPr>
    </w:p>
    <w:p/>
    <w:sectPr>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527CF"/>
    <w:rsid w:val="2ED52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2017-06-06T04:09:00Z</dcterms:created>
  <dc:creator>Administrator</dc:creator>
  <cp:lastModifiedBy>Administrator</cp:lastModifiedBy>
  <dcterms:modified xsi:type="dcterms:W3CDTF">2017-06-06T04:10:57Z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