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ind w:firstLine="0" w:firstLineChars="0"/>
        <w:jc w:val="left"/>
        <w:rPr>
          <w:rFonts w:ascii="黑体" w:hAnsi="黑体" w:eastAsia="黑体"/>
          <w:color w:val="000000"/>
          <w:sz w:val="30"/>
          <w:szCs w:val="30"/>
        </w:rPr>
      </w:pPr>
      <w:r>
        <w:rPr>
          <w:rFonts w:hint="eastAsia" w:ascii="黑体" w:hAnsi="黑体" w:eastAsia="黑体"/>
          <w:color w:val="000000"/>
          <w:sz w:val="30"/>
          <w:szCs w:val="30"/>
        </w:rPr>
        <w:t>附件1：</w:t>
      </w:r>
    </w:p>
    <w:p>
      <w:pPr>
        <w:pStyle w:val="4"/>
        <w:spacing w:line="500" w:lineRule="exact"/>
        <w:ind w:firstLine="0" w:firstLineChars="0"/>
        <w:jc w:val="center"/>
        <w:rPr>
          <w:rFonts w:hint="eastAsia" w:ascii="方正小标宋简体" w:hAnsi="方正小标宋简体" w:eastAsia="方正小标宋简体" w:cs="方正小标宋简体"/>
          <w:bCs/>
          <w:color w:val="000000"/>
          <w:sz w:val="44"/>
          <w:szCs w:val="44"/>
        </w:rPr>
      </w:pPr>
    </w:p>
    <w:p>
      <w:pPr>
        <w:pStyle w:val="4"/>
        <w:spacing w:line="500" w:lineRule="exact"/>
        <w:ind w:firstLine="0" w:firstLineChars="0"/>
        <w:jc w:val="center"/>
        <w:rPr>
          <w:rFonts w:hint="eastAsia" w:ascii="方正大标宋简体" w:hAnsi="方正小标宋简体" w:eastAsia="方正大标宋简体" w:cs="方正小标宋简体"/>
          <w:bCs/>
          <w:color w:val="000000"/>
          <w:sz w:val="44"/>
          <w:szCs w:val="44"/>
        </w:rPr>
      </w:pPr>
      <w:bookmarkStart w:id="0" w:name="_GoBack"/>
      <w:r>
        <w:rPr>
          <w:rFonts w:hint="eastAsia" w:ascii="方正大标宋简体" w:hAnsi="方正小标宋简体" w:eastAsia="方正大标宋简体" w:cs="方正小标宋简体"/>
          <w:bCs/>
          <w:color w:val="000000"/>
          <w:sz w:val="44"/>
          <w:szCs w:val="44"/>
        </w:rPr>
        <w:t>昌吉州实施工业污染源全面达标排放计划</w:t>
      </w:r>
      <w:bookmarkEnd w:id="0"/>
    </w:p>
    <w:p>
      <w:pPr>
        <w:spacing w:line="560" w:lineRule="exact"/>
        <w:rPr>
          <w:rFonts w:hint="eastAsia" w:ascii="方正小标宋简体" w:hAnsi="方正小标宋简体" w:eastAsia="方正小标宋简体" w:cs="方正小标宋简体"/>
          <w:bCs/>
          <w:color w:val="000000"/>
          <w:sz w:val="36"/>
          <w:szCs w:val="36"/>
        </w:rPr>
      </w:pP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为加大环境保护和生态文明建设力度，根据自治区环保厅《关于印发&lt;新疆维吾尔自治区实施工业污染源全面达标排放计划&gt;及&lt;新疆维吾尔自治区2017年工业污染源全面达标排放计划实施方案&gt;的通知》（新环发〔2017〕10号）要求，结合我州工作实际，特制定本计划。</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一、总体要求</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深入贯彻落实党中央、国务院决策部署，以改善环境质量为核心，充分发挥环境标准引领企业升级改造和倒逼产业结构调整的作用，通过依法治理、科技支撑、监督执法、完善政策等措施，促进工业污染源全面达标排放，为不断改善环境质量提供有利支撑。</w:t>
      </w:r>
    </w:p>
    <w:p>
      <w:pPr>
        <w:spacing w:line="62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二、基本原则</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坚持问题导向，分类推进工业污染源达标排放；坚持依法依规，充分发挥企业、政府和社会等各方作用；坚持信息公开，不断深化公众参与和社会监督；坚持标本兼治，在持续保持打击违法排污高压态势的同时，建立健全环境治理长效机制。</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三、工作目标</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达标计划将选取产排污量大，已制定行业污染物排放标准或发放排污许可证的行业优先重点实施，通过重点带动一般，推动工业污染源实现全面达标排放。</w:t>
      </w:r>
    </w:p>
    <w:p>
      <w:pPr>
        <w:spacing w:line="62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总体目标：</w:t>
      </w:r>
      <w:r>
        <w:rPr>
          <w:rFonts w:hint="eastAsia" w:ascii="仿宋_GB2312" w:hAnsi="仿宋" w:eastAsia="仿宋_GB2312"/>
          <w:color w:val="000000"/>
          <w:sz w:val="32"/>
          <w:szCs w:val="32"/>
        </w:rPr>
        <w:t>“十三五”期间，全州工业污染源达标排放，污染物排放标准体系和环境监管机制全面建成，环境治理体系更加健全，环境质量明显改善。</w:t>
      </w:r>
    </w:p>
    <w:p>
      <w:pPr>
        <w:spacing w:line="62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具体目标：</w:t>
      </w:r>
      <w:r>
        <w:rPr>
          <w:rFonts w:hint="eastAsia" w:ascii="仿宋_GB2312" w:hAnsi="仿宋" w:eastAsia="仿宋_GB2312"/>
          <w:color w:val="000000"/>
          <w:sz w:val="32"/>
          <w:szCs w:val="32"/>
        </w:rPr>
        <w:t>到2017年11月底，钢铁、火电、水泥、煤炭、造纸、污水处理厂、垃圾焚烧厂、电解铝、棉浆粕等9个行业超标问题全面整治，行业达标计划实施取得明显成效，污染物排放标准体系和环境监管机制进一步完善，环境守法良好氛围基本形成；到2018年11月底，完成其他各类工业污染源评估工作；到2019年11月底，全面完成各类工业污染源超标问题整治工作；2020年，进一步巩固提升工业污染源超标问题整治成效，各类工业污染源持续保持达标排放，环境守法成为常态。</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四、工作任务</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（一）全面排查工业污染源排放情况。</w:t>
      </w:r>
      <w:r>
        <w:rPr>
          <w:rFonts w:hint="eastAsia" w:ascii="仿宋_GB2312" w:hAnsi="仿宋" w:eastAsia="仿宋_GB2312"/>
          <w:color w:val="000000"/>
          <w:sz w:val="32"/>
          <w:szCs w:val="32"/>
        </w:rPr>
        <w:t>各县市、园区环保部门深入总结2015年度环境保护大检查工作和2016年环境执法大练兵活动的基础上，结合“双随机”抽查、违法案件查处、污染源在线监控等情况，对本行政区域工业污染源排放情况进行深入分析，全面排查工业污染源超标排放、偷排偷放等问题，切实掌握超标排放企业清单及存在问题，并对企业污染物排放情况进行评估，形成评估报告。</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2017年5月10日前，各县市、园区环保部门重点组织开展本行政区域钢铁、火电、水泥、煤炭、造纸、污水处理厂、垃圾焚烧厂、电解铝、棉浆粕等9个行业污染物排放情况评估工作。</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2017年7月起，各县市、园区环保部门根据本行政区域实际情况，分步组织实施其他各类行业污染物排放情况评估工作，并于2018年11月底前完成全部工作。</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（二）加大超标排放整治力度。</w:t>
      </w:r>
      <w:r>
        <w:rPr>
          <w:rFonts w:hint="eastAsia" w:ascii="仿宋_GB2312" w:hAnsi="仿宋" w:eastAsia="仿宋_GB2312"/>
          <w:color w:val="000000"/>
          <w:sz w:val="32"/>
          <w:szCs w:val="32"/>
        </w:rPr>
        <w:t>根据各县市、园区环保部门排查和评估结果，我局将制定达标升级改造路线，实施“一企一策”，科学合理推动达标计划。州环境监察支队牵头实施所有行业超标问题整治任务，各县市、园区环保部门要会同相关行业主管部门，督促超标企业及时实施整改，彻底解决问题。对查出的所有问题，要建立整改台帐，采取限期整改一批、淘汰关闭一批、挂牌督办一批等措施，全面清理超标企业，并将超标排放问题及整改情况向社会公开。对超标排放的企业，要督促其严格落实和规范开展自行监测，加密对超标因子的监测频次，并及时向环保部门报告。在对违法行为依法处罚的同时，能立即整改的，要责令企业立即整改解决；一时难以完成整改的，要责令其明确落实整改措施、责任和时限；问题严重、达标无望的，要依法提请各县市、园区政府责令关闭。对重大问题要实行挂牌督办，跟踪整改销号。强化对超标企业的监管约束，探索实施超标排放累积记分管理。</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各县市、园区党（工）委、政府要严格落实环境保护“党政同责、一岗双责”制度，指导相关部门做好超标企业清理整治工作，对列入清理清单的企业逐一落实责任单位和责任人。州环保局监测监察科将结合环境保护督察工作，督促各县市、园区做好达标排放计划实施，按时完成整治任务，对应列入整治清单而未列入，瞒报、谎报、漏报的责任人，报请昌吉州人民政府及有关部门严肃问责；对超标企业清理工作推进不力、进展缓慢的县市、园区进行约谈。州环境监察支队负责按月调度清理工作进展，并结合日常随机抽查、督查、稽查等工作将对重点区域、重点行业达标计划实施情况进行抽查，定期通报有关情况。</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2017年9月底前，要完成钢铁、火电、水泥、煤炭、造纸、污水处理厂、垃圾焚烧厂、电解铝、棉浆粕等9个行业超标问题整治任务；2018年9月底前，要完成其他工业污染源评估工作；2019年9月底前，全面完成其他各类工业污染源超标问题整治工作；2020年，进一步巩固提升工业污染源超标问题整治成效。（州环保局污控科、州环保局大气办等相关业务科室，州环境监察支队，各县市、园区环保局）</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（三）不断强化环境监管执法。</w:t>
      </w:r>
      <w:r>
        <w:rPr>
          <w:rFonts w:hint="eastAsia" w:ascii="仿宋_GB2312" w:hAnsi="仿宋" w:eastAsia="仿宋_GB2312"/>
          <w:color w:val="000000"/>
          <w:sz w:val="32"/>
          <w:szCs w:val="32"/>
        </w:rPr>
        <w:t>各县市、园区要继续深化网格化监管制度，将工业污染源日常环境监管责任落实到每个网格责任人，明确监管要求和监管措施。应切实加强日常环境执法工作，全面落实“双随机”制度。对存在违法排污行为的企业，要加大执法检查频次和抽查比例；对长期稳定达标排放的守法企业，鼓励适当减少检查频次，降低抽查率，维护和保障公平竞争的市场环境。（州环保局监测监察科，州环境监察支队，各县市、园区环保局）</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（四）切实遏制偷排偷放等恶意违法行为。</w:t>
      </w:r>
      <w:r>
        <w:rPr>
          <w:rFonts w:hint="eastAsia" w:ascii="仿宋_GB2312" w:hAnsi="仿宋" w:eastAsia="仿宋_GB2312"/>
          <w:color w:val="000000"/>
          <w:sz w:val="32"/>
          <w:szCs w:val="32"/>
        </w:rPr>
        <w:t>各县市、园区环保部门应持续保持环境执法高压态势，对偷排偷放、数据造假、屡查屡犯的企业，要依法严肃查处；情节严重的，上报人民政府责令停业关闭；对涉嫌犯罪的人员，依法移送司法机关。同时，要及时向社会公布违法企业及其法定代表人和主要负责人名单、违法事实和处罚措施等信息，充分发挥负面典型案例的震慑警示作用。（州环保局宣教科，州环境监察支队，各县市、园区环保局）</w:t>
      </w:r>
    </w:p>
    <w:p>
      <w:pPr>
        <w:spacing w:line="620" w:lineRule="exact"/>
        <w:ind w:firstLine="643" w:firstLineChars="200"/>
        <w:rPr>
          <w:rFonts w:hint="eastAsia" w:ascii="楷体_GB2312" w:hAnsi="楷体" w:eastAsia="楷体_GB2312"/>
          <w:b/>
          <w:color w:val="000000"/>
          <w:sz w:val="32"/>
          <w:szCs w:val="32"/>
        </w:rPr>
      </w:pPr>
      <w:r>
        <w:rPr>
          <w:rFonts w:hint="eastAsia" w:ascii="楷体_GB2312" w:hAnsi="楷体" w:eastAsia="楷体_GB2312"/>
          <w:b/>
          <w:color w:val="000000"/>
          <w:sz w:val="32"/>
          <w:szCs w:val="32"/>
        </w:rPr>
        <w:t>（五）开展达标计划专项培训。一是对环保工作人员开展培训。</w:t>
      </w:r>
      <w:r>
        <w:rPr>
          <w:rFonts w:hint="eastAsia" w:ascii="仿宋_GB2312" w:hAnsi="仿宋" w:eastAsia="仿宋_GB2312"/>
          <w:color w:val="000000"/>
          <w:sz w:val="32"/>
          <w:szCs w:val="32"/>
        </w:rPr>
        <w:t>州环保局于2017年5月10前，组织各县市、园区环保机构负责人、环境监察机构负责人、执法骨干开展达标计划专项培训，保障达标计划顺利实施；</w:t>
      </w:r>
      <w:r>
        <w:rPr>
          <w:rFonts w:hint="eastAsia" w:ascii="仿宋_GB2312" w:hAnsi="仿宋" w:eastAsia="仿宋_GB2312"/>
          <w:b/>
          <w:color w:val="000000"/>
          <w:sz w:val="32"/>
          <w:szCs w:val="32"/>
        </w:rPr>
        <w:t>二是对企业开展达标计划解读。</w:t>
      </w:r>
      <w:r>
        <w:rPr>
          <w:rFonts w:hint="eastAsia" w:ascii="仿宋_GB2312" w:hAnsi="仿宋" w:eastAsia="仿宋_GB2312"/>
          <w:color w:val="000000"/>
          <w:sz w:val="32"/>
          <w:szCs w:val="32"/>
        </w:rPr>
        <w:t>县市、园区环保部门应通过多种渠道，向本行政区域内重点企业做好达标计划的解读工作，树立企业在环境保护工作中的主导地位，督促企业自觉履行达标排放义务。</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（六）规范和加强在线监控的运行和监管。</w:t>
      </w:r>
      <w:r>
        <w:rPr>
          <w:rFonts w:hint="eastAsia" w:ascii="仿宋_GB2312" w:hAnsi="仿宋" w:eastAsia="仿宋_GB2312"/>
          <w:color w:val="000000"/>
          <w:sz w:val="32"/>
          <w:szCs w:val="32"/>
        </w:rPr>
        <w:t>各县市、园区环保部门要根据区域污染物排放特点与环境质量改善要求，逐步扩展纳入在线监控的企业范围，推动实现对所有工业污染源的全覆盖。企业应依法依规安装和运行污染源在线监控设备，并与自治区、自治州污染源在线监控管理系统联网，对污染物排放进行实时监控。各县市、园区环保部门要通过在线监控系统及时发现超标排放行为，依法严肃查处，督促超标企业达标排放。严格按照环保部污染源超标排放电子督办单要求，对严重超标的企业，24小时内反馈核实情况。对在线监控数据弄虚作假的行为坚持“零容忍”，对涉及到的责任人依法严肃追究刑事责任。（州环保局监测监察科，州污染物监控中心，州环境监察支队，各县市、园区环保局）</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（七）实施超标排污联合惩戒。</w:t>
      </w:r>
      <w:r>
        <w:rPr>
          <w:rFonts w:hint="eastAsia" w:ascii="仿宋_GB2312" w:hAnsi="仿宋" w:eastAsia="仿宋_GB2312"/>
          <w:color w:val="000000"/>
          <w:sz w:val="32"/>
          <w:szCs w:val="32"/>
        </w:rPr>
        <w:t>我局将依据自治区《关于对环境保护领域失信生产经营单位及其有关人员开展联合惩戒的合作备忘录》（发改财金〔2016〕1580号）的要求，加强与相关部门的协作配合，依法依规对违法排污单位及其法定代表人、主要负责人和负有直接责任的有关人员实施限制市场准入、停止优惠政策、限制考核表彰等联合惩戒措施，并在主要媒体和政府网站上向社会公布相关信息。（州环保局宣教科，州环保局政策法规科）</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(八)全面推进信息公开。</w:t>
      </w:r>
      <w:r>
        <w:rPr>
          <w:rFonts w:hint="eastAsia" w:ascii="仿宋_GB2312" w:hAnsi="仿宋" w:eastAsia="仿宋_GB2312"/>
          <w:color w:val="000000"/>
          <w:sz w:val="32"/>
          <w:szCs w:val="32"/>
        </w:rPr>
        <w:t>各县市、园区要按照便民、客观、公正、全面的原则，深入推进环境执法信息公开。除保密信息外，应全面公开执法查处、监督管理、以及相关法规政策标准等信息。同时，督促、指导企业按照有关法律法规及技术规范的要求严格开展自行监测，并通过网络、电子屏幕等便于公众知晓的方式，向社会公开防治污染设施的建设、运行情况，排放污染物的名称、排放方式、排污浓度和总量、超标排放情况等信息，接受社会监督。对重点排污单位不依据相关要求如实或按时公开环境信息的，要依法严格处罚。（州环保局污控科，州环保局大气办，州环境监察支队，州污染物监控中心，各县市、园区环保局）</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（九）加大政策支持力度。</w:t>
      </w:r>
      <w:r>
        <w:rPr>
          <w:rFonts w:hint="eastAsia" w:ascii="仿宋_GB2312" w:hAnsi="仿宋" w:eastAsia="仿宋_GB2312"/>
          <w:color w:val="000000"/>
          <w:sz w:val="32"/>
          <w:szCs w:val="32"/>
        </w:rPr>
        <w:t>各县市、园区环保部门要认真落实简政放权、放管结合、优化服务等改革工作要求，积极推动企业实施技术创新和转型升级，推广应用新技术、新工艺、新材料，减少污染物排放。推动环境服务业发展，鼓励有条件的工业园区、企业聘请第三方专业环保服务公司作为“环保管家”，提供监测、监理、环保设施建设运营、污染治理等一体化环保服务和解决方案。发挥环保优势企业的引领作用，鼓励有条件的企业建立环境保护技术中心、工程中心、产业化基地，研究开发具有竞争力、高附加值和自主知识产权的环保技术、产品和服务，并及时把环境保护先进经验、技术和方法推广延伸。鼓励各地加强对在线监控设备的创新与研发，逐步将更多污染因子纳入在线监控范围，不断拓展在线监控设备应用领域。（州环保局宣教科，州污染物监控中心，各县市、园区环保局）</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达标排放是企业履行环境责任的基本义务和底线要求，是环境保护法律制度的重要内容，是切实改善环境质量的工作基础，是建立健全环境治理体系、推进生态文明体制改革的基本要求。各县市、园区环保部门要切实提高认识，把实施好达标计划作为“十三五”环境保护重点工作，加强组织协调，狠抓工作落实，完善措施保障，确保取得实效。</w:t>
      </w:r>
    </w:p>
    <w:p>
      <w:pPr>
        <w:widowControl/>
        <w:spacing w:line="620" w:lineRule="exact"/>
        <w:ind w:firstLine="480" w:firstLineChars="150"/>
        <w:rPr>
          <w:rFonts w:hint="eastAsia" w:ascii="仿宋" w:hAnsi="仿宋" w:eastAsia="仿宋" w:cs="仿宋"/>
          <w:sz w:val="32"/>
          <w:szCs w:val="4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440D2"/>
    <w:rsid w:val="60B440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2017-04-01T04:40:00Z</dcterms:created>
  <dc:creator>Administrator</dc:creator>
  <cp:lastModifiedBy>Administrator</cp:lastModifiedBy>
  <dcterms:modified xsi:type="dcterms:W3CDTF">2017-04-01T04:40:20Z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