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Autospacing="0" w:after="0" w:afterAutospacing="0" w:line="330" w:lineRule="atLeast"/>
        <w:ind w:left="0" w:right="0"/>
        <w:jc w:val="center"/>
        <w:rPr>
          <w:rFonts w:eastAsia="宋体"/>
        </w:rPr>
      </w:pPr>
      <w:r>
        <w:rPr>
          <w:rFonts w:hint="eastAsia" w:ascii="华文中宋" w:hAnsi="华文中宋" w:eastAsia="华文中宋" w:cs="华文中宋"/>
          <w:b/>
          <w:kern w:val="0"/>
          <w:sz w:val="44"/>
          <w:szCs w:val="44"/>
          <w:lang w:val="en-US" w:eastAsia="zh-CN" w:bidi="ar"/>
        </w:rPr>
        <w:t>昌吉州农业局</w:t>
      </w:r>
      <w:bookmarkStart w:id="0" w:name="_GoBack"/>
      <w:bookmarkEnd w:id="0"/>
      <w:r>
        <w:rPr>
          <w:rFonts w:hint="default" w:ascii="华文中宋" w:hAnsi="华文中宋" w:eastAsia="华文中宋" w:cs="华文中宋"/>
          <w:b/>
          <w:kern w:val="0"/>
          <w:sz w:val="44"/>
          <w:szCs w:val="44"/>
          <w:lang w:val="en-US" w:eastAsia="zh-CN" w:bidi="ar"/>
        </w:rPr>
        <w:t>农业行政处罚案件信息公开表</w:t>
      </w:r>
    </w:p>
    <w:p>
      <w:pPr>
        <w:keepNext w:val="0"/>
        <w:keepLines w:val="0"/>
        <w:widowControl/>
        <w:suppressLineNumbers w:val="0"/>
        <w:snapToGrid w:val="0"/>
        <w:spacing w:before="0" w:beforeAutospacing="0" w:after="0" w:afterAutospacing="0" w:line="330" w:lineRule="atLeast"/>
        <w:ind w:left="0" w:right="0"/>
        <w:jc w:val="left"/>
        <w:rPr>
          <w:rFonts w:hint="eastAsia" w:ascii="宋体" w:hAnsi="宋体" w:cs="宋体"/>
          <w:b w:val="0"/>
          <w:bCs/>
          <w:kern w:val="0"/>
          <w:sz w:val="24"/>
          <w:szCs w:val="24"/>
          <w:lang w:val="en-US" w:eastAsia="zh-CN" w:bidi="ar"/>
        </w:rPr>
      </w:pPr>
    </w:p>
    <w:p>
      <w:pPr>
        <w:keepNext w:val="0"/>
        <w:keepLines w:val="0"/>
        <w:widowControl/>
        <w:suppressLineNumbers w:val="0"/>
        <w:snapToGrid w:val="0"/>
        <w:spacing w:before="0" w:beforeAutospacing="0" w:after="0" w:afterAutospacing="0" w:line="330" w:lineRule="atLeast"/>
        <w:ind w:left="0" w:right="0"/>
        <w:jc w:val="left"/>
        <w:rPr>
          <w:rFonts w:eastAsia="宋体"/>
          <w:sz w:val="24"/>
          <w:szCs w:val="24"/>
        </w:rPr>
      </w:pPr>
      <w:r>
        <w:rPr>
          <w:rFonts w:hint="eastAsia" w:ascii="宋体" w:hAnsi="宋体" w:cs="宋体"/>
          <w:b w:val="0"/>
          <w:bCs/>
          <w:kern w:val="0"/>
          <w:sz w:val="24"/>
          <w:szCs w:val="24"/>
          <w:lang w:val="en-US" w:eastAsia="zh-CN" w:bidi="ar"/>
        </w:rPr>
        <w:t>单位：</w:t>
      </w:r>
      <w:r>
        <w:rPr>
          <w:rFonts w:hint="eastAsia" w:ascii="宋体" w:hAnsi="宋体" w:eastAsia="宋体" w:cs="宋体"/>
          <w:b w:val="0"/>
          <w:bCs/>
          <w:kern w:val="0"/>
          <w:sz w:val="24"/>
          <w:szCs w:val="24"/>
          <w:lang w:val="en-US" w:eastAsia="zh-CN" w:bidi="ar"/>
        </w:rPr>
        <w:t>昌吉州农业局农业执法支队 </w:t>
      </w:r>
      <w:r>
        <w:rPr>
          <w:rFonts w:hint="eastAsia" w:ascii="宋体" w:hAnsi="宋体" w:cs="宋体"/>
          <w:b w:val="0"/>
          <w:bCs/>
          <w:kern w:val="0"/>
          <w:sz w:val="24"/>
          <w:szCs w:val="24"/>
          <w:lang w:val="en-US" w:eastAsia="zh-CN" w:bidi="ar"/>
        </w:rPr>
        <w:t xml:space="preserve">          日期：2016年10月24日                                  填表人：马俊海</w:t>
      </w:r>
    </w:p>
    <w:tbl>
      <w:tblPr>
        <w:tblStyle w:val="4"/>
        <w:tblW w:w="1424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367"/>
        <w:gridCol w:w="991"/>
        <w:gridCol w:w="2297"/>
        <w:gridCol w:w="1557"/>
        <w:gridCol w:w="970"/>
        <w:gridCol w:w="1026"/>
        <w:gridCol w:w="1512"/>
        <w:gridCol w:w="1027"/>
        <w:gridCol w:w="2688"/>
        <w:gridCol w:w="1317"/>
        <w:gridCol w:w="49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92" w:hRule="atLeast"/>
        </w:trPr>
        <w:tc>
          <w:tcPr>
            <w:tcW w:w="367" w:type="dxa"/>
            <w:tcBorders>
              <w:top w:val="single" w:color="auto" w:sz="8" w:space="0"/>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 </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序</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号</w:t>
            </w:r>
          </w:p>
        </w:tc>
        <w:tc>
          <w:tcPr>
            <w:tcW w:w="991"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行政处罚决定案号</w:t>
            </w:r>
          </w:p>
        </w:tc>
        <w:tc>
          <w:tcPr>
            <w:tcW w:w="2297"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案件名称</w:t>
            </w:r>
          </w:p>
        </w:tc>
        <w:tc>
          <w:tcPr>
            <w:tcW w:w="1557"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违法主体</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名称或姓名</w:t>
            </w:r>
          </w:p>
        </w:tc>
        <w:tc>
          <w:tcPr>
            <w:tcW w:w="970"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违法企业组织机构代码</w:t>
            </w:r>
          </w:p>
        </w:tc>
        <w:tc>
          <w:tcPr>
            <w:tcW w:w="1026"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法定代表人（负责人）</w:t>
            </w:r>
          </w:p>
        </w:tc>
        <w:tc>
          <w:tcPr>
            <w:tcW w:w="1512"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主要违</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法事实</w:t>
            </w:r>
          </w:p>
        </w:tc>
        <w:tc>
          <w:tcPr>
            <w:tcW w:w="1027"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行政处罚种类和依据</w:t>
            </w:r>
          </w:p>
        </w:tc>
        <w:tc>
          <w:tcPr>
            <w:tcW w:w="2688"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行政处罚履行方式和期限</w:t>
            </w:r>
          </w:p>
        </w:tc>
        <w:tc>
          <w:tcPr>
            <w:tcW w:w="1317"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作出行政处罚的机关名称和日期</w:t>
            </w:r>
          </w:p>
        </w:tc>
        <w:tc>
          <w:tcPr>
            <w:tcW w:w="491" w:type="dxa"/>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 </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202" w:hRule="atLeast"/>
        </w:trPr>
        <w:tc>
          <w:tcPr>
            <w:tcW w:w="367"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1</w:t>
            </w:r>
            <w:r>
              <w:rPr>
                <w:rFonts w:hint="eastAsia" w:ascii="宋体" w:hAnsi="宋体" w:eastAsia="宋体" w:cs="宋体"/>
                <w:b/>
                <w:kern w:val="0"/>
                <w:sz w:val="18"/>
                <w:szCs w:val="18"/>
                <w:lang w:val="en-US" w:eastAsia="zh-CN" w:bidi="ar"/>
              </w:rPr>
              <w:t> </w:t>
            </w:r>
          </w:p>
        </w:tc>
        <w:tc>
          <w:tcPr>
            <w:tcW w:w="991"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昌州农（肥料）罚（2016）1号</w:t>
            </w:r>
            <w:r>
              <w:rPr>
                <w:rFonts w:hint="eastAsia" w:ascii="宋体" w:hAnsi="宋体" w:eastAsia="宋体" w:cs="宋体"/>
                <w:b/>
                <w:kern w:val="0"/>
                <w:sz w:val="18"/>
                <w:szCs w:val="18"/>
                <w:lang w:val="en-US" w:eastAsia="zh-CN" w:bidi="ar"/>
              </w:rPr>
              <w:t> </w:t>
            </w:r>
          </w:p>
        </w:tc>
        <w:tc>
          <w:tcPr>
            <w:tcW w:w="229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新疆生产建设兵团农业生产资料供应公司乌鲁木齐配销中心呼图壁县五工台直销店销售的水溶性复合肥含量与登记批准的内容不符的肥料</w:t>
            </w:r>
            <w:r>
              <w:rPr>
                <w:rFonts w:hint="eastAsia" w:ascii="宋体" w:hAnsi="宋体" w:cs="宋体"/>
                <w:b w:val="0"/>
                <w:bCs/>
                <w:kern w:val="0"/>
                <w:sz w:val="18"/>
                <w:szCs w:val="18"/>
                <w:lang w:val="en-US" w:eastAsia="zh-CN" w:bidi="ar"/>
              </w:rPr>
              <w:t>案</w:t>
            </w:r>
          </w:p>
        </w:tc>
        <w:tc>
          <w:tcPr>
            <w:tcW w:w="155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新疆生产建设兵团农业生产资料供应公司乌鲁木齐配销中心呼图壁县五工台直销店</w:t>
            </w:r>
          </w:p>
        </w:tc>
        <w:tc>
          <w:tcPr>
            <w:tcW w:w="970"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无 </w:t>
            </w:r>
          </w:p>
        </w:tc>
        <w:tc>
          <w:tcPr>
            <w:tcW w:w="1026"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冯艳霞</w:t>
            </w:r>
            <w:r>
              <w:rPr>
                <w:rFonts w:hint="eastAsia" w:ascii="宋体" w:hAnsi="宋体" w:eastAsia="宋体" w:cs="宋体"/>
                <w:b/>
                <w:kern w:val="0"/>
                <w:sz w:val="18"/>
                <w:szCs w:val="18"/>
                <w:lang w:val="en-US" w:eastAsia="zh-CN" w:bidi="ar"/>
              </w:rPr>
              <w:t> </w:t>
            </w:r>
          </w:p>
        </w:tc>
        <w:tc>
          <w:tcPr>
            <w:tcW w:w="1512"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销售的水溶性 复合肥含量与登记批准的内容不符的肥料</w:t>
            </w:r>
          </w:p>
        </w:tc>
        <w:tc>
          <w:tcPr>
            <w:tcW w:w="102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警告</w:t>
            </w:r>
            <w:r>
              <w:rPr>
                <w:rFonts w:hint="eastAsia" w:ascii="宋体" w:hAnsi="宋体" w:cs="宋体"/>
                <w:b w:val="0"/>
                <w:bCs/>
                <w:kern w:val="0"/>
                <w:sz w:val="18"/>
                <w:szCs w:val="18"/>
                <w:lang w:val="en-US" w:eastAsia="zh-CN" w:bidi="ar"/>
              </w:rPr>
              <w:t>、罚款；</w:t>
            </w:r>
            <w:r>
              <w:rPr>
                <w:rFonts w:hint="eastAsia" w:ascii="宋体" w:hAnsi="宋体" w:eastAsia="宋体" w:cs="宋体"/>
                <w:b w:val="0"/>
                <w:bCs/>
                <w:kern w:val="0"/>
                <w:sz w:val="18"/>
                <w:szCs w:val="18"/>
                <w:lang w:val="en-US" w:eastAsia="zh-CN" w:bidi="ar"/>
              </w:rPr>
              <w:t>肥料登记管理办法</w:t>
            </w:r>
          </w:p>
        </w:tc>
        <w:tc>
          <w:tcPr>
            <w:tcW w:w="2688" w:type="dxa"/>
            <w:tcBorders>
              <w:top w:val="nil"/>
              <w:left w:val="nil"/>
              <w:bottom w:val="single" w:color="auto" w:sz="8" w:space="0"/>
              <w:right w:val="single" w:color="auto" w:sz="8" w:space="0"/>
            </w:tcBorders>
            <w:tcMar>
              <w:left w:w="108" w:type="dxa"/>
              <w:right w:w="108" w:type="dxa"/>
            </w:tcMar>
            <w:vAlign w:val="top"/>
          </w:tcPr>
          <w:p>
            <w:pPr>
              <w:pStyle w:val="2"/>
              <w:keepNext w:val="0"/>
              <w:keepLines w:val="0"/>
              <w:widowControl/>
              <w:numPr>
                <w:ilvl w:val="0"/>
                <w:numId w:val="1"/>
              </w:numPr>
              <w:suppressLineNumbers w:val="0"/>
              <w:spacing w:line="360" w:lineRule="atLeast"/>
              <w:ind w:left="0" w:right="0"/>
              <w:rPr>
                <w:rFonts w:hint="eastAsia" w:ascii="宋体" w:hAnsi="宋体" w:eastAsia="宋体" w:cs="宋体"/>
                <w:sz w:val="15"/>
                <w:szCs w:val="15"/>
                <w:lang w:eastAsia="zh-CN"/>
              </w:rPr>
            </w:pPr>
            <w:r>
              <w:rPr>
                <w:rFonts w:hint="eastAsia" w:ascii="宋体" w:hAnsi="宋体" w:eastAsia="宋体" w:cs="宋体"/>
                <w:sz w:val="15"/>
                <w:szCs w:val="15"/>
              </w:rPr>
              <w:t>警告；2、罚款；3、没收违法所得、没收非法财物；4、责令停产停业；5、暂扣或者吊销许可证、暂扣或者吊销执照；6、行政拘留；7、法律、行政法规规定的其他行政处罚</w:t>
            </w:r>
            <w:r>
              <w:rPr>
                <w:rFonts w:hint="eastAsia" w:ascii="宋体" w:hAnsi="宋体" w:eastAsia="宋体" w:cs="宋体"/>
                <w:sz w:val="15"/>
                <w:szCs w:val="15"/>
                <w:lang w:eastAsia="zh-CN"/>
              </w:rPr>
              <w:t>。</w:t>
            </w:r>
          </w:p>
          <w:p>
            <w:pPr>
              <w:pStyle w:val="2"/>
              <w:keepNext w:val="0"/>
              <w:keepLines w:val="0"/>
              <w:widowControl/>
              <w:numPr>
                <w:ilvl w:val="0"/>
                <w:numId w:val="0"/>
              </w:numPr>
              <w:suppressLineNumbers w:val="0"/>
              <w:spacing w:line="360" w:lineRule="atLeast"/>
              <w:ind w:right="0" w:rightChars="0"/>
              <w:rPr>
                <w:rFonts w:hint="eastAsia" w:ascii="宋体" w:hAnsi="宋体" w:eastAsia="宋体" w:cs="宋体"/>
                <w:sz w:val="15"/>
                <w:szCs w:val="15"/>
              </w:rPr>
            </w:pPr>
            <w:r>
              <w:rPr>
                <w:rFonts w:hint="eastAsia" w:ascii="宋体" w:hAnsi="宋体" w:eastAsia="宋体" w:cs="宋体"/>
                <w:sz w:val="15"/>
                <w:szCs w:val="15"/>
                <w:lang w:eastAsia="zh-CN"/>
              </w:rPr>
              <w:t>三个月。</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21"/>
                <w:szCs w:val="21"/>
                <w:lang w:val="en-US" w:eastAsia="zh-CN" w:bidi="ar"/>
              </w:rPr>
            </w:pPr>
          </w:p>
        </w:tc>
        <w:tc>
          <w:tcPr>
            <w:tcW w:w="131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bidi="ar"/>
              </w:rPr>
            </w:pPr>
            <w:r>
              <w:rPr>
                <w:rFonts w:hint="eastAsia" w:ascii="宋体" w:hAnsi="宋体" w:eastAsia="宋体" w:cs="宋体"/>
                <w:b w:val="0"/>
                <w:bCs/>
                <w:kern w:val="0"/>
                <w:sz w:val="18"/>
                <w:szCs w:val="18"/>
                <w:lang w:val="en-US" w:eastAsia="zh-CN" w:bidi="ar"/>
              </w:rPr>
              <w:t>昌吉州农业局</w:t>
            </w:r>
            <w:r>
              <w:rPr>
                <w:rFonts w:hint="eastAsia" w:ascii="宋体" w:hAnsi="宋体" w:eastAsia="宋体" w:cs="宋体"/>
                <w:b/>
                <w:kern w:val="0"/>
                <w:sz w:val="18"/>
                <w:szCs w:val="18"/>
                <w:lang w:val="en-US" w:eastAsia="zh-CN" w:bidi="ar"/>
              </w:rPr>
              <w:t> </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bidi="ar"/>
              </w:rPr>
            </w:pPr>
            <w:r>
              <w:rPr>
                <w:rFonts w:hint="eastAsia" w:ascii="宋体" w:hAnsi="宋体" w:cs="宋体"/>
                <w:b w:val="0"/>
                <w:bCs/>
                <w:kern w:val="0"/>
                <w:sz w:val="18"/>
                <w:szCs w:val="18"/>
                <w:lang w:val="en-US" w:eastAsia="zh-CN" w:bidi="ar"/>
              </w:rPr>
              <w:t>9月10日</w:t>
            </w:r>
          </w:p>
        </w:tc>
        <w:tc>
          <w:tcPr>
            <w:tcW w:w="491"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92" w:hRule="atLeast"/>
        </w:trPr>
        <w:tc>
          <w:tcPr>
            <w:tcW w:w="367"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2</w:t>
            </w:r>
            <w:r>
              <w:rPr>
                <w:rFonts w:hint="eastAsia" w:ascii="宋体" w:hAnsi="宋体" w:eastAsia="宋体" w:cs="宋体"/>
                <w:b/>
                <w:kern w:val="0"/>
                <w:sz w:val="18"/>
                <w:szCs w:val="18"/>
                <w:lang w:val="en-US" w:eastAsia="zh-CN" w:bidi="ar"/>
              </w:rPr>
              <w:t> </w:t>
            </w:r>
          </w:p>
        </w:tc>
        <w:tc>
          <w:tcPr>
            <w:tcW w:w="991" w:type="dxa"/>
            <w:tcBorders>
              <w:top w:val="nil"/>
              <w:left w:val="nil"/>
              <w:bottom w:val="single" w:color="auto" w:sz="8" w:space="0"/>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99" w:leftChars="-95" w:right="0" w:rightChars="0" w:firstLine="199" w:firstLineChars="111"/>
              <w:jc w:val="both"/>
              <w:textAlignment w:val="auto"/>
              <w:outlineLvl w:val="9"/>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昌州农（肥</w:t>
            </w:r>
            <w:r>
              <w:rPr>
                <w:rFonts w:hint="eastAsia" w:ascii="宋体" w:hAnsi="宋体" w:cs="宋体"/>
                <w:b w:val="0"/>
                <w:bCs/>
                <w:kern w:val="0"/>
                <w:sz w:val="18"/>
                <w:szCs w:val="18"/>
                <w:lang w:val="en-US" w:eastAsia="zh-CN" w:bidi="ar"/>
              </w:rPr>
              <w:t>料</w:t>
            </w:r>
            <w:r>
              <w:rPr>
                <w:rFonts w:hint="eastAsia" w:ascii="宋体" w:hAnsi="宋体" w:eastAsia="宋体" w:cs="宋体"/>
                <w:b w:val="0"/>
                <w:bCs/>
                <w:kern w:val="0"/>
                <w:sz w:val="18"/>
                <w:szCs w:val="18"/>
                <w:lang w:val="en-US" w:eastAsia="zh-CN" w:bidi="ar"/>
              </w:rPr>
              <w:t>）罚（2016）2号</w:t>
            </w:r>
            <w:r>
              <w:rPr>
                <w:rFonts w:hint="eastAsia" w:ascii="宋体" w:hAnsi="宋体" w:eastAsia="宋体" w:cs="宋体"/>
                <w:b/>
                <w:kern w:val="0"/>
                <w:sz w:val="18"/>
                <w:szCs w:val="18"/>
                <w:lang w:val="en-US" w:eastAsia="zh-CN" w:bidi="ar"/>
              </w:rPr>
              <w:t>  </w:t>
            </w:r>
          </w:p>
        </w:tc>
        <w:tc>
          <w:tcPr>
            <w:tcW w:w="229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吉木萨尔县二工供销社销售的有机-无机复混肥料含量与登记批准的内容不符的肥料</w:t>
            </w:r>
            <w:r>
              <w:rPr>
                <w:rFonts w:hint="eastAsia" w:ascii="宋体" w:hAnsi="宋体" w:cs="宋体"/>
                <w:b w:val="0"/>
                <w:bCs/>
                <w:kern w:val="0"/>
                <w:sz w:val="18"/>
                <w:szCs w:val="18"/>
                <w:lang w:val="en-US" w:eastAsia="zh-CN" w:bidi="ar"/>
              </w:rPr>
              <w:t>案</w:t>
            </w:r>
          </w:p>
        </w:tc>
        <w:tc>
          <w:tcPr>
            <w:tcW w:w="155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吉木萨尔县二工供销社</w:t>
            </w:r>
          </w:p>
        </w:tc>
        <w:tc>
          <w:tcPr>
            <w:tcW w:w="970"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sz w:val="18"/>
                <w:szCs w:val="18"/>
              </w:rPr>
            </w:pPr>
            <w:r>
              <w:rPr>
                <w:rFonts w:hint="eastAsia" w:ascii="宋体" w:hAnsi="宋体" w:eastAsia="宋体" w:cs="宋体"/>
                <w:b w:val="0"/>
                <w:bCs/>
                <w:kern w:val="0"/>
                <w:sz w:val="18"/>
                <w:szCs w:val="18"/>
                <w:lang w:val="en-US" w:eastAsia="zh-CN" w:bidi="ar"/>
              </w:rPr>
              <w:t> 无</w:t>
            </w:r>
          </w:p>
        </w:tc>
        <w:tc>
          <w:tcPr>
            <w:tcW w:w="1026"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sz w:val="18"/>
                <w:szCs w:val="18"/>
              </w:rPr>
            </w:pPr>
            <w:r>
              <w:rPr>
                <w:rFonts w:hint="eastAsia" w:ascii="宋体" w:hAnsi="宋体" w:eastAsia="宋体" w:cs="宋体"/>
                <w:b w:val="0"/>
                <w:bCs/>
                <w:kern w:val="0"/>
                <w:sz w:val="18"/>
                <w:szCs w:val="18"/>
                <w:lang w:val="en-US" w:eastAsia="zh-CN" w:bidi="ar"/>
              </w:rPr>
              <w:t>黄忠 </w:t>
            </w:r>
          </w:p>
        </w:tc>
        <w:tc>
          <w:tcPr>
            <w:tcW w:w="1512" w:type="dxa"/>
            <w:tcBorders>
              <w:top w:val="nil"/>
              <w:left w:val="nil"/>
              <w:bottom w:val="single" w:color="auto" w:sz="8" w:space="0"/>
              <w:right w:val="single" w:color="auto" w:sz="8" w:space="0"/>
            </w:tcBorders>
            <w:tcMar>
              <w:left w:w="108" w:type="dxa"/>
              <w:right w:w="108" w:type="dxa"/>
            </w:tcMar>
            <w:textDirection w:val="lrTb"/>
            <w:vAlign w:val="top"/>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销售的有机-无机复混肥料含量与登记批准的内容不符的肥料</w:t>
            </w:r>
          </w:p>
        </w:tc>
        <w:tc>
          <w:tcPr>
            <w:tcW w:w="1027" w:type="dxa"/>
            <w:tcBorders>
              <w:top w:val="nil"/>
              <w:left w:val="nil"/>
              <w:bottom w:val="single" w:color="auto" w:sz="8" w:space="0"/>
              <w:right w:val="single" w:color="auto" w:sz="8" w:space="0"/>
            </w:tcBorders>
            <w:tcMar>
              <w:left w:w="108" w:type="dxa"/>
              <w:right w:w="108" w:type="dxa"/>
            </w:tcMar>
            <w:textDirection w:val="lrTb"/>
            <w:vAlign w:val="top"/>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警告</w:t>
            </w:r>
            <w:r>
              <w:rPr>
                <w:rFonts w:hint="eastAsia" w:ascii="宋体" w:hAnsi="宋体" w:cs="宋体"/>
                <w:b w:val="0"/>
                <w:bCs/>
                <w:kern w:val="0"/>
                <w:sz w:val="18"/>
                <w:szCs w:val="18"/>
                <w:lang w:val="en-US" w:eastAsia="zh-CN" w:bidi="ar"/>
              </w:rPr>
              <w:t>、罚款；</w:t>
            </w:r>
            <w:r>
              <w:rPr>
                <w:rFonts w:hint="eastAsia" w:ascii="宋体" w:hAnsi="宋体" w:eastAsia="宋体" w:cs="宋体"/>
                <w:b w:val="0"/>
                <w:bCs/>
                <w:kern w:val="0"/>
                <w:sz w:val="18"/>
                <w:szCs w:val="18"/>
                <w:lang w:val="en-US" w:eastAsia="zh-CN" w:bidi="ar"/>
              </w:rPr>
              <w:t>肥料登记管理办法</w:t>
            </w:r>
          </w:p>
        </w:tc>
        <w:tc>
          <w:tcPr>
            <w:tcW w:w="2688"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eastAsia="zh-CN"/>
              </w:rPr>
            </w:pPr>
            <w:r>
              <w:rPr>
                <w:rFonts w:hint="eastAsia" w:ascii="宋体" w:hAnsi="宋体" w:cs="宋体"/>
                <w:sz w:val="21"/>
                <w:szCs w:val="21"/>
                <w:lang w:eastAsia="zh-CN"/>
              </w:rPr>
              <w:t>同上</w:t>
            </w:r>
          </w:p>
        </w:tc>
        <w:tc>
          <w:tcPr>
            <w:tcW w:w="131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bidi="ar"/>
              </w:rPr>
            </w:pPr>
            <w:r>
              <w:rPr>
                <w:rFonts w:hint="eastAsia" w:ascii="宋体" w:hAnsi="宋体" w:eastAsia="宋体" w:cs="宋体"/>
                <w:b w:val="0"/>
                <w:bCs/>
                <w:kern w:val="0"/>
                <w:sz w:val="18"/>
                <w:szCs w:val="18"/>
                <w:lang w:val="en-US" w:eastAsia="zh-CN" w:bidi="ar"/>
              </w:rPr>
              <w:t>昌吉州农业局</w:t>
            </w:r>
            <w:r>
              <w:rPr>
                <w:rFonts w:hint="eastAsia" w:ascii="宋体" w:hAnsi="宋体" w:eastAsia="宋体" w:cs="宋体"/>
                <w:b/>
                <w:kern w:val="0"/>
                <w:sz w:val="18"/>
                <w:szCs w:val="18"/>
                <w:lang w:val="en-US" w:eastAsia="zh-CN" w:bidi="ar"/>
              </w:rPr>
              <w:t> </w:t>
            </w:r>
          </w:p>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cs="宋体"/>
                <w:b w:val="0"/>
                <w:bCs/>
                <w:kern w:val="0"/>
                <w:sz w:val="18"/>
                <w:szCs w:val="18"/>
                <w:lang w:val="en-US" w:eastAsia="zh-CN" w:bidi="ar"/>
              </w:rPr>
              <w:t>9月28日</w:t>
            </w:r>
            <w:r>
              <w:rPr>
                <w:rFonts w:hint="eastAsia" w:ascii="宋体" w:hAnsi="宋体" w:eastAsia="宋体" w:cs="宋体"/>
                <w:b/>
                <w:kern w:val="0"/>
                <w:sz w:val="18"/>
                <w:szCs w:val="18"/>
                <w:lang w:val="en-US" w:eastAsia="zh-CN" w:bidi="ar"/>
              </w:rPr>
              <w:t> </w:t>
            </w:r>
          </w:p>
        </w:tc>
        <w:tc>
          <w:tcPr>
            <w:tcW w:w="491"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233" w:hRule="atLeast"/>
        </w:trPr>
        <w:tc>
          <w:tcPr>
            <w:tcW w:w="367"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3</w:t>
            </w:r>
            <w:r>
              <w:rPr>
                <w:rFonts w:hint="eastAsia" w:ascii="宋体" w:hAnsi="宋体" w:eastAsia="宋体" w:cs="宋体"/>
                <w:b/>
                <w:kern w:val="0"/>
                <w:sz w:val="18"/>
                <w:szCs w:val="18"/>
                <w:lang w:val="en-US" w:eastAsia="zh-CN" w:bidi="ar"/>
              </w:rPr>
              <w:t> </w:t>
            </w:r>
          </w:p>
        </w:tc>
        <w:tc>
          <w:tcPr>
            <w:tcW w:w="991" w:type="dxa"/>
            <w:tcBorders>
              <w:top w:val="nil"/>
              <w:left w:val="nil"/>
              <w:bottom w:val="single" w:color="auto" w:sz="8" w:space="0"/>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昌州农（肥料）罚（2016）3号</w:t>
            </w:r>
            <w:r>
              <w:rPr>
                <w:rFonts w:hint="eastAsia" w:ascii="宋体" w:hAnsi="宋体" w:eastAsia="宋体" w:cs="宋体"/>
                <w:b/>
                <w:kern w:val="0"/>
                <w:sz w:val="18"/>
                <w:szCs w:val="18"/>
                <w:lang w:val="en-US" w:eastAsia="zh-CN" w:bidi="ar"/>
              </w:rPr>
              <w:t>  </w:t>
            </w:r>
          </w:p>
        </w:tc>
        <w:tc>
          <w:tcPr>
            <w:tcW w:w="229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sz w:val="18"/>
                <w:szCs w:val="18"/>
              </w:rPr>
            </w:pPr>
            <w:r>
              <w:rPr>
                <w:rFonts w:hint="eastAsia" w:ascii="宋体" w:hAnsi="宋体" w:eastAsia="宋体" w:cs="宋体"/>
                <w:b w:val="0"/>
                <w:bCs/>
                <w:kern w:val="0"/>
                <w:sz w:val="18"/>
                <w:szCs w:val="18"/>
                <w:lang w:val="en-US" w:eastAsia="zh-CN" w:bidi="ar"/>
              </w:rPr>
              <w:t>张锁田销售的</w:t>
            </w:r>
            <w:r>
              <w:rPr>
                <w:rFonts w:hint="eastAsia" w:ascii="宋体" w:hAnsi="宋体" w:cs="宋体"/>
                <w:b w:val="0"/>
                <w:bCs/>
                <w:kern w:val="0"/>
                <w:sz w:val="18"/>
                <w:szCs w:val="18"/>
                <w:lang w:val="en-US" w:eastAsia="zh-CN" w:bidi="ar"/>
              </w:rPr>
              <w:t>农</w:t>
            </w:r>
            <w:r>
              <w:rPr>
                <w:rFonts w:hint="eastAsia" w:ascii="宋体" w:hAnsi="宋体" w:eastAsia="宋体" w:cs="宋体"/>
                <w:b w:val="0"/>
                <w:bCs/>
                <w:kern w:val="0"/>
                <w:sz w:val="18"/>
                <w:szCs w:val="18"/>
                <w:lang w:val="en-US" w:eastAsia="zh-CN" w:bidi="ar"/>
              </w:rPr>
              <w:t>用颗粒钾含量与登记批准的内容不符的肥料</w:t>
            </w:r>
            <w:r>
              <w:rPr>
                <w:rFonts w:hint="eastAsia" w:ascii="宋体" w:hAnsi="宋体" w:cs="宋体"/>
                <w:b w:val="0"/>
                <w:bCs/>
                <w:kern w:val="0"/>
                <w:sz w:val="18"/>
                <w:szCs w:val="18"/>
                <w:lang w:val="en-US" w:eastAsia="zh-CN" w:bidi="ar"/>
              </w:rPr>
              <w:t>案</w:t>
            </w:r>
            <w:r>
              <w:rPr>
                <w:rFonts w:hint="eastAsia" w:ascii="宋体" w:hAnsi="宋体" w:eastAsia="宋体" w:cs="宋体"/>
                <w:b w:val="0"/>
                <w:bCs/>
                <w:kern w:val="0"/>
                <w:sz w:val="18"/>
                <w:szCs w:val="18"/>
                <w:lang w:val="en-US" w:eastAsia="zh-CN" w:bidi="ar"/>
              </w:rPr>
              <w:t> </w:t>
            </w:r>
          </w:p>
        </w:tc>
        <w:tc>
          <w:tcPr>
            <w:tcW w:w="155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sz w:val="18"/>
                <w:szCs w:val="18"/>
              </w:rPr>
            </w:pPr>
            <w:r>
              <w:rPr>
                <w:rFonts w:hint="eastAsia" w:ascii="宋体" w:hAnsi="宋体" w:eastAsia="宋体" w:cs="宋体"/>
                <w:b w:val="0"/>
                <w:bCs/>
                <w:kern w:val="0"/>
                <w:sz w:val="18"/>
                <w:szCs w:val="18"/>
                <w:lang w:val="en-US" w:eastAsia="zh-CN" w:bidi="ar"/>
              </w:rPr>
              <w:t>张锁田 </w:t>
            </w:r>
          </w:p>
        </w:tc>
        <w:tc>
          <w:tcPr>
            <w:tcW w:w="970"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无</w:t>
            </w:r>
          </w:p>
        </w:tc>
        <w:tc>
          <w:tcPr>
            <w:tcW w:w="1026"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cs="宋体"/>
                <w:b w:val="0"/>
                <w:bCs/>
                <w:kern w:val="0"/>
                <w:sz w:val="18"/>
                <w:szCs w:val="18"/>
                <w:lang w:val="en-US" w:eastAsia="zh-CN" w:bidi="ar"/>
              </w:rPr>
              <w:t>无</w:t>
            </w:r>
            <w:r>
              <w:rPr>
                <w:rFonts w:hint="eastAsia" w:ascii="宋体" w:hAnsi="宋体" w:eastAsia="宋体" w:cs="宋体"/>
                <w:b/>
                <w:kern w:val="0"/>
                <w:sz w:val="18"/>
                <w:szCs w:val="18"/>
                <w:lang w:val="en-US" w:eastAsia="zh-CN" w:bidi="ar"/>
              </w:rPr>
              <w:t> </w:t>
            </w:r>
          </w:p>
        </w:tc>
        <w:tc>
          <w:tcPr>
            <w:tcW w:w="1512" w:type="dxa"/>
            <w:tcBorders>
              <w:top w:val="nil"/>
              <w:left w:val="nil"/>
              <w:bottom w:val="single" w:color="auto" w:sz="8" w:space="0"/>
              <w:right w:val="single" w:color="auto" w:sz="8" w:space="0"/>
            </w:tcBorders>
            <w:tcMar>
              <w:left w:w="108" w:type="dxa"/>
              <w:right w:w="108" w:type="dxa"/>
            </w:tcMar>
            <w:textDirection w:val="lrTb"/>
            <w:vAlign w:val="top"/>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销售的</w:t>
            </w:r>
            <w:r>
              <w:rPr>
                <w:rFonts w:hint="eastAsia" w:ascii="宋体" w:hAnsi="宋体" w:cs="宋体"/>
                <w:b w:val="0"/>
                <w:bCs/>
                <w:kern w:val="0"/>
                <w:sz w:val="18"/>
                <w:szCs w:val="18"/>
                <w:lang w:val="en-US" w:eastAsia="zh-CN" w:bidi="ar"/>
              </w:rPr>
              <w:t>农</w:t>
            </w:r>
            <w:r>
              <w:rPr>
                <w:rFonts w:hint="eastAsia" w:ascii="宋体" w:hAnsi="宋体" w:eastAsia="宋体" w:cs="宋体"/>
                <w:b w:val="0"/>
                <w:bCs/>
                <w:kern w:val="0"/>
                <w:sz w:val="18"/>
                <w:szCs w:val="18"/>
                <w:lang w:val="en-US" w:eastAsia="zh-CN" w:bidi="ar"/>
              </w:rPr>
              <w:t>用颗粒钾含量与登记批准的内容不符的肥料</w:t>
            </w:r>
          </w:p>
        </w:tc>
        <w:tc>
          <w:tcPr>
            <w:tcW w:w="1027" w:type="dxa"/>
            <w:tcBorders>
              <w:top w:val="nil"/>
              <w:left w:val="nil"/>
              <w:bottom w:val="single" w:color="auto" w:sz="8" w:space="0"/>
              <w:right w:val="single" w:color="auto" w:sz="8" w:space="0"/>
            </w:tcBorders>
            <w:tcMar>
              <w:left w:w="108" w:type="dxa"/>
              <w:right w:w="108" w:type="dxa"/>
            </w:tcMar>
            <w:textDirection w:val="lrTb"/>
            <w:vAlign w:val="top"/>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rPr>
            </w:pPr>
            <w:r>
              <w:rPr>
                <w:rFonts w:hint="eastAsia" w:ascii="宋体" w:hAnsi="宋体" w:eastAsia="宋体" w:cs="宋体"/>
                <w:b w:val="0"/>
                <w:bCs/>
                <w:kern w:val="0"/>
                <w:sz w:val="18"/>
                <w:szCs w:val="18"/>
                <w:lang w:val="en-US" w:eastAsia="zh-CN" w:bidi="ar"/>
              </w:rPr>
              <w:t>警告</w:t>
            </w:r>
            <w:r>
              <w:rPr>
                <w:rFonts w:hint="eastAsia" w:ascii="宋体" w:hAnsi="宋体" w:cs="宋体"/>
                <w:b w:val="0"/>
                <w:bCs/>
                <w:kern w:val="0"/>
                <w:sz w:val="18"/>
                <w:szCs w:val="18"/>
                <w:lang w:val="en-US" w:eastAsia="zh-CN" w:bidi="ar"/>
              </w:rPr>
              <w:t>、罚款；</w:t>
            </w:r>
            <w:r>
              <w:rPr>
                <w:rFonts w:hint="eastAsia" w:ascii="宋体" w:hAnsi="宋体" w:eastAsia="宋体" w:cs="宋体"/>
                <w:b w:val="0"/>
                <w:bCs/>
                <w:kern w:val="0"/>
                <w:sz w:val="18"/>
                <w:szCs w:val="18"/>
                <w:lang w:val="en-US" w:eastAsia="zh-CN" w:bidi="ar"/>
              </w:rPr>
              <w:t>肥料登记管理办法</w:t>
            </w:r>
            <w:r>
              <w:rPr>
                <w:rFonts w:hint="eastAsia" w:ascii="宋体" w:hAnsi="宋体" w:eastAsia="宋体" w:cs="宋体"/>
                <w:b/>
                <w:kern w:val="0"/>
                <w:sz w:val="18"/>
                <w:szCs w:val="18"/>
                <w:lang w:val="en-US" w:eastAsia="zh-CN" w:bidi="ar"/>
              </w:rPr>
              <w:t> </w:t>
            </w:r>
          </w:p>
        </w:tc>
        <w:tc>
          <w:tcPr>
            <w:tcW w:w="2688"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cs="宋体"/>
                <w:sz w:val="21"/>
                <w:szCs w:val="21"/>
                <w:lang w:eastAsia="zh-CN"/>
              </w:rPr>
              <w:t>同上</w:t>
            </w:r>
          </w:p>
        </w:tc>
        <w:tc>
          <w:tcPr>
            <w:tcW w:w="1317"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bidi="ar"/>
              </w:rPr>
            </w:pPr>
            <w:r>
              <w:rPr>
                <w:rFonts w:hint="eastAsia" w:ascii="宋体" w:hAnsi="宋体" w:eastAsia="宋体" w:cs="宋体"/>
                <w:b w:val="0"/>
                <w:bCs/>
                <w:kern w:val="0"/>
                <w:sz w:val="18"/>
                <w:szCs w:val="18"/>
                <w:lang w:val="en-US" w:eastAsia="zh-CN" w:bidi="ar"/>
              </w:rPr>
              <w:t>昌吉州农业局</w:t>
            </w:r>
            <w:r>
              <w:rPr>
                <w:rFonts w:hint="eastAsia" w:ascii="宋体" w:hAnsi="宋体" w:eastAsia="宋体" w:cs="宋体"/>
                <w:b/>
                <w:kern w:val="0"/>
                <w:sz w:val="18"/>
                <w:szCs w:val="18"/>
                <w:lang w:val="en-US" w:eastAsia="zh-CN" w:bidi="ar"/>
              </w:rPr>
              <w:t> </w:t>
            </w:r>
          </w:p>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cs="宋体"/>
                <w:b w:val="0"/>
                <w:bCs/>
                <w:kern w:val="0"/>
                <w:sz w:val="18"/>
                <w:szCs w:val="18"/>
                <w:lang w:val="en-US" w:eastAsia="zh-CN" w:bidi="ar"/>
              </w:rPr>
              <w:t>9月28日</w:t>
            </w:r>
            <w:r>
              <w:rPr>
                <w:rFonts w:hint="eastAsia" w:ascii="宋体" w:hAnsi="宋体" w:eastAsia="宋体" w:cs="宋体"/>
                <w:b/>
                <w:kern w:val="0"/>
                <w:sz w:val="18"/>
                <w:szCs w:val="18"/>
                <w:lang w:val="en-US" w:eastAsia="zh-CN" w:bidi="ar"/>
              </w:rPr>
              <w:t> </w:t>
            </w:r>
          </w:p>
        </w:tc>
        <w:tc>
          <w:tcPr>
            <w:tcW w:w="491" w:type="dxa"/>
            <w:tcBorders>
              <w:top w:val="nil"/>
              <w:left w:val="nil"/>
              <w:bottom w:val="single" w:color="auto" w:sz="8" w:space="0"/>
              <w:right w:val="single" w:color="auto" w:sz="8" w:space="0"/>
            </w:tcBorders>
            <w:tcMar>
              <w:left w:w="108" w:type="dxa"/>
              <w:right w:w="108" w:type="dxa"/>
            </w:tcMar>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kern w:val="0"/>
                <w:sz w:val="18"/>
                <w:szCs w:val="18"/>
                <w:lang w:val="en-US" w:eastAsia="zh-CN" w:bidi="ar"/>
              </w:rPr>
              <w:t> </w:t>
            </w:r>
          </w:p>
        </w:tc>
      </w:tr>
    </w:tbl>
    <w:p>
      <w:pPr>
        <w:rPr>
          <w:rFonts w:hint="eastAsia" w:ascii="宋体" w:hAnsi="宋体" w:eastAsia="宋体" w:cs="宋体"/>
          <w:sz w:val="13"/>
          <w:szCs w:val="13"/>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EAF2E"/>
    <w:multiLevelType w:val="singleLevel"/>
    <w:tmpl w:val="580EAF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A61E9"/>
    <w:rsid w:val="71DA61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2016-12-06T04:57:00Z</dcterms:created>
  <dc:creator>Administrator</dc:creator>
  <cp:lastModifiedBy>Administrator</cp:lastModifiedBy>
  <dcterms:modified xsi:type="dcterms:W3CDTF">2016-12-06T04:58:02Z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