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 w:cs="宋体"/>
          <w:b/>
          <w:bCs/>
          <w:color w:val="000000"/>
          <w:sz w:val="32"/>
          <w:szCs w:val="32"/>
          <w:lang w:eastAsia="zh-CN"/>
        </w:rPr>
        <w:t>新疆神火环保治理设施建设及运行情况</w:t>
      </w:r>
      <w:bookmarkStart w:id="0" w:name="_GoBack"/>
      <w:bookmarkEnd w:id="0"/>
    </w:p>
    <w:p>
      <w:r>
        <w:rPr>
          <w:rFonts w:hint="eastAsia" w:ascii="仿宋_GB2312" w:eastAsia="仿宋_GB2312" w:cs="宋体"/>
          <w:color w:val="000000"/>
          <w:sz w:val="32"/>
          <w:szCs w:val="32"/>
        </w:rPr>
        <w:t>新疆神火煤电有限公司年产80万吨铝合金项目，是河南神火集团公司按照新疆维吾尔自治区建设“煤-电-冶”产业链，把煤转化成电，电转化成产业的总体发展思路投资兴建。4×350MW间接空冷超临界自备发电机组项目，由新疆神火煤电有限公司投资建设，主体工程由西北电力设计院负责设计，设计煤种年耗煤量533万吨。接入系统采用220KV出线两回接入五彩湾变电站220KV侧。本工程采用两台双室四电场电气除尘器，要求除尘效率为99.</w:t>
      </w:r>
      <w:r>
        <w:rPr>
          <w:rFonts w:hint="eastAsia" w:ascii="仿宋_GB2312" w:eastAsia="仿宋_GB2312" w:cs="宋体"/>
          <w:color w:val="000000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 w:cs="宋体"/>
          <w:color w:val="000000"/>
          <w:sz w:val="32"/>
          <w:szCs w:val="32"/>
        </w:rPr>
        <w:t>％。</w:t>
      </w:r>
      <w:r>
        <w:rPr>
          <w:rFonts w:hint="eastAsia" w:ascii="仿宋_GB2312" w:hAnsi="宋体" w:eastAsia="仿宋_GB2312"/>
          <w:sz w:val="32"/>
          <w:szCs w:val="32"/>
        </w:rPr>
        <w:t>采用石灰石-石膏湿法脱硫，脱硫效率不低于96%，采用微油点火和间接空冷技术，两台机组共设一座自然通风冷却塔，塔高170米。采用低氮燃烧器及选择性催化还原烟气脱硝工艺，烟囱高度210米，烟囱内筒采用钛钢复合材料防腐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目前各环保治理设施运行正常，</w:t>
      </w:r>
      <w:r>
        <w:rPr>
          <w:rFonts w:hint="eastAsia" w:ascii="仿宋_GB2312" w:hAnsi="宋体" w:eastAsia="仿宋_GB2312"/>
          <w:sz w:val="32"/>
          <w:szCs w:val="32"/>
        </w:rPr>
        <w:t>各项污染物排放可满足环保要求。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CC1D5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liuhui</dc:creator>
  <cp:lastModifiedBy>liuhui</cp:lastModifiedBy>
  <dcterms:modified xsi:type="dcterms:W3CDTF">2016-10-21T08:34:43Z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