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新疆中泰矿冶有限公司自备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电厂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环保设施情况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一、公司基本情况</w:t>
      </w:r>
    </w:p>
    <w:p>
      <w:pPr>
        <w:spacing w:line="5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新疆中泰矿冶有限公司为新疆中泰(集团)有限责任公司下设新疆中泰化学股份有限公司所属全资子公司，</w:t>
      </w:r>
      <w:r>
        <w:rPr>
          <w:rFonts w:hint="eastAsia" w:ascii="仿宋_GB2312" w:hAnsi="Calibri" w:eastAsia="仿宋_GB2312" w:cs="Times New Roman"/>
          <w:sz w:val="32"/>
          <w:szCs w:val="32"/>
        </w:rPr>
        <w:t>成立于2007年6月，注册资本6.75亿元。公司位于新疆维吾尔自治区昌吉州阜康产业园，主营电石生产与销售，总资产56.7亿元。为贯彻实施自治区优势资源转换战略，公司抢抓第一次中央新疆工作座谈会的难得机遇，于2011年3月投资53亿元，两年内在阜康产业园建成100万吨/年电石项目及配套4×150MW自备电循环经济项目，形成年产130万吨电石、60万千瓦装机。</w:t>
      </w:r>
    </w:p>
    <w:p>
      <w:pPr>
        <w:widowControl/>
        <w:spacing w:line="5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二、自备电站</w:t>
      </w:r>
      <w:r>
        <w:rPr>
          <w:rFonts w:hint="eastAsia" w:ascii="仿宋_GB2312" w:hAnsi="宋体" w:eastAsia="仿宋_GB2312"/>
          <w:b/>
          <w:sz w:val="32"/>
          <w:szCs w:val="32"/>
        </w:rPr>
        <w:t>环保设施建设现状</w:t>
      </w:r>
    </w:p>
    <w:p>
      <w:pPr>
        <w:widowControl/>
        <w:spacing w:line="5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我公司自开发建设以来，严格按照国家环保法律法规的要求建设相应的环保设施。目前，公司投资3.6亿元</w:t>
      </w:r>
      <w:r>
        <w:rPr>
          <w:rFonts w:hint="eastAsia" w:ascii="仿宋_GB2312" w:hAnsi="宋体" w:eastAsia="仿宋_GB2312" w:cs="Times New Roman"/>
          <w:sz w:val="32"/>
          <w:szCs w:val="32"/>
        </w:rPr>
        <w:t>已建成的脱硫设施、脱硝设施、静电除尘设施等环保设施均投入运行。</w:t>
      </w:r>
    </w:p>
    <w:p>
      <w:pPr>
        <w:widowControl/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（一）脱硫装置情况</w:t>
      </w:r>
    </w:p>
    <w:p>
      <w:pPr>
        <w:spacing w:line="500" w:lineRule="exact"/>
        <w:ind w:firstLine="800" w:firstLineChars="25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公司投资1.46亿元由福建龙净环保股份有限公司建设石灰石－石膏湿法脱硫装置。本工程采用一炉一塔设计，不设置烟气旁路烟道。同时安装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八</w:t>
      </w:r>
      <w:r>
        <w:rPr>
          <w:rFonts w:hint="eastAsia" w:ascii="仿宋_GB2312" w:hAnsi="Calibri" w:eastAsia="仿宋_GB2312" w:cs="Times New Roman"/>
          <w:sz w:val="32"/>
          <w:szCs w:val="32"/>
        </w:rPr>
        <w:t>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脱硫</w:t>
      </w:r>
      <w:r>
        <w:rPr>
          <w:rFonts w:hint="eastAsia" w:ascii="仿宋_GB2312" w:hAnsi="Calibri" w:eastAsia="仿宋_GB2312" w:cs="Times New Roman"/>
          <w:sz w:val="32"/>
          <w:szCs w:val="32"/>
        </w:rPr>
        <w:t>烟气连续排放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监测设施</w:t>
      </w:r>
      <w:r>
        <w:rPr>
          <w:rFonts w:hint="eastAsia" w:ascii="仿宋_GB2312" w:hAnsi="Calibri" w:eastAsia="仿宋_GB2312" w:cs="Times New Roman"/>
          <w:sz w:val="32"/>
          <w:szCs w:val="32"/>
        </w:rPr>
        <w:t>，全面监控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二氧化硫排放浓度。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</w:rPr>
        <w:t>脱硫塔单塔处理能力为1×540t/h锅炉额定工况时110%的烟气量</w:t>
      </w:r>
      <w:r>
        <w:rPr>
          <w:rFonts w:hint="eastAsia" w:ascii="仿宋_GB2312" w:hAnsi="Calibri" w:eastAsia="仿宋_GB2312" w:cs="Times New Roman"/>
          <w:sz w:val="32"/>
          <w:szCs w:val="32"/>
        </w:rPr>
        <w:t>。四台发电机组与配套的脱硫吸收塔分别于</w:t>
      </w:r>
      <w:r>
        <w:rPr>
          <w:rFonts w:hint="eastAsia" w:ascii="仿宋_GB2312" w:hAnsi="宋体" w:eastAsia="仿宋_GB2312" w:cs="Times New Roman"/>
          <w:sz w:val="32"/>
          <w:szCs w:val="32"/>
        </w:rPr>
        <w:t>2012年9月14日、2012年12月9日、2012年12月27日、2013年1月23日</w:t>
      </w:r>
      <w:r>
        <w:rPr>
          <w:rFonts w:hint="eastAsia" w:ascii="仿宋_GB2312" w:hAnsi="Calibri" w:eastAsia="仿宋_GB2312" w:cs="Times New Roman"/>
          <w:sz w:val="32"/>
          <w:szCs w:val="32"/>
        </w:rPr>
        <w:t>投入运行，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脱硫效率可达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</w:rPr>
        <w:t>95%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以上，二氧化硫排放浓度符合国家2014年7月1日实施的新标准</w:t>
      </w:r>
      <w:r>
        <w:rPr>
          <w:rFonts w:hint="eastAsia" w:ascii="仿宋_GB2312" w:eastAsia="仿宋_GB2312"/>
          <w:sz w:val="32"/>
          <w:szCs w:val="32"/>
        </w:rPr>
        <w:t>。11月28日脱硫装置已</w:t>
      </w:r>
      <w:r>
        <w:rPr>
          <w:rFonts w:hint="eastAsia" w:ascii="仿宋_GB2312" w:hAnsi="Calibri" w:eastAsia="仿宋_GB2312" w:cs="Times New Roman"/>
          <w:sz w:val="32"/>
          <w:szCs w:val="32"/>
        </w:rPr>
        <w:t>通过自治区环保厅组织的环保验收。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脱硫塔所使用吸收剂为电石厂石灰上料</w:t>
      </w:r>
      <w:r>
        <w:rPr>
          <w:rFonts w:hint="eastAsia" w:ascii="Calibri" w:hAnsi="Calibri" w:eastAsia="仿宋_GB2312" w:cs="Times New Roman"/>
          <w:color w:val="000000"/>
          <w:sz w:val="32"/>
          <w:szCs w:val="32"/>
          <w:lang w:val="en-GB"/>
        </w:rPr>
        <w:t>过程中产生的石灰废料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除尘器所捕集粉尘及振动筛下物石灰粉、颗粒</w:t>
      </w:r>
      <w:r>
        <w:rPr>
          <w:rFonts w:hint="eastAsia" w:ascii="仿宋_GB2312" w:eastAsia="仿宋_GB2312"/>
          <w:sz w:val="32"/>
          <w:szCs w:val="32"/>
        </w:rPr>
        <w:t>（主要成分为氧化钙）。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其量可满足我自备电站脱硫系统吸收剂用量。</w:t>
      </w:r>
      <w:r>
        <w:rPr>
          <w:rFonts w:hint="eastAsia" w:ascii="仿宋_GB2312" w:eastAsia="仿宋_GB2312"/>
          <w:sz w:val="32"/>
          <w:szCs w:val="32"/>
        </w:rPr>
        <w:t>实现了本公司内部废弃石灰粉的再利用，脱硫石膏则由合同单位阜康市龙鑫商贸有限公司拉运处理。</w:t>
      </w:r>
    </w:p>
    <w:p>
      <w:pPr>
        <w:spacing w:line="500" w:lineRule="exact"/>
        <w:ind w:firstLine="643" w:firstLineChars="200"/>
        <w:rPr>
          <w:rFonts w:ascii="仿宋_GB2312" w:hAnsi="宋体" w:eastAsia="仿宋_GB2312" w:cs="Times New Roman"/>
          <w:b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napToGrid w:val="0"/>
          <w:kern w:val="0"/>
          <w:sz w:val="32"/>
          <w:szCs w:val="32"/>
        </w:rPr>
        <w:t>（二）脱硝装置情况</w:t>
      </w:r>
    </w:p>
    <w:p>
      <w:pPr>
        <w:spacing w:line="5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我公司脱硝装置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选用由湖南永清环保</w:t>
      </w:r>
      <w:r>
        <w:rPr>
          <w:rFonts w:hint="eastAsia" w:ascii="仿宋_GB2312" w:hAnsi="宋体" w:eastAsia="仿宋_GB2312" w:cs="Times New Roman"/>
          <w:sz w:val="32"/>
          <w:szCs w:val="32"/>
        </w:rPr>
        <w:t>股份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有限公司设计承建。</w:t>
      </w:r>
      <w:r>
        <w:rPr>
          <w:rFonts w:hint="eastAsia" w:ascii="仿宋_GB2312" w:hAnsi="Calibri" w:eastAsia="仿宋_GB2312" w:cs="Times New Roman"/>
          <w:sz w:val="32"/>
          <w:szCs w:val="32"/>
        </w:rPr>
        <w:t>采用选择性催化还原法(SCR) +LNB+引风机改造技术路线。</w:t>
      </w:r>
      <w:r>
        <w:rPr>
          <w:rFonts w:hint="eastAsia" w:ascii="仿宋_GB2312" w:hAnsi="宋体" w:eastAsia="仿宋_GB2312" w:cs="Times New Roman"/>
          <w:sz w:val="32"/>
          <w:szCs w:val="32"/>
        </w:rPr>
        <w:t>SCR反应器采用高灰性工艺布置（即反应器布置在锅炉省煤器与空气预热器之间）。四台机组脱硝装置公用一套液氨储存与供应系统。</w:t>
      </w:r>
      <w:r>
        <w:rPr>
          <w:rFonts w:hint="eastAsia" w:ascii="仿宋_GB2312" w:hAnsi="Calibri" w:eastAsia="仿宋_GB2312" w:cs="Times New Roman"/>
          <w:sz w:val="32"/>
          <w:szCs w:val="32"/>
        </w:rPr>
        <w:t>同时安装十六套脱硝烟气连续排放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监测设施</w:t>
      </w:r>
      <w:r>
        <w:rPr>
          <w:rFonts w:hint="eastAsia" w:ascii="仿宋_GB2312" w:hAnsi="Calibri" w:eastAsia="仿宋_GB2312" w:cs="Times New Roman"/>
          <w:sz w:val="32"/>
          <w:szCs w:val="32"/>
        </w:rPr>
        <w:t>，全面监控氮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氧化物排放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浓度。</w:t>
      </w:r>
      <w:r>
        <w:rPr>
          <w:rFonts w:hint="eastAsia" w:ascii="仿宋_GB2312" w:hAnsi="Calibri" w:eastAsia="仿宋_GB2312" w:cs="Times New Roman"/>
          <w:sz w:val="32"/>
          <w:szCs w:val="32"/>
        </w:rPr>
        <w:t>目前，氮氧化物排放指标符合《GB 13223-2011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>火电厂大气污染排放标准》。该系统无其他副产品。</w:t>
      </w:r>
    </w:p>
    <w:p>
      <w:pPr>
        <w:spacing w:line="500" w:lineRule="exact"/>
        <w:ind w:firstLine="64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静电除尘运行情况</w:t>
      </w:r>
    </w:p>
    <w:p>
      <w:pPr>
        <w:pStyle w:val="12"/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我公司</w:t>
      </w:r>
      <w:r>
        <w:rPr>
          <w:rFonts w:hint="eastAsia" w:ascii="仿宋_GB2312" w:hAnsi="Calibri" w:eastAsia="仿宋_GB2312" w:cs="Times New Roman"/>
          <w:sz w:val="32"/>
          <w:szCs w:val="32"/>
        </w:rPr>
        <w:t>投资3495万元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采用浙江康兴环保设备有限公司的双室四电场静电除尘器，每台锅炉配一套。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除尘效率可达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99.8%。电除尘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收集的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除尘灰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由压缩空气将其送至干灰库（电站共计有三个灰库），然后由合同单位阜康市龙鑫商贸有限公司拉运处理，实现再利用。</w:t>
      </w:r>
    </w:p>
    <w:p>
      <w:pPr>
        <w:spacing w:line="500" w:lineRule="exact"/>
        <w:ind w:firstLine="640" w:firstLineChars="200"/>
        <w:rPr>
          <w:rFonts w:ascii="仿宋_GB2312" w:hAnsi="宋体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</w:rPr>
        <w:t>“安全第一、环保优先”是集团公司安全环保发展的理念，也是我公司做好环保工作的方向指南。今后，我公司将进一步落实环保工作责任制，严格遵守国家和地方环境保护的法律、法规，不断提高各级人员的环保意识和管理水平，严格落实各项环境保护工作，以不断提高企业的竞争力，增强企业社会责任感，实现环保可持续发展。</w:t>
      </w:r>
    </w:p>
    <w:p>
      <w:pPr>
        <w:spacing w:line="500" w:lineRule="exact"/>
        <w:jc w:val="center"/>
        <w:rPr>
          <w:rFonts w:ascii="仿宋_GB2312" w:hAnsi="宋体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</w:rPr>
        <w:t xml:space="preserve">       </w:t>
      </w:r>
    </w:p>
    <w:p>
      <w:pPr>
        <w:spacing w:line="500" w:lineRule="exact"/>
        <w:jc w:val="center"/>
        <w:rPr>
          <w:rFonts w:ascii="仿宋_GB2312" w:hAnsi="宋体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</w:rPr>
        <w:t xml:space="preserve">                       新疆中泰矿冶有限公司</w:t>
      </w:r>
      <w:r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  <w:lang w:eastAsia="zh-CN"/>
        </w:rPr>
        <w:t>自备电厂</w:t>
      </w:r>
    </w:p>
    <w:p>
      <w:pPr>
        <w:spacing w:line="500" w:lineRule="exact"/>
        <w:jc w:val="center"/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</w:rPr>
        <w:t xml:space="preserve">                        二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二十一</w:t>
      </w:r>
      <w:r>
        <w:rPr>
          <w:rFonts w:hint="eastAsia" w:ascii="仿宋_GB2312" w:hAnsi="宋体" w:eastAsia="仿宋_GB2312" w:cs="Times New Roman"/>
          <w:snapToGrid w:val="0"/>
          <w:kern w:val="0"/>
          <w:sz w:val="32"/>
          <w:szCs w:val="32"/>
        </w:rPr>
        <w:t>日</w:t>
      </w:r>
    </w:p>
    <w:p>
      <w:pPr>
        <w:spacing w:line="5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2CF"/>
    <w:rsid w:val="00025CC2"/>
    <w:rsid w:val="000265B8"/>
    <w:rsid w:val="0003284A"/>
    <w:rsid w:val="00040D8E"/>
    <w:rsid w:val="0004375D"/>
    <w:rsid w:val="000B2CC2"/>
    <w:rsid w:val="00145072"/>
    <w:rsid w:val="0015694A"/>
    <w:rsid w:val="00183BCB"/>
    <w:rsid w:val="001D2CDA"/>
    <w:rsid w:val="00226108"/>
    <w:rsid w:val="002329C4"/>
    <w:rsid w:val="0024089D"/>
    <w:rsid w:val="002B4152"/>
    <w:rsid w:val="002C1C8D"/>
    <w:rsid w:val="00305499"/>
    <w:rsid w:val="00340595"/>
    <w:rsid w:val="00376572"/>
    <w:rsid w:val="00385BD4"/>
    <w:rsid w:val="003862CF"/>
    <w:rsid w:val="003863A5"/>
    <w:rsid w:val="00415F3B"/>
    <w:rsid w:val="00473B2A"/>
    <w:rsid w:val="00485F19"/>
    <w:rsid w:val="004C0971"/>
    <w:rsid w:val="004F171A"/>
    <w:rsid w:val="005020D3"/>
    <w:rsid w:val="00524C90"/>
    <w:rsid w:val="00580FBF"/>
    <w:rsid w:val="005874DB"/>
    <w:rsid w:val="005877C0"/>
    <w:rsid w:val="005E38CB"/>
    <w:rsid w:val="005E7B6D"/>
    <w:rsid w:val="00610087"/>
    <w:rsid w:val="00613DF1"/>
    <w:rsid w:val="0061486D"/>
    <w:rsid w:val="00626FE5"/>
    <w:rsid w:val="006271B7"/>
    <w:rsid w:val="00672329"/>
    <w:rsid w:val="006F6413"/>
    <w:rsid w:val="00703EEB"/>
    <w:rsid w:val="00717DA9"/>
    <w:rsid w:val="0073085E"/>
    <w:rsid w:val="007461F3"/>
    <w:rsid w:val="00767E5D"/>
    <w:rsid w:val="0077750F"/>
    <w:rsid w:val="00780D65"/>
    <w:rsid w:val="007D1F42"/>
    <w:rsid w:val="007E3360"/>
    <w:rsid w:val="00806F87"/>
    <w:rsid w:val="00844656"/>
    <w:rsid w:val="0085476A"/>
    <w:rsid w:val="008B5E6E"/>
    <w:rsid w:val="008C4B70"/>
    <w:rsid w:val="008F3F9A"/>
    <w:rsid w:val="008F5760"/>
    <w:rsid w:val="00923EBF"/>
    <w:rsid w:val="009269B0"/>
    <w:rsid w:val="00940B44"/>
    <w:rsid w:val="009460D1"/>
    <w:rsid w:val="009576AB"/>
    <w:rsid w:val="009670BE"/>
    <w:rsid w:val="009C1610"/>
    <w:rsid w:val="009E13B4"/>
    <w:rsid w:val="00A542E7"/>
    <w:rsid w:val="00A73354"/>
    <w:rsid w:val="00B03DC3"/>
    <w:rsid w:val="00B17DC5"/>
    <w:rsid w:val="00B7301F"/>
    <w:rsid w:val="00B776DF"/>
    <w:rsid w:val="00B93A42"/>
    <w:rsid w:val="00BC768A"/>
    <w:rsid w:val="00BD718E"/>
    <w:rsid w:val="00BF134A"/>
    <w:rsid w:val="00C808A7"/>
    <w:rsid w:val="00CE2CE6"/>
    <w:rsid w:val="00D3177F"/>
    <w:rsid w:val="00D6710D"/>
    <w:rsid w:val="00D75AF2"/>
    <w:rsid w:val="00D92D7A"/>
    <w:rsid w:val="00D94AD6"/>
    <w:rsid w:val="00DF0B74"/>
    <w:rsid w:val="00E20929"/>
    <w:rsid w:val="00E311D1"/>
    <w:rsid w:val="00E33075"/>
    <w:rsid w:val="00E43FC9"/>
    <w:rsid w:val="00F32A23"/>
    <w:rsid w:val="00F740AC"/>
    <w:rsid w:val="00F82151"/>
    <w:rsid w:val="00FB2CC1"/>
    <w:rsid w:val="1B5E2F65"/>
    <w:rsid w:val="769D707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2 Char"/>
    <w:basedOn w:val="6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515E28-6798-4FE7-8961-908079448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2383</Characters>
  <Lines>19</Lines>
  <Paragraphs>5</Paragraphs>
  <ScaleCrop>false</ScaleCrop>
  <LinksUpToDate>false</LinksUpToDate>
  <CharactersWithSpaces>2796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2015-01-06T03:49:00Z</dcterms:created>
  <dc:creator>李强3</dc:creator>
  <cp:lastModifiedBy>Administrator</cp:lastModifiedBy>
  <dcterms:modified xsi:type="dcterms:W3CDTF">2016-10-21T10:05:36Z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