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22F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highlight w:val="none"/>
          <w:lang w:val="en-US" w:eastAsia="zh-CN"/>
        </w:rPr>
      </w:pPr>
    </w:p>
    <w:p w14:paraId="294978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highlight w:val="none"/>
          <w:lang w:val="en-US" w:eastAsia="zh-CN"/>
        </w:rPr>
      </w:pPr>
      <w:r>
        <w:rPr>
          <w:rFonts w:hint="eastAsia" w:ascii="方正小标宋简体" w:hAnsi="方正小标宋简体" w:eastAsia="方正小标宋_GBK" w:cs="方正小标宋简体"/>
          <w:spacing w:val="11"/>
          <w:kern w:val="10"/>
          <w:sz w:val="44"/>
          <w:szCs w:val="44"/>
          <w:highlight w:val="none"/>
          <w:lang w:val="en-US" w:eastAsia="zh-CN"/>
        </w:rPr>
        <w:t>昌吉回族自治州</w:t>
      </w:r>
      <w:r>
        <w:rPr>
          <w:rFonts w:hint="eastAsia" w:ascii="方正小标宋简体" w:hAnsi="方正小标宋简体" w:eastAsia="方正小标宋_GBK" w:cs="方正小标宋简体"/>
          <w:spacing w:val="11"/>
          <w:kern w:val="10"/>
          <w:sz w:val="44"/>
          <w:szCs w:val="44"/>
          <w:highlight w:val="none"/>
          <w:lang w:eastAsia="zh-CN"/>
        </w:rPr>
        <w:t>定点医药机构</w:t>
      </w:r>
      <w:r>
        <w:rPr>
          <w:rFonts w:hint="eastAsia" w:ascii="方正小标宋简体" w:hAnsi="方正小标宋简体" w:eastAsia="方正小标宋_GBK" w:cs="方正小标宋简体"/>
          <w:spacing w:val="11"/>
          <w:kern w:val="10"/>
          <w:sz w:val="44"/>
          <w:szCs w:val="44"/>
          <w:highlight w:val="none"/>
          <w:lang w:val="en-US" w:eastAsia="zh-CN"/>
        </w:rPr>
        <w:t>医疗保障</w:t>
      </w:r>
    </w:p>
    <w:p w14:paraId="7102B7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_GBK" w:cs="方正小标宋简体"/>
          <w:spacing w:val="11"/>
          <w:kern w:val="10"/>
          <w:sz w:val="44"/>
          <w:szCs w:val="44"/>
          <w:highlight w:val="none"/>
        </w:rPr>
      </w:pPr>
      <w:r>
        <w:rPr>
          <w:rFonts w:hint="eastAsia" w:ascii="方正小标宋简体" w:hAnsi="方正小标宋简体" w:eastAsia="方正小标宋_GBK" w:cs="方正小标宋简体"/>
          <w:spacing w:val="11"/>
          <w:kern w:val="10"/>
          <w:sz w:val="44"/>
          <w:szCs w:val="44"/>
          <w:highlight w:val="none"/>
          <w:lang w:eastAsia="zh-CN"/>
        </w:rPr>
        <w:t>信用</w:t>
      </w:r>
      <w:r>
        <w:rPr>
          <w:rFonts w:hint="eastAsia" w:ascii="方正小标宋简体" w:hAnsi="方正小标宋简体" w:eastAsia="方正小标宋_GBK" w:cs="方正小标宋简体"/>
          <w:spacing w:val="11"/>
          <w:kern w:val="10"/>
          <w:sz w:val="44"/>
          <w:szCs w:val="44"/>
          <w:highlight w:val="none"/>
          <w:lang w:val="en-US" w:eastAsia="zh-CN"/>
        </w:rPr>
        <w:t>评价</w:t>
      </w:r>
      <w:bookmarkStart w:id="2" w:name="_GoBack"/>
      <w:bookmarkEnd w:id="2"/>
      <w:r>
        <w:rPr>
          <w:rFonts w:hint="eastAsia" w:ascii="方正小标宋简体" w:hAnsi="方正小标宋简体" w:eastAsia="方正小标宋_GBK" w:cs="方正小标宋简体"/>
          <w:spacing w:val="11"/>
          <w:kern w:val="10"/>
          <w:sz w:val="44"/>
          <w:szCs w:val="44"/>
          <w:highlight w:val="none"/>
          <w:lang w:val="en-US" w:eastAsia="zh-CN"/>
        </w:rPr>
        <w:t>实</w:t>
      </w:r>
      <w:r>
        <w:rPr>
          <w:rFonts w:hint="eastAsia" w:ascii="方正小标宋简体" w:hAnsi="方正小标宋简体" w:eastAsia="方正小标宋_GBK" w:cs="方正小标宋简体"/>
          <w:spacing w:val="11"/>
          <w:kern w:val="10"/>
          <w:sz w:val="44"/>
          <w:szCs w:val="44"/>
          <w:highlight w:val="none"/>
          <w:lang w:eastAsia="zh-CN"/>
        </w:rPr>
        <w:t>施细则（</w:t>
      </w:r>
      <w:r>
        <w:rPr>
          <w:rFonts w:hint="eastAsia" w:ascii="方正小标宋简体" w:hAnsi="方正小标宋简体" w:eastAsia="方正小标宋_GBK" w:cs="方正小标宋简体"/>
          <w:spacing w:val="11"/>
          <w:kern w:val="10"/>
          <w:sz w:val="44"/>
          <w:szCs w:val="44"/>
          <w:highlight w:val="none"/>
          <w:lang w:val="en-US" w:eastAsia="zh-CN"/>
        </w:rPr>
        <w:t>试行</w:t>
      </w:r>
      <w:r>
        <w:rPr>
          <w:rFonts w:hint="eastAsia" w:ascii="方正小标宋简体" w:hAnsi="方正小标宋简体" w:eastAsia="方正小标宋_GBK" w:cs="方正小标宋简体"/>
          <w:spacing w:val="11"/>
          <w:kern w:val="10"/>
          <w:sz w:val="44"/>
          <w:szCs w:val="44"/>
          <w:highlight w:val="none"/>
          <w:lang w:eastAsia="zh-CN"/>
        </w:rPr>
        <w:t>）</w:t>
      </w:r>
    </w:p>
    <w:p w14:paraId="288B10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highlight w:val="none"/>
        </w:rPr>
      </w:pPr>
    </w:p>
    <w:p w14:paraId="539E4F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第一章  总  则</w:t>
      </w:r>
    </w:p>
    <w:p w14:paraId="347A2679">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第一条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为创新医疗保障基金监管机制，建立健全医疗保障信用管理体系，规范定点医药机构医疗保障基金使用和医疗保障服务协议履行，营造诚实、自律、守信、互信的医疗保障信用环境，根据《新疆维吾尔自治区社会信用条例》《新疆维吾尔自治区 新疆生产建设兵团医疗保障信用管理办法》（新医保规</w:t>
      </w:r>
      <w:r>
        <w:rPr>
          <w:rFonts w:hint="default" w:ascii="Times New Roman" w:hAnsi="Times New Roman" w:eastAsia="方正仿宋_GB2312" w:cs="Times New Roman"/>
          <w:color w:val="000000"/>
          <w:kern w:val="0"/>
          <w:sz w:val="32"/>
          <w:szCs w:val="32"/>
          <w:highlight w:val="none"/>
          <w:lang w:val="en-US" w:eastAsia="zh-CN" w:bidi="ar"/>
        </w:rPr>
        <w:t>〔202</w:t>
      </w:r>
      <w:r>
        <w:rPr>
          <w:rFonts w:hint="eastAsia" w:ascii="Times New Roman" w:hAnsi="Times New Roman" w:eastAsia="方正仿宋_GB2312" w:cs="Times New Roman"/>
          <w:color w:val="000000"/>
          <w:kern w:val="0"/>
          <w:sz w:val="32"/>
          <w:szCs w:val="32"/>
          <w:highlight w:val="none"/>
          <w:lang w:val="en-US" w:eastAsia="zh-CN" w:bidi="ar"/>
        </w:rPr>
        <w:t>5</w:t>
      </w:r>
      <w:r>
        <w:rPr>
          <w:rFonts w:hint="default" w:ascii="Times New Roman" w:hAnsi="Times New Roman" w:eastAsia="方正仿宋_GB2312" w:cs="Times New Roman"/>
          <w:color w:val="000000"/>
          <w:kern w:val="0"/>
          <w:sz w:val="32"/>
          <w:szCs w:val="32"/>
          <w:highlight w:val="none"/>
          <w:lang w:val="en-US" w:eastAsia="zh-CN" w:bidi="ar"/>
        </w:rPr>
        <w:t>〕</w:t>
      </w:r>
      <w:r>
        <w:rPr>
          <w:rFonts w:hint="eastAsia" w:ascii="Times New Roman" w:hAnsi="Times New Roman" w:eastAsia="方正仿宋_GB2312" w:cs="Times New Roman"/>
          <w:color w:val="000000"/>
          <w:kern w:val="0"/>
          <w:sz w:val="32"/>
          <w:szCs w:val="32"/>
          <w:highlight w:val="none"/>
          <w:lang w:val="en-US" w:eastAsia="zh-CN" w:bidi="ar"/>
        </w:rPr>
        <w:t>3号）等有关规定，结合我州实际，制定本实施细则。</w:t>
      </w:r>
    </w:p>
    <w:p w14:paraId="25BB1C4C">
      <w:pPr>
        <w:pStyle w:val="11"/>
        <w:keepNext w:val="0"/>
        <w:keepLines w:val="0"/>
        <w:pageBreakBefore w:val="0"/>
        <w:widowControl w:val="0"/>
        <w:kinsoku/>
        <w:wordWrap/>
        <w:overflowPunct/>
        <w:topLinePunct w:val="0"/>
        <w:autoSpaceDE/>
        <w:autoSpaceDN/>
        <w:bidi w:val="0"/>
        <w:adjustRightInd/>
        <w:snapToGrid w:val="0"/>
        <w:spacing w:line="560" w:lineRule="exact"/>
        <w:ind w:left="0" w:leftChars="0"/>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第二条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昌吉州行政辖区内的医疗保障定点医疗机构和定点零售药店（以下简称定点医药机构）的医疗保障信用评价工作，适用本实施细则。</w:t>
      </w:r>
    </w:p>
    <w:p w14:paraId="6B461F2A">
      <w:pPr>
        <w:keepNext w:val="0"/>
        <w:keepLines w:val="0"/>
        <w:pageBreakBefore w:val="0"/>
        <w:widowControl w:val="0"/>
        <w:kinsoku/>
        <w:wordWrap/>
        <w:overflowPunct/>
        <w:topLinePunct w:val="0"/>
        <w:autoSpaceDE/>
        <w:autoSpaceDN/>
        <w:bidi w:val="0"/>
        <w:adjustRightInd/>
        <w:spacing w:line="560" w:lineRule="exact"/>
        <w:ind w:left="0" w:leftChars="0" w:firstLine="684" w:firstLineChars="200"/>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第三条  </w:t>
      </w:r>
      <w:r>
        <w:rPr>
          <w:rFonts w:hint="eastAsia" w:ascii="Times New Roman" w:hAnsi="Times New Roman" w:eastAsia="方正仿宋_GB2312" w:cs="Times New Roman"/>
          <w:color w:val="000000"/>
          <w:kern w:val="0"/>
          <w:sz w:val="32"/>
          <w:szCs w:val="32"/>
          <w:highlight w:val="none"/>
          <w:lang w:val="en-US" w:eastAsia="zh-CN" w:bidi="ar"/>
        </w:rPr>
        <w:t>昌吉州医疗保障行政部门结合实际，推进医疗保障信用体系建设工作，规范工作流程，对指标及权重动态调整，并做好政策解读和宣传；负责指导医疗保障经办机构具体实施医疗保障信用评价工作。</w:t>
      </w:r>
    </w:p>
    <w:p w14:paraId="50EEE259">
      <w:pPr>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医疗保障经办机构负责信用信息的管理（归集、审核、修正等）、评价、应用（根据评价结果采取奖惩措施）、异议处理、修复等日常工作，也可根据需要通过政府购买第三方服务等形式开展信用管理相关工作。</w:t>
      </w:r>
    </w:p>
    <w:p w14:paraId="4499D3FC">
      <w:pPr>
        <w:keepNext w:val="0"/>
        <w:keepLines w:val="0"/>
        <w:pageBreakBefore w:val="0"/>
        <w:widowControl w:val="0"/>
        <w:kinsoku/>
        <w:wordWrap/>
        <w:overflowPunct/>
        <w:topLinePunct w:val="0"/>
        <w:autoSpaceDE/>
        <w:autoSpaceDN/>
        <w:bidi w:val="0"/>
        <w:adjustRightInd/>
        <w:spacing w:line="560" w:lineRule="exact"/>
        <w:ind w:left="0" w:leftChars="0" w:firstLine="684" w:firstLineChars="200"/>
        <w:textAlignment w:val="auto"/>
        <w:rPr>
          <w:rFonts w:hint="eastAsia" w:ascii="Times New Roman" w:hAnsi="Times New Roman" w:eastAsia="方正仿宋_GB2312" w:cs="Times New Roman"/>
          <w:spacing w:val="11"/>
          <w:kern w:val="21"/>
          <w:sz w:val="32"/>
          <w:szCs w:val="32"/>
          <w:highlight w:val="none"/>
          <w:u w:val="none"/>
          <w:lang w:val="en-US" w:eastAsia="zh-CN"/>
        </w:rPr>
      </w:pPr>
      <w:r>
        <w:rPr>
          <w:rFonts w:hint="eastAsia" w:ascii="方正楷体_GBK" w:hAnsi="方正楷体_GBK" w:eastAsia="方正楷体_GBK" w:cs="方正楷体_GBK"/>
          <w:spacing w:val="11"/>
          <w:kern w:val="21"/>
          <w:sz w:val="32"/>
          <w:szCs w:val="32"/>
          <w:highlight w:val="none"/>
          <w:u w:val="none"/>
        </w:rPr>
        <w:t>第</w:t>
      </w:r>
      <w:r>
        <w:rPr>
          <w:rFonts w:hint="eastAsia" w:ascii="方正楷体_GBK" w:hAnsi="方正楷体_GBK" w:eastAsia="方正楷体_GBK" w:cs="方正楷体_GBK"/>
          <w:spacing w:val="11"/>
          <w:kern w:val="21"/>
          <w:sz w:val="32"/>
          <w:szCs w:val="32"/>
          <w:highlight w:val="none"/>
          <w:u w:val="none"/>
          <w:lang w:val="en-US" w:eastAsia="zh-CN"/>
        </w:rPr>
        <w:t>四</w:t>
      </w:r>
      <w:r>
        <w:rPr>
          <w:rFonts w:hint="eastAsia" w:ascii="方正楷体_GBK" w:hAnsi="方正楷体_GBK" w:eastAsia="方正楷体_GBK" w:cs="方正楷体_GBK"/>
          <w:spacing w:val="11"/>
          <w:kern w:val="21"/>
          <w:sz w:val="32"/>
          <w:szCs w:val="32"/>
          <w:highlight w:val="none"/>
          <w:u w:val="none"/>
        </w:rPr>
        <w:t>条</w:t>
      </w:r>
      <w:r>
        <w:rPr>
          <w:rFonts w:hint="eastAsia" w:ascii="方正楷体_GBK" w:hAnsi="方正楷体_GBK" w:eastAsia="方正楷体_GBK" w:cs="方正楷体_GBK"/>
          <w:spacing w:val="11"/>
          <w:kern w:val="21"/>
          <w:sz w:val="32"/>
          <w:szCs w:val="32"/>
          <w:highlight w:val="none"/>
          <w:u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医疗保障经办机构依托新疆维吾尔自治区医疗保障信用评价信息管理平台，组织开展医疗保障信用评价信息数据采集、上传、记录、存储和应用工作。</w:t>
      </w:r>
    </w:p>
    <w:p w14:paraId="1726CD26">
      <w:pPr>
        <w:keepNext w:val="0"/>
        <w:keepLines w:val="0"/>
        <w:pageBreakBefore w:val="0"/>
        <w:widowControl w:val="0"/>
        <w:kinsoku/>
        <w:wordWrap/>
        <w:overflowPunct/>
        <w:topLinePunct w:val="0"/>
        <w:autoSpaceDE/>
        <w:autoSpaceDN/>
        <w:bidi w:val="0"/>
        <w:adjustRightInd/>
        <w:spacing w:line="560" w:lineRule="exact"/>
        <w:ind w:left="0" w:leftChars="0" w:firstLine="684" w:firstLineChars="200"/>
        <w:textAlignment w:val="auto"/>
        <w:rPr>
          <w:rFonts w:hint="eastAsia" w:ascii="Times New Roman" w:hAnsi="Times New Roman" w:eastAsia="方正仿宋_GB2312" w:cs="Times New Roman"/>
          <w:spacing w:val="11"/>
          <w:kern w:val="21"/>
          <w:sz w:val="32"/>
          <w:szCs w:val="32"/>
          <w:highlight w:val="none"/>
          <w:u w:val="none"/>
          <w:lang w:val="en-US" w:eastAsia="zh-CN"/>
        </w:rPr>
      </w:pPr>
      <w:r>
        <w:rPr>
          <w:rFonts w:hint="eastAsia" w:ascii="方正楷体_GBK" w:hAnsi="方正楷体_GBK" w:eastAsia="方正楷体_GBK" w:cs="方正楷体_GBK"/>
          <w:spacing w:val="11"/>
          <w:kern w:val="21"/>
          <w:sz w:val="32"/>
          <w:szCs w:val="32"/>
          <w:highlight w:val="none"/>
          <w:lang w:val="en-US" w:eastAsia="zh-CN"/>
        </w:rPr>
        <w:t xml:space="preserve">第五条  </w:t>
      </w:r>
      <w:r>
        <w:rPr>
          <w:rFonts w:hint="eastAsia" w:ascii="Times New Roman" w:hAnsi="Times New Roman" w:eastAsia="方正仿宋_GB2312" w:cs="Times New Roman"/>
          <w:color w:val="000000"/>
          <w:kern w:val="0"/>
          <w:sz w:val="32"/>
          <w:szCs w:val="32"/>
          <w:highlight w:val="none"/>
          <w:lang w:val="en-US" w:eastAsia="zh-CN" w:bidi="ar"/>
        </w:rPr>
        <w:t>鼓励定点医药机构强化行业自律管理，诚信履行医保协议，自觉规范诊疗行为，在签署医疗保障服务协议时，一并作出书面信用承诺。承诺内容应包括依法依规使用医疗保障基金、自律管理、诚信服务、违背承诺自愿接受惩戒等内容。</w:t>
      </w:r>
    </w:p>
    <w:p w14:paraId="7AFCAD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p>
    <w:p w14:paraId="499935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 xml:space="preserve">第二章  </w:t>
      </w:r>
      <w:r>
        <w:rPr>
          <w:rFonts w:hint="eastAsia" w:ascii="方正黑体_GBK" w:hAnsi="方正黑体_GBK" w:eastAsia="方正黑体_GBK" w:cs="方正黑体_GBK"/>
          <w:spacing w:val="11"/>
          <w:kern w:val="21"/>
          <w:sz w:val="32"/>
          <w:szCs w:val="32"/>
          <w:highlight w:val="none"/>
        </w:rPr>
        <w:t>信用信息归集</w:t>
      </w:r>
    </w:p>
    <w:p w14:paraId="2CD47F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left"/>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六</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医疗保障经办机构应依法依规采集、共享和管理定点医药机构医疗保障信用信息，积极推进跨部门、跨行业、跨区域信用信息的互联互通。</w:t>
      </w:r>
    </w:p>
    <w:p w14:paraId="6C97B94D">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七</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default" w:ascii="Times New Roman" w:hAnsi="Times New Roman" w:eastAsia="方正仿宋_GB2312" w:cs="Times New Roman"/>
          <w:color w:val="000000"/>
          <w:kern w:val="0"/>
          <w:sz w:val="32"/>
          <w:szCs w:val="32"/>
          <w:highlight w:val="none"/>
          <w:lang w:val="en-US" w:eastAsia="zh-CN" w:bidi="ar"/>
        </w:rPr>
        <w:t>定点医药机构医疗保障信用信息主要来源于：</w:t>
      </w:r>
    </w:p>
    <w:p w14:paraId="75BD58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（一）定点医药机构按要求主动提供；</w:t>
      </w:r>
    </w:p>
    <w:p w14:paraId="2E2E75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（二）从医疗保障经办、医疗保障智能审核与监控等业务信息系统中提取；</w:t>
      </w:r>
    </w:p>
    <w:p w14:paraId="3A1196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（三）从日常监管和协议管理工作中获取；</w:t>
      </w:r>
    </w:p>
    <w:p w14:paraId="17E3FE7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（四）政务大数据平台、公共信用信息平台等其他符合规定的采集途径。</w:t>
      </w:r>
    </w:p>
    <w:p w14:paraId="05AC61F5">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left"/>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八</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方正楷体_GBK" w:hAnsi="方正楷体_GBK" w:eastAsia="方正楷体_GBK" w:cs="方正楷体_GBK"/>
          <w:strike w:val="0"/>
          <w:dstrike w:val="0"/>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建立健全定点医药机构医疗保障信用信息档案，及时、准确记录定点医药机构的信用行为并实现动态更新，做到可查可核可溯。</w:t>
      </w:r>
    </w:p>
    <w:p w14:paraId="68AACDA8">
      <w:pPr>
        <w:pStyle w:val="11"/>
        <w:keepNext w:val="0"/>
        <w:keepLines w:val="0"/>
        <w:pageBreakBefore w:val="0"/>
        <w:widowControl w:val="0"/>
        <w:kinsoku/>
        <w:wordWrap/>
        <w:overflowPunct/>
        <w:topLinePunct w:val="0"/>
        <w:autoSpaceDE/>
        <w:autoSpaceDN/>
        <w:bidi w:val="0"/>
        <w:adjustRightInd/>
        <w:spacing w:line="560" w:lineRule="exact"/>
        <w:ind w:left="0" w:leftChars="0"/>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九</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 xml:space="preserve"> 医疗保障信用档案的信息应包括基础信息、守信信息、失信信息和其他信息。</w:t>
      </w:r>
    </w:p>
    <w:p w14:paraId="16AB8D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（一）基础信息包括：法人和非法人组织名称、医疗保障信息平台贯标码、类型、成立日期、住所、经营范围及法定代表人、负责人、职务及身份证号码等其他基础信息。</w:t>
      </w:r>
    </w:p>
    <w:p w14:paraId="2A9CB64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（二）守信信息包括国家机关以及法律法规授权的具有管理公共事务职能的组织认定的荣誉表彰，以及对信用主体的信用状况具有影响的信息：</w:t>
      </w:r>
    </w:p>
    <w:p w14:paraId="2190659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1.主动进行信用承诺并且履约情况良好的；</w:t>
      </w:r>
    </w:p>
    <w:p w14:paraId="2656CF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2.县级及以上地方人民政府或州级及以上医疗保障部门的表彰、奖励、通报表扬的；</w:t>
      </w:r>
    </w:p>
    <w:p w14:paraId="2BBCE5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3.参与县级及以上人民政府及其部门、法律法规授权组织开展的与医疗卫生相关的义诊、乡村振兴、抢险救灾、卫生应急，以及志愿服务和慈善捐赠等社会公益活动的；</w:t>
      </w:r>
    </w:p>
    <w:p w14:paraId="3B9D39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4.在县级及以上报刊、新媒体发表医保正能量文章的；</w:t>
      </w:r>
    </w:p>
    <w:p w14:paraId="6CA4EA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5.投诉举报违规使用医保基金行为，并经查证属实的；</w:t>
      </w:r>
    </w:p>
    <w:p w14:paraId="2BB6F8E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6.其他反映信用主体履约能力和信用状况良好信息的。</w:t>
      </w:r>
    </w:p>
    <w:p w14:paraId="7B8BE3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（三）失信信息主要包括：</w:t>
      </w:r>
    </w:p>
    <w:p w14:paraId="37EFD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1.提供虚假材料或者隐瞒事实的；</w:t>
      </w:r>
    </w:p>
    <w:p w14:paraId="65EBDD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2.违反信用承诺的；</w:t>
      </w:r>
    </w:p>
    <w:p w14:paraId="4DFF72EF">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3.违反医保服务协议被相应处理的；</w:t>
      </w:r>
    </w:p>
    <w:p w14:paraId="0A15AD0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4.受到医疗保障部门行政处理的；</w:t>
      </w:r>
    </w:p>
    <w:p w14:paraId="72CFB2E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5.法律法规中认定其他失信信息的。</w:t>
      </w:r>
    </w:p>
    <w:p w14:paraId="20D14D6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（四）其他信息包括：评价信息、舆情信息、异议处理、信用修复等。</w:t>
      </w:r>
    </w:p>
    <w:p w14:paraId="7E3408ED">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Times New Roman"/>
          <w:spacing w:val="11"/>
          <w:kern w:val="21"/>
          <w:sz w:val="32"/>
          <w:szCs w:val="32"/>
          <w:highlight w:val="none"/>
          <w:lang w:val="en-US" w:eastAsia="zh-CN"/>
        </w:rPr>
      </w:pPr>
    </w:p>
    <w:p w14:paraId="30B2C8D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 xml:space="preserve">第三章  </w:t>
      </w: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信用评价</w:t>
      </w:r>
    </w:p>
    <w:p w14:paraId="226DAC4A">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第十条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定点医药机构信用评价的内容主要包括，是否按照有关法律法规、政策规定和服务协议约定，履行自身权利及义务，按规定提供医药服务，合理使用医疗保障基金等。医疗保障经办机构或委托的第三方信用服务机构从协议履行、基金使用、医药服务、行业规范等方面对定点医药机构开展信用评价。</w:t>
      </w:r>
    </w:p>
    <w:p w14:paraId="47001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第十</w:t>
      </w:r>
      <w:r>
        <w:rPr>
          <w:rFonts w:hint="eastAsia" w:ascii="方正楷体_GBK" w:hAnsi="方正楷体_GBK" w:eastAsia="方正楷体_GBK" w:cs="方正楷体_GBK"/>
          <w:spacing w:val="11"/>
          <w:kern w:val="21"/>
          <w:sz w:val="32"/>
          <w:szCs w:val="32"/>
          <w:highlight w:val="none"/>
          <w:lang w:val="en-US" w:eastAsia="zh-CN"/>
        </w:rPr>
        <w:t>一</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信用评价结果以自然年度为周期，评价周期内结果不进行修改，由医疗保障行政部门审核公示信用评价结果。</w:t>
      </w:r>
    </w:p>
    <w:p w14:paraId="7497A3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定点医药机构信用评价实行百分制，以100分为基准，进行扣减分级评价，医疗保障信用评价结果从高到低分为：A、B、C、D四个等级。</w:t>
      </w:r>
    </w:p>
    <w:p w14:paraId="423C9B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（一）信用优秀（A级≥90分）；</w:t>
      </w:r>
    </w:p>
    <w:p w14:paraId="180261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（二）信用良好（75分≤B级＜90分）</w:t>
      </w:r>
      <w:bookmarkStart w:id="0" w:name="_Hlk109753659"/>
      <w:r>
        <w:rPr>
          <w:rFonts w:hint="eastAsia" w:ascii="Times New Roman" w:hAnsi="Times New Roman" w:eastAsia="方正仿宋_GB2312" w:cs="Times New Roman"/>
          <w:color w:val="000000"/>
          <w:kern w:val="0"/>
          <w:sz w:val="32"/>
          <w:szCs w:val="32"/>
          <w:highlight w:val="none"/>
          <w:lang w:val="en-US" w:eastAsia="zh-CN" w:bidi="ar"/>
        </w:rPr>
        <w:t>；</w:t>
      </w:r>
    </w:p>
    <w:p w14:paraId="46A26C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（三）信用一般（60分≤C级＜75分）；</w:t>
      </w:r>
    </w:p>
    <w:p w14:paraId="542801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（四）信用较差（D级＜60分）</w:t>
      </w:r>
      <w:bookmarkEnd w:id="0"/>
      <w:r>
        <w:rPr>
          <w:rFonts w:hint="eastAsia" w:ascii="Times New Roman" w:hAnsi="Times New Roman" w:eastAsia="方正仿宋_GB2312" w:cs="Times New Roman"/>
          <w:color w:val="000000"/>
          <w:kern w:val="0"/>
          <w:sz w:val="32"/>
          <w:szCs w:val="32"/>
          <w:highlight w:val="none"/>
          <w:lang w:val="en-US" w:eastAsia="zh-CN" w:bidi="ar"/>
        </w:rPr>
        <w:t>。</w:t>
      </w:r>
    </w:p>
    <w:p w14:paraId="0E73A4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default" w:ascii="Times New Roman" w:hAnsi="Times New Roman" w:eastAsia="方正仿宋_GB2312" w:cs="Times New Roman"/>
          <w:color w:val="000000"/>
          <w:kern w:val="0"/>
          <w:sz w:val="32"/>
          <w:szCs w:val="32"/>
          <w:highlight w:val="none"/>
          <w:lang w:val="en-US" w:eastAsia="zh-CN" w:bidi="ar"/>
        </w:rPr>
        <w:t>评价结果自公布之日起至下一次评价结果公布之日内有效。</w:t>
      </w:r>
      <w:r>
        <w:rPr>
          <w:rFonts w:hint="eastAsia" w:ascii="Times New Roman" w:hAnsi="Times New Roman" w:eastAsia="方正仿宋_GB2312" w:cs="Times New Roman"/>
          <w:color w:val="000000"/>
          <w:kern w:val="0"/>
          <w:sz w:val="32"/>
          <w:szCs w:val="32"/>
          <w:highlight w:val="none"/>
          <w:lang w:val="en-US" w:eastAsia="zh-CN" w:bidi="ar"/>
        </w:rPr>
        <w:t>定点医药机构信用评价指标实行动态管理，根据工作安排或政策调整等，医疗保障行政部门可对下一评价周期的评价指标予以调整。</w:t>
      </w:r>
    </w:p>
    <w:p w14:paraId="07301D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Times New Roman"/>
          <w:strike w:val="0"/>
          <w:dstrike w:val="0"/>
          <w:spacing w:val="11"/>
          <w:kern w:val="21"/>
          <w:sz w:val="32"/>
          <w:szCs w:val="32"/>
          <w:highlight w:val="none"/>
          <w:u w:val="none"/>
          <w:lang w:val="en-US" w:eastAsia="zh-CN"/>
        </w:rPr>
      </w:pPr>
      <w:r>
        <w:rPr>
          <w:rFonts w:hint="eastAsia" w:ascii="方正楷体_GBK" w:hAnsi="方正楷体_GBK" w:eastAsia="方正楷体_GBK" w:cs="方正楷体_GBK"/>
          <w:spacing w:val="11"/>
          <w:kern w:val="21"/>
          <w:sz w:val="32"/>
          <w:szCs w:val="32"/>
          <w:highlight w:val="none"/>
        </w:rPr>
        <w:t>第十</w:t>
      </w:r>
      <w:r>
        <w:rPr>
          <w:rFonts w:hint="eastAsia" w:ascii="方正楷体_GBK" w:hAnsi="方正楷体_GBK" w:eastAsia="方正楷体_GBK" w:cs="方正楷体_GBK"/>
          <w:spacing w:val="11"/>
          <w:kern w:val="21"/>
          <w:sz w:val="32"/>
          <w:szCs w:val="32"/>
          <w:highlight w:val="none"/>
          <w:lang w:val="en-US" w:eastAsia="zh-CN"/>
        </w:rPr>
        <w:t>二</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实行一体化管理的村卫生室、社区卫生服务站医疗保障信用评价，纳入所属乡镇（街道）卫生院、社区卫生服务中心信用评价。</w:t>
      </w:r>
    </w:p>
    <w:p w14:paraId="7570130E">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K" w:cs="Times New Roman"/>
          <w:strike w:val="0"/>
          <w:dstrike w:val="0"/>
          <w:spacing w:val="11"/>
          <w:kern w:val="21"/>
          <w:sz w:val="32"/>
          <w:szCs w:val="32"/>
          <w:highlight w:val="none"/>
          <w:lang w:val="en-US" w:eastAsia="zh-CN" w:bidi="ar-SA"/>
        </w:rPr>
      </w:pPr>
      <w:r>
        <w:rPr>
          <w:rFonts w:hint="eastAsia" w:ascii="方正楷体_GBK" w:hAnsi="方正楷体_GBK" w:eastAsia="方正楷体_GBK" w:cs="方正楷体_GBK"/>
          <w:spacing w:val="11"/>
          <w:kern w:val="21"/>
          <w:sz w:val="32"/>
          <w:szCs w:val="32"/>
          <w:highlight w:val="none"/>
          <w:lang w:val="en-US" w:eastAsia="zh-CN"/>
        </w:rPr>
        <w:t xml:space="preserve">第十三条  </w:t>
      </w:r>
      <w:r>
        <w:rPr>
          <w:rFonts w:hint="eastAsia" w:ascii="Times New Roman" w:hAnsi="Times New Roman" w:eastAsia="方正仿宋_GB2312" w:cs="Times New Roman"/>
          <w:color w:val="000000"/>
          <w:kern w:val="0"/>
          <w:sz w:val="32"/>
          <w:szCs w:val="32"/>
          <w:highlight w:val="none"/>
          <w:lang w:val="en-US" w:eastAsia="zh-CN" w:bidi="ar"/>
        </w:rPr>
        <w:t>定点医药机构医保服务协议管理不满1个自然年度的不参与信用评价。</w:t>
      </w:r>
    </w:p>
    <w:p w14:paraId="28B461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lang w:val="en-US" w:eastAsia="zh-CN"/>
        </w:rPr>
        <w:t>第十四条</w:t>
      </w:r>
      <w:r>
        <w:rPr>
          <w:rFonts w:hint="eastAsia" w:ascii="Times New Roman" w:hAnsi="Times New Roman" w:eastAsia="方正仿宋_GBK" w:cs="Times New Roman"/>
          <w:spacing w:val="11"/>
          <w:kern w:val="21"/>
          <w:sz w:val="32"/>
          <w:szCs w:val="32"/>
          <w:highlight w:val="none"/>
          <w:lang w:val="en-US" w:eastAsia="zh-CN"/>
        </w:rPr>
        <w:t xml:space="preserve">  </w:t>
      </w:r>
      <w:r>
        <w:rPr>
          <w:rFonts w:hint="default" w:ascii="Times New Roman" w:hAnsi="Times New Roman" w:eastAsia="方正仿宋_GB2312" w:cs="Times New Roman"/>
          <w:color w:val="000000"/>
          <w:kern w:val="0"/>
          <w:sz w:val="32"/>
          <w:szCs w:val="32"/>
          <w:highlight w:val="none"/>
          <w:lang w:val="en-US" w:eastAsia="zh-CN" w:bidi="ar"/>
        </w:rPr>
        <w:t>定点医药机构同一事项涉及多项扣分的，以最高分值为准，不叠加扣分。</w:t>
      </w:r>
      <w:r>
        <w:rPr>
          <w:rFonts w:hint="eastAsia" w:ascii="Times New Roman" w:hAnsi="Times New Roman" w:eastAsia="方正仿宋_GB2312" w:cs="Times New Roman"/>
          <w:color w:val="000000"/>
          <w:kern w:val="0"/>
          <w:sz w:val="32"/>
          <w:szCs w:val="32"/>
          <w:highlight w:val="none"/>
          <w:lang w:val="en-US" w:eastAsia="zh-CN" w:bidi="ar"/>
        </w:rPr>
        <w:t>定点医药机构自查自纠并将违约费用全额退还医疗保障基金的，相关失信行为不纳入信用评价。</w:t>
      </w:r>
    </w:p>
    <w:p w14:paraId="554E2BBF">
      <w:pPr>
        <w:pStyle w:val="11"/>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第十</w:t>
      </w:r>
      <w:r>
        <w:rPr>
          <w:rFonts w:hint="eastAsia" w:ascii="方正楷体_GBK" w:hAnsi="方正楷体_GBK" w:eastAsia="方正楷体_GBK" w:cs="方正楷体_GBK"/>
          <w:spacing w:val="11"/>
          <w:kern w:val="21"/>
          <w:sz w:val="32"/>
          <w:szCs w:val="32"/>
          <w:highlight w:val="none"/>
          <w:lang w:val="en-US" w:eastAsia="zh-CN"/>
        </w:rPr>
        <w:t>五</w:t>
      </w:r>
      <w:r>
        <w:rPr>
          <w:rFonts w:hint="eastAsia" w:ascii="方正楷体_GBK" w:hAnsi="方正楷体_GBK" w:eastAsia="方正楷体_GBK" w:cs="方正楷体_GBK"/>
          <w:strike w:val="0"/>
          <w:dstrike w:val="0"/>
          <w:spacing w:val="11"/>
          <w:kern w:val="21"/>
          <w:sz w:val="32"/>
          <w:szCs w:val="32"/>
          <w:highlight w:val="none"/>
          <w:lang w:val="en-US" w:eastAsia="zh-CN"/>
        </w:rPr>
        <w:t xml:space="preserve">条 </w:t>
      </w:r>
      <w:r>
        <w:rPr>
          <w:rFonts w:hint="eastAsia" w:ascii="Times New Roman" w:hAnsi="Times New Roman" w:eastAsia="方正仿宋_GB2312" w:cs="Times New Roman"/>
          <w:color w:val="000000"/>
          <w:kern w:val="0"/>
          <w:sz w:val="31"/>
          <w:szCs w:val="31"/>
          <w:highlight w:val="none"/>
          <w:lang w:val="en-US" w:eastAsia="zh-CN" w:bidi="ar"/>
        </w:rPr>
        <w:t xml:space="preserve"> </w:t>
      </w:r>
      <w:r>
        <w:rPr>
          <w:rFonts w:hint="eastAsia" w:ascii="Times New Roman" w:hAnsi="Times New Roman" w:eastAsia="方正仿宋_GB2312" w:cs="Times New Roman"/>
          <w:color w:val="000000"/>
          <w:kern w:val="0"/>
          <w:sz w:val="32"/>
          <w:szCs w:val="32"/>
          <w:highlight w:val="none"/>
          <w:lang w:val="en-US" w:eastAsia="zh-CN" w:bidi="ar"/>
        </w:rPr>
        <w:t>医疗保障经办机构应当及时将医疗保障信用评价结果书面告知定点医药机构。</w:t>
      </w:r>
    </w:p>
    <w:p w14:paraId="6857D1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第十六条  </w:t>
      </w:r>
      <w:r>
        <w:rPr>
          <w:rFonts w:hint="eastAsia" w:ascii="Times New Roman" w:hAnsi="Times New Roman" w:eastAsia="方正仿宋_GB2312" w:cs="Times New Roman"/>
          <w:color w:val="000000"/>
          <w:kern w:val="0"/>
          <w:sz w:val="32"/>
          <w:szCs w:val="32"/>
          <w:highlight w:val="none"/>
          <w:lang w:val="en-US" w:eastAsia="zh-CN" w:bidi="ar"/>
        </w:rPr>
        <w:t>定点医药机构认为信用评价初评结果依据信息有误或对初评的分类结果有异议的应在收到书面告知之日起15个工作日内向经办机构提出书面申请并提交相关材料，逾期视为认同告知结果。</w:t>
      </w:r>
    </w:p>
    <w:p w14:paraId="4755898C">
      <w:pPr>
        <w:pStyle w:val="10"/>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84"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第十七条  </w:t>
      </w:r>
      <w:r>
        <w:rPr>
          <w:rFonts w:hint="eastAsia" w:ascii="Times New Roman" w:hAnsi="Times New Roman" w:eastAsia="方正仿宋_GB2312" w:cs="Times New Roman"/>
          <w:color w:val="000000"/>
          <w:kern w:val="0"/>
          <w:sz w:val="32"/>
          <w:szCs w:val="32"/>
          <w:highlight w:val="none"/>
          <w:lang w:val="en-US" w:eastAsia="zh-CN" w:bidi="ar"/>
        </w:rPr>
        <w:t>信用评价结果异议申诉需提供以下材料</w:t>
      </w:r>
      <w:r>
        <w:rPr>
          <w:rFonts w:hint="default" w:ascii="Times New Roman" w:hAnsi="Times New Roman" w:eastAsia="方正仿宋_GB2312" w:cs="Times New Roman"/>
          <w:color w:val="000000"/>
          <w:kern w:val="0"/>
          <w:sz w:val="32"/>
          <w:szCs w:val="32"/>
          <w:highlight w:val="none"/>
          <w:lang w:val="en-US" w:eastAsia="zh-CN" w:bidi="ar"/>
        </w:rPr>
        <w:t>：</w:t>
      </w:r>
    </w:p>
    <w:p w14:paraId="5567583A">
      <w:pPr>
        <w:pStyle w:val="10"/>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信用评价异议申请表；</w:t>
      </w:r>
    </w:p>
    <w:p w14:paraId="667608F4">
      <w:pPr>
        <w:pStyle w:val="10"/>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异议事项的详细说明及佐证材料。</w:t>
      </w:r>
    </w:p>
    <w:p w14:paraId="4942691D">
      <w:pPr>
        <w:keepNext w:val="0"/>
        <w:keepLines w:val="0"/>
        <w:pageBreakBefore w:val="0"/>
        <w:widowControl/>
        <w:suppressLineNumbers w:val="0"/>
        <w:kinsoku/>
        <w:wordWrap/>
        <w:overflowPunct/>
        <w:topLinePunct w:val="0"/>
        <w:autoSpaceDE/>
        <w:autoSpaceDN/>
        <w:bidi w:val="0"/>
        <w:adjustRightInd/>
        <w:spacing w:line="560" w:lineRule="exact"/>
        <w:ind w:left="0" w:leftChars="0" w:firstLine="684" w:firstLineChars="200"/>
        <w:jc w:val="left"/>
        <w:textAlignment w:val="auto"/>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第十八条  </w:t>
      </w:r>
      <w:r>
        <w:rPr>
          <w:rFonts w:hint="eastAsia" w:ascii="Times New Roman" w:hAnsi="Times New Roman" w:eastAsia="方正仿宋_GB2312" w:cs="Times New Roman"/>
          <w:color w:val="000000"/>
          <w:kern w:val="0"/>
          <w:sz w:val="32"/>
          <w:szCs w:val="32"/>
          <w:highlight w:val="none"/>
          <w:lang w:val="en-US" w:eastAsia="zh-CN" w:bidi="ar"/>
        </w:rPr>
        <w:t>医疗保障</w:t>
      </w:r>
      <w:r>
        <w:rPr>
          <w:rFonts w:hint="default" w:ascii="Times New Roman" w:hAnsi="Times New Roman" w:eastAsia="方正仿宋_GB2312" w:cs="Times New Roman"/>
          <w:color w:val="000000"/>
          <w:kern w:val="0"/>
          <w:sz w:val="32"/>
          <w:szCs w:val="32"/>
          <w:highlight w:val="none"/>
          <w:lang w:val="en-US" w:eastAsia="zh-CN" w:bidi="ar"/>
        </w:rPr>
        <w:t>经办机构收到</w:t>
      </w:r>
      <w:r>
        <w:rPr>
          <w:rFonts w:hint="eastAsia" w:ascii="Times New Roman" w:hAnsi="Times New Roman" w:eastAsia="方正仿宋_GB2312" w:cs="Times New Roman"/>
          <w:color w:val="000000"/>
          <w:kern w:val="0"/>
          <w:sz w:val="32"/>
          <w:szCs w:val="32"/>
          <w:highlight w:val="none"/>
          <w:lang w:val="en-US" w:eastAsia="zh-CN" w:bidi="ar"/>
        </w:rPr>
        <w:t>信用</w:t>
      </w:r>
      <w:r>
        <w:rPr>
          <w:rFonts w:hint="default" w:ascii="Times New Roman" w:hAnsi="Times New Roman" w:eastAsia="方正仿宋_GB2312" w:cs="Times New Roman"/>
          <w:color w:val="000000"/>
          <w:kern w:val="0"/>
          <w:sz w:val="32"/>
          <w:szCs w:val="32"/>
          <w:highlight w:val="none"/>
          <w:lang w:val="en-US" w:eastAsia="zh-CN" w:bidi="ar"/>
        </w:rPr>
        <w:t>异议</w:t>
      </w:r>
      <w:r>
        <w:rPr>
          <w:rFonts w:hint="eastAsia" w:ascii="Times New Roman" w:hAnsi="Times New Roman" w:eastAsia="方正仿宋_GB2312" w:cs="Times New Roman"/>
          <w:color w:val="000000"/>
          <w:kern w:val="0"/>
          <w:sz w:val="32"/>
          <w:szCs w:val="32"/>
          <w:highlight w:val="none"/>
          <w:lang w:val="en-US" w:eastAsia="zh-CN" w:bidi="ar"/>
        </w:rPr>
        <w:t>申诉后</w:t>
      </w:r>
      <w:r>
        <w:rPr>
          <w:rFonts w:hint="default" w:ascii="Times New Roman" w:hAnsi="Times New Roman" w:eastAsia="方正仿宋_GB2312" w:cs="Times New Roman"/>
          <w:color w:val="000000"/>
          <w:kern w:val="0"/>
          <w:sz w:val="32"/>
          <w:szCs w:val="32"/>
          <w:highlight w:val="none"/>
          <w:lang w:val="en-US" w:eastAsia="zh-CN" w:bidi="ar"/>
        </w:rPr>
        <w:t>调查核实，</w:t>
      </w:r>
      <w:r>
        <w:rPr>
          <w:rFonts w:hint="eastAsia" w:ascii="Times New Roman" w:hAnsi="Times New Roman" w:eastAsia="方正仿宋_GB2312" w:cs="Times New Roman"/>
          <w:color w:val="000000"/>
          <w:kern w:val="0"/>
          <w:sz w:val="32"/>
          <w:szCs w:val="32"/>
          <w:highlight w:val="none"/>
          <w:lang w:val="en-US" w:eastAsia="zh-CN" w:bidi="ar"/>
        </w:rPr>
        <w:t>在7个工作日内将信用评价异议处理结果告知异议申请人；</w:t>
      </w:r>
      <w:r>
        <w:rPr>
          <w:rFonts w:hint="default" w:ascii="Times New Roman" w:hAnsi="Times New Roman" w:eastAsia="方正仿宋_GB2312" w:cs="Times New Roman"/>
          <w:color w:val="000000"/>
          <w:kern w:val="0"/>
          <w:sz w:val="32"/>
          <w:szCs w:val="32"/>
          <w:highlight w:val="none"/>
          <w:lang w:val="en-US" w:eastAsia="zh-CN" w:bidi="ar"/>
        </w:rPr>
        <w:t>情况复杂的</w:t>
      </w:r>
      <w:r>
        <w:rPr>
          <w:rFonts w:hint="eastAsia" w:ascii="Times New Roman" w:hAnsi="Times New Roman" w:eastAsia="方正仿宋_GB2312" w:cs="Times New Roman"/>
          <w:color w:val="000000"/>
          <w:kern w:val="0"/>
          <w:sz w:val="32"/>
          <w:szCs w:val="32"/>
          <w:highlight w:val="none"/>
          <w:lang w:val="en-US" w:eastAsia="zh-CN" w:bidi="ar"/>
        </w:rPr>
        <w:t>可适当延长，最长不超过30个工作日。作出不予更正决定的，应当说明理由。</w:t>
      </w:r>
    </w:p>
    <w:p w14:paraId="505A8730">
      <w:pPr>
        <w:keepNext w:val="0"/>
        <w:keepLines w:val="0"/>
        <w:pageBreakBefore w:val="0"/>
        <w:widowControl/>
        <w:suppressLineNumbers w:val="0"/>
        <w:kinsoku/>
        <w:wordWrap/>
        <w:overflowPunct/>
        <w:topLinePunct w:val="0"/>
        <w:autoSpaceDE/>
        <w:autoSpaceDN/>
        <w:bidi w:val="0"/>
        <w:adjustRightInd/>
        <w:spacing w:line="560" w:lineRule="exact"/>
        <w:ind w:left="0" w:leftChars="0" w:firstLine="684" w:firstLineChars="200"/>
        <w:jc w:val="left"/>
        <w:textAlignment w:val="auto"/>
        <w:rPr>
          <w:rFonts w:hint="default"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trike w:val="0"/>
          <w:dstrike w:val="0"/>
          <w:spacing w:val="11"/>
          <w:kern w:val="21"/>
          <w:sz w:val="32"/>
          <w:szCs w:val="32"/>
          <w:highlight w:val="none"/>
          <w:lang w:val="en-US" w:eastAsia="zh-CN"/>
        </w:rPr>
        <w:t xml:space="preserve">第十九条 </w:t>
      </w:r>
      <w:r>
        <w:rPr>
          <w:rFonts w:hint="eastAsia" w:ascii="Times New Roman" w:hAnsi="Times New Roman" w:eastAsia="方正仿宋_GB2312" w:cs="Times New Roman"/>
          <w:color w:val="000000"/>
          <w:kern w:val="0"/>
          <w:sz w:val="32"/>
          <w:szCs w:val="32"/>
          <w:highlight w:val="none"/>
          <w:lang w:val="en-US" w:eastAsia="zh-CN" w:bidi="ar"/>
        </w:rPr>
        <w:t>医疗保障信用评价结果由医疗保障经办机构记入定点医药机构的信用档案。</w:t>
      </w:r>
    </w:p>
    <w:p w14:paraId="45F6554D">
      <w:pPr>
        <w:pStyle w:val="11"/>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textAlignment w:val="auto"/>
        <w:rPr>
          <w:rFonts w:hint="eastAsia"/>
          <w:highlight w:val="none"/>
        </w:rPr>
      </w:pPr>
    </w:p>
    <w:p w14:paraId="095C80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第四章  信用评价结果应用</w:t>
      </w:r>
    </w:p>
    <w:p w14:paraId="1C9A346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1"/>
          <w:szCs w:val="31"/>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 xml:space="preserve">二十条  </w:t>
      </w:r>
      <w:r>
        <w:rPr>
          <w:rFonts w:hint="eastAsia" w:ascii="Times New Roman" w:hAnsi="Times New Roman" w:eastAsia="方正仿宋_GB2312" w:cs="Times New Roman"/>
          <w:color w:val="000000"/>
          <w:kern w:val="0"/>
          <w:sz w:val="32"/>
          <w:szCs w:val="32"/>
          <w:highlight w:val="none"/>
          <w:lang w:val="en-US" w:eastAsia="zh-CN" w:bidi="ar"/>
        </w:rPr>
        <w:t>根据信用等级，对定点医药机构分级分类管理，在信用等级有效期内开展奖惩。一般失信信息公示期为3个月，严重失信信息公示期为1年。</w:t>
      </w:r>
    </w:p>
    <w:p w14:paraId="011614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lang w:val="en-US" w:eastAsia="zh-CN"/>
        </w:rPr>
        <w:t>第二十一条</w:t>
      </w:r>
      <w:r>
        <w:rPr>
          <w:rFonts w:hint="eastAsia" w:ascii="Times New Roman" w:hAnsi="Times New Roman" w:eastAsia="方正仿宋_GBK" w:cs="Times New Roman"/>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评定为信用优秀（A级）的定点医药机构，坚持守信激励原则，医疗保障部门可采取以下激励措施：</w:t>
      </w:r>
    </w:p>
    <w:p w14:paraId="0A2DF08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（一）通过医疗保障官方网站等公开平台进行宣传表扬；</w:t>
      </w:r>
    </w:p>
    <w:p w14:paraId="19A0C5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w:t>
      </w:r>
      <w:bookmarkStart w:id="1" w:name="OLE_LINK2"/>
      <w:r>
        <w:rPr>
          <w:rFonts w:hint="eastAsia" w:ascii="Times New Roman" w:hAnsi="Times New Roman" w:eastAsia="方正仿宋_GB2312" w:cs="Times New Roman"/>
          <w:color w:val="000000"/>
          <w:kern w:val="0"/>
          <w:sz w:val="32"/>
          <w:szCs w:val="32"/>
          <w:highlight w:val="none"/>
          <w:lang w:val="en-US" w:eastAsia="zh-CN" w:bidi="ar"/>
        </w:rPr>
        <w:t>）</w:t>
      </w:r>
      <w:bookmarkEnd w:id="1"/>
      <w:r>
        <w:rPr>
          <w:rFonts w:hint="default" w:ascii="Times New Roman" w:hAnsi="Times New Roman" w:eastAsia="方正仿宋_GB2312" w:cs="Times New Roman"/>
          <w:color w:val="000000"/>
          <w:kern w:val="0"/>
          <w:sz w:val="32"/>
          <w:szCs w:val="32"/>
          <w:highlight w:val="none"/>
          <w:lang w:val="en-US" w:eastAsia="zh-CN" w:bidi="ar"/>
        </w:rPr>
        <w:t>降低日常检查频次，除投诉举报、</w:t>
      </w:r>
      <w:r>
        <w:rPr>
          <w:rFonts w:hint="eastAsia" w:ascii="Times New Roman" w:hAnsi="Times New Roman" w:eastAsia="方正仿宋_GB2312" w:cs="Times New Roman"/>
          <w:color w:val="000000"/>
          <w:kern w:val="0"/>
          <w:sz w:val="32"/>
          <w:szCs w:val="32"/>
          <w:highlight w:val="none"/>
          <w:lang w:val="en-US" w:eastAsia="zh-CN" w:bidi="ar"/>
        </w:rPr>
        <w:t>专项检查</w:t>
      </w:r>
      <w:r>
        <w:rPr>
          <w:rFonts w:hint="default" w:ascii="Times New Roman" w:hAnsi="Times New Roman" w:eastAsia="方正仿宋_GB2312" w:cs="Times New Roman"/>
          <w:color w:val="000000"/>
          <w:kern w:val="0"/>
          <w:sz w:val="32"/>
          <w:szCs w:val="32"/>
          <w:highlight w:val="none"/>
          <w:lang w:val="en-US" w:eastAsia="zh-CN" w:bidi="ar"/>
        </w:rPr>
        <w:t>等不另行检查；</w:t>
      </w:r>
    </w:p>
    <w:p w14:paraId="07499D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（三）适当提高医疗保障基金预拨付额度，可探索实行先拨付、后审核制度；</w:t>
      </w:r>
    </w:p>
    <w:p w14:paraId="6552F8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（四）在政务服务事项方面提供容缺受理、优先办理等便利；</w:t>
      </w:r>
    </w:p>
    <w:p w14:paraId="22F6018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（五）其他鼓励性措施。</w:t>
      </w:r>
    </w:p>
    <w:p w14:paraId="4993D7C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二十二</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评定为信用良好（B级）的定点医药机构，坚持以自律为主、监管为辅的原则，医疗保障部门可采取以下措施：</w:t>
      </w:r>
    </w:p>
    <w:p w14:paraId="706C55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（一）要求其负责人参加关于医疗保障政策、医疗保障基金监管的宣传和培训活动等，增强其履约意识；</w:t>
      </w:r>
    </w:p>
    <w:p w14:paraId="58A0E8B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（二）采取日常检查和专项检查相结合的方式开展监督检查。</w:t>
      </w:r>
    </w:p>
    <w:p w14:paraId="59B13B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二十三</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评定为信用一般（C级）的定点医药机构，坚持强化监管原则，医疗保障部门可采取以下惩戒措施：</w:t>
      </w:r>
    </w:p>
    <w:p w14:paraId="07A2E1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（一）督促其停止失信行为并立即整改，必要时采取信用提醒和诚信约谈等方式予以惩戒；</w:t>
      </w:r>
    </w:p>
    <w:p w14:paraId="2817DB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（二）在日常监督管理中列为重点监控和监督检查对象；</w:t>
      </w:r>
    </w:p>
    <w:p w14:paraId="141C96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（三）要求其负责人参加关于医疗保障政策、医疗保障基金监管的宣传和培训活动等，增强其履约意识；</w:t>
      </w:r>
    </w:p>
    <w:p w14:paraId="6AA5AC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（四）降低医疗保障基金预拨付额度。</w:t>
      </w:r>
    </w:p>
    <w:p w14:paraId="5C237A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二十四</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评定为信用较差（D级）的定点医药机构，坚持重点监管原则，医疗保障部门可采取以下惩戒措施：</w:t>
      </w:r>
    </w:p>
    <w:p w14:paraId="7400175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（一）督促其停止失信行为并立即整改，采取信用提醒和诚信约谈等方式予以惩戒；</w:t>
      </w:r>
    </w:p>
    <w:p w14:paraId="2171363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（二）列为重点监控和监督检查对象，增加检查频次；</w:t>
      </w:r>
    </w:p>
    <w:p w14:paraId="319063B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（三）暂停拨付或收回医保预付金；</w:t>
      </w:r>
    </w:p>
    <w:p w14:paraId="1E2232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（四）将其信用等级与违法违规行为推送至有关部门，视情况开展联合惩戒；</w:t>
      </w:r>
    </w:p>
    <w:p w14:paraId="04F573D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（五）编制次年总控预算时，信用评分作为因素法计算因子之一，下达次年总控资金时调减医疗费用预算额度；</w:t>
      </w:r>
    </w:p>
    <w:p w14:paraId="54FAB8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（六）</w:t>
      </w:r>
      <w:r>
        <w:rPr>
          <w:rFonts w:hint="default" w:ascii="Times New Roman" w:hAnsi="Times New Roman" w:eastAsia="方正仿宋_GB2312" w:cs="Times New Roman"/>
          <w:color w:val="000000"/>
          <w:kern w:val="0"/>
          <w:sz w:val="32"/>
          <w:szCs w:val="32"/>
          <w:highlight w:val="none"/>
          <w:lang w:val="en-US" w:eastAsia="zh-CN" w:bidi="ar"/>
        </w:rPr>
        <w:t>连续两年被评为D级定点医药机构的，由经办机构解除服务协议，取消定点资格</w:t>
      </w:r>
      <w:r>
        <w:rPr>
          <w:rFonts w:hint="eastAsia" w:ascii="Times New Roman" w:hAnsi="Times New Roman" w:eastAsia="方正仿宋_GB2312" w:cs="Times New Roman"/>
          <w:color w:val="000000"/>
          <w:kern w:val="0"/>
          <w:sz w:val="32"/>
          <w:szCs w:val="32"/>
          <w:highlight w:val="none"/>
          <w:lang w:val="en-US" w:eastAsia="zh-CN" w:bidi="ar"/>
        </w:rPr>
        <w:t>。</w:t>
      </w:r>
    </w:p>
    <w:p w14:paraId="5DEFCB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K" w:cs="Times New Roman"/>
          <w:spacing w:val="11"/>
          <w:kern w:val="21"/>
          <w:sz w:val="32"/>
          <w:szCs w:val="32"/>
          <w:highlight w:val="none"/>
          <w:lang w:val="en-US" w:eastAsia="zh-CN"/>
        </w:rPr>
      </w:pPr>
    </w:p>
    <w:p w14:paraId="79DEDC28">
      <w:pPr>
        <w:keepNext w:val="0"/>
        <w:keepLines w:val="0"/>
        <w:pageBreakBefore w:val="0"/>
        <w:kinsoku/>
        <w:wordWrap/>
        <w:overflowPunct/>
        <w:topLinePunct w:val="0"/>
        <w:autoSpaceDE/>
        <w:autoSpaceDN/>
        <w:bidi w:val="0"/>
        <w:adjustRightInd/>
        <w:spacing w:line="560" w:lineRule="exact"/>
        <w:ind w:left="0" w:leftChars="0"/>
        <w:jc w:val="center"/>
        <w:textAlignment w:val="auto"/>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第五章  异议处理与</w:t>
      </w:r>
      <w:r>
        <w:rPr>
          <w:rFonts w:hint="eastAsia" w:ascii="方正黑体_GBK" w:hAnsi="方正黑体_GBK" w:eastAsia="方正黑体_GBK" w:cs="方正黑体_GBK"/>
          <w:spacing w:val="11"/>
          <w:kern w:val="21"/>
          <w:sz w:val="32"/>
          <w:szCs w:val="32"/>
          <w:highlight w:val="none"/>
        </w:rPr>
        <w:t>信用修复</w:t>
      </w:r>
    </w:p>
    <w:p w14:paraId="429E89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b w:val="0"/>
          <w:bCs w:val="0"/>
          <w:caps w:val="0"/>
          <w:spacing w:val="11"/>
          <w:kern w:val="21"/>
          <w:sz w:val="32"/>
          <w:szCs w:val="32"/>
          <w:highlight w:val="none"/>
          <w:lang w:val="en-US" w:eastAsia="zh-CN" w:bidi="ar-SA"/>
        </w:rPr>
        <w:t>第二十</w:t>
      </w:r>
      <w:r>
        <w:rPr>
          <w:rFonts w:hint="eastAsia" w:ascii="方正楷体_GBK" w:hAnsi="方正楷体_GBK" w:eastAsia="方正楷体_GBK" w:cs="方正楷体_GBK"/>
          <w:spacing w:val="11"/>
          <w:kern w:val="21"/>
          <w:sz w:val="32"/>
          <w:szCs w:val="32"/>
          <w:highlight w:val="none"/>
          <w:lang w:val="en-US" w:eastAsia="zh-CN"/>
        </w:rPr>
        <w:t>五</w:t>
      </w:r>
      <w:r>
        <w:rPr>
          <w:rFonts w:hint="eastAsia" w:ascii="方正楷体_GBK" w:hAnsi="方正楷体_GBK" w:eastAsia="方正楷体_GBK" w:cs="方正楷体_GBK"/>
          <w:b w:val="0"/>
          <w:bCs w:val="0"/>
          <w:caps w:val="0"/>
          <w:spacing w:val="11"/>
          <w:kern w:val="21"/>
          <w:sz w:val="32"/>
          <w:szCs w:val="32"/>
          <w:highlight w:val="none"/>
          <w:lang w:val="en-US" w:eastAsia="zh-CN" w:bidi="ar-SA"/>
        </w:rPr>
        <w:t xml:space="preserve">条  </w:t>
      </w:r>
      <w:r>
        <w:rPr>
          <w:rFonts w:hint="eastAsia" w:ascii="Times New Roman" w:hAnsi="Times New Roman" w:eastAsia="方正仿宋_GB2312" w:cs="Times New Roman"/>
          <w:color w:val="000000"/>
          <w:kern w:val="0"/>
          <w:sz w:val="32"/>
          <w:szCs w:val="32"/>
          <w:highlight w:val="none"/>
          <w:lang w:val="en-US" w:eastAsia="zh-CN" w:bidi="ar"/>
        </w:rPr>
        <w:t>定点医药机构可对以下评价结果及公示信息提出异议：</w:t>
      </w:r>
    </w:p>
    <w:p w14:paraId="7A0C34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（一）认为信用评价信息与事实不符；</w:t>
      </w:r>
    </w:p>
    <w:p w14:paraId="239F5A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（二）认为公示的信用结果涉及国家秘密、商业秘密、参保人员隐私的；</w:t>
      </w:r>
    </w:p>
    <w:p w14:paraId="722E534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（三）认为超过公示期仍在公示的。</w:t>
      </w:r>
    </w:p>
    <w:p w14:paraId="61F476E9">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b w:val="0"/>
          <w:bCs w:val="0"/>
          <w:caps w:val="0"/>
          <w:spacing w:val="11"/>
          <w:kern w:val="21"/>
          <w:sz w:val="32"/>
          <w:szCs w:val="32"/>
          <w:highlight w:val="none"/>
          <w:lang w:val="en-US" w:eastAsia="zh-CN" w:bidi="ar-SA"/>
        </w:rPr>
        <w:t>第二十六条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定点医药机构主动纠正失信行为，消除不良社会影响，符合《新疆维吾尔自治区 新疆生产建设兵团医疗保障信用管理办法》修复条件的，按照规定程序向作出失信认定的医疗保障经办机构提出修复申请。信用失信修复完成后将终止失信惩戒措施。</w:t>
      </w:r>
    </w:p>
    <w:p w14:paraId="064A98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失信的信用主体应提供完整、真实、合法的信用修复申请材料，并承诺不再发生同类失信行为。法律法规、规章另有规定的从其规定。</w:t>
      </w:r>
    </w:p>
    <w:p w14:paraId="2B164FC7">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lang w:val="en-US" w:eastAsia="zh-CN" w:bidi="ar-SA"/>
        </w:rPr>
        <w:t>第二十</w:t>
      </w:r>
      <w:r>
        <w:rPr>
          <w:rFonts w:hint="eastAsia" w:ascii="方正楷体_GBK" w:hAnsi="方正楷体_GBK" w:eastAsia="方正楷体_GBK" w:cs="方正楷体_GBK"/>
          <w:b w:val="0"/>
          <w:bCs w:val="0"/>
          <w:caps w:val="0"/>
          <w:spacing w:val="11"/>
          <w:kern w:val="21"/>
          <w:sz w:val="32"/>
          <w:szCs w:val="32"/>
          <w:highlight w:val="none"/>
          <w:lang w:val="en-US" w:eastAsia="zh-CN" w:bidi="ar-SA"/>
        </w:rPr>
        <w:t>七</w:t>
      </w:r>
      <w:r>
        <w:rPr>
          <w:rFonts w:hint="eastAsia" w:ascii="方正楷体_GBK" w:hAnsi="方正楷体_GBK" w:eastAsia="方正楷体_GBK" w:cs="方正楷体_GBK"/>
          <w:spacing w:val="11"/>
          <w:kern w:val="21"/>
          <w:sz w:val="32"/>
          <w:szCs w:val="32"/>
          <w:highlight w:val="none"/>
          <w:lang w:val="en-US" w:eastAsia="zh-CN" w:bidi="ar-SA"/>
        </w:rPr>
        <w:t>条</w:t>
      </w:r>
      <w:r>
        <w:rPr>
          <w:rFonts w:hint="eastAsia" w:ascii="Times New Roman" w:hAnsi="Times New Roman" w:eastAsia="方正仿宋_GB2312" w:cs="Times New Roman"/>
          <w:color w:val="000000"/>
          <w:kern w:val="0"/>
          <w:sz w:val="32"/>
          <w:szCs w:val="32"/>
          <w:highlight w:val="none"/>
          <w:lang w:val="en-US" w:eastAsia="zh-CN" w:bidi="ar"/>
        </w:rPr>
        <w:t xml:space="preserve"> 失信的定点医药机构有下列情形之一的，不予以信用修复：</w:t>
      </w:r>
    </w:p>
    <w:p w14:paraId="3CEC3F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（一）被认定为信用失信行为之日起，公示期限未届满；</w:t>
      </w:r>
    </w:p>
    <w:p w14:paraId="5FABA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（二）信用评价结果公示限期内，发生同类信用失信行为的；</w:t>
      </w:r>
    </w:p>
    <w:p w14:paraId="2D916D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（三）依法依规暂不适宜实施信用修复的其他信用失信行为。</w:t>
      </w:r>
    </w:p>
    <w:p w14:paraId="7EE88114">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color w:val="auto"/>
          <w:spacing w:val="11"/>
          <w:kern w:val="21"/>
          <w:sz w:val="32"/>
          <w:szCs w:val="32"/>
          <w:highlight w:val="none"/>
          <w:lang w:val="en-US" w:eastAsia="zh-CN" w:bidi="ar-SA"/>
        </w:rPr>
        <w:t>第二十</w:t>
      </w:r>
      <w:r>
        <w:rPr>
          <w:rFonts w:hint="eastAsia" w:ascii="方正楷体_GBK" w:hAnsi="方正楷体_GBK" w:eastAsia="方正楷体_GBK" w:cs="方正楷体_GBK"/>
          <w:spacing w:val="11"/>
          <w:kern w:val="21"/>
          <w:sz w:val="32"/>
          <w:szCs w:val="32"/>
          <w:highlight w:val="none"/>
          <w:lang w:val="en-US" w:eastAsia="zh-CN" w:bidi="ar-SA"/>
        </w:rPr>
        <w:t>八</w:t>
      </w:r>
      <w:r>
        <w:rPr>
          <w:rFonts w:hint="eastAsia" w:ascii="方正楷体_GBK" w:hAnsi="方正楷体_GBK" w:eastAsia="方正楷体_GBK" w:cs="方正楷体_GBK"/>
          <w:color w:val="auto"/>
          <w:spacing w:val="11"/>
          <w:kern w:val="21"/>
          <w:sz w:val="32"/>
          <w:szCs w:val="32"/>
          <w:highlight w:val="none"/>
          <w:lang w:val="en-US" w:eastAsia="zh-CN" w:bidi="ar-SA"/>
        </w:rPr>
        <w:t xml:space="preserve">条  </w:t>
      </w:r>
      <w:r>
        <w:rPr>
          <w:rFonts w:hint="eastAsia" w:ascii="Times New Roman" w:hAnsi="Times New Roman" w:eastAsia="方正仿宋_GB2312" w:cs="Times New Roman"/>
          <w:color w:val="000000"/>
          <w:kern w:val="0"/>
          <w:sz w:val="32"/>
          <w:szCs w:val="32"/>
          <w:highlight w:val="none"/>
          <w:lang w:val="en-US" w:eastAsia="zh-CN" w:bidi="ar"/>
        </w:rPr>
        <w:t>失信定点医药机构可向医疗保障经办机构提出信用修复申请，材料如下：</w:t>
      </w:r>
    </w:p>
    <w:p w14:paraId="6504E0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（一）信用修复申请表和信用承诺书；</w:t>
      </w:r>
    </w:p>
    <w:p w14:paraId="415B25C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（二）信用修复的佐证材料；</w:t>
      </w:r>
    </w:p>
    <w:p w14:paraId="6E041D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2312" w:cs="Times New Roman"/>
          <w:color w:val="000000"/>
          <w:kern w:val="0"/>
          <w:sz w:val="32"/>
          <w:szCs w:val="32"/>
          <w:highlight w:val="none"/>
          <w:lang w:val="en-US" w:eastAsia="zh-CN" w:bidi="ar"/>
        </w:rPr>
      </w:pPr>
      <w:r>
        <w:rPr>
          <w:rFonts w:hint="eastAsia" w:ascii="Times New Roman" w:hAnsi="Times New Roman" w:eastAsia="方正仿宋_GB2312" w:cs="Times New Roman"/>
          <w:color w:val="000000"/>
          <w:kern w:val="0"/>
          <w:sz w:val="32"/>
          <w:szCs w:val="32"/>
          <w:highlight w:val="none"/>
          <w:lang w:val="en-US" w:eastAsia="zh-CN" w:bidi="ar"/>
        </w:rPr>
        <w:t>（三）委托代理人申请修复处理的，应提交授权委托书和代理人有效身份证明原件及复印件。</w:t>
      </w:r>
    </w:p>
    <w:p w14:paraId="674D5C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二十九</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医疗保障经办机构收到异议处理、信用修复申请后，应当自收到申请之日起7个工作日内进行审核并处理；需要其他单位协助核查信息的，应当自收到申请之日起30个工作日内进行核查并处理。处理结果应书面告知申请人。</w:t>
      </w:r>
    </w:p>
    <w:p w14:paraId="62AD8AE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84" w:firstLineChars="200"/>
        <w:jc w:val="both"/>
        <w:textAlignment w:val="auto"/>
        <w:outlineLvl w:val="9"/>
        <w:rPr>
          <w:rFonts w:hint="eastAsia" w:ascii="Times New Roman" w:hAnsi="Times New Roman" w:eastAsia="方正仿宋_GBK" w:cs="Times New Roman"/>
          <w:b w:val="0"/>
          <w:bCs w:val="0"/>
          <w:caps w:val="0"/>
          <w:spacing w:val="11"/>
          <w:kern w:val="21"/>
          <w:sz w:val="32"/>
          <w:szCs w:val="32"/>
          <w:highlight w:val="none"/>
          <w:lang w:val="en-US" w:eastAsia="zh-CN" w:bidi="ar-SA"/>
        </w:rPr>
      </w:pPr>
    </w:p>
    <w:p w14:paraId="2DC6ED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黑体_GBK" w:cs="Times New Roman"/>
          <w:spacing w:val="11"/>
          <w:kern w:val="10"/>
          <w:sz w:val="32"/>
          <w:szCs w:val="32"/>
          <w:highlight w:val="none"/>
          <w:lang w:val="en-US" w:eastAsia="zh-CN"/>
        </w:rPr>
      </w:pPr>
      <w:r>
        <w:rPr>
          <w:rFonts w:hint="eastAsia" w:ascii="Times New Roman" w:hAnsi="Times New Roman" w:eastAsia="方正黑体_GBK" w:cs="Times New Roman"/>
          <w:spacing w:val="11"/>
          <w:kern w:val="10"/>
          <w:sz w:val="32"/>
          <w:szCs w:val="32"/>
          <w:highlight w:val="none"/>
          <w:lang w:val="en-US" w:eastAsia="zh-CN"/>
        </w:rPr>
        <w:t>第六章  附  则</w:t>
      </w:r>
    </w:p>
    <w:p w14:paraId="4C9178A2">
      <w:pPr>
        <w:keepNext w:val="0"/>
        <w:keepLines w:val="0"/>
        <w:pageBreakBefore w:val="0"/>
        <w:widowControl w:val="0"/>
        <w:kinsoku/>
        <w:wordWrap/>
        <w:overflowPunct/>
        <w:topLinePunct w:val="0"/>
        <w:autoSpaceDE/>
        <w:autoSpaceDN/>
        <w:bidi w:val="0"/>
        <w:adjustRightInd/>
        <w:snapToGrid/>
        <w:spacing w:line="560" w:lineRule="exact"/>
        <w:ind w:left="0" w:leftChars="0" w:firstLine="684" w:firstLineChars="200"/>
        <w:jc w:val="both"/>
        <w:textAlignment w:val="auto"/>
        <w:rPr>
          <w:rFonts w:hint="default" w:ascii="Times New Roman" w:hAnsi="Times New Roman" w:eastAsia="方正仿宋_GB2312" w:cs="Times New Roman"/>
          <w:color w:val="000000"/>
          <w:kern w:val="0"/>
          <w:sz w:val="32"/>
          <w:szCs w:val="32"/>
          <w:highlight w:val="none"/>
          <w:lang w:val="en-US" w:eastAsia="zh-CN" w:bidi="ar"/>
        </w:rPr>
      </w:pPr>
      <w:r>
        <w:rPr>
          <w:rFonts w:hint="eastAsia" w:ascii="方正楷体_GBK" w:hAnsi="方正楷体_GBK" w:eastAsia="方正楷体_GBK" w:cs="方正楷体_GBK"/>
          <w:spacing w:val="11"/>
          <w:kern w:val="21"/>
          <w:sz w:val="32"/>
          <w:szCs w:val="32"/>
          <w:highlight w:val="none"/>
        </w:rPr>
        <w:t>第</w:t>
      </w:r>
      <w:r>
        <w:rPr>
          <w:rFonts w:hint="eastAsia" w:ascii="方正楷体_GBK" w:hAnsi="方正楷体_GBK" w:eastAsia="方正楷体_GBK" w:cs="方正楷体_GBK"/>
          <w:spacing w:val="11"/>
          <w:kern w:val="21"/>
          <w:sz w:val="32"/>
          <w:szCs w:val="32"/>
          <w:highlight w:val="none"/>
          <w:lang w:val="en-US" w:eastAsia="zh-CN"/>
        </w:rPr>
        <w:t>三十</w:t>
      </w:r>
      <w:r>
        <w:rPr>
          <w:rFonts w:hint="eastAsia" w:ascii="方正楷体_GBK" w:hAnsi="方正楷体_GBK" w:eastAsia="方正楷体_GBK" w:cs="方正楷体_GBK"/>
          <w:spacing w:val="11"/>
          <w:kern w:val="21"/>
          <w:sz w:val="32"/>
          <w:szCs w:val="32"/>
          <w:highlight w:val="none"/>
        </w:rPr>
        <w:t>条</w:t>
      </w:r>
      <w:r>
        <w:rPr>
          <w:rFonts w:hint="eastAsia" w:ascii="方正楷体_GBK" w:hAnsi="方正楷体_GBK" w:eastAsia="方正楷体_GBK" w:cs="方正楷体_GBK"/>
          <w:spacing w:val="11"/>
          <w:kern w:val="21"/>
          <w:sz w:val="32"/>
          <w:szCs w:val="32"/>
          <w:highlight w:val="none"/>
          <w:lang w:val="en-US" w:eastAsia="zh-CN"/>
        </w:rPr>
        <w:t xml:space="preserve">  </w:t>
      </w:r>
      <w:r>
        <w:rPr>
          <w:rFonts w:hint="eastAsia" w:ascii="Times New Roman" w:hAnsi="Times New Roman" w:eastAsia="方正仿宋_GB2312" w:cs="Times New Roman"/>
          <w:color w:val="000000"/>
          <w:kern w:val="0"/>
          <w:sz w:val="32"/>
          <w:szCs w:val="32"/>
          <w:highlight w:val="none"/>
          <w:lang w:val="en-US" w:eastAsia="zh-CN" w:bidi="ar"/>
        </w:rPr>
        <w:t>本细则由昌吉回族自治州医疗保障局负责解释，自2025年*月*日起试行，有效期2年。国家、自治区有规定的从其规定。</w:t>
      </w:r>
    </w:p>
    <w:p w14:paraId="5839CAC1">
      <w:pPr>
        <w:pStyle w:val="11"/>
        <w:keepNext w:val="0"/>
        <w:keepLines w:val="0"/>
        <w:pageBreakBefore w:val="0"/>
        <w:widowControl w:val="0"/>
        <w:kinsoku/>
        <w:wordWrap/>
        <w:overflowPunct/>
        <w:topLinePunct w:val="0"/>
        <w:autoSpaceDE/>
        <w:autoSpaceDN/>
        <w:bidi w:val="0"/>
        <w:adjustRightInd/>
        <w:spacing w:line="560" w:lineRule="exact"/>
        <w:ind w:left="0" w:leftChars="0"/>
        <w:jc w:val="both"/>
        <w:textAlignment w:val="auto"/>
        <w:rPr>
          <w:rFonts w:hint="eastAsia" w:ascii="Times New Roman" w:hAnsi="Times New Roman" w:eastAsia="方正仿宋_GBK" w:cs="Times New Roman"/>
          <w:spacing w:val="11"/>
          <w:kern w:val="21"/>
          <w:sz w:val="32"/>
          <w:szCs w:val="32"/>
          <w:highlight w:val="none"/>
          <w:lang w:val="en-US" w:eastAsia="zh-CN"/>
        </w:rPr>
      </w:pPr>
    </w:p>
    <w:p w14:paraId="2199E2E1">
      <w:pPr>
        <w:keepNext w:val="0"/>
        <w:keepLines w:val="0"/>
        <w:pageBreakBefore w:val="0"/>
        <w:widowControl w:val="0"/>
        <w:kinsoku/>
        <w:wordWrap/>
        <w:overflowPunct/>
        <w:topLinePunct w:val="0"/>
        <w:autoSpaceDE/>
        <w:autoSpaceDN/>
        <w:bidi w:val="0"/>
        <w:adjustRightInd/>
        <w:snapToGrid/>
        <w:spacing w:line="560" w:lineRule="exact"/>
        <w:ind w:left="1664" w:leftChars="304" w:hanging="1026" w:hangingChars="30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b w:val="0"/>
          <w:bCs w:val="0"/>
          <w:caps w:val="0"/>
          <w:spacing w:val="11"/>
          <w:kern w:val="21"/>
          <w:sz w:val="32"/>
          <w:szCs w:val="32"/>
          <w:highlight w:val="none"/>
          <w:lang w:val="en-US" w:eastAsia="zh-CN" w:bidi="ar-SA"/>
        </w:rPr>
        <w:t>附件：</w:t>
      </w:r>
      <w:r>
        <w:rPr>
          <w:rFonts w:hint="eastAsia" w:ascii="Times New Roman" w:hAnsi="Times New Roman" w:eastAsia="方正仿宋_GB2312" w:cs="Times New Roman"/>
          <w:spacing w:val="11"/>
          <w:kern w:val="21"/>
          <w:sz w:val="32"/>
          <w:szCs w:val="32"/>
          <w:highlight w:val="none"/>
          <w:lang w:val="en-US" w:eastAsia="zh-CN"/>
        </w:rPr>
        <w:t>1.昌吉回族自治州定点医疗机构医疗保障信用</w:t>
      </w:r>
    </w:p>
    <w:p w14:paraId="13E84DCA">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评价指标</w:t>
      </w:r>
    </w:p>
    <w:p w14:paraId="03E9DA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2.昌吉回族自治州定点零售药店医疗保障信用</w:t>
      </w:r>
    </w:p>
    <w:p w14:paraId="5A642E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评价指标</w:t>
      </w:r>
    </w:p>
    <w:p w14:paraId="295F6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3.信用承诺书（模板）</w:t>
      </w:r>
    </w:p>
    <w:p w14:paraId="6D9FA2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4.信用评价结果异议申请表（模板）</w:t>
      </w:r>
    </w:p>
    <w:p w14:paraId="717FD8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5.信用评价异议处理结果反馈单（模板）</w:t>
      </w:r>
    </w:p>
    <w:p w14:paraId="554299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Times New Roman" w:hAnsi="Times New Roman" w:eastAsia="方正仿宋_GB2312" w:cs="Times New Roman"/>
          <w:spacing w:val="11"/>
          <w:kern w:val="21"/>
          <w:sz w:val="32"/>
          <w:szCs w:val="32"/>
          <w:highlight w:val="none"/>
          <w:lang w:val="en-US" w:eastAsia="zh-CN"/>
        </w:rPr>
      </w:pPr>
      <w:r>
        <w:rPr>
          <w:rFonts w:hint="eastAsia" w:ascii="Times New Roman" w:hAnsi="Times New Roman" w:eastAsia="方正仿宋_GB2312" w:cs="Times New Roman"/>
          <w:spacing w:val="11"/>
          <w:kern w:val="21"/>
          <w:sz w:val="32"/>
          <w:szCs w:val="32"/>
          <w:highlight w:val="none"/>
          <w:lang w:val="en-US" w:eastAsia="zh-CN"/>
        </w:rPr>
        <w:t>6.信用修复申请表（模板）</w:t>
      </w:r>
    </w:p>
    <w:p w14:paraId="082AA8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760"/>
        <w:jc w:val="both"/>
        <w:textAlignment w:val="auto"/>
        <w:rPr>
          <w:rFonts w:hint="eastAsia" w:ascii="方正黑体_GBK" w:hAnsi="方正黑体_GBK" w:eastAsia="方正黑体_GBK" w:cs="方正黑体_GBK"/>
          <w:spacing w:val="11"/>
          <w:kern w:val="10"/>
          <w:sz w:val="32"/>
          <w:szCs w:val="21"/>
          <w:highlight w:val="none"/>
        </w:rPr>
      </w:pPr>
      <w:r>
        <w:rPr>
          <w:rFonts w:hint="eastAsia" w:ascii="Times New Roman" w:hAnsi="Times New Roman" w:eastAsia="方正仿宋_GB2312" w:cs="Times New Roman"/>
          <w:spacing w:val="11"/>
          <w:kern w:val="21"/>
          <w:sz w:val="32"/>
          <w:szCs w:val="32"/>
          <w:highlight w:val="none"/>
          <w:lang w:val="en-US" w:eastAsia="zh-CN"/>
        </w:rPr>
        <w:t>7.信用修复通知书（模板）</w:t>
      </w:r>
    </w:p>
    <w:p w14:paraId="14988289">
      <w:pPr>
        <w:widowControl/>
        <w:spacing w:line="560" w:lineRule="exact"/>
        <w:jc w:val="left"/>
        <w:rPr>
          <w:rFonts w:hint="eastAsia" w:ascii="方正黑体_GBK" w:hAnsi="方正黑体_GBK" w:eastAsia="方正黑体_GBK" w:cs="方正黑体_GBK"/>
          <w:spacing w:val="11"/>
          <w:kern w:val="10"/>
          <w:sz w:val="32"/>
          <w:szCs w:val="21"/>
          <w:highlight w:val="none"/>
        </w:rPr>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pPr>
    </w:p>
    <w:tbl>
      <w:tblPr>
        <w:tblStyle w:val="12"/>
        <w:tblW w:w="4902" w:type="pct"/>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7"/>
        <w:gridCol w:w="1163"/>
        <w:gridCol w:w="1716"/>
        <w:gridCol w:w="1487"/>
        <w:gridCol w:w="4198"/>
        <w:gridCol w:w="3917"/>
      </w:tblGrid>
      <w:tr w14:paraId="7251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000" w:type="pct"/>
            <w:gridSpan w:val="6"/>
            <w:tcBorders>
              <w:top w:val="nil"/>
              <w:left w:val="nil"/>
              <w:bottom w:val="nil"/>
              <w:right w:val="nil"/>
            </w:tcBorders>
            <w:shd w:val="clear" w:color="auto" w:fill="FFFFFF"/>
            <w:noWrap/>
            <w:vAlign w:val="center"/>
          </w:tcPr>
          <w:p w14:paraId="5D9F6217">
            <w:pPr>
              <w:keepNext w:val="0"/>
              <w:keepLines w:val="0"/>
              <w:widowControl/>
              <w:suppressLineNumbers w:val="0"/>
              <w:jc w:val="left"/>
              <w:textAlignment w:val="center"/>
              <w:rPr>
                <w:rFonts w:hint="eastAsia" w:ascii="黑体" w:hAnsi="宋体" w:eastAsia="黑体" w:cs="黑体"/>
                <w:i w:val="0"/>
                <w:iCs w:val="0"/>
                <w:color w:val="000000"/>
                <w:kern w:val="0"/>
                <w:sz w:val="32"/>
                <w:szCs w:val="32"/>
                <w:highlight w:val="none"/>
                <w:u w:val="none"/>
                <w:lang w:val="en-US" w:eastAsia="zh-CN" w:bidi="ar"/>
              </w:rPr>
            </w:pPr>
            <w:r>
              <w:rPr>
                <w:rFonts w:hint="eastAsia" w:ascii="黑体" w:hAnsi="宋体" w:eastAsia="黑体" w:cs="黑体"/>
                <w:i w:val="0"/>
                <w:iCs w:val="0"/>
                <w:color w:val="000000"/>
                <w:kern w:val="0"/>
                <w:sz w:val="32"/>
                <w:szCs w:val="32"/>
                <w:highlight w:val="none"/>
                <w:u w:val="none"/>
                <w:lang w:val="en-US" w:eastAsia="zh-CN" w:bidi="ar"/>
              </w:rPr>
              <w:t>附件1</w:t>
            </w:r>
          </w:p>
        </w:tc>
      </w:tr>
      <w:tr w14:paraId="2CFE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5000" w:type="pct"/>
            <w:gridSpan w:val="6"/>
            <w:tcBorders>
              <w:top w:val="nil"/>
              <w:left w:val="nil"/>
              <w:bottom w:val="nil"/>
              <w:right w:val="nil"/>
            </w:tcBorders>
            <w:shd w:val="clear" w:color="auto" w:fill="FFFFFF"/>
            <w:noWrap/>
            <w:vAlign w:val="center"/>
          </w:tcPr>
          <w:p w14:paraId="5B0047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i w:val="0"/>
                <w:iCs w:val="0"/>
                <w:color w:val="000000"/>
                <w:kern w:val="0"/>
                <w:sz w:val="44"/>
                <w:szCs w:val="44"/>
                <w:highlight w:val="none"/>
                <w:u w:val="none"/>
                <w:lang w:val="en-US" w:eastAsia="zh-CN" w:bidi="ar"/>
              </w:rPr>
            </w:pPr>
            <w:r>
              <w:rPr>
                <w:rFonts w:hint="eastAsia" w:ascii="方正小标宋_GBK" w:hAnsi="方正小标宋_GBK" w:eastAsia="方正小标宋_GBK" w:cs="方正小标宋_GBK"/>
                <w:i w:val="0"/>
                <w:iCs w:val="0"/>
                <w:color w:val="000000"/>
                <w:kern w:val="0"/>
                <w:sz w:val="44"/>
                <w:szCs w:val="44"/>
                <w:highlight w:val="none"/>
                <w:u w:val="none"/>
                <w:lang w:val="en-US" w:eastAsia="zh-CN" w:bidi="ar"/>
              </w:rPr>
              <w:t>昌吉回族自治州定点医疗机构医疗保障信用评价指标</w:t>
            </w:r>
          </w:p>
          <w:p w14:paraId="2221F5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i w:val="0"/>
                <w:iCs w:val="0"/>
                <w:color w:val="000000"/>
                <w:kern w:val="0"/>
                <w:sz w:val="44"/>
                <w:szCs w:val="44"/>
                <w:highlight w:val="none"/>
                <w:u w:val="none"/>
                <w:lang w:val="en-US" w:eastAsia="zh-CN" w:bidi="ar"/>
              </w:rPr>
            </w:pPr>
            <w:r>
              <w:rPr>
                <w:rFonts w:hint="eastAsia" w:ascii="方正小标宋_GBK" w:hAnsi="方正小标宋_GBK" w:eastAsia="方正小标宋_GBK" w:cs="方正小标宋_GBK"/>
                <w:i w:val="0"/>
                <w:iCs w:val="0"/>
                <w:color w:val="000000"/>
                <w:kern w:val="0"/>
                <w:sz w:val="44"/>
                <w:szCs w:val="44"/>
                <w:highlight w:val="none"/>
                <w:u w:val="none"/>
                <w:lang w:val="en-US" w:eastAsia="zh-CN" w:bidi="ar"/>
              </w:rPr>
              <w:t>（2025年11月）</w:t>
            </w:r>
          </w:p>
        </w:tc>
      </w:tr>
      <w:tr w14:paraId="24EF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078E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一级指标</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ACE9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73DA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三级指标</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6B355">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分值</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（100分）</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不含加分项</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C020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评价内容</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6593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评分标准</w:t>
            </w:r>
          </w:p>
        </w:tc>
      </w:tr>
      <w:tr w14:paraId="1BF0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6F6C4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70D808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2FC26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439207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08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变更备案</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9D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9EDB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医疗机构的名称、法定代表人、主要负责人或实际控制人、注册地址、银行账户、诊疗科目、机构规模、机构性质、等级和类别等重大信息变更时，应自有关部门批准之日起30个工作日内向统筹地区经办机构提出变更申请。</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7ECC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基础分2分，发生变更未按规定办理相关手续的扣2分。</w:t>
            </w:r>
          </w:p>
        </w:tc>
      </w:tr>
      <w:tr w14:paraId="0049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28368D">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E519EC">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DE2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18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D115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在显要位置悬挂“基本医疗保险定点医疗机构”和“医疗保障监督举报电话”的标识标牌；</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6E94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基础分1分，未在显要位置悬挂医疗保障标识标牌扣0.5分；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未按要求张贴医疗保障监督举报电话扣0.5分。</w:t>
            </w:r>
          </w:p>
        </w:tc>
      </w:tr>
      <w:tr w14:paraId="17892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43D40">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34A11">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605E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宣传培训</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B80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B7DB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按要求开展医疗保障政策、就医和费用结算流程宣传，提供相关咨询服务、定期更新宣传内容；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组织院内开展医保相关政策的培训不少于2次；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按要求参加由医疗保障部门组织的宣传和培训。</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9FE8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基础分3分，未按要求开展宣传内容查实1次扣1分，院内开展医保相关政策培训少1次扣1分，未按要求参加由医保部门组织的宣传培训少1次扣1分。</w:t>
            </w:r>
          </w:p>
        </w:tc>
      </w:tr>
      <w:tr w14:paraId="5A50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C26DBC">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0A308">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78E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举报投诉</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24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00DD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在院内服务场所设立举报投诉窗口（台）、 电话、意见箱等设施并有明显标识，及时妥善处理参保人员举报投诉。</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EF32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基础分3分，未设投诉窗口 （台）、箱等设施或未公布监督举报电话扣1分；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因投诉受理不及时或不受理，造成不良影响的扣2分。</w:t>
            </w:r>
          </w:p>
        </w:tc>
      </w:tr>
      <w:tr w14:paraId="4F3D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exac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AC6BA">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0219C3">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095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药耗采集</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503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368F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定点医疗机构严格执行集采政策，参加集采工作并按要求报量；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畅通中选药品和医用耗材入院渠道，并按时完成约定采购量；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严格执行网上采购政策，不得违规线下采购。</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6E1D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基础分6分，未按要求如实向统筹地区医疗保障部门报送药品、医用耗材的数量等相关数据1次扣1分；1个品种未完成约定采购量扣1分；未严格执行网上采购政策，违规线下采购的查实1次扣1分。扣完为止。</w:t>
            </w:r>
          </w:p>
        </w:tc>
      </w:tr>
      <w:tr w14:paraId="7C5E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874F8E">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8EDEDB">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55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药品管理</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35A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D234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建立健全药品“进、销、存”全流程记录和管理制度；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医保药品备药率占总药品配备比例三级医疗机构达80%以上，二级医疗机构达70%以上，一级医疗机构达到60%以上。谈判药品配备率，二级医疗机构达到谈判药品目录的70%以上，三级医疗机构达到谈判药品目录的80%以上。</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DD39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基础分3分，制度不完善扣1分，考核不达标扣2分。</w:t>
            </w:r>
          </w:p>
        </w:tc>
      </w:tr>
      <w:tr w14:paraId="6E09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9" w:hRule="exac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CBF43">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9AF313">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42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付费方式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80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6D68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开展DRG付费的医疗机构：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按规定开展DRG付费方式改革；落实协议总额预算控制指标，结合本院实际制定费用控制办法，不能将指标简单分解到科室。</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144B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基础分2分，未制定费用控制办法扣2分，将指标简单分解到科室的扣1分。</w:t>
            </w:r>
          </w:p>
        </w:tc>
      </w:tr>
      <w:tr w14:paraId="5C7ED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7" w:hRule="exac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541C6F">
            <w:pPr>
              <w:jc w:val="center"/>
              <w:rPr>
                <w:rFonts w:hint="eastAsia" w:ascii="宋体" w:hAnsi="宋体" w:eastAsia="宋体" w:cs="宋体"/>
                <w:i w:val="0"/>
                <w:iCs w:val="0"/>
                <w:color w:val="000000"/>
                <w:sz w:val="20"/>
                <w:szCs w:val="20"/>
                <w:highlight w:val="none"/>
                <w:u w:val="none"/>
              </w:rPr>
            </w:pP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4F178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3AB7DA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信息管理（18%）</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527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信息安全</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3D4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9AF4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建立医保协议管理要求的信息系统技术和接口标准的信息系统，实现与医保信息系统有效衔接，为参保人员提供直接联网结算，积极配合医保部门做好计算机网络维护工作。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制定网络安全管理制度。建立健全医保药品、耗材、服务项目、疾病病种等基础数据库，按规定做好编码对接和维护工作。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不在医保专用计算机上与其他无关网络进行连接。</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612B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8分，无法提供联网结算或计算机网络维护不到位的1次扣8分，无网络管理工作制度或未设立基础数据库1次扣2分，不按规定使用国家统一的医保编码1次扣2分，医保专用计算机与其他无关网络进行连接的查实1次扣2分。扣完为止。</w:t>
            </w:r>
          </w:p>
        </w:tc>
      </w:tr>
      <w:tr w14:paraId="78CD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03043">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63B79B">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F89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药品追溯码</w:t>
            </w:r>
          </w:p>
          <w:p w14:paraId="525370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上传</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AD5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A380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开展医保结算药品/耗材追溯码信息采集工作（中药饮片、中药配方颗粒、院内制剂、零散注射针剂等除外）。</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F020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基础分3分，重复率大于0.2%，扣3分。</w:t>
            </w:r>
          </w:p>
        </w:tc>
      </w:tr>
      <w:tr w14:paraId="44723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C76C6">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D83F5A">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4D02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医保码</w:t>
            </w:r>
          </w:p>
          <w:p w14:paraId="228B0E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全流程监管</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EF5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9AEB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落实医保电子凭证就医购药全流程应用</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34D1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基础分3分，达不到要求扣3分。</w:t>
            </w:r>
          </w:p>
        </w:tc>
      </w:tr>
      <w:tr w14:paraId="50F1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D35778">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44F30">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FFB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医保编码</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6C5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7936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及时做好定点医疗机构、医师、护士等医保编码工作，动态调整，在国家赋码后同步更新；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配合做好三个目录、费用结算清单等国家统一编码落地实施工作。</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4CA0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基础分4分，未及时维护医保信息业务编码的扣2分；未严格按照规定使用国家统一编码的扣2分。</w:t>
            </w:r>
          </w:p>
        </w:tc>
      </w:tr>
      <w:tr w14:paraId="676C4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4AC8BF">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40FC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489007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医疗管理（2%）</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7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异地就医</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E7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BB30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严格执行异地就医相关法规政策，做好异地就医直接结算服务与政策解释，无正当理由不得拒绝为异地参保人员即时结算费用。</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92F7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基础分2分，未严格执行异地就医服务扣2分。</w:t>
            </w:r>
          </w:p>
        </w:tc>
      </w:tr>
      <w:tr w14:paraId="6897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8BEA5">
            <w:pPr>
              <w:jc w:val="center"/>
              <w:rPr>
                <w:rFonts w:hint="eastAsia" w:ascii="宋体" w:hAnsi="宋体" w:eastAsia="宋体" w:cs="宋体"/>
                <w:i w:val="0"/>
                <w:iCs w:val="0"/>
                <w:color w:val="000000"/>
                <w:sz w:val="20"/>
                <w:szCs w:val="20"/>
                <w:highlight w:val="none"/>
                <w:u w:val="none"/>
              </w:rPr>
            </w:pP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EA890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w:t>
            </w:r>
          </w:p>
          <w:p w14:paraId="21458A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05D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收费管理</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6E0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9E196">
            <w:pPr>
              <w:keepNext w:val="0"/>
              <w:keepLines w:val="0"/>
              <w:widowControl/>
              <w:suppressLineNumbers w:val="0"/>
              <w:jc w:val="both"/>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执行或承诺执行医疗保障行政部门制定的医疗服务价格项目和价格政策，包括项目名称、项目内涵、计价单元、收费方式和价格水平等；</w:t>
            </w:r>
          </w:p>
          <w:p w14:paraId="238559C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鼓励医保定点社会办医在省级药品集中采购平台带量采购药品，自主议价，医保部门按不高于集中采购平台价格制定支付标准进行支付。</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2022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基础分4分，医疗服务价格项目和价格水平高于公立医疗机构的，每查实1例扣1分；药品、医用耗材价格高于集中采购平台价格，每查实1例扣1分。扣完为止。</w:t>
            </w:r>
          </w:p>
        </w:tc>
      </w:tr>
      <w:tr w14:paraId="0A64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8"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5425B">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1F495">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20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结算管理</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77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36D6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按规定的程序和时限，及时、正确上传数据，申报医疗费用；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未按要求协助医保经办机构对参保人员所发生的有疑义的医疗费用进行复核，并按规定时间进行疑点反馈。</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5853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基础分4分，未按规定上传数据扣2分；未按要求协助开展</w:t>
            </w:r>
            <w:r>
              <w:rPr>
                <w:rStyle w:val="20"/>
                <w:sz w:val="20"/>
                <w:szCs w:val="20"/>
                <w:highlight w:val="none"/>
                <w:lang w:val="en-US" w:eastAsia="zh-CN" w:bidi="ar"/>
              </w:rPr>
              <w:t>疑异</w:t>
            </w:r>
            <w:r>
              <w:rPr>
                <w:rFonts w:hint="eastAsia" w:ascii="宋体" w:hAnsi="宋体" w:eastAsia="宋体" w:cs="宋体"/>
                <w:i w:val="0"/>
                <w:iCs w:val="0"/>
                <w:color w:val="000000"/>
                <w:kern w:val="0"/>
                <w:sz w:val="20"/>
                <w:szCs w:val="20"/>
                <w:highlight w:val="none"/>
                <w:u w:val="none"/>
                <w:lang w:val="en-US" w:eastAsia="zh-CN" w:bidi="ar"/>
              </w:rPr>
              <w:t>医疗费用复核的扣2分。</w:t>
            </w:r>
          </w:p>
        </w:tc>
      </w:tr>
      <w:tr w14:paraId="3146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59EE6">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93F0B4">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145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知情同意</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D0A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7961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因住院病情需要使用医保目录外药品或诊疗项目的，应书面告知参保人员，严格执行自费项目知情同意签字制度；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能够向参保人员提供门诊、住院费用结算清单和住院日费用清单（无住院部的除外）；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与外伤患者签订承诺书。</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289A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基础分3分，除急诊、抢救等特殊情形外，自费项目未经患者或其家属签字同意的扣1分；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未按规定提供费用清单的扣1分；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未与外伤患者签订承诺书扣1分。</w:t>
            </w:r>
          </w:p>
        </w:tc>
      </w:tr>
      <w:tr w14:paraId="02E4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3C9A9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1BEDEB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基金监管</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F20FE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30D742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1E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约谈</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0CD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69CC8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被医疗保障部门约谈的。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4E171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基础分2分，因违规行为被医疗保障部门约谈一次扣0.5分，扣完为止。</w:t>
            </w:r>
          </w:p>
        </w:tc>
      </w:tr>
      <w:tr w14:paraId="2CF0E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724B69">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76226F">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56C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整改</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564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7AB3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被医疗保障部门责令限期整改的。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9F44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基础分4分，被医疗保障部门责令限期整改一次扣0.5分，扣完为止；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被医疗保障部门追回已支付的医保基金，扣2分；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拒不改正的，直接按D级处理。</w:t>
            </w:r>
          </w:p>
        </w:tc>
      </w:tr>
      <w:tr w14:paraId="7F8D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BD2901">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A99EDC">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2FF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支付违约金</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7B4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D680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被医疗保障部门要求按照协议约定支付违约金的。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FC199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基础分3分，被医疗保障部门要求支付违约金的扣3分。</w:t>
            </w:r>
          </w:p>
        </w:tc>
      </w:tr>
      <w:tr w14:paraId="54E8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1E0F6B">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2385F4">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543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通报</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B6D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9019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被医疗保障部门通报的。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B8F5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基础分2分，因违规行为被医保部门通报一次扣0.5分，扣完为止。</w:t>
            </w:r>
          </w:p>
        </w:tc>
      </w:tr>
      <w:tr w14:paraId="3FE1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D682A3">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41BB30">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6C0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拒付费用</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B03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F00A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被医疗保障部门拒付费用的。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08A5B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基础分3分，被医疗保障部门拒绝支付医保基金扣1.5分，扣完为止。</w:t>
            </w:r>
          </w:p>
        </w:tc>
      </w:tr>
      <w:tr w14:paraId="1179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CEF4E9">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8F450">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E41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暂停拨付</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154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AB66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被医疗保障部门暂停拨付费用的。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5D42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基础分3分，被医疗保障部门暂停拨付一次扣1.5分，扣完为止。</w:t>
            </w:r>
          </w:p>
        </w:tc>
      </w:tr>
      <w:tr w14:paraId="6561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4DABCB">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3CC6E">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A90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中止协议</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5D1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92C1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被医疗保障部门中止协议的。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8328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基础分5分，被医疗保障部门中止协议扣5分。</w:t>
            </w:r>
          </w:p>
        </w:tc>
      </w:tr>
      <w:tr w14:paraId="0345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7BC00">
            <w:pPr>
              <w:jc w:val="center"/>
              <w:rPr>
                <w:rFonts w:hint="eastAsia" w:ascii="宋体" w:hAnsi="宋体" w:eastAsia="宋体" w:cs="宋体"/>
                <w:i w:val="0"/>
                <w:iCs w:val="0"/>
                <w:color w:val="000000"/>
                <w:sz w:val="20"/>
                <w:szCs w:val="20"/>
                <w:highlight w:val="none"/>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0D1F9E">
            <w:pPr>
              <w:jc w:val="center"/>
              <w:rPr>
                <w:rFonts w:hint="eastAsia" w:ascii="宋体" w:hAnsi="宋体" w:eastAsia="宋体" w:cs="宋体"/>
                <w:i w:val="0"/>
                <w:iCs w:val="0"/>
                <w:color w:val="000000"/>
                <w:sz w:val="20"/>
                <w:szCs w:val="20"/>
                <w:highlight w:val="none"/>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339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解除协议</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808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C626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被医疗保障部门解除协议的。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CE3C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因违规行为被解除医保协议的，直接按 D 级处理。</w:t>
            </w:r>
          </w:p>
        </w:tc>
      </w:tr>
      <w:tr w14:paraId="79EE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9DB60A">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3062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4CCD9B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5474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罚款</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453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9274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医疗保障行政部门对定点医疗机构医疗保障违法罚款。</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64A3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基础分12分，医疗机构因违法违规行为被医保行政部门处5千元以下的扣3分；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医疗机构因违法违规行为被医保行政部门处5千元以上至10万元及以下的罚款扣4分；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医疗机构因违法违规行为被医保行政部门处10万元以上的罚款扣5分。</w:t>
            </w:r>
          </w:p>
        </w:tc>
      </w:tr>
      <w:tr w14:paraId="41A3F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06650C">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BDF1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465C14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司法处理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（一票否决）</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B28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欺诈骗保</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47C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7C4B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定点医疗机构及其工作人员因欺诈、伪造证明材料或其他手段骗取医疗保障基金或者医疗保障待遇被司法机关追究刑事责任的。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1928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司法机关追究刑事责任的，直接按 D 级处理。</w:t>
            </w:r>
          </w:p>
        </w:tc>
      </w:tr>
      <w:tr w14:paraId="2B55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3446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63CD811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满意度</w:t>
            </w:r>
          </w:p>
          <w:p w14:paraId="1F0715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A5E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满意度评价（4%）</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B2F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满意度评价</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D5A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CE61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通过第三方或问卷调查形式对治疗效果、诊疗服务、 医疗保障报销服务等满意度开展测评；媒体报道负面情况。</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E412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基础分4分，满意度测评＞90%的，不扣分；90%＞满意度测评≥80%的扣1分；满意度测评&lt;80%的扣2分；被媒体报道负面1例扣1分。</w:t>
            </w:r>
          </w:p>
        </w:tc>
      </w:tr>
      <w:tr w14:paraId="1AAD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0B5E6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w:t>
            </w:r>
          </w:p>
          <w:p w14:paraId="0158B5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自律管理</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C3A1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1970E6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管理体制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957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机构设置</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EBB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A2BA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由专门机构或人员负责医疗保障基金使用管理工作。</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00F8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基础分2分，100张床位以下的医疗机构未设立负责医保管理人员的，100张床位以上的医疗机构未设立内部医保管理部门的，扣2分。</w:t>
            </w:r>
          </w:p>
        </w:tc>
      </w:tr>
      <w:tr w14:paraId="3AFB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65F6EA">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DF7A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49C57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制度建设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4C3D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规章制度</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7EF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8DAB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建立完善医保管理制度、财务制度、统计信息管理制度、医疗质量安全核心等制度。</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35AD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基础分3分，医保内部管理制度缺少一项扣1分；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缺少两项以上的扣2分。</w:t>
            </w:r>
          </w:p>
        </w:tc>
      </w:tr>
      <w:tr w14:paraId="0ED9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47736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五、</w:t>
            </w:r>
          </w:p>
          <w:p w14:paraId="5233D1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社会信用</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C965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3CFE5F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其他部门</w:t>
            </w:r>
          </w:p>
          <w:p w14:paraId="0FF8EE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222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行政处罚</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7D2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D0F9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除医保部门以外，被政府有关行政部门给予行政处罚情况。</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1D46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基础分6分，被政府有关行政部门给予行政处罚的，查实1次扣3分，扣完为止；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受到行政处罚后拒不改正的直接按 D 级处理。</w:t>
            </w:r>
          </w:p>
        </w:tc>
      </w:tr>
      <w:tr w14:paraId="0176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AD247">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656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0C700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失信情况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（一票否决）</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ABF6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失信被</w:t>
            </w:r>
          </w:p>
          <w:p w14:paraId="7904B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执行人</w:t>
            </w:r>
          </w:p>
        </w:tc>
        <w:tc>
          <w:tcPr>
            <w:tcW w:w="54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DCE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4522D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医疗机构或其法人被纳入公共信用系统失信“黑名单”/“严重失信主体名单”执行惩戒的情况。</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2C2E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查实后，该定点医疗机构信用等级直接评为“D”级。</w:t>
            </w:r>
          </w:p>
        </w:tc>
      </w:tr>
      <w:tr w14:paraId="3E64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5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6205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六、加分项</w:t>
            </w: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B8B7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2DC8A4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政府表彰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855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政府表彰</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C35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B988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县级及以上地方人民政府或州级及以上医疗保障部门的表彰、奖励、通报表扬的。</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2837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县级人民政府或州级医疗保障部门表彰1次加4分，州级人民政府或区级医疗保障部门表彰1次加6分。区级人民政府或国家级医疗保障部门表彰1次加10分。</w:t>
            </w:r>
          </w:p>
        </w:tc>
      </w:tr>
      <w:tr w14:paraId="4BED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628F58">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B7BF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371E55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公益活动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CC8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公益活动</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841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B68A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参加医保部门组织的义诊、宣传（医保政策的信息、短视频、漫画等宣传），承办医保培训等活动的情况。</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3B6A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经医疗保障部门认定，每开展一项活动加1分。</w:t>
            </w:r>
          </w:p>
        </w:tc>
      </w:tr>
      <w:tr w14:paraId="07CB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F63B7D">
            <w:pPr>
              <w:jc w:val="center"/>
              <w:rPr>
                <w:rFonts w:hint="eastAsia" w:ascii="宋体" w:hAnsi="宋体" w:eastAsia="宋体" w:cs="宋体"/>
                <w:i w:val="0"/>
                <w:iCs w:val="0"/>
                <w:color w:val="000000"/>
                <w:sz w:val="20"/>
                <w:szCs w:val="20"/>
                <w:highlight w:val="none"/>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803E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252022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使用监督检查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DE6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监督检查</w:t>
            </w:r>
          </w:p>
        </w:tc>
        <w:tc>
          <w:tcPr>
            <w:tcW w:w="54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3B0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8A3F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主动协助医疗保障部门开展医保基金使用检查、参与医保评审、调研等工作</w:t>
            </w: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6877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参与医疗保障部门组织的监督检查、DRG付费权重论证等工作，县（市）级1次加1分，州级加2分，自治区级加3分，国家级加4分。</w:t>
            </w:r>
          </w:p>
        </w:tc>
      </w:tr>
    </w:tbl>
    <w:p w14:paraId="28F9AEF1">
      <w:pPr>
        <w:pStyle w:val="5"/>
        <w:rPr>
          <w:rFonts w:hint="eastAsia"/>
          <w:sz w:val="20"/>
          <w:szCs w:val="20"/>
          <w:highlight w:val="none"/>
        </w:rPr>
        <w:sectPr>
          <w:pgSz w:w="16838" w:h="11906" w:orient="landscape"/>
          <w:pgMar w:top="1531" w:right="1531" w:bottom="1531" w:left="1531" w:header="851" w:footer="992" w:gutter="0"/>
          <w:pgNumType w:fmt="decimal"/>
          <w:cols w:space="425" w:num="1"/>
          <w:docGrid w:type="lines" w:linePitch="312" w:charSpace="0"/>
        </w:sectPr>
      </w:pPr>
    </w:p>
    <w:tbl>
      <w:tblPr>
        <w:tblStyle w:val="12"/>
        <w:tblW w:w="4898" w:type="pct"/>
        <w:tblInd w:w="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6"/>
        <w:gridCol w:w="1261"/>
        <w:gridCol w:w="1390"/>
        <w:gridCol w:w="1396"/>
        <w:gridCol w:w="3867"/>
        <w:gridCol w:w="3638"/>
      </w:tblGrid>
      <w:tr w14:paraId="3886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6"/>
            <w:tcBorders>
              <w:top w:val="nil"/>
              <w:left w:val="nil"/>
              <w:bottom w:val="nil"/>
              <w:right w:val="nil"/>
            </w:tcBorders>
            <w:shd w:val="clear" w:color="auto" w:fill="FFFFFF"/>
            <w:noWrap/>
            <w:vAlign w:val="center"/>
          </w:tcPr>
          <w:p w14:paraId="7FBB4206">
            <w:pPr>
              <w:keepNext w:val="0"/>
              <w:keepLines w:val="0"/>
              <w:widowControl/>
              <w:suppressLineNumbers w:val="0"/>
              <w:jc w:val="left"/>
              <w:textAlignment w:val="center"/>
              <w:rPr>
                <w:rFonts w:hint="eastAsia" w:ascii="黑体" w:hAnsi="宋体" w:eastAsia="黑体" w:cs="黑体"/>
                <w:i w:val="0"/>
                <w:iCs w:val="0"/>
                <w:color w:val="000000"/>
                <w:kern w:val="0"/>
                <w:sz w:val="32"/>
                <w:szCs w:val="32"/>
                <w:highlight w:val="none"/>
                <w:u w:val="none"/>
                <w:lang w:val="en-US" w:eastAsia="zh-CN" w:bidi="ar"/>
              </w:rPr>
            </w:pPr>
            <w:r>
              <w:rPr>
                <w:rFonts w:hint="eastAsia" w:ascii="黑体" w:hAnsi="宋体" w:eastAsia="黑体" w:cs="黑体"/>
                <w:i w:val="0"/>
                <w:iCs w:val="0"/>
                <w:color w:val="000000"/>
                <w:kern w:val="0"/>
                <w:sz w:val="32"/>
                <w:szCs w:val="32"/>
                <w:highlight w:val="none"/>
                <w:u w:val="none"/>
                <w:lang w:val="en-US" w:eastAsia="zh-CN" w:bidi="ar"/>
              </w:rPr>
              <w:t>附件2</w:t>
            </w:r>
          </w:p>
        </w:tc>
      </w:tr>
      <w:tr w14:paraId="0E45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5000" w:type="pct"/>
            <w:gridSpan w:val="6"/>
            <w:tcBorders>
              <w:top w:val="nil"/>
              <w:left w:val="nil"/>
              <w:bottom w:val="nil"/>
              <w:right w:val="nil"/>
            </w:tcBorders>
            <w:shd w:val="clear" w:color="auto" w:fill="FFFFFF"/>
            <w:noWrap/>
            <w:vAlign w:val="center"/>
          </w:tcPr>
          <w:p w14:paraId="19BFAA9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_GBK" w:hAnsi="方正小标宋_GBK" w:eastAsia="方正小标宋_GBK" w:cs="方正小标宋_GBK"/>
                <w:i w:val="0"/>
                <w:iCs w:val="0"/>
                <w:color w:val="000000"/>
                <w:sz w:val="44"/>
                <w:szCs w:val="44"/>
                <w:highlight w:val="none"/>
                <w:u w:val="none"/>
              </w:rPr>
            </w:pPr>
            <w:r>
              <w:rPr>
                <w:rFonts w:hint="eastAsia" w:ascii="方正小标宋_GBK" w:hAnsi="方正小标宋_GBK" w:eastAsia="方正小标宋_GBK" w:cs="方正小标宋_GBK"/>
                <w:i w:val="0"/>
                <w:iCs w:val="0"/>
                <w:color w:val="000000"/>
                <w:sz w:val="44"/>
                <w:szCs w:val="44"/>
                <w:highlight w:val="none"/>
                <w:u w:val="none"/>
              </w:rPr>
              <w:t>昌吉回族自治州定点零售药店</w:t>
            </w:r>
            <w:r>
              <w:rPr>
                <w:rFonts w:hint="eastAsia" w:ascii="方正小标宋_GBK" w:hAnsi="方正小标宋_GBK" w:eastAsia="方正小标宋_GBK" w:cs="方正小标宋_GBK"/>
                <w:i w:val="0"/>
                <w:iCs w:val="0"/>
                <w:color w:val="000000"/>
                <w:sz w:val="44"/>
                <w:szCs w:val="44"/>
                <w:highlight w:val="none"/>
                <w:u w:val="none"/>
                <w:lang w:val="en-US" w:eastAsia="zh-CN"/>
              </w:rPr>
              <w:t>医疗保障</w:t>
            </w:r>
            <w:r>
              <w:rPr>
                <w:rFonts w:hint="eastAsia" w:ascii="方正小标宋_GBK" w:hAnsi="方正小标宋_GBK" w:eastAsia="方正小标宋_GBK" w:cs="方正小标宋_GBK"/>
                <w:i w:val="0"/>
                <w:iCs w:val="0"/>
                <w:color w:val="000000"/>
                <w:sz w:val="44"/>
                <w:szCs w:val="44"/>
                <w:highlight w:val="none"/>
                <w:u w:val="none"/>
              </w:rPr>
              <w:t>信用评价指标</w:t>
            </w:r>
          </w:p>
          <w:p w14:paraId="019388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_GBK" w:hAnsi="方正小标宋_GBK" w:eastAsia="方正小标宋_GBK" w:cs="方正小标宋_GBK"/>
                <w:i w:val="0"/>
                <w:iCs w:val="0"/>
                <w:color w:val="000000"/>
                <w:sz w:val="44"/>
                <w:szCs w:val="44"/>
                <w:highlight w:val="none"/>
                <w:u w:val="none"/>
              </w:rPr>
            </w:pPr>
            <w:r>
              <w:rPr>
                <w:rFonts w:hint="eastAsia" w:ascii="方正小标宋_GBK" w:hAnsi="方正小标宋_GBK" w:eastAsia="方正小标宋_GBK" w:cs="方正小标宋_GBK"/>
                <w:i w:val="0"/>
                <w:iCs w:val="0"/>
                <w:color w:val="000000"/>
                <w:sz w:val="44"/>
                <w:szCs w:val="44"/>
                <w:highlight w:val="none"/>
                <w:u w:val="none"/>
              </w:rPr>
              <w:t>（2025年11月）</w:t>
            </w:r>
          </w:p>
        </w:tc>
      </w:tr>
      <w:tr w14:paraId="2606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C91C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一级指标</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0D07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二级指标</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38A6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三级指标</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41AB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分值</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（100分）</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不含加分项</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7427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评价内容</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FC90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评分标准</w:t>
            </w:r>
          </w:p>
        </w:tc>
      </w:tr>
      <w:tr w14:paraId="305A5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9F841E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5B324B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协议履行</w:t>
            </w:r>
          </w:p>
        </w:tc>
        <w:tc>
          <w:tcPr>
            <w:tcW w:w="496" w:type="pct"/>
            <w:vMerge w:val="restart"/>
            <w:tcBorders>
              <w:top w:val="single" w:color="000000" w:sz="4" w:space="0"/>
              <w:left w:val="single" w:color="000000" w:sz="4" w:space="0"/>
              <w:bottom w:val="nil"/>
              <w:right w:val="single" w:color="000000" w:sz="4" w:space="0"/>
            </w:tcBorders>
            <w:shd w:val="clear" w:color="auto" w:fill="FFFFFF"/>
            <w:vAlign w:val="center"/>
          </w:tcPr>
          <w:p w14:paraId="2E3137C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4D2D7B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DD1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变更备案</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EE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2B97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零售药店的名称、法定代表人、企业负责人、实际控制人、注册地址和药品经营范围等重要信息发生变更的，应自有关部门批准之日起30个工作日内向统筹地区经办机构提出变更申请，其他一般信息变更应及时书面告知。</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A693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基础分2分，发生变更未按规定办理相关手续的扣2分。</w:t>
            </w:r>
          </w:p>
        </w:tc>
      </w:tr>
      <w:tr w14:paraId="0F14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C22906">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nil"/>
              <w:right w:val="single" w:color="000000" w:sz="4" w:space="0"/>
            </w:tcBorders>
            <w:shd w:val="clear" w:color="auto" w:fill="FFFFFF"/>
            <w:vAlign w:val="center"/>
          </w:tcPr>
          <w:p w14:paraId="377906F8">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FEA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标识标牌</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BF7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11E2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在显要位置悬挂“基本医疗保险定点零售药店”和“医疗保障监督举报电话”的标识标牌。</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DAC1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基础分1分，未悬挂医疗保障标识标牌扣0.5分；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未按要求张贴医疗保障监督举报电话扣0.5分。</w:t>
            </w:r>
          </w:p>
        </w:tc>
      </w:tr>
      <w:tr w14:paraId="4C28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AA0462">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nil"/>
              <w:right w:val="single" w:color="000000" w:sz="4" w:space="0"/>
            </w:tcBorders>
            <w:shd w:val="clear" w:color="auto" w:fill="FFFFFF"/>
            <w:vAlign w:val="center"/>
          </w:tcPr>
          <w:p w14:paraId="45104395">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C1B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宣传培训</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8B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0EE8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按要求张贴医保政策宣传海报、手册或电子滚动屏等，为参保人员提供服务指南；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组织开展医保相关政策的培训不少于2次；按要求参加由医疗保障部门组织的宣传和培训；</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慢性病药店、特药药店按要求开展“慢特病 ”“双通道 ”“ 门诊统筹”业务培训。</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F75A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基础分3分，未按要求张贴医保服务指南扣1分；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开展医保相关政策培训少1次扣1分，未按要求参加由医保部门组织的宣传培训少1次扣1分。</w:t>
            </w:r>
          </w:p>
        </w:tc>
      </w:tr>
      <w:tr w14:paraId="1F1C2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44830">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nil"/>
              <w:right w:val="single" w:color="000000" w:sz="4" w:space="0"/>
            </w:tcBorders>
            <w:shd w:val="clear" w:color="auto" w:fill="FFFFFF"/>
            <w:vAlign w:val="center"/>
          </w:tcPr>
          <w:p w14:paraId="37BD9415">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A59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举报投诉</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0B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E923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畅通投诉举报途径，及时处理参保人员举报投诉</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0D63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基础分为2分，因投诉受理不及时或不受理，造成不良影响的扣2分。</w:t>
            </w:r>
          </w:p>
        </w:tc>
      </w:tr>
      <w:tr w14:paraId="467E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73B78">
            <w:pPr>
              <w:jc w:val="center"/>
              <w:rPr>
                <w:rFonts w:hint="eastAsia" w:ascii="宋体" w:hAnsi="宋体" w:eastAsia="宋体" w:cs="宋体"/>
                <w:i w:val="0"/>
                <w:iCs w:val="0"/>
                <w:color w:val="000000"/>
                <w:sz w:val="20"/>
                <w:szCs w:val="20"/>
                <w:highlight w:val="none"/>
                <w:u w:val="none"/>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0D21F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1D89D9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信息管理（19%）</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FA4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信息安全</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2AD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0D34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建立医保协议管理要求的信息系统技术和接口标准的信息系统，实现与医保信息系统有效衔接，为参保人员提供直接联网结算，积极配合医保部门做好计算机网络维护工作；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制定网络安全管理制度。建立健全医保药品等基础数据库，按规定做好编码对接和维护工作；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应做好与医保有关的信息系统安全保障工作，遵守数据安全有关制度，保护参保人员隐私；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不在医保专用计算机上与其他无关网络进行连接。</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6421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8分，无法提供联网结算或计算机网络维护不到位的1次扣8分；无网络管理工作制度或未设立基础数据库1次扣2分，不按规定使用国家统一的医保编码1次扣2分；医保专用计算机与其他无关网络进行连接的查实1次扣2分。扣完为止。</w:t>
            </w:r>
          </w:p>
        </w:tc>
      </w:tr>
      <w:tr w14:paraId="7549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2EA8DC">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32550">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3A75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药品追溯码</w:t>
            </w:r>
          </w:p>
          <w:p w14:paraId="050FE7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上传</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B85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F8F1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开展医保结算药品/耗材追溯码信息采集工作；（中药饮片、中药配方颗粒等除外）。</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5ABF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基础分4分，重复率大于0.2%，扣4分。</w:t>
            </w:r>
          </w:p>
        </w:tc>
      </w:tr>
      <w:tr w14:paraId="6BD7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0D8BF7">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5821D">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332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视频监控</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7C2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1C5B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按照服务协议要求安装视频监控；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视频资料保存时效不少于3个月。</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8A5A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基础分为4分，未按服务协议要求安装视频监控扣4分；视频资料保存少于3个月，查实1次扣2分。</w:t>
            </w:r>
          </w:p>
        </w:tc>
      </w:tr>
      <w:tr w14:paraId="1FBF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F54573">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99B06">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58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医保编码</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068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0276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做好定点零售药店、药师等医保编码工作，动态调整，国家赋码后同步更新；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配合做好药品目录、费用结算清单等国家统一编码落地实施工作。</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FE14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基础分3分，未及时维护医保信息业务编码的扣2分；未严格按照规定使用国家统一编码的扣1分。</w:t>
            </w:r>
          </w:p>
        </w:tc>
      </w:tr>
      <w:tr w14:paraId="3D091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DC1840">
            <w:pPr>
              <w:jc w:val="center"/>
              <w:rPr>
                <w:rFonts w:hint="eastAsia" w:ascii="宋体" w:hAnsi="宋体" w:eastAsia="宋体" w:cs="宋体"/>
                <w:i w:val="0"/>
                <w:iCs w:val="0"/>
                <w:color w:val="000000"/>
                <w:sz w:val="20"/>
                <w:szCs w:val="20"/>
                <w:highlight w:val="none"/>
                <w:u w:val="none"/>
              </w:rPr>
            </w:pP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4D061E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5A7EC1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FA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收费管理</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6D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8F75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为参保人员提供合理用药，合规收费；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为参保人员提供医保药品费用直接结算单据和相关资料。</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EFE3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基础分2分，未向参保人员提供合理用药，合规收费的，查实1次扣1分；未向参保人员提供医保药品费用单据，查实1次扣1分。</w:t>
            </w:r>
          </w:p>
        </w:tc>
      </w:tr>
      <w:tr w14:paraId="3FDFB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E3569F">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CC20BC">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2E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凭证管理</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A1F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4729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按照规定保管财务账目、会计凭证、处方、病历、治疗检查记录、费用明细、药品和医用耗材出入库记录等资料；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药品购销存信息同步纳入医保信息系统管理，不得采用手工记账或事后录入方式销售药品。销售的药品与票据上药品名称、规格、厂家保持一致，保存相关票据不少于 2 年。</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818C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基础分3分，未按照规定保存相关资料少于2年的，查实1次扣1分；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未按接口要求完整上传药品进销存信息扣1分；上传药品进销存信息与实际不符扣1分；</w:t>
            </w:r>
          </w:p>
        </w:tc>
      </w:tr>
      <w:tr w14:paraId="33F3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F398B8">
            <w:pPr>
              <w:jc w:val="center"/>
              <w:rPr>
                <w:rFonts w:hint="eastAsia" w:ascii="宋体" w:hAnsi="宋体" w:eastAsia="宋体" w:cs="宋体"/>
                <w:i w:val="0"/>
                <w:iCs w:val="0"/>
                <w:color w:val="000000"/>
                <w:sz w:val="20"/>
                <w:szCs w:val="20"/>
                <w:highlight w:val="none"/>
                <w:u w:val="none"/>
              </w:rPr>
            </w:pPr>
          </w:p>
        </w:tc>
        <w:tc>
          <w:tcPr>
            <w:tcW w:w="496" w:type="pct"/>
            <w:vMerge w:val="restart"/>
            <w:tcBorders>
              <w:top w:val="single" w:color="000000" w:sz="4" w:space="0"/>
              <w:left w:val="single" w:color="000000" w:sz="4" w:space="0"/>
              <w:bottom w:val="nil"/>
              <w:right w:val="single" w:color="000000" w:sz="4" w:space="0"/>
            </w:tcBorders>
            <w:shd w:val="clear" w:color="auto" w:fill="FFFFFF"/>
            <w:vAlign w:val="center"/>
          </w:tcPr>
          <w:p w14:paraId="3A1D10E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w:t>
            </w:r>
          </w:p>
          <w:p w14:paraId="329D3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医疗管理（19%）</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4BE9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就医核验</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D5C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9A54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药品服务时应核对参保人员有效身份凭证，做到人证相符。特殊情况下为他人代购药品的应出示本人和被代购人身份证。为参保人员提供医保药品费用直接结算单据和相关资料，参保人员或购药人应在购药清单上签字确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凭外配处方购药的，应核验处方使用人与参保人员身份是否一致。</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707F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基础分5分，未按规定执行出现冒名就医的扣3分。购药清单上无参保人员或购药人签字的扣1分；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未核验处方使用人与参保人员身份是否一致1次扣1分。</w:t>
            </w:r>
          </w:p>
        </w:tc>
      </w:tr>
      <w:tr w14:paraId="1C331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46127">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nil"/>
              <w:right w:val="single" w:color="000000" w:sz="4" w:space="0"/>
            </w:tcBorders>
            <w:shd w:val="clear" w:color="auto" w:fill="FFFFFF"/>
            <w:vAlign w:val="center"/>
          </w:tcPr>
          <w:p w14:paraId="1776D019">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17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药品陈列</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CA8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DAB8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应按药械经营法规要求，将药械与其他商品实行分区分类管理，明码标价，并对所售药械设立明确的医保标识。</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1A37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基础分4分，药械与其他商品未分区分类管理或未明码标价查实1次扣1分，未设立明确医保标识的扣2分。扣完为止。</w:t>
            </w:r>
          </w:p>
        </w:tc>
      </w:tr>
      <w:tr w14:paraId="56A6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4"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13A901">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nil"/>
              <w:right w:val="single" w:color="000000" w:sz="4" w:space="0"/>
            </w:tcBorders>
            <w:shd w:val="clear" w:color="auto" w:fill="FFFFFF"/>
            <w:vAlign w:val="center"/>
          </w:tcPr>
          <w:p w14:paraId="19CB7C41">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2D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医药价格</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76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B96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职工门诊统筹药店药品销售价格不高于挂网价格；药品销售价格，不得明显高于本地区定点零售药店相对集中的价格（或平均价格）20%；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同一定点药店的同一药品在线下销售价格与该药店通过网络售药平台价差不高于 20%；药品量价指数与自治区保持合理空间，不得高于自治区指数监测值。</w:t>
            </w:r>
          </w:p>
        </w:tc>
        <w:tc>
          <w:tcPr>
            <w:tcW w:w="1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E496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基础分6分，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职工门诊统筹药店药品销售价格高于挂网价格的，查实1次扣2分；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药品售价超出全州平均价格20%，预警后未及时整改的，查实1次扣2分；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药品量价指数高于自治区指数监测值扣2分。</w:t>
            </w:r>
          </w:p>
        </w:tc>
      </w:tr>
      <w:tr w14:paraId="3493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7"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468C9C">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nil"/>
              <w:right w:val="single" w:color="000000" w:sz="4" w:space="0"/>
            </w:tcBorders>
            <w:shd w:val="clear" w:color="auto" w:fill="FFFFFF"/>
            <w:vAlign w:val="center"/>
          </w:tcPr>
          <w:p w14:paraId="67A5448B">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76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处方管理</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4B493">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36B2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应当凭处方销售医保目录内处方药，药师应当对处方进行审核、签字后调剂配发药品；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应凭定点医疗机构开具的外配处方销售药品，外配处方必须由定点医疗机构医师开具，有医师签章，外配处方按规定通过电子处方系统流转；</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BAEB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基础分4分，销售处方药未对处方进行审核、签字的扣2分；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外配处方不符合要求的扣2分；</w:t>
            </w:r>
          </w:p>
        </w:tc>
      </w:tr>
      <w:tr w14:paraId="33A7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3B543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703558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基金监管</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78721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3DC6E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协议处理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(22%)</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A3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约谈</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96D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FE8E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被医疗保障部门约谈的。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AEDC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基础分2分，因违规行为被医疗保障部门约谈一次扣0.5分，扣完为止。</w:t>
            </w:r>
          </w:p>
        </w:tc>
      </w:tr>
      <w:tr w14:paraId="2A36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2D827B">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367C2">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B76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整改</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FF8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42A1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被医疗保障部门责令限期整改的。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881D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基础分4分，被医疗保障部门责令限期整改一次扣0.5分，扣完为止；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被医疗保障部门追回已支付的医保基金，扣2分；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拒不改正的，直接按D级处理。</w:t>
            </w:r>
          </w:p>
        </w:tc>
      </w:tr>
      <w:tr w14:paraId="135B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8"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07CAB">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F2B066">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21B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支付违约金</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929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0FAF6">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被医疗保障部门要求按照协议约定支付违约金的。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3B0E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基础分3分，被医疗保障部门要求支付违约金的扣3分。</w:t>
            </w:r>
          </w:p>
        </w:tc>
      </w:tr>
      <w:tr w14:paraId="102D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84B7E5">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498A40">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0EF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通报</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3E7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40521">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被医疗保障部门通报的。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69D7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基础分2分，因违规行为被医保部门通报一次扣0.5分，扣完为止。</w:t>
            </w:r>
          </w:p>
        </w:tc>
      </w:tr>
      <w:tr w14:paraId="01153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C23EEC">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D67971">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C20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拒付费用</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187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1F87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被医疗保障部门拒付费用的。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D3B3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基础分3分，被医疗保障部门拒绝支付医保基金，扣3分。</w:t>
            </w:r>
          </w:p>
        </w:tc>
      </w:tr>
      <w:tr w14:paraId="1071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4EA0A">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491CBF">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55A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暂停拨付</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A12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315B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被医疗保障部门暂停拨付费用的。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54DB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基础分3分，被医疗保障部门暂停拨付一次扣1分，扣完为止。</w:t>
            </w:r>
          </w:p>
        </w:tc>
      </w:tr>
      <w:tr w14:paraId="1F5D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1D9BAB">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5DD92">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FA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中止协议</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39E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EC2F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被医疗保障部门中止协议的。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8CF9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基础分5分，被医疗保障部门中止协议扣5分。</w:t>
            </w:r>
          </w:p>
        </w:tc>
      </w:tr>
      <w:tr w14:paraId="3636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F2C40">
            <w:pPr>
              <w:jc w:val="center"/>
              <w:rPr>
                <w:rFonts w:hint="eastAsia" w:ascii="宋体" w:hAnsi="宋体" w:eastAsia="宋体" w:cs="宋体"/>
                <w:i w:val="0"/>
                <w:iCs w:val="0"/>
                <w:color w:val="000000"/>
                <w:sz w:val="20"/>
                <w:szCs w:val="20"/>
                <w:highlight w:val="none"/>
                <w:u w:val="none"/>
              </w:rPr>
            </w:pP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4005AC">
            <w:pPr>
              <w:jc w:val="center"/>
              <w:rPr>
                <w:rFonts w:hint="eastAsia" w:ascii="宋体" w:hAnsi="宋体" w:eastAsia="宋体" w:cs="宋体"/>
                <w:i w:val="0"/>
                <w:iCs w:val="0"/>
                <w:color w:val="000000"/>
                <w:sz w:val="20"/>
                <w:szCs w:val="20"/>
                <w:highlight w:val="none"/>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9F0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解除协议</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3F6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6092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被医疗保障部门解除协议的。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68285">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因违规行为被解除医保协议的，直接按 D 级处理。</w:t>
            </w:r>
          </w:p>
        </w:tc>
      </w:tr>
      <w:tr w14:paraId="31A05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CA88AE">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C936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221E98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1E7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罚款</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044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CAE14">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医疗保障行政部门对定点零售药店医疗保障违法罚款。</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6249F">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基础分12分，定点零售药店因违法违规行为被医保行政部门处5千元以下的扣3分；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定点零售药店因违法违规行为被医保行政部门处5千元以上至10万元及以下的罚款扣4分；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定点零售药店因违法违规行为被医保行政部门处10万元以上的罚款扣5分。</w:t>
            </w:r>
          </w:p>
        </w:tc>
      </w:tr>
      <w:tr w14:paraId="6F7C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3F4684">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33A6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28428A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司法处理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（一票否决）</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98E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欺诈骗保</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A90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38DB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定点零售药店及其工作人员因欺诈、伪造证明材料或其他手段骗取医疗保障基金或者医疗保障待遇被司法机关追究刑事责任的。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9A00E">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司法机关追究刑事责任的，直接按 D 级处理。</w:t>
            </w:r>
          </w:p>
        </w:tc>
      </w:tr>
      <w:tr w14:paraId="3C81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93AF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16AC00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评价</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9B9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满意度评价（4%）</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066A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满意度评价</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37C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B0A1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通过第三方或问卷调查形式对治疗效果、诊疗服务、 医疗保障报销服务等满意度开展测评；媒体报道负面情况。</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5E573">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基础分4分，满意度测评＞90%的，不扣分；90%＞满意度测评≥80%的扣1分；满意度测评&lt;80%的扣2分；被媒体报道负面1例扣1分。</w:t>
            </w:r>
          </w:p>
        </w:tc>
      </w:tr>
      <w:tr w14:paraId="4700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1F1D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四、</w:t>
            </w:r>
          </w:p>
          <w:p w14:paraId="684F21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自律管理</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7493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0D2620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管理体制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265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机构设置</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638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59BC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由专门人员负责医疗保障基金使用管理工作。</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15288">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基础分2分，未按要求配备专（兼）职管理人员的扣2分。</w:t>
            </w:r>
          </w:p>
        </w:tc>
      </w:tr>
      <w:tr w14:paraId="2CD8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C7B941">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FB47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303B23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制度建设</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5F2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规章制度</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215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6582">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具有符合医保协议管理要求的医保药品管理制度、财务管理制度、医保人员管理制度、统计信息管理制度和医保费用结算制度；</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6A14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基础分3分，未按规定开展相关制度缺少一项扣1分；缺少两项以上的扣2分。</w:t>
            </w:r>
          </w:p>
        </w:tc>
      </w:tr>
      <w:tr w14:paraId="0E4E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D21B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五、</w:t>
            </w:r>
          </w:p>
          <w:p w14:paraId="1F446C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社会信用</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84D7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6B14CB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其他部门行政处罚（6%）</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F4D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行政处罚</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56B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B987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除医保部门以外，被政府有关行政部门给予行政处罚情况。</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BE86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基础分6分，被政府有关行政部门给予行政处罚的，查实1次扣3分，扣完为止；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受到行政处罚后拒不改正的直接按 D 级处理。</w:t>
            </w:r>
          </w:p>
        </w:tc>
      </w:tr>
      <w:tr w14:paraId="10D3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86A8A">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94AA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5B89CB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失信情况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（一票否决）</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30D5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失信被</w:t>
            </w:r>
          </w:p>
          <w:p w14:paraId="0407EE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执行人</w:t>
            </w:r>
          </w:p>
        </w:tc>
        <w:tc>
          <w:tcPr>
            <w:tcW w:w="5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9BB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1A38D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定点零售药店或其法人被纳入公共信用系统失信“黑名单”/“严重失信主体名单”执行惩戒的情况。</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C45B9">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查实后，该定点零售药店信用等级直接评为“D”级。</w:t>
            </w:r>
          </w:p>
        </w:tc>
      </w:tr>
      <w:tr w14:paraId="0D1E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45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9F2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六、加分项</w:t>
            </w: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9C231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（一）</w:t>
            </w:r>
          </w:p>
          <w:p w14:paraId="4B1325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政府表彰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BB9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政府表彰</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360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3029B">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县级及以上地方人民政府或州级及以上医疗保障部门的表彰、奖励、通报表扬的。</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983D0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县级人民政府或州级医疗保障部门表彰1次加4分，州级人民政府或区级医疗保障部门表彰1次加6分。区级人民政府或国家级医疗保障部门表彰1次加10分。</w:t>
            </w:r>
          </w:p>
        </w:tc>
      </w:tr>
      <w:tr w14:paraId="634A7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1F6BD5">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899D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（二）</w:t>
            </w:r>
          </w:p>
          <w:p w14:paraId="50DA14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公益活动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E9A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公益活动</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12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20E47">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参加医保部门组织的义诊、宣传（医保政策的信息、短视频、漫画等宣传），承办医保培训等活动的情况。</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9951A">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经医疗保障部门认定，每开展一项活动加1分。</w:t>
            </w:r>
          </w:p>
        </w:tc>
      </w:tr>
      <w:tr w14:paraId="093E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5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D76644">
            <w:pPr>
              <w:jc w:val="center"/>
              <w:rPr>
                <w:rFonts w:hint="eastAsia" w:ascii="宋体" w:hAnsi="宋体" w:eastAsia="宋体" w:cs="宋体"/>
                <w:i w:val="0"/>
                <w:iCs w:val="0"/>
                <w:color w:val="000000"/>
                <w:sz w:val="20"/>
                <w:szCs w:val="20"/>
                <w:highlight w:val="none"/>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50A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（三）</w:t>
            </w:r>
          </w:p>
          <w:p w14:paraId="34A68B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使用监督检查（10%）</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08F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医保基金使用监督检查</w:t>
            </w:r>
          </w:p>
        </w:tc>
        <w:tc>
          <w:tcPr>
            <w:tcW w:w="5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E7C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1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D6C5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主动协助医疗保障部门开展医保基金使用检查、参与医保评审、调研等工作。</w:t>
            </w:r>
          </w:p>
        </w:tc>
        <w:tc>
          <w:tcPr>
            <w:tcW w:w="14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427BC">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参与医疗保障部门组织的监督检查、DRG付费权重论证等工作，县（市）级1次加1分，州级加2分，自治区级加3分，国家级加4分。</w:t>
            </w:r>
          </w:p>
        </w:tc>
      </w:tr>
    </w:tbl>
    <w:p w14:paraId="1D35ABFE">
      <w:pPr>
        <w:pStyle w:val="5"/>
        <w:rPr>
          <w:rFonts w:hint="eastAsia"/>
          <w:sz w:val="20"/>
          <w:szCs w:val="20"/>
          <w:highlight w:val="none"/>
        </w:rPr>
        <w:sectPr>
          <w:pgSz w:w="16838" w:h="11906" w:orient="landscape"/>
          <w:pgMar w:top="1531" w:right="2098" w:bottom="1531" w:left="1984" w:header="851" w:footer="992" w:gutter="0"/>
          <w:pgNumType w:fmt="decimal"/>
          <w:cols w:space="425" w:num="1"/>
          <w:docGrid w:type="lines" w:linePitch="312" w:charSpace="0"/>
        </w:sectPr>
      </w:pPr>
    </w:p>
    <w:p w14:paraId="3E3E0F07">
      <w:pPr>
        <w:widowControl/>
        <w:spacing w:line="560" w:lineRule="exact"/>
        <w:jc w:val="left"/>
        <w:rPr>
          <w:rFonts w:hint="eastAsia" w:ascii="方正黑体_GBK" w:hAnsi="方正黑体_GBK" w:eastAsia="方正黑体_GBK" w:cs="方正黑体_GBK"/>
          <w:spacing w:val="11"/>
          <w:kern w:val="10"/>
          <w:sz w:val="32"/>
          <w:szCs w:val="21"/>
          <w:highlight w:val="none"/>
          <w:lang w:eastAsia="zh-CN"/>
        </w:rPr>
      </w:pPr>
      <w:r>
        <w:rPr>
          <w:rFonts w:hint="eastAsia" w:ascii="方正黑体_GBK" w:hAnsi="方正黑体_GBK" w:eastAsia="方正黑体_GBK" w:cs="方正黑体_GBK"/>
          <w:spacing w:val="11"/>
          <w:kern w:val="10"/>
          <w:sz w:val="32"/>
          <w:szCs w:val="21"/>
          <w:highlight w:val="none"/>
        </w:rPr>
        <w:t>附件</w:t>
      </w:r>
      <w:r>
        <w:rPr>
          <w:rFonts w:hint="eastAsia" w:ascii="方正黑体_GBK" w:hAnsi="方正黑体_GBK" w:eastAsia="方正黑体_GBK" w:cs="方正黑体_GBK"/>
          <w:spacing w:val="11"/>
          <w:kern w:val="10"/>
          <w:sz w:val="32"/>
          <w:szCs w:val="21"/>
          <w:highlight w:val="none"/>
          <w:lang w:val="en-US" w:eastAsia="zh-CN"/>
        </w:rPr>
        <w:t>3</w:t>
      </w:r>
    </w:p>
    <w:p w14:paraId="6A16C494">
      <w:pPr>
        <w:pStyle w:val="10"/>
        <w:widowControl/>
        <w:spacing w:beforeAutospacing="0" w:afterAutospacing="0" w:line="560" w:lineRule="exact"/>
        <w:jc w:val="center"/>
        <w:rPr>
          <w:rFonts w:ascii="方正小标宋简体" w:hAnsi="方正小标宋简体" w:eastAsia="方正小标宋简体" w:cs="方正小标宋简体"/>
          <w:spacing w:val="11"/>
          <w:kern w:val="10"/>
          <w:sz w:val="44"/>
          <w:szCs w:val="44"/>
          <w:highlight w:val="none"/>
        </w:rPr>
      </w:pPr>
      <w:r>
        <w:rPr>
          <w:rFonts w:hint="eastAsia" w:ascii="方正小标宋_GBK" w:hAnsi="方正小标宋_GBK" w:eastAsia="方正小标宋_GBK" w:cs="方正小标宋_GBK"/>
          <w:spacing w:val="11"/>
          <w:kern w:val="10"/>
          <w:sz w:val="44"/>
          <w:szCs w:val="44"/>
          <w:highlight w:val="none"/>
        </w:rPr>
        <w:t>信用承诺书（模板）</w:t>
      </w:r>
    </w:p>
    <w:p w14:paraId="34FC798B">
      <w:pPr>
        <w:pStyle w:val="10"/>
        <w:widowControl/>
        <w:spacing w:beforeAutospacing="0" w:afterAutospacing="0" w:line="560" w:lineRule="exact"/>
        <w:ind w:firstLine="658" w:firstLineChars="200"/>
        <w:rPr>
          <w:rFonts w:ascii="Times New Roman" w:hAnsi="Times New Roman" w:eastAsia="仿宋"/>
          <w:spacing w:val="11"/>
          <w:kern w:val="10"/>
          <w:sz w:val="32"/>
          <w:szCs w:val="44"/>
          <w:highlight w:val="none"/>
        </w:rPr>
      </w:pPr>
    </w:p>
    <w:p w14:paraId="11B86750">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为加强医保诚信建设，维护基金安全，促进医保管理规范化，郑重做出以下承诺：</w:t>
      </w:r>
    </w:p>
    <w:p w14:paraId="045E3133">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一、严格执行医疗保障政策法规，依法依规加强医保管理，积极配合支持有关部门做好医保管理服务工作。</w:t>
      </w:r>
    </w:p>
    <w:p w14:paraId="7A3AE7D7">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二、严格遵守职业道德和行业规范。</w:t>
      </w:r>
    </w:p>
    <w:p w14:paraId="1B764C36">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三、严格履行合同、协议等约定。</w:t>
      </w:r>
    </w:p>
    <w:p w14:paraId="1088F397">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四、认真学习医保法律法规、政策制度等，增强法治意识，依法承担医保基金安全责任，维护参保人员的医保权益。</w:t>
      </w:r>
    </w:p>
    <w:p w14:paraId="7C62173B">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五、自愿接受主管部门信用监管，如果违背承诺，依法承担有关责任。</w:t>
      </w:r>
    </w:p>
    <w:p w14:paraId="35F0C2AE">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六、自愿履行医保社会监督职责，如发现欺诈骗保、违规使用医保基金的行为立即进行举报，并提供相关线索。</w:t>
      </w:r>
    </w:p>
    <w:p w14:paraId="3B2D2D3A">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七、自愿接受相关部门的信用联动管理。</w:t>
      </w:r>
    </w:p>
    <w:p w14:paraId="7BA4E90B">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八、自愿按照信用信息管理有关要求，将信用承诺信息纳入各级信用信息共享平台，并通过各级信用网站向社会公开。</w:t>
      </w:r>
    </w:p>
    <w:p w14:paraId="6B0D7780">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特此承诺，欢迎监督。</w:t>
      </w:r>
    </w:p>
    <w:p w14:paraId="76997F57">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p>
    <w:p w14:paraId="61ABE18A">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p>
    <w:p w14:paraId="646F0E2B">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 xml:space="preserve">                      单位名称（盖章）</w:t>
      </w:r>
    </w:p>
    <w:p w14:paraId="687FEEDC">
      <w:pPr>
        <w:pStyle w:val="10"/>
        <w:widowControl/>
        <w:spacing w:beforeAutospacing="0" w:afterAutospacing="0" w:line="560" w:lineRule="exact"/>
        <w:ind w:firstLine="658" w:firstLineChars="200"/>
        <w:rPr>
          <w:rFonts w:hint="eastAsia" w:ascii="方正仿宋_GB2312" w:hAnsi="方正仿宋_GB2312" w:eastAsia="方正仿宋_GB2312" w:cs="方正仿宋_GB2312"/>
          <w:spacing w:val="11"/>
          <w:kern w:val="10"/>
          <w:sz w:val="32"/>
          <w:szCs w:val="32"/>
          <w:highlight w:val="none"/>
        </w:rPr>
      </w:pPr>
      <w:r>
        <w:rPr>
          <w:rFonts w:hint="eastAsia" w:ascii="方正仿宋_GB2312" w:hAnsi="方正仿宋_GB2312" w:eastAsia="方正仿宋_GB2312" w:cs="方正仿宋_GB2312"/>
          <w:spacing w:val="11"/>
          <w:kern w:val="10"/>
          <w:sz w:val="32"/>
          <w:szCs w:val="32"/>
          <w:highlight w:val="none"/>
        </w:rPr>
        <w:t xml:space="preserve">                         年 月 日</w:t>
      </w:r>
    </w:p>
    <w:p w14:paraId="59EEB758">
      <w:pPr>
        <w:widowControl/>
        <w:spacing w:line="560" w:lineRule="exact"/>
        <w:jc w:val="left"/>
        <w:rPr>
          <w:rFonts w:hint="eastAsia" w:eastAsia="方正黑体_GBK"/>
          <w:highlight w:val="none"/>
          <w:lang w:eastAsia="zh-CN"/>
        </w:rPr>
      </w:pPr>
      <w:r>
        <w:rPr>
          <w:rFonts w:ascii="Times New Roman" w:hAnsi="Times New Roman" w:eastAsia="仿宋" w:cs="Times New Roman"/>
          <w:spacing w:val="11"/>
          <w:kern w:val="10"/>
          <w:sz w:val="32"/>
          <w:szCs w:val="32"/>
          <w:highlight w:val="none"/>
        </w:rPr>
        <w:br w:type="page"/>
      </w:r>
      <w:r>
        <w:rPr>
          <w:rFonts w:hint="eastAsia" w:ascii="方正黑体_GBK" w:hAnsi="方正黑体_GBK" w:eastAsia="方正黑体_GBK" w:cs="方正黑体_GBK"/>
          <w:spacing w:val="11"/>
          <w:kern w:val="10"/>
          <w:sz w:val="32"/>
          <w:szCs w:val="21"/>
          <w:highlight w:val="none"/>
        </w:rPr>
        <w:t>附件</w:t>
      </w:r>
      <w:r>
        <w:rPr>
          <w:rFonts w:hint="eastAsia" w:ascii="方正黑体_GBK" w:hAnsi="方正黑体_GBK" w:eastAsia="方正黑体_GBK" w:cs="方正黑体_GBK"/>
          <w:spacing w:val="11"/>
          <w:kern w:val="10"/>
          <w:sz w:val="32"/>
          <w:szCs w:val="21"/>
          <w:highlight w:val="none"/>
          <w:lang w:val="en-US" w:eastAsia="zh-CN"/>
        </w:rPr>
        <w:t>4</w:t>
      </w:r>
    </w:p>
    <w:p w14:paraId="7737DB48">
      <w:pPr>
        <w:widowControl/>
        <w:spacing w:line="560" w:lineRule="exact"/>
        <w:jc w:val="center"/>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pacing w:val="11"/>
          <w:kern w:val="10"/>
          <w:sz w:val="44"/>
          <w:szCs w:val="44"/>
          <w:highlight w:val="none"/>
        </w:rPr>
        <w:t>信用评价结果异议申请表（模板）</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2113"/>
        <w:gridCol w:w="1797"/>
        <w:gridCol w:w="2184"/>
      </w:tblGrid>
      <w:tr w14:paraId="7523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613" w:type="dxa"/>
            <w:noWrap w:val="0"/>
            <w:vAlign w:val="center"/>
          </w:tcPr>
          <w:p w14:paraId="2053974F">
            <w:pPr>
              <w:widowControl/>
              <w:spacing w:line="560" w:lineRule="exact"/>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申请单位（个人）</w:t>
            </w:r>
          </w:p>
        </w:tc>
        <w:tc>
          <w:tcPr>
            <w:tcW w:w="6094" w:type="dxa"/>
            <w:gridSpan w:val="3"/>
            <w:noWrap w:val="0"/>
            <w:vAlign w:val="top"/>
          </w:tcPr>
          <w:p w14:paraId="53DEA49D">
            <w:pPr>
              <w:widowControl/>
              <w:spacing w:line="560" w:lineRule="exact"/>
              <w:ind w:firstLine="658" w:firstLineChars="200"/>
              <w:jc w:val="left"/>
              <w:rPr>
                <w:rFonts w:ascii="Times New Roman" w:hAnsi="Times New Roman" w:eastAsia="黑体" w:cs="Times New Roman"/>
                <w:spacing w:val="11"/>
                <w:kern w:val="10"/>
                <w:sz w:val="32"/>
                <w:szCs w:val="32"/>
                <w:highlight w:val="none"/>
              </w:rPr>
            </w:pPr>
          </w:p>
        </w:tc>
      </w:tr>
      <w:tr w14:paraId="23B0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613" w:type="dxa"/>
            <w:noWrap w:val="0"/>
            <w:vAlign w:val="center"/>
          </w:tcPr>
          <w:p w14:paraId="213E7A3A">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联系人</w:t>
            </w:r>
          </w:p>
        </w:tc>
        <w:tc>
          <w:tcPr>
            <w:tcW w:w="2113" w:type="dxa"/>
            <w:noWrap w:val="0"/>
            <w:vAlign w:val="top"/>
          </w:tcPr>
          <w:p w14:paraId="6BCAC6B5">
            <w:pPr>
              <w:widowControl/>
              <w:spacing w:line="560" w:lineRule="exact"/>
              <w:ind w:firstLine="658" w:firstLineChars="200"/>
              <w:jc w:val="center"/>
              <w:rPr>
                <w:rFonts w:ascii="Times New Roman" w:hAnsi="Times New Roman" w:eastAsia="黑体" w:cs="Times New Roman"/>
                <w:spacing w:val="11"/>
                <w:kern w:val="10"/>
                <w:sz w:val="32"/>
                <w:szCs w:val="32"/>
                <w:highlight w:val="none"/>
              </w:rPr>
            </w:pPr>
          </w:p>
        </w:tc>
        <w:tc>
          <w:tcPr>
            <w:tcW w:w="1797" w:type="dxa"/>
            <w:noWrap w:val="0"/>
            <w:vAlign w:val="center"/>
          </w:tcPr>
          <w:p w14:paraId="0BB0F14A">
            <w:pPr>
              <w:widowControl/>
              <w:spacing w:line="560" w:lineRule="exact"/>
              <w:jc w:val="center"/>
              <w:rPr>
                <w:rFonts w:ascii="Times New Roman" w:hAnsi="Times New Roman" w:eastAsia="黑体" w:cs="Times New Roman"/>
                <w:spacing w:val="11"/>
                <w:kern w:val="10"/>
                <w:sz w:val="32"/>
                <w:szCs w:val="32"/>
                <w:highlight w:val="none"/>
              </w:rPr>
            </w:pPr>
            <w:r>
              <w:rPr>
                <w:rFonts w:ascii="Times New Roman" w:hAnsi="Times New Roman" w:eastAsia="黑体" w:cs="Times New Roman"/>
                <w:spacing w:val="11"/>
                <w:kern w:val="10"/>
                <w:sz w:val="32"/>
                <w:szCs w:val="32"/>
                <w:highlight w:val="none"/>
              </w:rPr>
              <w:t>联系方式</w:t>
            </w:r>
          </w:p>
        </w:tc>
        <w:tc>
          <w:tcPr>
            <w:tcW w:w="2184" w:type="dxa"/>
            <w:noWrap w:val="0"/>
            <w:vAlign w:val="top"/>
          </w:tcPr>
          <w:p w14:paraId="78EC4204">
            <w:pPr>
              <w:widowControl/>
              <w:spacing w:line="560" w:lineRule="exact"/>
              <w:ind w:firstLine="658" w:firstLineChars="200"/>
              <w:jc w:val="left"/>
              <w:rPr>
                <w:rFonts w:ascii="Times New Roman" w:hAnsi="Times New Roman" w:eastAsia="黑体" w:cs="Times New Roman"/>
                <w:spacing w:val="11"/>
                <w:kern w:val="10"/>
                <w:sz w:val="32"/>
                <w:szCs w:val="32"/>
                <w:highlight w:val="none"/>
              </w:rPr>
            </w:pPr>
          </w:p>
        </w:tc>
      </w:tr>
      <w:tr w14:paraId="5EFE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2613" w:type="dxa"/>
            <w:noWrap w:val="0"/>
            <w:vAlign w:val="center"/>
          </w:tcPr>
          <w:p w14:paraId="75A13DB7">
            <w:pPr>
              <w:widowControl/>
              <w:spacing w:line="560" w:lineRule="exact"/>
              <w:ind w:firstLine="165" w:firstLineChars="50"/>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异议信息描述</w:t>
            </w:r>
          </w:p>
        </w:tc>
        <w:tc>
          <w:tcPr>
            <w:tcW w:w="6094" w:type="dxa"/>
            <w:gridSpan w:val="3"/>
            <w:noWrap w:val="0"/>
            <w:vAlign w:val="top"/>
          </w:tcPr>
          <w:p w14:paraId="1C37F1D0">
            <w:pPr>
              <w:widowControl/>
              <w:spacing w:line="560" w:lineRule="exact"/>
              <w:ind w:firstLine="658" w:firstLineChars="200"/>
              <w:jc w:val="left"/>
              <w:rPr>
                <w:rFonts w:ascii="Times New Roman" w:hAnsi="Times New Roman" w:eastAsia="黑体" w:cs="Times New Roman"/>
                <w:spacing w:val="11"/>
                <w:kern w:val="10"/>
                <w:sz w:val="32"/>
                <w:szCs w:val="32"/>
                <w:highlight w:val="none"/>
              </w:rPr>
            </w:pPr>
          </w:p>
        </w:tc>
      </w:tr>
      <w:tr w14:paraId="2942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jc w:val="center"/>
        </w:trPr>
        <w:tc>
          <w:tcPr>
            <w:tcW w:w="2613" w:type="dxa"/>
            <w:noWrap w:val="0"/>
            <w:vAlign w:val="center"/>
          </w:tcPr>
          <w:p w14:paraId="490F02FE">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申请理由</w:t>
            </w:r>
          </w:p>
          <w:p w14:paraId="1C310A26">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（可附页）</w:t>
            </w:r>
          </w:p>
        </w:tc>
        <w:tc>
          <w:tcPr>
            <w:tcW w:w="6094" w:type="dxa"/>
            <w:gridSpan w:val="3"/>
            <w:noWrap w:val="0"/>
            <w:vAlign w:val="top"/>
          </w:tcPr>
          <w:p w14:paraId="20F647B3">
            <w:pPr>
              <w:widowControl/>
              <w:spacing w:line="560" w:lineRule="exact"/>
              <w:ind w:firstLine="658" w:firstLineChars="200"/>
              <w:jc w:val="right"/>
              <w:rPr>
                <w:rFonts w:ascii="Times New Roman" w:hAnsi="Times New Roman" w:eastAsia="仿宋_GB2312" w:cs="Times New Roman"/>
                <w:spacing w:val="11"/>
                <w:kern w:val="10"/>
                <w:sz w:val="32"/>
                <w:szCs w:val="32"/>
                <w:highlight w:val="none"/>
              </w:rPr>
            </w:pPr>
          </w:p>
          <w:p w14:paraId="3F94B5F4">
            <w:pPr>
              <w:widowControl/>
              <w:spacing w:line="560" w:lineRule="exact"/>
              <w:ind w:firstLine="658" w:firstLineChars="200"/>
              <w:jc w:val="right"/>
              <w:rPr>
                <w:rFonts w:ascii="Times New Roman" w:hAnsi="Times New Roman" w:eastAsia="仿宋_GB2312" w:cs="Times New Roman"/>
                <w:spacing w:val="11"/>
                <w:kern w:val="10"/>
                <w:sz w:val="32"/>
                <w:szCs w:val="32"/>
                <w:highlight w:val="none"/>
              </w:rPr>
            </w:pPr>
          </w:p>
          <w:p w14:paraId="58F599C4">
            <w:pPr>
              <w:widowControl/>
              <w:spacing w:line="560" w:lineRule="exact"/>
              <w:ind w:firstLine="658" w:firstLineChars="200"/>
              <w:jc w:val="right"/>
              <w:rPr>
                <w:rFonts w:ascii="Times New Roman" w:hAnsi="Times New Roman" w:eastAsia="方正仿宋_GBK" w:cs="Times New Roman"/>
                <w:spacing w:val="11"/>
                <w:kern w:val="10"/>
                <w:sz w:val="32"/>
                <w:szCs w:val="32"/>
                <w:highlight w:val="none"/>
              </w:rPr>
            </w:pPr>
          </w:p>
          <w:p w14:paraId="4BF1D954">
            <w:pPr>
              <w:widowControl/>
              <w:spacing w:line="560" w:lineRule="exact"/>
              <w:ind w:firstLine="578" w:firstLineChars="200"/>
              <w:jc w:val="right"/>
              <w:rPr>
                <w:rFonts w:ascii="Times New Roman" w:hAnsi="Times New Roman" w:eastAsia="方正仿宋_GBK" w:cs="Times New Roman"/>
                <w:spacing w:val="11"/>
                <w:kern w:val="10"/>
                <w:sz w:val="28"/>
                <w:szCs w:val="28"/>
                <w:highlight w:val="none"/>
              </w:rPr>
            </w:pPr>
          </w:p>
          <w:p w14:paraId="6A38CD50">
            <w:pPr>
              <w:widowControl/>
              <w:spacing w:line="560" w:lineRule="exact"/>
              <w:ind w:firstLine="578" w:firstLineChars="200"/>
              <w:jc w:val="right"/>
              <w:rPr>
                <w:rFonts w:ascii="Times New Roman" w:hAnsi="Times New Roman" w:eastAsia="方正仿宋_GBK" w:cs="Times New Roman"/>
                <w:spacing w:val="11"/>
                <w:kern w:val="10"/>
                <w:sz w:val="28"/>
                <w:szCs w:val="28"/>
                <w:highlight w:val="none"/>
              </w:rPr>
            </w:pPr>
          </w:p>
          <w:p w14:paraId="72035BDF">
            <w:pPr>
              <w:widowControl/>
              <w:spacing w:line="560" w:lineRule="exact"/>
              <w:ind w:firstLine="578" w:firstLineChars="200"/>
              <w:jc w:val="right"/>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 xml:space="preserve">年   月   日 </w:t>
            </w:r>
          </w:p>
          <w:p w14:paraId="48595E8E">
            <w:pPr>
              <w:widowControl/>
              <w:spacing w:line="560" w:lineRule="exact"/>
              <w:ind w:firstLine="578" w:firstLineChars="200"/>
              <w:jc w:val="right"/>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（盖章）</w:t>
            </w:r>
          </w:p>
          <w:p w14:paraId="35DC08F6">
            <w:pPr>
              <w:widowControl/>
              <w:spacing w:line="560" w:lineRule="exact"/>
              <w:ind w:firstLine="658" w:firstLineChars="200"/>
              <w:jc w:val="right"/>
              <w:rPr>
                <w:rFonts w:ascii="Times New Roman" w:hAnsi="Times New Roman" w:eastAsia="黑体" w:cs="Times New Roman"/>
                <w:spacing w:val="11"/>
                <w:kern w:val="10"/>
                <w:sz w:val="32"/>
                <w:szCs w:val="32"/>
                <w:highlight w:val="none"/>
              </w:rPr>
            </w:pPr>
            <w:r>
              <w:rPr>
                <w:rFonts w:ascii="Times New Roman" w:hAnsi="Times New Roman" w:eastAsia="仿宋_GB2312" w:cs="Times New Roman"/>
                <w:spacing w:val="11"/>
                <w:kern w:val="10"/>
                <w:sz w:val="32"/>
                <w:szCs w:val="32"/>
                <w:highlight w:val="none"/>
              </w:rPr>
              <w:t xml:space="preserve">  </w:t>
            </w:r>
          </w:p>
        </w:tc>
      </w:tr>
      <w:tr w14:paraId="6BDB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2613" w:type="dxa"/>
            <w:noWrap w:val="0"/>
            <w:vAlign w:val="center"/>
          </w:tcPr>
          <w:p w14:paraId="5FDBC88F">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备注</w:t>
            </w:r>
          </w:p>
        </w:tc>
        <w:tc>
          <w:tcPr>
            <w:tcW w:w="6094" w:type="dxa"/>
            <w:gridSpan w:val="3"/>
            <w:noWrap w:val="0"/>
            <w:vAlign w:val="top"/>
          </w:tcPr>
          <w:p w14:paraId="280DCD92">
            <w:pPr>
              <w:widowControl/>
              <w:spacing w:line="560" w:lineRule="exact"/>
              <w:ind w:firstLine="658" w:firstLineChars="200"/>
              <w:jc w:val="left"/>
              <w:rPr>
                <w:rFonts w:ascii="Times New Roman" w:hAnsi="Times New Roman" w:eastAsia="黑体" w:cs="Times New Roman"/>
                <w:spacing w:val="11"/>
                <w:kern w:val="10"/>
                <w:sz w:val="32"/>
                <w:szCs w:val="32"/>
                <w:highlight w:val="none"/>
              </w:rPr>
            </w:pPr>
          </w:p>
          <w:p w14:paraId="04AD7677">
            <w:pPr>
              <w:widowControl/>
              <w:spacing w:line="560" w:lineRule="exact"/>
              <w:ind w:firstLine="658" w:firstLineChars="200"/>
              <w:jc w:val="left"/>
              <w:rPr>
                <w:rFonts w:ascii="Times New Roman" w:hAnsi="Times New Roman" w:eastAsia="黑体" w:cs="Times New Roman"/>
                <w:spacing w:val="11"/>
                <w:kern w:val="10"/>
                <w:sz w:val="32"/>
                <w:szCs w:val="32"/>
                <w:highlight w:val="none"/>
              </w:rPr>
            </w:pPr>
          </w:p>
          <w:p w14:paraId="79E85AF4">
            <w:pPr>
              <w:widowControl/>
              <w:spacing w:line="560" w:lineRule="exact"/>
              <w:jc w:val="left"/>
              <w:rPr>
                <w:rFonts w:ascii="Times New Roman" w:hAnsi="Times New Roman" w:eastAsia="黑体" w:cs="Times New Roman"/>
                <w:spacing w:val="11"/>
                <w:kern w:val="10"/>
                <w:sz w:val="32"/>
                <w:szCs w:val="32"/>
                <w:highlight w:val="none"/>
              </w:rPr>
            </w:pPr>
          </w:p>
        </w:tc>
      </w:tr>
    </w:tbl>
    <w:p w14:paraId="06E14FE3">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方正黑体_GBK"/>
          <w:spacing w:val="11"/>
          <w:kern w:val="10"/>
          <w:sz w:val="32"/>
          <w:szCs w:val="21"/>
          <w:highlight w:val="none"/>
          <w:lang w:eastAsia="zh-CN"/>
        </w:rPr>
      </w:pPr>
      <w:r>
        <w:rPr>
          <w:rFonts w:ascii="Times New Roman" w:hAnsi="Times New Roman" w:eastAsia="方正黑体_GBK" w:cs="Times New Roman"/>
          <w:spacing w:val="11"/>
          <w:kern w:val="10"/>
          <w:sz w:val="32"/>
          <w:szCs w:val="21"/>
          <w:highlight w:val="none"/>
        </w:rPr>
        <w:br w:type="page"/>
      </w:r>
      <w:r>
        <w:rPr>
          <w:rFonts w:hint="eastAsia" w:ascii="方正黑体_GBK" w:hAnsi="方正黑体_GBK" w:eastAsia="方正黑体_GBK" w:cs="方正黑体_GBK"/>
          <w:spacing w:val="11"/>
          <w:kern w:val="10"/>
          <w:sz w:val="32"/>
          <w:szCs w:val="21"/>
          <w:highlight w:val="none"/>
        </w:rPr>
        <w:t>附件</w:t>
      </w:r>
      <w:r>
        <w:rPr>
          <w:rFonts w:hint="eastAsia" w:ascii="方正黑体_GBK" w:hAnsi="方正黑体_GBK" w:eastAsia="方正黑体_GBK" w:cs="方正黑体_GBK"/>
          <w:spacing w:val="11"/>
          <w:kern w:val="10"/>
          <w:sz w:val="32"/>
          <w:szCs w:val="21"/>
          <w:highlight w:val="none"/>
          <w:lang w:val="en-US" w:eastAsia="zh-CN"/>
        </w:rPr>
        <w:t>5</w:t>
      </w:r>
    </w:p>
    <w:p w14:paraId="69EA8F3F">
      <w:pPr>
        <w:pStyle w:val="11"/>
        <w:keepNext w:val="0"/>
        <w:keepLines w:val="0"/>
        <w:pageBreakBefore w:val="0"/>
        <w:widowControl w:val="0"/>
        <w:kinsoku/>
        <w:wordWrap/>
        <w:overflowPunct/>
        <w:topLinePunct w:val="0"/>
        <w:autoSpaceDE/>
        <w:autoSpaceDN/>
        <w:bidi w:val="0"/>
        <w:adjustRightInd/>
        <w:snapToGrid/>
        <w:spacing w:after="0" w:line="300" w:lineRule="exact"/>
        <w:ind w:left="0" w:leftChars="0" w:right="0" w:rightChars="0" w:firstLine="0" w:firstLineChars="0"/>
        <w:jc w:val="both"/>
        <w:textAlignment w:val="auto"/>
        <w:outlineLvl w:val="9"/>
        <w:rPr>
          <w:highlight w:val="none"/>
        </w:rPr>
      </w:pPr>
    </w:p>
    <w:p w14:paraId="3377137F">
      <w:pPr>
        <w:widowControl/>
        <w:spacing w:line="560" w:lineRule="exact"/>
        <w:jc w:val="center"/>
        <w:rPr>
          <w:highlight w:val="none"/>
        </w:rPr>
      </w:pPr>
      <w:r>
        <w:rPr>
          <w:rFonts w:hint="eastAsia" w:ascii="方正小标宋简体" w:hAnsi="方正小标宋简体" w:eastAsia="方正小标宋简体" w:cs="方正小标宋简体"/>
          <w:spacing w:val="11"/>
          <w:kern w:val="10"/>
          <w:sz w:val="44"/>
          <w:szCs w:val="44"/>
          <w:highlight w:val="none"/>
        </w:rPr>
        <w:t>信用评价异议处理结果反馈单（模板）</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7"/>
        <w:gridCol w:w="6213"/>
      </w:tblGrid>
      <w:tr w14:paraId="5EDB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667" w:type="dxa"/>
            <w:noWrap w:val="0"/>
            <w:vAlign w:val="center"/>
          </w:tcPr>
          <w:p w14:paraId="10AED597">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申请单位（个人）</w:t>
            </w:r>
          </w:p>
        </w:tc>
        <w:tc>
          <w:tcPr>
            <w:tcW w:w="6213" w:type="dxa"/>
            <w:noWrap w:val="0"/>
            <w:vAlign w:val="top"/>
          </w:tcPr>
          <w:p w14:paraId="4492ACCD">
            <w:pPr>
              <w:widowControl/>
              <w:spacing w:line="560" w:lineRule="exact"/>
              <w:ind w:firstLine="658" w:firstLineChars="200"/>
              <w:jc w:val="center"/>
              <w:rPr>
                <w:rFonts w:ascii="Times New Roman" w:hAnsi="Times New Roman" w:eastAsia="黑体" w:cs="Times New Roman"/>
                <w:spacing w:val="11"/>
                <w:kern w:val="10"/>
                <w:sz w:val="32"/>
                <w:szCs w:val="32"/>
                <w:highlight w:val="none"/>
              </w:rPr>
            </w:pPr>
          </w:p>
        </w:tc>
      </w:tr>
      <w:tr w14:paraId="13F5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2667" w:type="dxa"/>
            <w:noWrap w:val="0"/>
            <w:vAlign w:val="center"/>
          </w:tcPr>
          <w:p w14:paraId="346502A8">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异议信息</w:t>
            </w:r>
          </w:p>
          <w:p w14:paraId="621CBF73">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申请内容</w:t>
            </w:r>
          </w:p>
        </w:tc>
        <w:tc>
          <w:tcPr>
            <w:tcW w:w="6213" w:type="dxa"/>
            <w:noWrap w:val="0"/>
            <w:vAlign w:val="top"/>
          </w:tcPr>
          <w:p w14:paraId="6559A1E7">
            <w:pPr>
              <w:widowControl/>
              <w:spacing w:line="560" w:lineRule="exact"/>
              <w:ind w:firstLine="658" w:firstLineChars="200"/>
              <w:jc w:val="center"/>
              <w:rPr>
                <w:rFonts w:ascii="Times New Roman" w:hAnsi="Times New Roman" w:eastAsia="黑体" w:cs="Times New Roman"/>
                <w:spacing w:val="11"/>
                <w:kern w:val="10"/>
                <w:sz w:val="32"/>
                <w:szCs w:val="32"/>
                <w:highlight w:val="none"/>
              </w:rPr>
            </w:pPr>
          </w:p>
        </w:tc>
      </w:tr>
      <w:tr w14:paraId="66CC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2667" w:type="dxa"/>
            <w:noWrap w:val="0"/>
            <w:vAlign w:val="center"/>
          </w:tcPr>
          <w:p w14:paraId="19FE1A82">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异议信息</w:t>
            </w:r>
          </w:p>
          <w:p w14:paraId="64EB7AC9">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处理结果</w:t>
            </w:r>
          </w:p>
        </w:tc>
        <w:tc>
          <w:tcPr>
            <w:tcW w:w="6213" w:type="dxa"/>
            <w:noWrap w:val="0"/>
            <w:vAlign w:val="bottom"/>
          </w:tcPr>
          <w:p w14:paraId="5D752C2E">
            <w:pPr>
              <w:widowControl/>
              <w:spacing w:line="560" w:lineRule="exact"/>
              <w:ind w:firstLine="578" w:firstLineChars="200"/>
              <w:jc w:val="center"/>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XX单位</w:t>
            </w:r>
          </w:p>
          <w:p w14:paraId="1F149A5E">
            <w:pPr>
              <w:widowControl/>
              <w:spacing w:line="560" w:lineRule="exact"/>
              <w:ind w:firstLine="578" w:firstLineChars="200"/>
              <w:jc w:val="center"/>
              <w:rPr>
                <w:rFonts w:ascii="Times New Roman" w:hAnsi="Times New Roman" w:eastAsia="黑体"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年  月  日  （盖章）</w:t>
            </w:r>
          </w:p>
        </w:tc>
      </w:tr>
      <w:tr w14:paraId="270DA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2667" w:type="dxa"/>
            <w:noWrap w:val="0"/>
            <w:vAlign w:val="center"/>
          </w:tcPr>
          <w:p w14:paraId="299C1A4A">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备注</w:t>
            </w:r>
          </w:p>
        </w:tc>
        <w:tc>
          <w:tcPr>
            <w:tcW w:w="6213" w:type="dxa"/>
            <w:noWrap w:val="0"/>
            <w:vAlign w:val="top"/>
          </w:tcPr>
          <w:p w14:paraId="1424240B">
            <w:pPr>
              <w:widowControl/>
              <w:spacing w:line="560" w:lineRule="exact"/>
              <w:ind w:firstLine="658" w:firstLineChars="200"/>
              <w:jc w:val="center"/>
              <w:rPr>
                <w:rFonts w:ascii="Times New Roman" w:hAnsi="Times New Roman" w:eastAsia="黑体" w:cs="Times New Roman"/>
                <w:spacing w:val="11"/>
                <w:kern w:val="10"/>
                <w:sz w:val="32"/>
                <w:szCs w:val="32"/>
                <w:highlight w:val="none"/>
              </w:rPr>
            </w:pPr>
          </w:p>
        </w:tc>
      </w:tr>
    </w:tbl>
    <w:p w14:paraId="259692BB">
      <w:pPr>
        <w:keepNext w:val="0"/>
        <w:keepLines w:val="0"/>
        <w:pageBreakBefore w:val="0"/>
        <w:widowControl w:val="0"/>
        <w:kinsoku/>
        <w:wordWrap/>
        <w:overflowPunct/>
        <w:topLinePunct w:val="0"/>
        <w:autoSpaceDE/>
        <w:autoSpaceDN/>
        <w:bidi w:val="0"/>
        <w:adjustRightInd/>
        <w:spacing w:line="560" w:lineRule="exact"/>
        <w:jc w:val="left"/>
        <w:textAlignment w:val="auto"/>
        <w:rPr>
          <w:rFonts w:hint="eastAsia" w:ascii="方正黑体_GBK" w:hAnsi="方正黑体_GBK" w:eastAsia="方正黑体_GBK" w:cs="Times New Roman"/>
          <w:spacing w:val="11"/>
          <w:kern w:val="10"/>
          <w:sz w:val="32"/>
          <w:szCs w:val="32"/>
          <w:highlight w:val="none"/>
          <w:lang w:eastAsia="zh-CN"/>
        </w:rPr>
      </w:pPr>
      <w:r>
        <w:rPr>
          <w:rFonts w:ascii="Times New Roman" w:hAnsi="Times New Roman" w:eastAsia="黑体" w:cs="Times New Roman"/>
          <w:spacing w:val="11"/>
          <w:kern w:val="10"/>
          <w:sz w:val="32"/>
          <w:szCs w:val="32"/>
          <w:highlight w:val="none"/>
        </w:rPr>
        <w:br w:type="page"/>
      </w:r>
      <w:r>
        <w:rPr>
          <w:rFonts w:hint="eastAsia" w:ascii="方正黑体_GBK" w:hAnsi="方正黑体_GBK" w:eastAsia="方正黑体_GBK" w:cs="Times New Roman"/>
          <w:spacing w:val="11"/>
          <w:kern w:val="10"/>
          <w:sz w:val="32"/>
          <w:szCs w:val="32"/>
          <w:highlight w:val="none"/>
        </w:rPr>
        <w:t>附件</w:t>
      </w:r>
      <w:r>
        <w:rPr>
          <w:rFonts w:hint="eastAsia" w:ascii="方正黑体_GBK" w:hAnsi="方正黑体_GBK" w:eastAsia="方正黑体_GBK" w:cs="Times New Roman"/>
          <w:spacing w:val="11"/>
          <w:kern w:val="10"/>
          <w:sz w:val="32"/>
          <w:szCs w:val="32"/>
          <w:highlight w:val="none"/>
          <w:lang w:val="en-US" w:eastAsia="zh-CN"/>
        </w:rPr>
        <w:t>6</w:t>
      </w:r>
    </w:p>
    <w:p w14:paraId="64CFB988">
      <w:pPr>
        <w:widowControl/>
        <w:spacing w:line="56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pacing w:val="11"/>
          <w:kern w:val="10"/>
          <w:sz w:val="44"/>
          <w:szCs w:val="44"/>
          <w:highlight w:val="none"/>
        </w:rPr>
        <w:t>信用修复申请表（模板）</w:t>
      </w:r>
    </w:p>
    <w:tbl>
      <w:tblPr>
        <w:tblStyle w:val="12"/>
        <w:tblpPr w:leftFromText="180" w:rightFromText="180" w:vertAnchor="text" w:horzAnchor="page" w:tblpX="1453" w:tblpY="1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889"/>
        <w:gridCol w:w="5186"/>
      </w:tblGrid>
      <w:tr w14:paraId="097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787" w:type="dxa"/>
            <w:vMerge w:val="restart"/>
            <w:noWrap w:val="0"/>
            <w:vAlign w:val="center"/>
          </w:tcPr>
          <w:p w14:paraId="01E0C742">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失信主体基本情况</w:t>
            </w:r>
          </w:p>
        </w:tc>
        <w:tc>
          <w:tcPr>
            <w:tcW w:w="1889" w:type="dxa"/>
            <w:noWrap w:val="0"/>
            <w:vAlign w:val="center"/>
          </w:tcPr>
          <w:p w14:paraId="6B9D32E7">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名称</w:t>
            </w:r>
          </w:p>
        </w:tc>
        <w:tc>
          <w:tcPr>
            <w:tcW w:w="5186" w:type="dxa"/>
            <w:noWrap w:val="0"/>
            <w:vAlign w:val="center"/>
          </w:tcPr>
          <w:p w14:paraId="5AB8F506">
            <w:pPr>
              <w:widowControl/>
              <w:spacing w:line="560" w:lineRule="exact"/>
              <w:jc w:val="center"/>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（填写法人单位名称或自然人名称）</w:t>
            </w:r>
          </w:p>
        </w:tc>
      </w:tr>
      <w:tr w14:paraId="29F2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787" w:type="dxa"/>
            <w:vMerge w:val="continue"/>
            <w:noWrap w:val="0"/>
            <w:vAlign w:val="center"/>
          </w:tcPr>
          <w:p w14:paraId="13927597">
            <w:pPr>
              <w:widowControl/>
              <w:spacing w:line="560" w:lineRule="exact"/>
              <w:ind w:firstLine="618" w:firstLineChars="200"/>
              <w:jc w:val="center"/>
              <w:rPr>
                <w:rFonts w:ascii="方正黑体_GBK" w:hAnsi="方正黑体_GBK" w:eastAsia="方正黑体_GBK" w:cs="Times New Roman"/>
                <w:spacing w:val="11"/>
                <w:kern w:val="10"/>
                <w:sz w:val="30"/>
                <w:szCs w:val="30"/>
                <w:highlight w:val="none"/>
              </w:rPr>
            </w:pPr>
          </w:p>
        </w:tc>
        <w:tc>
          <w:tcPr>
            <w:tcW w:w="1889" w:type="dxa"/>
            <w:noWrap w:val="0"/>
            <w:vAlign w:val="top"/>
          </w:tcPr>
          <w:p w14:paraId="35F67469">
            <w:pPr>
              <w:widowControl/>
              <w:spacing w:line="560" w:lineRule="exact"/>
              <w:jc w:val="center"/>
              <w:rPr>
                <w:rFonts w:hint="eastAsia"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统一社会</w:t>
            </w:r>
          </w:p>
          <w:p w14:paraId="5F0E07AE">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信用代码</w:t>
            </w:r>
          </w:p>
        </w:tc>
        <w:tc>
          <w:tcPr>
            <w:tcW w:w="5186" w:type="dxa"/>
            <w:noWrap w:val="0"/>
            <w:vAlign w:val="center"/>
          </w:tcPr>
          <w:p w14:paraId="6A74CD93">
            <w:pPr>
              <w:widowControl/>
              <w:spacing w:line="560" w:lineRule="exact"/>
              <w:jc w:val="center"/>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（自然人填写身份证号）</w:t>
            </w:r>
          </w:p>
        </w:tc>
      </w:tr>
      <w:tr w14:paraId="1AAF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787" w:type="dxa"/>
            <w:vMerge w:val="continue"/>
            <w:noWrap w:val="0"/>
            <w:vAlign w:val="center"/>
          </w:tcPr>
          <w:p w14:paraId="69933FDC">
            <w:pPr>
              <w:widowControl/>
              <w:spacing w:line="560" w:lineRule="exact"/>
              <w:ind w:firstLine="618" w:firstLineChars="200"/>
              <w:jc w:val="center"/>
              <w:rPr>
                <w:rFonts w:ascii="方正黑体_GBK" w:hAnsi="方正黑体_GBK" w:eastAsia="方正黑体_GBK" w:cs="Times New Roman"/>
                <w:spacing w:val="11"/>
                <w:kern w:val="10"/>
                <w:sz w:val="30"/>
                <w:szCs w:val="30"/>
                <w:highlight w:val="none"/>
              </w:rPr>
            </w:pPr>
          </w:p>
        </w:tc>
        <w:tc>
          <w:tcPr>
            <w:tcW w:w="1889" w:type="dxa"/>
            <w:noWrap w:val="0"/>
            <w:vAlign w:val="center"/>
          </w:tcPr>
          <w:p w14:paraId="66B78DBD">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联系方式</w:t>
            </w:r>
          </w:p>
        </w:tc>
        <w:tc>
          <w:tcPr>
            <w:tcW w:w="5186" w:type="dxa"/>
            <w:noWrap w:val="0"/>
            <w:vAlign w:val="center"/>
          </w:tcPr>
          <w:p w14:paraId="7CC160B1">
            <w:pPr>
              <w:widowControl/>
              <w:spacing w:line="560" w:lineRule="exact"/>
              <w:ind w:firstLine="898" w:firstLineChars="200"/>
              <w:jc w:val="center"/>
              <w:rPr>
                <w:rFonts w:ascii="方正小标宋简体" w:hAnsi="方正小标宋简体" w:eastAsia="方正小标宋简体" w:cs="Times New Roman"/>
                <w:spacing w:val="11"/>
                <w:kern w:val="10"/>
                <w:sz w:val="44"/>
                <w:szCs w:val="44"/>
                <w:highlight w:val="none"/>
              </w:rPr>
            </w:pPr>
          </w:p>
        </w:tc>
      </w:tr>
      <w:tr w14:paraId="5C9A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6" w:hRule="atLeast"/>
        </w:trPr>
        <w:tc>
          <w:tcPr>
            <w:tcW w:w="1787" w:type="dxa"/>
            <w:noWrap w:val="0"/>
            <w:vAlign w:val="center"/>
          </w:tcPr>
          <w:p w14:paraId="2F89B9A5">
            <w:pPr>
              <w:widowControl/>
              <w:spacing w:line="560" w:lineRule="exact"/>
              <w:jc w:val="center"/>
              <w:rPr>
                <w:rFonts w:hint="eastAsia"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申请修复的失信信息</w:t>
            </w:r>
          </w:p>
          <w:p w14:paraId="721C5D94">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内容</w:t>
            </w:r>
          </w:p>
        </w:tc>
        <w:tc>
          <w:tcPr>
            <w:tcW w:w="1889" w:type="dxa"/>
            <w:noWrap w:val="0"/>
            <w:vAlign w:val="center"/>
          </w:tcPr>
          <w:p w14:paraId="19FAC820">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失信信息</w:t>
            </w:r>
          </w:p>
          <w:p w14:paraId="23F71234">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内容描述</w:t>
            </w:r>
          </w:p>
        </w:tc>
        <w:tc>
          <w:tcPr>
            <w:tcW w:w="5186" w:type="dxa"/>
            <w:noWrap w:val="0"/>
            <w:vAlign w:val="center"/>
          </w:tcPr>
          <w:p w14:paraId="5A95223B">
            <w:pPr>
              <w:widowControl/>
              <w:spacing w:line="560" w:lineRule="exact"/>
              <w:ind w:firstLine="578" w:firstLineChars="200"/>
              <w:jc w:val="left"/>
              <w:rPr>
                <w:rFonts w:ascii="方正小标宋简体" w:hAnsi="方正小标宋简体" w:eastAsia="方正小标宋简体" w:cs="Times New Roman"/>
                <w:spacing w:val="11"/>
                <w:kern w:val="10"/>
                <w:sz w:val="44"/>
                <w:szCs w:val="44"/>
                <w:highlight w:val="none"/>
              </w:rPr>
            </w:pPr>
            <w:r>
              <w:rPr>
                <w:rFonts w:hint="eastAsia" w:ascii="方正仿宋_GBK" w:hAnsi="方正仿宋_GBK" w:eastAsia="方正仿宋_GBK" w:cs="Times New Roman"/>
                <w:spacing w:val="11"/>
                <w:kern w:val="10"/>
                <w:sz w:val="28"/>
                <w:szCs w:val="28"/>
                <w:highlight w:val="none"/>
              </w:rPr>
              <w:t>xxxx 年 xx 月 xx 日，因****行为被处以失信惩戒限制措施（可提供页面打印件或复印件）</w:t>
            </w:r>
          </w:p>
        </w:tc>
      </w:tr>
      <w:tr w14:paraId="0878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787" w:type="dxa"/>
            <w:noWrap w:val="0"/>
            <w:vAlign w:val="center"/>
          </w:tcPr>
          <w:p w14:paraId="671B5C56">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申请信用修复的理由</w:t>
            </w:r>
          </w:p>
        </w:tc>
        <w:tc>
          <w:tcPr>
            <w:tcW w:w="1889" w:type="dxa"/>
            <w:noWrap w:val="0"/>
            <w:vAlign w:val="center"/>
          </w:tcPr>
          <w:p w14:paraId="5B8603DF">
            <w:pPr>
              <w:widowControl/>
              <w:spacing w:line="560" w:lineRule="exact"/>
              <w:jc w:val="center"/>
              <w:rPr>
                <w:rFonts w:ascii="方正黑体_GBK" w:hAnsi="方正黑体_GBK" w:eastAsia="方正黑体_GBK" w:cs="Times New Roman"/>
                <w:spacing w:val="11"/>
                <w:kern w:val="10"/>
                <w:sz w:val="30"/>
                <w:szCs w:val="30"/>
                <w:highlight w:val="none"/>
              </w:rPr>
            </w:pPr>
            <w:r>
              <w:rPr>
                <w:rFonts w:hint="eastAsia" w:ascii="方正黑体_GBK" w:hAnsi="方正黑体_GBK" w:eastAsia="方正黑体_GBK" w:cs="Times New Roman"/>
                <w:spacing w:val="11"/>
                <w:kern w:val="10"/>
                <w:sz w:val="30"/>
                <w:szCs w:val="30"/>
                <w:highlight w:val="none"/>
              </w:rPr>
              <w:t>符合《自治区、兵团医疗保障信用管理办法》规定</w:t>
            </w:r>
          </w:p>
        </w:tc>
        <w:tc>
          <w:tcPr>
            <w:tcW w:w="5186" w:type="dxa"/>
            <w:noWrap w:val="0"/>
            <w:vAlign w:val="center"/>
          </w:tcPr>
          <w:p w14:paraId="765E486B">
            <w:pPr>
              <w:widowControl/>
              <w:spacing w:line="560" w:lineRule="exact"/>
              <w:jc w:val="left"/>
              <w:rPr>
                <w:rFonts w:ascii="方正小标宋简体" w:hAnsi="方正小标宋简体" w:eastAsia="方正小标宋简体" w:cs="Times New Roman"/>
                <w:spacing w:val="11"/>
                <w:kern w:val="10"/>
                <w:sz w:val="44"/>
                <w:szCs w:val="44"/>
                <w:highlight w:val="none"/>
              </w:rPr>
            </w:pPr>
            <w:r>
              <w:rPr>
                <w:rFonts w:hint="eastAsia" w:ascii="Times New Roman" w:hAnsi="Times New Roman" w:eastAsia="方正仿宋_GBK" w:cs="Times New Roman"/>
                <w:spacing w:val="11"/>
                <w:kern w:val="10"/>
                <w:sz w:val="32"/>
                <w:szCs w:val="32"/>
                <w:highlight w:val="none"/>
              </w:rPr>
              <w:t>第六章第</w:t>
            </w:r>
            <w:r>
              <w:rPr>
                <w:rFonts w:hint="eastAsia" w:ascii="Times New Roman" w:hAnsi="Times New Roman" w:eastAsia="方正仿宋_GBK" w:cs="Times New Roman"/>
                <w:spacing w:val="11"/>
                <w:kern w:val="10"/>
                <w:sz w:val="32"/>
                <w:szCs w:val="32"/>
                <w:highlight w:val="none"/>
                <w:lang w:val="en-US" w:eastAsia="zh-CN"/>
              </w:rPr>
              <w:t>二十九</w:t>
            </w:r>
            <w:r>
              <w:rPr>
                <w:rFonts w:hint="eastAsia" w:ascii="Times New Roman" w:hAnsi="Times New Roman" w:eastAsia="方正仿宋_GBK" w:cs="Times New Roman"/>
                <w:spacing w:val="11"/>
                <w:kern w:val="10"/>
                <w:sz w:val="32"/>
                <w:szCs w:val="32"/>
                <w:highlight w:val="none"/>
              </w:rPr>
              <w:t>条规定：符合□不符合□</w:t>
            </w:r>
          </w:p>
        </w:tc>
      </w:tr>
      <w:tr w14:paraId="4F94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862" w:type="dxa"/>
            <w:gridSpan w:val="3"/>
            <w:noWrap w:val="0"/>
            <w:vAlign w:val="top"/>
          </w:tcPr>
          <w:p w14:paraId="43DAB8F8">
            <w:pPr>
              <w:widowControl/>
              <w:spacing w:line="560" w:lineRule="exact"/>
              <w:jc w:val="left"/>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本单位（本人）声明，提交的材料真实有效。</w:t>
            </w:r>
          </w:p>
          <w:p w14:paraId="25AB7C05">
            <w:pPr>
              <w:widowControl/>
              <w:spacing w:line="560" w:lineRule="exact"/>
              <w:ind w:firstLine="578" w:firstLineChars="200"/>
              <w:jc w:val="left"/>
              <w:rPr>
                <w:rFonts w:ascii="方正仿宋_GBK" w:hAnsi="方正仿宋_GBK" w:eastAsia="方正仿宋_GBK" w:cs="Times New Roman"/>
                <w:spacing w:val="11"/>
                <w:kern w:val="10"/>
                <w:sz w:val="28"/>
                <w:szCs w:val="28"/>
                <w:highlight w:val="none"/>
              </w:rPr>
            </w:pPr>
            <w:r>
              <w:rPr>
                <w:rFonts w:hint="eastAsia" w:ascii="方正仿宋_GBK" w:hAnsi="方正仿宋_GBK" w:eastAsia="方正仿宋_GBK" w:cs="Times New Roman"/>
                <w:spacing w:val="11"/>
                <w:kern w:val="10"/>
                <w:sz w:val="28"/>
                <w:szCs w:val="28"/>
                <w:highlight w:val="none"/>
              </w:rPr>
              <w:t>法定代表人（自然人）签字：（盖章）</w:t>
            </w:r>
          </w:p>
          <w:p w14:paraId="3B323DC3">
            <w:pPr>
              <w:widowControl/>
              <w:spacing w:line="560" w:lineRule="exact"/>
              <w:ind w:firstLine="578" w:firstLineChars="200"/>
              <w:jc w:val="left"/>
              <w:rPr>
                <w:rFonts w:ascii="仿宋_GB2312" w:hAnsi="黑体" w:eastAsia="仿宋_GB2312" w:cs="Times New Roman"/>
                <w:spacing w:val="11"/>
                <w:kern w:val="10"/>
                <w:sz w:val="32"/>
                <w:szCs w:val="32"/>
                <w:highlight w:val="none"/>
              </w:rPr>
            </w:pPr>
            <w:r>
              <w:rPr>
                <w:rFonts w:hint="eastAsia" w:ascii="方正仿宋_GBK" w:hAnsi="方正仿宋_GBK" w:eastAsia="方正仿宋_GBK" w:cs="Times New Roman"/>
                <w:spacing w:val="11"/>
                <w:kern w:val="10"/>
                <w:sz w:val="28"/>
                <w:szCs w:val="28"/>
                <w:highlight w:val="none"/>
              </w:rPr>
              <w:t>申请日期：        年   月   日</w:t>
            </w:r>
          </w:p>
        </w:tc>
      </w:tr>
    </w:tbl>
    <w:p w14:paraId="73738064">
      <w:pPr>
        <w:spacing w:line="560" w:lineRule="exact"/>
        <w:rPr>
          <w:rFonts w:hint="eastAsia" w:ascii="方正黑体_GBK" w:hAnsi="方正黑体_GBK" w:eastAsia="方正黑体_GBK" w:cs="方正黑体_GBK"/>
          <w:spacing w:val="11"/>
          <w:kern w:val="10"/>
          <w:sz w:val="32"/>
          <w:szCs w:val="32"/>
          <w:highlight w:val="none"/>
          <w:lang w:eastAsia="zh-CN"/>
        </w:rPr>
      </w:pPr>
      <w:r>
        <w:rPr>
          <w:rFonts w:ascii="Times New Roman" w:hAnsi="Times New Roman" w:eastAsia="方正黑体_GBK" w:cs="Times New Roman"/>
          <w:spacing w:val="11"/>
          <w:kern w:val="10"/>
          <w:sz w:val="32"/>
          <w:szCs w:val="32"/>
          <w:highlight w:val="none"/>
        </w:rPr>
        <w:br w:type="page"/>
      </w:r>
      <w:r>
        <w:rPr>
          <w:rFonts w:hint="eastAsia" w:ascii="方正黑体_GBK" w:hAnsi="方正黑体_GBK" w:eastAsia="方正黑体_GBK" w:cs="方正黑体_GBK"/>
          <w:spacing w:val="11"/>
          <w:kern w:val="10"/>
          <w:sz w:val="32"/>
          <w:szCs w:val="32"/>
          <w:highlight w:val="none"/>
        </w:rPr>
        <w:t>附件</w:t>
      </w:r>
      <w:r>
        <w:rPr>
          <w:rFonts w:hint="eastAsia" w:ascii="方正黑体_GBK" w:hAnsi="方正黑体_GBK" w:eastAsia="方正黑体_GBK" w:cs="方正黑体_GBK"/>
          <w:spacing w:val="11"/>
          <w:kern w:val="10"/>
          <w:sz w:val="32"/>
          <w:szCs w:val="32"/>
          <w:highlight w:val="none"/>
          <w:lang w:val="en-US" w:eastAsia="zh-CN"/>
        </w:rPr>
        <w:t>7</w:t>
      </w:r>
    </w:p>
    <w:tbl>
      <w:tblPr>
        <w:tblStyle w:val="12"/>
        <w:tblpPr w:leftFromText="180" w:rightFromText="180" w:vertAnchor="text" w:horzAnchor="page" w:tblpX="1504" w:tblpY="76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081"/>
        <w:gridCol w:w="2583"/>
        <w:gridCol w:w="1864"/>
        <w:gridCol w:w="1264"/>
      </w:tblGrid>
      <w:tr w14:paraId="44F7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63" w:type="dxa"/>
            <w:vMerge w:val="restart"/>
            <w:noWrap w:val="0"/>
            <w:vAlign w:val="center"/>
          </w:tcPr>
          <w:p w14:paraId="4CBB48E2">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申请修复的失信主体</w:t>
            </w:r>
          </w:p>
        </w:tc>
        <w:tc>
          <w:tcPr>
            <w:tcW w:w="2081" w:type="dxa"/>
            <w:noWrap w:val="0"/>
            <w:vAlign w:val="center"/>
          </w:tcPr>
          <w:p w14:paraId="7F67649E">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名称</w:t>
            </w:r>
          </w:p>
        </w:tc>
        <w:tc>
          <w:tcPr>
            <w:tcW w:w="5711" w:type="dxa"/>
            <w:gridSpan w:val="3"/>
            <w:noWrap w:val="0"/>
            <w:vAlign w:val="center"/>
          </w:tcPr>
          <w:p w14:paraId="2C1029AD">
            <w:pPr>
              <w:widowControl/>
              <w:spacing w:line="560" w:lineRule="exact"/>
              <w:ind w:firstLine="578" w:firstLineChars="200"/>
              <w:jc w:val="center"/>
              <w:rPr>
                <w:rFonts w:ascii="Times New Roman" w:hAnsi="Times New Roman" w:eastAsia="方正仿宋_GBK"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（填写法人单位名称或自然人名称）</w:t>
            </w:r>
          </w:p>
        </w:tc>
      </w:tr>
      <w:tr w14:paraId="3073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263" w:type="dxa"/>
            <w:vMerge w:val="continue"/>
            <w:noWrap w:val="0"/>
            <w:vAlign w:val="center"/>
          </w:tcPr>
          <w:p w14:paraId="569CA136">
            <w:pPr>
              <w:widowControl/>
              <w:spacing w:line="560" w:lineRule="exact"/>
              <w:ind w:firstLine="658" w:firstLineChars="200"/>
              <w:jc w:val="center"/>
              <w:rPr>
                <w:rFonts w:ascii="Times New Roman" w:hAnsi="Times New Roman" w:eastAsia="方正黑体_GBK" w:cs="Times New Roman"/>
                <w:spacing w:val="11"/>
                <w:kern w:val="10"/>
                <w:sz w:val="32"/>
                <w:szCs w:val="32"/>
                <w:highlight w:val="none"/>
              </w:rPr>
            </w:pPr>
          </w:p>
        </w:tc>
        <w:tc>
          <w:tcPr>
            <w:tcW w:w="2081" w:type="dxa"/>
            <w:noWrap w:val="0"/>
            <w:vAlign w:val="center"/>
          </w:tcPr>
          <w:p w14:paraId="0EB6B12E">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统一社会信用代码</w:t>
            </w:r>
          </w:p>
        </w:tc>
        <w:tc>
          <w:tcPr>
            <w:tcW w:w="5711" w:type="dxa"/>
            <w:gridSpan w:val="3"/>
            <w:noWrap w:val="0"/>
            <w:vAlign w:val="center"/>
          </w:tcPr>
          <w:p w14:paraId="4E293CEF">
            <w:pPr>
              <w:widowControl/>
              <w:spacing w:line="560" w:lineRule="exact"/>
              <w:ind w:firstLine="578" w:firstLineChars="200"/>
              <w:jc w:val="center"/>
              <w:rPr>
                <w:rFonts w:ascii="Times New Roman" w:hAnsi="Times New Roman" w:eastAsia="方正仿宋_GBK"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（自然人填写身份证号）</w:t>
            </w:r>
          </w:p>
        </w:tc>
      </w:tr>
      <w:tr w14:paraId="2476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63" w:type="dxa"/>
            <w:vMerge w:val="continue"/>
            <w:noWrap w:val="0"/>
            <w:vAlign w:val="center"/>
          </w:tcPr>
          <w:p w14:paraId="27EF8C53">
            <w:pPr>
              <w:widowControl/>
              <w:spacing w:line="560" w:lineRule="exact"/>
              <w:ind w:firstLine="658" w:firstLineChars="200"/>
              <w:jc w:val="center"/>
              <w:rPr>
                <w:rFonts w:ascii="Times New Roman" w:hAnsi="Times New Roman" w:eastAsia="方正黑体_GBK" w:cs="Times New Roman"/>
                <w:spacing w:val="11"/>
                <w:kern w:val="10"/>
                <w:sz w:val="32"/>
                <w:szCs w:val="32"/>
                <w:highlight w:val="none"/>
              </w:rPr>
            </w:pPr>
          </w:p>
        </w:tc>
        <w:tc>
          <w:tcPr>
            <w:tcW w:w="2081" w:type="dxa"/>
            <w:noWrap w:val="0"/>
            <w:vAlign w:val="center"/>
          </w:tcPr>
          <w:p w14:paraId="1A2E9594">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法定代表人</w:t>
            </w:r>
          </w:p>
        </w:tc>
        <w:tc>
          <w:tcPr>
            <w:tcW w:w="2583" w:type="dxa"/>
            <w:noWrap w:val="0"/>
            <w:vAlign w:val="center"/>
          </w:tcPr>
          <w:p w14:paraId="07338660">
            <w:pPr>
              <w:widowControl/>
              <w:spacing w:line="560" w:lineRule="exact"/>
              <w:ind w:firstLine="658" w:firstLineChars="200"/>
              <w:jc w:val="center"/>
              <w:rPr>
                <w:rFonts w:ascii="Times New Roman" w:hAnsi="Times New Roman" w:eastAsia="方正黑体_GBK" w:cs="Times New Roman"/>
                <w:spacing w:val="11"/>
                <w:kern w:val="10"/>
                <w:sz w:val="32"/>
                <w:szCs w:val="32"/>
                <w:highlight w:val="none"/>
              </w:rPr>
            </w:pPr>
          </w:p>
        </w:tc>
        <w:tc>
          <w:tcPr>
            <w:tcW w:w="1864" w:type="dxa"/>
            <w:noWrap w:val="0"/>
            <w:vAlign w:val="center"/>
          </w:tcPr>
          <w:p w14:paraId="420FB0A1">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联系方式</w:t>
            </w:r>
          </w:p>
        </w:tc>
        <w:tc>
          <w:tcPr>
            <w:tcW w:w="1264" w:type="dxa"/>
            <w:noWrap w:val="0"/>
            <w:vAlign w:val="center"/>
          </w:tcPr>
          <w:p w14:paraId="71599FF2">
            <w:pPr>
              <w:widowControl/>
              <w:spacing w:line="560" w:lineRule="exact"/>
              <w:ind w:firstLine="658" w:firstLineChars="200"/>
              <w:jc w:val="left"/>
              <w:rPr>
                <w:rFonts w:ascii="Times New Roman" w:hAnsi="Times New Roman" w:eastAsia="黑体" w:cs="Times New Roman"/>
                <w:spacing w:val="11"/>
                <w:kern w:val="10"/>
                <w:sz w:val="32"/>
                <w:szCs w:val="32"/>
                <w:highlight w:val="none"/>
              </w:rPr>
            </w:pPr>
          </w:p>
        </w:tc>
      </w:tr>
      <w:tr w14:paraId="021E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263" w:type="dxa"/>
            <w:vMerge w:val="continue"/>
            <w:noWrap w:val="0"/>
            <w:vAlign w:val="center"/>
          </w:tcPr>
          <w:p w14:paraId="0DA4C88A">
            <w:pPr>
              <w:widowControl/>
              <w:spacing w:line="560" w:lineRule="exact"/>
              <w:ind w:firstLine="658" w:firstLineChars="200"/>
              <w:jc w:val="center"/>
              <w:rPr>
                <w:rFonts w:ascii="Times New Roman" w:hAnsi="Times New Roman" w:eastAsia="方正黑体_GBK" w:cs="Times New Roman"/>
                <w:spacing w:val="11"/>
                <w:kern w:val="10"/>
                <w:sz w:val="32"/>
                <w:szCs w:val="32"/>
                <w:highlight w:val="none"/>
              </w:rPr>
            </w:pPr>
          </w:p>
        </w:tc>
        <w:tc>
          <w:tcPr>
            <w:tcW w:w="2081" w:type="dxa"/>
            <w:noWrap w:val="0"/>
            <w:vAlign w:val="center"/>
          </w:tcPr>
          <w:p w14:paraId="6817B049">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失信信息</w:t>
            </w:r>
          </w:p>
          <w:p w14:paraId="25F35E49">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内容</w:t>
            </w:r>
          </w:p>
        </w:tc>
        <w:tc>
          <w:tcPr>
            <w:tcW w:w="5711" w:type="dxa"/>
            <w:gridSpan w:val="3"/>
            <w:noWrap w:val="0"/>
            <w:vAlign w:val="center"/>
          </w:tcPr>
          <w:p w14:paraId="178513C8">
            <w:pPr>
              <w:widowControl/>
              <w:spacing w:line="560" w:lineRule="exact"/>
              <w:jc w:val="left"/>
              <w:rPr>
                <w:rFonts w:ascii="Times New Roman" w:hAnsi="Times New Roman" w:eastAsia="黑体" w:cs="Times New Roman"/>
                <w:spacing w:val="11"/>
                <w:kern w:val="10"/>
                <w:sz w:val="32"/>
                <w:szCs w:val="32"/>
                <w:highlight w:val="none"/>
              </w:rPr>
            </w:pPr>
          </w:p>
        </w:tc>
      </w:tr>
      <w:tr w14:paraId="2329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1263" w:type="dxa"/>
            <w:noWrap w:val="0"/>
            <w:vAlign w:val="center"/>
          </w:tcPr>
          <w:p w14:paraId="7DCAB8AA">
            <w:pPr>
              <w:widowControl/>
              <w:spacing w:line="560" w:lineRule="exact"/>
              <w:jc w:val="distribute"/>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医疗保障部门意见</w:t>
            </w:r>
          </w:p>
        </w:tc>
        <w:tc>
          <w:tcPr>
            <w:tcW w:w="2081" w:type="dxa"/>
            <w:noWrap w:val="0"/>
            <w:vAlign w:val="center"/>
          </w:tcPr>
          <w:p w14:paraId="2D3B8EF3">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修复条件</w:t>
            </w:r>
          </w:p>
          <w:p w14:paraId="0BE34451">
            <w:pPr>
              <w:widowControl/>
              <w:spacing w:line="560" w:lineRule="exact"/>
              <w:jc w:val="center"/>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认定情况</w:t>
            </w:r>
          </w:p>
        </w:tc>
        <w:tc>
          <w:tcPr>
            <w:tcW w:w="5711" w:type="dxa"/>
            <w:gridSpan w:val="3"/>
            <w:noWrap w:val="0"/>
            <w:vAlign w:val="center"/>
          </w:tcPr>
          <w:p w14:paraId="2618FEB9">
            <w:pPr>
              <w:widowControl/>
              <w:spacing w:line="560" w:lineRule="exact"/>
              <w:jc w:val="both"/>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 xml:space="preserve">经核实，不良信息主体已履行法定责任和义务，社会不良影响基本消除。 </w:t>
            </w:r>
          </w:p>
          <w:p w14:paraId="0E41870C">
            <w:pPr>
              <w:widowControl/>
              <w:spacing w:line="560" w:lineRule="exact"/>
              <w:jc w:val="both"/>
              <w:rPr>
                <w:rFonts w:ascii="Times New Roman" w:hAnsi="Times New Roman" w:eastAsia="黑体"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 xml:space="preserve">至申请日，不良信息已披露 </w:t>
            </w:r>
            <w:r>
              <w:rPr>
                <w:rFonts w:hint="eastAsia" w:ascii="Times New Roman" w:hAnsi="Times New Roman" w:eastAsia="方正仿宋_GBK" w:cs="Times New Roman"/>
                <w:spacing w:val="11"/>
                <w:kern w:val="10"/>
                <w:sz w:val="28"/>
                <w:szCs w:val="28"/>
                <w:highlight w:val="none"/>
                <w:lang w:val="en-US" w:eastAsia="zh-CN"/>
              </w:rPr>
              <w:t xml:space="preserve"> </w:t>
            </w:r>
            <w:r>
              <w:rPr>
                <w:rFonts w:ascii="Times New Roman" w:hAnsi="Times New Roman" w:eastAsia="方正仿宋_GBK" w:cs="Times New Roman"/>
                <w:spacing w:val="11"/>
                <w:kern w:val="10"/>
                <w:sz w:val="28"/>
                <w:szCs w:val="28"/>
                <w:highlight w:val="none"/>
              </w:rPr>
              <w:t>年 个月， 期间未产生新的记入信用档案的同类不良信息。</w:t>
            </w:r>
          </w:p>
        </w:tc>
      </w:tr>
      <w:tr w14:paraId="75DB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1263" w:type="dxa"/>
            <w:noWrap w:val="0"/>
            <w:vAlign w:val="center"/>
          </w:tcPr>
          <w:p w14:paraId="5767E373">
            <w:pPr>
              <w:widowControl/>
              <w:spacing w:line="560" w:lineRule="exact"/>
              <w:jc w:val="distribute"/>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修复</w:t>
            </w:r>
          </w:p>
          <w:p w14:paraId="2E54DDC5">
            <w:pPr>
              <w:widowControl/>
              <w:spacing w:line="560" w:lineRule="exact"/>
              <w:jc w:val="distribute"/>
              <w:rPr>
                <w:rFonts w:ascii="Times New Roman" w:hAnsi="Times New Roman" w:eastAsia="方正黑体_GBK"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处理</w:t>
            </w:r>
          </w:p>
          <w:p w14:paraId="0DE7708F">
            <w:pPr>
              <w:widowControl/>
              <w:spacing w:line="560" w:lineRule="exact"/>
              <w:jc w:val="distribute"/>
              <w:rPr>
                <w:rFonts w:ascii="Times New Roman" w:hAnsi="Times New Roman" w:eastAsia="黑体" w:cs="Times New Roman"/>
                <w:spacing w:val="11"/>
                <w:kern w:val="10"/>
                <w:sz w:val="32"/>
                <w:szCs w:val="32"/>
                <w:highlight w:val="none"/>
              </w:rPr>
            </w:pPr>
            <w:r>
              <w:rPr>
                <w:rFonts w:ascii="Times New Roman" w:hAnsi="Times New Roman" w:eastAsia="方正黑体_GBK" w:cs="Times New Roman"/>
                <w:spacing w:val="11"/>
                <w:kern w:val="10"/>
                <w:sz w:val="32"/>
                <w:szCs w:val="32"/>
                <w:highlight w:val="none"/>
              </w:rPr>
              <w:t>意见</w:t>
            </w:r>
          </w:p>
        </w:tc>
        <w:tc>
          <w:tcPr>
            <w:tcW w:w="7792" w:type="dxa"/>
            <w:gridSpan w:val="4"/>
            <w:noWrap w:val="0"/>
            <w:vAlign w:val="center"/>
          </w:tcPr>
          <w:p w14:paraId="3923E18D">
            <w:pPr>
              <w:widowControl/>
              <w:spacing w:line="560" w:lineRule="exact"/>
              <w:ind w:firstLine="578" w:firstLineChars="200"/>
              <w:jc w:val="right"/>
              <w:rPr>
                <w:rFonts w:ascii="Times New Roman" w:hAnsi="Times New Roman" w:eastAsia="仿宋_GB2312" w:cs="Times New Roman"/>
                <w:spacing w:val="11"/>
                <w:kern w:val="10"/>
                <w:sz w:val="28"/>
                <w:szCs w:val="28"/>
                <w:highlight w:val="none"/>
              </w:rPr>
            </w:pPr>
            <w:r>
              <w:rPr>
                <w:rFonts w:ascii="Times New Roman" w:hAnsi="Times New Roman" w:eastAsia="仿宋_GB2312" w:cs="Times New Roman"/>
                <w:spacing w:val="11"/>
                <w:kern w:val="10"/>
                <w:sz w:val="28"/>
                <w:szCs w:val="28"/>
                <w:highlight w:val="none"/>
              </w:rPr>
              <w:t xml:space="preserve"> </w:t>
            </w:r>
          </w:p>
          <w:p w14:paraId="3530DF72">
            <w:pPr>
              <w:widowControl/>
              <w:spacing w:line="560" w:lineRule="exact"/>
              <w:ind w:firstLine="578" w:firstLineChars="200"/>
              <w:jc w:val="right"/>
              <w:rPr>
                <w:rFonts w:ascii="Times New Roman" w:hAnsi="Times New Roman" w:eastAsia="方正仿宋_GBK" w:cs="Times New Roman"/>
                <w:spacing w:val="11"/>
                <w:kern w:val="10"/>
                <w:sz w:val="28"/>
                <w:szCs w:val="28"/>
                <w:highlight w:val="none"/>
              </w:rPr>
            </w:pPr>
          </w:p>
          <w:p w14:paraId="5D765E12">
            <w:pPr>
              <w:widowControl/>
              <w:spacing w:line="560" w:lineRule="exact"/>
              <w:ind w:firstLine="578" w:firstLineChars="200"/>
              <w:jc w:val="center"/>
              <w:rPr>
                <w:rFonts w:ascii="Times New Roman" w:hAnsi="Times New Roman" w:eastAsia="方正仿宋_GBK" w:cs="Times New Roman"/>
                <w:spacing w:val="11"/>
                <w:kern w:val="10"/>
                <w:sz w:val="28"/>
                <w:szCs w:val="28"/>
                <w:highlight w:val="none"/>
              </w:rPr>
            </w:pPr>
            <w:r>
              <w:rPr>
                <w:rFonts w:ascii="Times New Roman" w:hAnsi="Times New Roman" w:eastAsia="方正仿宋_GBK" w:cs="Times New Roman"/>
                <w:spacing w:val="11"/>
                <w:kern w:val="10"/>
                <w:sz w:val="28"/>
                <w:szCs w:val="28"/>
                <w:highlight w:val="none"/>
              </w:rPr>
              <w:t xml:space="preserve">                    单位（盖章）       </w:t>
            </w:r>
          </w:p>
          <w:p w14:paraId="3AF36049">
            <w:pPr>
              <w:widowControl/>
              <w:spacing w:line="560" w:lineRule="exact"/>
              <w:ind w:firstLine="578" w:firstLineChars="200"/>
              <w:jc w:val="right"/>
              <w:rPr>
                <w:rFonts w:ascii="Times New Roman" w:hAnsi="Times New Roman" w:eastAsia="黑体" w:cs="Times New Roman"/>
                <w:spacing w:val="11"/>
                <w:kern w:val="10"/>
                <w:sz w:val="32"/>
                <w:szCs w:val="32"/>
                <w:highlight w:val="none"/>
              </w:rPr>
            </w:pPr>
            <w:r>
              <w:rPr>
                <w:rFonts w:ascii="Times New Roman" w:hAnsi="Times New Roman" w:eastAsia="方正仿宋_GBK" w:cs="Times New Roman"/>
                <w:spacing w:val="11"/>
                <w:kern w:val="10"/>
                <w:sz w:val="28"/>
                <w:szCs w:val="28"/>
                <w:highlight w:val="none"/>
              </w:rPr>
              <w:t>年   月   日</w:t>
            </w:r>
            <w:r>
              <w:rPr>
                <w:rFonts w:ascii="Times New Roman" w:hAnsi="Times New Roman" w:eastAsia="仿宋_GB2312" w:cs="Times New Roman"/>
                <w:spacing w:val="11"/>
                <w:kern w:val="10"/>
                <w:sz w:val="28"/>
                <w:szCs w:val="28"/>
                <w:highlight w:val="none"/>
              </w:rPr>
              <w:t xml:space="preserve">       </w:t>
            </w:r>
          </w:p>
        </w:tc>
      </w:tr>
    </w:tbl>
    <w:p w14:paraId="2D790E5D">
      <w:pPr>
        <w:widowControl/>
        <w:spacing w:line="560" w:lineRule="exact"/>
        <w:jc w:val="center"/>
        <w:rPr>
          <w:rFonts w:hint="eastAsia" w:ascii="方正仿宋_GBK" w:hAnsi="方正仿宋_GBK" w:eastAsia="方正小标宋简体" w:cs="方正仿宋_GBK"/>
          <w:color w:val="auto"/>
          <w:sz w:val="32"/>
          <w:szCs w:val="32"/>
          <w:highlight w:val="none"/>
          <w:lang w:eastAsia="zh-CN"/>
        </w:rPr>
        <w:sectPr>
          <w:headerReference r:id="rId5" w:type="default"/>
          <w:footerReference r:id="rId6" w:type="default"/>
          <w:pgSz w:w="11906" w:h="16838"/>
          <w:pgMar w:top="1984" w:right="1531" w:bottom="1531" w:left="1531" w:header="851" w:footer="850" w:gutter="0"/>
          <w:pgBorders>
            <w:top w:val="none" w:sz="0" w:space="0"/>
            <w:left w:val="none" w:sz="0" w:space="0"/>
            <w:bottom w:val="none" w:sz="0" w:space="0"/>
            <w:right w:val="none" w:sz="0" w:space="0"/>
          </w:pgBorders>
          <w:pgNumType w:fmt="numberInDash"/>
          <w:cols w:space="720" w:num="1"/>
          <w:rtlGutter w:val="0"/>
          <w:docGrid w:type="linesAndChars" w:linePitch="634" w:charSpace="-2758"/>
        </w:sectPr>
      </w:pPr>
      <w:r>
        <w:rPr>
          <w:rFonts w:hint="eastAsia" w:ascii="方正小标宋简体" w:hAnsi="方正小标宋简体" w:eastAsia="方正小标宋简体" w:cs="方正小标宋简体"/>
          <w:spacing w:val="11"/>
          <w:kern w:val="10"/>
          <w:sz w:val="44"/>
          <w:szCs w:val="44"/>
          <w:highlight w:val="none"/>
        </w:rPr>
        <w:t>信用修复通知书（模板</w:t>
      </w:r>
      <w:r>
        <w:rPr>
          <w:rFonts w:hint="eastAsia" w:ascii="方正小标宋简体" w:hAnsi="方正小标宋简体" w:eastAsia="方正小标宋简体" w:cs="方正小标宋简体"/>
          <w:spacing w:val="11"/>
          <w:kern w:val="10"/>
          <w:sz w:val="44"/>
          <w:szCs w:val="44"/>
          <w:highlight w:val="none"/>
          <w:lang w:eastAsia="zh-CN"/>
        </w:rPr>
        <w:t>）</w:t>
      </w:r>
    </w:p>
    <w:p w14:paraId="375910D1">
      <w:pPr>
        <w:pStyle w:val="10"/>
        <w:widowControl/>
        <w:spacing w:before="0" w:beforeAutospacing="0" w:after="0" w:afterAutospacing="0" w:line="240" w:lineRule="auto"/>
        <w:ind w:right="0"/>
        <w:jc w:val="both"/>
        <w:rPr>
          <w:rFonts w:hint="default" w:ascii="仿宋" w:hAnsi="仿宋" w:eastAsia="仿宋" w:cs="仿宋"/>
          <w:spacing w:val="2"/>
          <w:sz w:val="31"/>
          <w:szCs w:val="31"/>
          <w:highlight w:val="none"/>
          <w:lang w:val="en-US" w:eastAsia="zh-CN"/>
        </w:rPr>
      </w:pPr>
    </w:p>
    <w:sectPr>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67C828-977E-4631-A939-CD5C610411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6D7C5F89-7731-4FF6-AF0B-AD6C27123807}"/>
  </w:font>
  <w:font w:name="仿宋">
    <w:panose1 w:val="02010609060101010101"/>
    <w:charset w:val="86"/>
    <w:family w:val="auto"/>
    <w:pitch w:val="default"/>
    <w:sig w:usb0="800002BF" w:usb1="38CF7CFA" w:usb2="00000016" w:usb3="00000000" w:csb0="00040001" w:csb1="00000000"/>
    <w:embedRegular r:id="rId3" w:fontKey="{EDA22E5F-4FD6-4995-A69B-715349B3F3A4}"/>
  </w:font>
  <w:font w:name="方正小标宋简体">
    <w:panose1 w:val="02000000000000000000"/>
    <w:charset w:val="86"/>
    <w:family w:val="script"/>
    <w:pitch w:val="default"/>
    <w:sig w:usb0="00000001" w:usb1="08000000" w:usb2="00000000" w:usb3="00000000" w:csb0="00040000" w:csb1="00000000"/>
    <w:embedRegular r:id="rId4" w:fontKey="{19D72E50-DD92-4351-B548-5498F4E96557}"/>
  </w:font>
  <w:font w:name="方正小标宋_GBK">
    <w:panose1 w:val="02000000000000000000"/>
    <w:charset w:val="86"/>
    <w:family w:val="auto"/>
    <w:pitch w:val="default"/>
    <w:sig w:usb0="A00002BF" w:usb1="38CF7CFA" w:usb2="00082016" w:usb3="00000000" w:csb0="00040001" w:csb1="00000000"/>
    <w:embedRegular r:id="rId5" w:fontKey="{569627D5-8697-4025-B0F9-2FEF0F2AF847}"/>
  </w:font>
  <w:font w:name="方正黑体_GBK">
    <w:altName w:val="微软雅黑"/>
    <w:panose1 w:val="03000509000000000000"/>
    <w:charset w:val="86"/>
    <w:family w:val="auto"/>
    <w:pitch w:val="default"/>
    <w:sig w:usb0="00000000" w:usb1="00000000" w:usb2="00000000" w:usb3="00000000" w:csb0="00040000" w:csb1="00000000"/>
    <w:embedRegular r:id="rId6" w:fontKey="{1843B8EF-54F7-4DA8-B5FD-072EC7421FC4}"/>
  </w:font>
  <w:font w:name="方正仿宋_GBK">
    <w:altName w:val="微软雅黑"/>
    <w:panose1 w:val="03000509000000000000"/>
    <w:charset w:val="86"/>
    <w:family w:val="auto"/>
    <w:pitch w:val="default"/>
    <w:sig w:usb0="00000000" w:usb1="00000000" w:usb2="00000000" w:usb3="00000000" w:csb0="00040000" w:csb1="00000000"/>
    <w:embedRegular r:id="rId7" w:fontKey="{9A618096-EF49-40D0-88B4-B5AC0FBE33F1}"/>
  </w:font>
  <w:font w:name="方正楷体_GBK">
    <w:panose1 w:val="02000000000000000000"/>
    <w:charset w:val="86"/>
    <w:family w:val="auto"/>
    <w:pitch w:val="default"/>
    <w:sig w:usb0="800002BF" w:usb1="38CF7CFA" w:usb2="00000016" w:usb3="00000000" w:csb0="00040000" w:csb1="00000000"/>
    <w:embedRegular r:id="rId8" w:fontKey="{4BB48C79-F301-4051-9338-4C95A881646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9" w:fontKey="{86CAA541-84A4-442B-A8E3-FB67C3190087}"/>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66E64">
    <w:pPr>
      <w:pStyle w:val="7"/>
      <w:pBdr>
        <w:top w:val="none" w:color="auto" w:sz="0" w:space="0"/>
        <w:left w:val="none" w:color="auto" w:sz="0" w:space="0"/>
        <w:bottom w:val="none" w:color="auto" w:sz="0" w:space="0"/>
        <w:right w:val="none" w:color="auto" w:sz="0" w:space="0"/>
        <w:between w:val="none" w:color="auto" w:sz="0" w:space="0"/>
      </w:pBdr>
      <w:spacing w:after="0" w:afterLines="0"/>
      <w:rPr>
        <w:rFonts w:hint="eastAsia" w:eastAsia="宋体"/>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A5A4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EC05">
    <w:pPr>
      <w:jc w:val="center"/>
      <w:rPr>
        <w:rFonts w:ascii="仿宋_GB2312" w:hAnsi="宋体" w:eastAsia="仿宋_GB2312"/>
      </w:rPr>
    </w:pPr>
  </w:p>
  <w:p w14:paraId="39735999">
    <w:pPr>
      <w:jc w:val="center"/>
      <w:rPr>
        <w:rFonts w:ascii="仿宋_GB2312" w:hAnsi="宋体"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B738">
    <w:pPr>
      <w:jc w:val="center"/>
      <w:rPr>
        <w:rFonts w:ascii="仿宋_GB2312" w:hAnsi="宋体"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1E85F"/>
    <w:multiLevelType w:val="singleLevel"/>
    <w:tmpl w:val="06E1E85F"/>
    <w:lvl w:ilvl="0" w:tentative="0">
      <w:start w:val="1"/>
      <w:numFmt w:val="chineseCounting"/>
      <w:suff w:val="nothing"/>
      <w:lvlText w:val="（%1）"/>
      <w:lvlJc w:val="left"/>
      <w:rPr>
        <w:rFonts w:hint="eastAsia"/>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ZjBhNTJjMzY2ZWI1ODA5MGU2ZGI4MjJmNGVlMGIifQ=="/>
  </w:docVars>
  <w:rsids>
    <w:rsidRoot w:val="134E1CDF"/>
    <w:rsid w:val="0017420B"/>
    <w:rsid w:val="00951F59"/>
    <w:rsid w:val="00CA202E"/>
    <w:rsid w:val="00E85487"/>
    <w:rsid w:val="0108714A"/>
    <w:rsid w:val="012B47F5"/>
    <w:rsid w:val="013C246A"/>
    <w:rsid w:val="01AD5116"/>
    <w:rsid w:val="01EB6E21"/>
    <w:rsid w:val="020F7B7E"/>
    <w:rsid w:val="02504E8C"/>
    <w:rsid w:val="02E97F05"/>
    <w:rsid w:val="038F541B"/>
    <w:rsid w:val="03B509EE"/>
    <w:rsid w:val="03D7095C"/>
    <w:rsid w:val="03F62DA4"/>
    <w:rsid w:val="04497102"/>
    <w:rsid w:val="04582F2D"/>
    <w:rsid w:val="048373C1"/>
    <w:rsid w:val="04DB10AF"/>
    <w:rsid w:val="04F70794"/>
    <w:rsid w:val="05092891"/>
    <w:rsid w:val="05150B77"/>
    <w:rsid w:val="05343121"/>
    <w:rsid w:val="05402104"/>
    <w:rsid w:val="056348F0"/>
    <w:rsid w:val="05733455"/>
    <w:rsid w:val="05A94AB8"/>
    <w:rsid w:val="06915006"/>
    <w:rsid w:val="069B740A"/>
    <w:rsid w:val="06BA5A45"/>
    <w:rsid w:val="06CA66F9"/>
    <w:rsid w:val="06F16A0F"/>
    <w:rsid w:val="06F757B1"/>
    <w:rsid w:val="070954E4"/>
    <w:rsid w:val="07195D48"/>
    <w:rsid w:val="072F3EA5"/>
    <w:rsid w:val="075C5D77"/>
    <w:rsid w:val="076142A0"/>
    <w:rsid w:val="07BB69FD"/>
    <w:rsid w:val="07E95755"/>
    <w:rsid w:val="080910D9"/>
    <w:rsid w:val="080D776E"/>
    <w:rsid w:val="08736199"/>
    <w:rsid w:val="087931BE"/>
    <w:rsid w:val="08A413DE"/>
    <w:rsid w:val="08B64D04"/>
    <w:rsid w:val="08CE712D"/>
    <w:rsid w:val="09B14ACE"/>
    <w:rsid w:val="09DA458A"/>
    <w:rsid w:val="0A342CC5"/>
    <w:rsid w:val="0A3C5D40"/>
    <w:rsid w:val="0A4C7508"/>
    <w:rsid w:val="0A93387B"/>
    <w:rsid w:val="0AAA48E8"/>
    <w:rsid w:val="0AAC003E"/>
    <w:rsid w:val="0ABE4F35"/>
    <w:rsid w:val="0AC858A8"/>
    <w:rsid w:val="0ACF4599"/>
    <w:rsid w:val="0AEB62EA"/>
    <w:rsid w:val="0B932F51"/>
    <w:rsid w:val="0BBB2F7A"/>
    <w:rsid w:val="0C235528"/>
    <w:rsid w:val="0C25726B"/>
    <w:rsid w:val="0C475AA0"/>
    <w:rsid w:val="0C530905"/>
    <w:rsid w:val="0C5C15F5"/>
    <w:rsid w:val="0C627450"/>
    <w:rsid w:val="0CAF4E24"/>
    <w:rsid w:val="0D8C6527"/>
    <w:rsid w:val="0DC72CA6"/>
    <w:rsid w:val="0DCD3904"/>
    <w:rsid w:val="0E146F9D"/>
    <w:rsid w:val="0E243A05"/>
    <w:rsid w:val="0E2D7D0A"/>
    <w:rsid w:val="0E377358"/>
    <w:rsid w:val="0E4017EB"/>
    <w:rsid w:val="0E4D52A4"/>
    <w:rsid w:val="0E7B0B34"/>
    <w:rsid w:val="0E8A60B4"/>
    <w:rsid w:val="0E8B6AB6"/>
    <w:rsid w:val="0E9037CC"/>
    <w:rsid w:val="0ED61957"/>
    <w:rsid w:val="0EDD34DE"/>
    <w:rsid w:val="0EE83C31"/>
    <w:rsid w:val="0F0F77CA"/>
    <w:rsid w:val="0F3F7763"/>
    <w:rsid w:val="0F474DFC"/>
    <w:rsid w:val="0F5A4B2F"/>
    <w:rsid w:val="0F5F10BE"/>
    <w:rsid w:val="0F763B93"/>
    <w:rsid w:val="0F7C2CF7"/>
    <w:rsid w:val="0FBC2D64"/>
    <w:rsid w:val="0FD241C0"/>
    <w:rsid w:val="0FDB27D8"/>
    <w:rsid w:val="10362BFB"/>
    <w:rsid w:val="106766A1"/>
    <w:rsid w:val="107F6E3B"/>
    <w:rsid w:val="10AC5161"/>
    <w:rsid w:val="10E4370F"/>
    <w:rsid w:val="111355E0"/>
    <w:rsid w:val="117268A0"/>
    <w:rsid w:val="119203D5"/>
    <w:rsid w:val="12033714"/>
    <w:rsid w:val="122F69BB"/>
    <w:rsid w:val="124409E5"/>
    <w:rsid w:val="124C304F"/>
    <w:rsid w:val="12A10CC7"/>
    <w:rsid w:val="12B97DC1"/>
    <w:rsid w:val="12F232D0"/>
    <w:rsid w:val="130C48FD"/>
    <w:rsid w:val="132E2EEF"/>
    <w:rsid w:val="1335531E"/>
    <w:rsid w:val="134723E8"/>
    <w:rsid w:val="134E1CDF"/>
    <w:rsid w:val="139D3570"/>
    <w:rsid w:val="13C847CB"/>
    <w:rsid w:val="13CD1EE1"/>
    <w:rsid w:val="13E50F0A"/>
    <w:rsid w:val="14401B9A"/>
    <w:rsid w:val="145B1B55"/>
    <w:rsid w:val="14670547"/>
    <w:rsid w:val="1473643A"/>
    <w:rsid w:val="147F2243"/>
    <w:rsid w:val="14BE346A"/>
    <w:rsid w:val="14D964F6"/>
    <w:rsid w:val="152139F9"/>
    <w:rsid w:val="15324BD2"/>
    <w:rsid w:val="154C1139"/>
    <w:rsid w:val="15BC3847"/>
    <w:rsid w:val="15D33DF0"/>
    <w:rsid w:val="15D6277C"/>
    <w:rsid w:val="15F61726"/>
    <w:rsid w:val="16221317"/>
    <w:rsid w:val="16D154AD"/>
    <w:rsid w:val="173220AD"/>
    <w:rsid w:val="176042BA"/>
    <w:rsid w:val="178F22EC"/>
    <w:rsid w:val="17946704"/>
    <w:rsid w:val="17DA6EDC"/>
    <w:rsid w:val="17E51656"/>
    <w:rsid w:val="1844295B"/>
    <w:rsid w:val="18611EC7"/>
    <w:rsid w:val="18A07277"/>
    <w:rsid w:val="18A662FF"/>
    <w:rsid w:val="190220AD"/>
    <w:rsid w:val="19197809"/>
    <w:rsid w:val="19287A4C"/>
    <w:rsid w:val="195E4A7C"/>
    <w:rsid w:val="197D6907"/>
    <w:rsid w:val="19AE6108"/>
    <w:rsid w:val="19C04D2A"/>
    <w:rsid w:val="19C77F4F"/>
    <w:rsid w:val="19D640CA"/>
    <w:rsid w:val="1A59064C"/>
    <w:rsid w:val="1A7B4E33"/>
    <w:rsid w:val="1A8962C8"/>
    <w:rsid w:val="1A9D5ABB"/>
    <w:rsid w:val="1AB15DA7"/>
    <w:rsid w:val="1ACC123F"/>
    <w:rsid w:val="1B065B6B"/>
    <w:rsid w:val="1B1F5435"/>
    <w:rsid w:val="1B311FC7"/>
    <w:rsid w:val="1BDC56EF"/>
    <w:rsid w:val="1C12484C"/>
    <w:rsid w:val="1C5D0F59"/>
    <w:rsid w:val="1C5D5662"/>
    <w:rsid w:val="1C7B31AD"/>
    <w:rsid w:val="1C9F7C9C"/>
    <w:rsid w:val="1CE369A5"/>
    <w:rsid w:val="1D2B409B"/>
    <w:rsid w:val="1DB16262"/>
    <w:rsid w:val="1DDB508D"/>
    <w:rsid w:val="1DEE6BD3"/>
    <w:rsid w:val="1DFE521F"/>
    <w:rsid w:val="1E155DFD"/>
    <w:rsid w:val="1E74103D"/>
    <w:rsid w:val="1EC067C4"/>
    <w:rsid w:val="1EC415D2"/>
    <w:rsid w:val="1EC60D44"/>
    <w:rsid w:val="1F1D16D5"/>
    <w:rsid w:val="1F630954"/>
    <w:rsid w:val="1FCF567D"/>
    <w:rsid w:val="1FD46CA4"/>
    <w:rsid w:val="1FDF869A"/>
    <w:rsid w:val="201C35AB"/>
    <w:rsid w:val="20407429"/>
    <w:rsid w:val="208C4E12"/>
    <w:rsid w:val="2091237A"/>
    <w:rsid w:val="20AF1F32"/>
    <w:rsid w:val="20CC6F0F"/>
    <w:rsid w:val="20CE1575"/>
    <w:rsid w:val="21252CB1"/>
    <w:rsid w:val="21285F5C"/>
    <w:rsid w:val="213C22E6"/>
    <w:rsid w:val="215869F4"/>
    <w:rsid w:val="216E4B7F"/>
    <w:rsid w:val="217A3E3C"/>
    <w:rsid w:val="217A6BD0"/>
    <w:rsid w:val="219A6736"/>
    <w:rsid w:val="21CF14DC"/>
    <w:rsid w:val="21DE151D"/>
    <w:rsid w:val="21E06723"/>
    <w:rsid w:val="22237360"/>
    <w:rsid w:val="22277FD1"/>
    <w:rsid w:val="227B5090"/>
    <w:rsid w:val="228F231D"/>
    <w:rsid w:val="229246C6"/>
    <w:rsid w:val="2297354C"/>
    <w:rsid w:val="22BB591B"/>
    <w:rsid w:val="22D55B5C"/>
    <w:rsid w:val="2309495F"/>
    <w:rsid w:val="240D1D18"/>
    <w:rsid w:val="244514B2"/>
    <w:rsid w:val="24553E63"/>
    <w:rsid w:val="24957DD5"/>
    <w:rsid w:val="24AB4B41"/>
    <w:rsid w:val="24AC106B"/>
    <w:rsid w:val="251C03A1"/>
    <w:rsid w:val="2536529E"/>
    <w:rsid w:val="253F4153"/>
    <w:rsid w:val="256E7992"/>
    <w:rsid w:val="25816973"/>
    <w:rsid w:val="25A93A08"/>
    <w:rsid w:val="26040EF9"/>
    <w:rsid w:val="260E1D77"/>
    <w:rsid w:val="262D044F"/>
    <w:rsid w:val="269476BF"/>
    <w:rsid w:val="26E44BC9"/>
    <w:rsid w:val="26FB60E7"/>
    <w:rsid w:val="273D46C2"/>
    <w:rsid w:val="276205CD"/>
    <w:rsid w:val="27A97FAA"/>
    <w:rsid w:val="286F5E18"/>
    <w:rsid w:val="28724840"/>
    <w:rsid w:val="28EA746F"/>
    <w:rsid w:val="296E5468"/>
    <w:rsid w:val="299A643C"/>
    <w:rsid w:val="29C42E79"/>
    <w:rsid w:val="2A1831C5"/>
    <w:rsid w:val="2A4402CE"/>
    <w:rsid w:val="2A553A12"/>
    <w:rsid w:val="2A7B00DC"/>
    <w:rsid w:val="2AAF3B29"/>
    <w:rsid w:val="2AF54300"/>
    <w:rsid w:val="2B312790"/>
    <w:rsid w:val="2B835C97"/>
    <w:rsid w:val="2B8A20E3"/>
    <w:rsid w:val="2B9D2546"/>
    <w:rsid w:val="2BA11B24"/>
    <w:rsid w:val="2C18639B"/>
    <w:rsid w:val="2C5E3308"/>
    <w:rsid w:val="2C683291"/>
    <w:rsid w:val="2C7935D0"/>
    <w:rsid w:val="2C860086"/>
    <w:rsid w:val="2CD177B2"/>
    <w:rsid w:val="2D074918"/>
    <w:rsid w:val="2D293B73"/>
    <w:rsid w:val="2D53647D"/>
    <w:rsid w:val="2D710BF0"/>
    <w:rsid w:val="2DB65067"/>
    <w:rsid w:val="2DDF0CD7"/>
    <w:rsid w:val="2E111B83"/>
    <w:rsid w:val="2E3A195C"/>
    <w:rsid w:val="2E3B38CD"/>
    <w:rsid w:val="2EE86EAD"/>
    <w:rsid w:val="2EF811D2"/>
    <w:rsid w:val="2F5D6E4C"/>
    <w:rsid w:val="2F692D36"/>
    <w:rsid w:val="3014442E"/>
    <w:rsid w:val="306D4751"/>
    <w:rsid w:val="30C25E4D"/>
    <w:rsid w:val="30F446B5"/>
    <w:rsid w:val="317E24A7"/>
    <w:rsid w:val="3199108F"/>
    <w:rsid w:val="31AA06AE"/>
    <w:rsid w:val="31BE6E53"/>
    <w:rsid w:val="323B3865"/>
    <w:rsid w:val="324A5814"/>
    <w:rsid w:val="3251196A"/>
    <w:rsid w:val="326A3520"/>
    <w:rsid w:val="331652F7"/>
    <w:rsid w:val="33AB55FE"/>
    <w:rsid w:val="33C85C5B"/>
    <w:rsid w:val="33FE1A44"/>
    <w:rsid w:val="3425052C"/>
    <w:rsid w:val="342D1038"/>
    <w:rsid w:val="34337579"/>
    <w:rsid w:val="34391824"/>
    <w:rsid w:val="34645984"/>
    <w:rsid w:val="34C75F13"/>
    <w:rsid w:val="34DA3E98"/>
    <w:rsid w:val="34DF18A1"/>
    <w:rsid w:val="353335A8"/>
    <w:rsid w:val="357C62C0"/>
    <w:rsid w:val="35E76D3F"/>
    <w:rsid w:val="35EE5F49"/>
    <w:rsid w:val="360931FD"/>
    <w:rsid w:val="36355E99"/>
    <w:rsid w:val="36513CE6"/>
    <w:rsid w:val="36560815"/>
    <w:rsid w:val="36A24542"/>
    <w:rsid w:val="36C964C7"/>
    <w:rsid w:val="36F70810"/>
    <w:rsid w:val="37021484"/>
    <w:rsid w:val="37215DAE"/>
    <w:rsid w:val="37826591"/>
    <w:rsid w:val="37BB657C"/>
    <w:rsid w:val="37C81010"/>
    <w:rsid w:val="37E04AA4"/>
    <w:rsid w:val="37FF0D19"/>
    <w:rsid w:val="3814321D"/>
    <w:rsid w:val="382C2EB9"/>
    <w:rsid w:val="38E31684"/>
    <w:rsid w:val="39597865"/>
    <w:rsid w:val="39BA0B2C"/>
    <w:rsid w:val="39BD11EE"/>
    <w:rsid w:val="39BF3306"/>
    <w:rsid w:val="39C42A21"/>
    <w:rsid w:val="39C82F6D"/>
    <w:rsid w:val="39E134CB"/>
    <w:rsid w:val="3A410516"/>
    <w:rsid w:val="3A4D2A17"/>
    <w:rsid w:val="3A6A44FA"/>
    <w:rsid w:val="3A8671BA"/>
    <w:rsid w:val="3A921E19"/>
    <w:rsid w:val="3AA0258C"/>
    <w:rsid w:val="3AAD4CC5"/>
    <w:rsid w:val="3AE82BCB"/>
    <w:rsid w:val="3B6255CD"/>
    <w:rsid w:val="3B817B9B"/>
    <w:rsid w:val="3B9C6709"/>
    <w:rsid w:val="3BB130C8"/>
    <w:rsid w:val="3BB43FA5"/>
    <w:rsid w:val="3BE92F91"/>
    <w:rsid w:val="3C5D0E45"/>
    <w:rsid w:val="3C792719"/>
    <w:rsid w:val="3CA1529C"/>
    <w:rsid w:val="3CA371C7"/>
    <w:rsid w:val="3CB130C7"/>
    <w:rsid w:val="3CBC50B7"/>
    <w:rsid w:val="3CBE19AA"/>
    <w:rsid w:val="3CC95468"/>
    <w:rsid w:val="3D3F6549"/>
    <w:rsid w:val="3D7A6218"/>
    <w:rsid w:val="3D7F382F"/>
    <w:rsid w:val="3D8D2FC5"/>
    <w:rsid w:val="3D981EFD"/>
    <w:rsid w:val="3DB35286"/>
    <w:rsid w:val="3DB57251"/>
    <w:rsid w:val="3DC7000C"/>
    <w:rsid w:val="3DFB4CCF"/>
    <w:rsid w:val="3E407E8E"/>
    <w:rsid w:val="3E742C68"/>
    <w:rsid w:val="3E996570"/>
    <w:rsid w:val="3EFD65C9"/>
    <w:rsid w:val="3F1E3A11"/>
    <w:rsid w:val="3F4F2BC5"/>
    <w:rsid w:val="3F593C0C"/>
    <w:rsid w:val="3F6C7EC6"/>
    <w:rsid w:val="3FA014EA"/>
    <w:rsid w:val="3FCD228C"/>
    <w:rsid w:val="40844CB8"/>
    <w:rsid w:val="40DF0D69"/>
    <w:rsid w:val="40FA369A"/>
    <w:rsid w:val="41037F7F"/>
    <w:rsid w:val="410D502E"/>
    <w:rsid w:val="41282C75"/>
    <w:rsid w:val="413A38B9"/>
    <w:rsid w:val="4157323C"/>
    <w:rsid w:val="415B7E48"/>
    <w:rsid w:val="41814752"/>
    <w:rsid w:val="41AE6C51"/>
    <w:rsid w:val="41D37CA5"/>
    <w:rsid w:val="41D76705"/>
    <w:rsid w:val="41E82E0A"/>
    <w:rsid w:val="41F8002D"/>
    <w:rsid w:val="421504C2"/>
    <w:rsid w:val="42274495"/>
    <w:rsid w:val="4246287A"/>
    <w:rsid w:val="426E3527"/>
    <w:rsid w:val="4317033C"/>
    <w:rsid w:val="434F017C"/>
    <w:rsid w:val="4355293C"/>
    <w:rsid w:val="435D74D2"/>
    <w:rsid w:val="43606793"/>
    <w:rsid w:val="43F13A06"/>
    <w:rsid w:val="43F8414A"/>
    <w:rsid w:val="44676DCB"/>
    <w:rsid w:val="447C0AC8"/>
    <w:rsid w:val="447E23BB"/>
    <w:rsid w:val="44A40821"/>
    <w:rsid w:val="44BF33CA"/>
    <w:rsid w:val="44CD30D2"/>
    <w:rsid w:val="451A208F"/>
    <w:rsid w:val="451C33D3"/>
    <w:rsid w:val="457C0575"/>
    <w:rsid w:val="458D1502"/>
    <w:rsid w:val="459F6E66"/>
    <w:rsid w:val="45E47490"/>
    <w:rsid w:val="460F6B83"/>
    <w:rsid w:val="4614724F"/>
    <w:rsid w:val="461E47A9"/>
    <w:rsid w:val="46300AE8"/>
    <w:rsid w:val="46B04006"/>
    <w:rsid w:val="46B1432D"/>
    <w:rsid w:val="46C9017E"/>
    <w:rsid w:val="46CE4C94"/>
    <w:rsid w:val="47107CA8"/>
    <w:rsid w:val="47245E86"/>
    <w:rsid w:val="473A4323"/>
    <w:rsid w:val="47494B0D"/>
    <w:rsid w:val="475353E4"/>
    <w:rsid w:val="47904645"/>
    <w:rsid w:val="481E3C65"/>
    <w:rsid w:val="482024E1"/>
    <w:rsid w:val="48560CC1"/>
    <w:rsid w:val="4874505C"/>
    <w:rsid w:val="487C1C5C"/>
    <w:rsid w:val="48BB7CD4"/>
    <w:rsid w:val="48C9444C"/>
    <w:rsid w:val="48CC2C4E"/>
    <w:rsid w:val="48D531E0"/>
    <w:rsid w:val="49011D4F"/>
    <w:rsid w:val="4934311A"/>
    <w:rsid w:val="493634B2"/>
    <w:rsid w:val="495B4F5C"/>
    <w:rsid w:val="497A4942"/>
    <w:rsid w:val="49A1502E"/>
    <w:rsid w:val="49A4340D"/>
    <w:rsid w:val="49F8061B"/>
    <w:rsid w:val="4A4B5198"/>
    <w:rsid w:val="4A5120AF"/>
    <w:rsid w:val="4A954692"/>
    <w:rsid w:val="4AAB1B80"/>
    <w:rsid w:val="4B17302A"/>
    <w:rsid w:val="4B3D73BE"/>
    <w:rsid w:val="4B585C28"/>
    <w:rsid w:val="4B5A0093"/>
    <w:rsid w:val="4B735817"/>
    <w:rsid w:val="4B8169C4"/>
    <w:rsid w:val="4BA73309"/>
    <w:rsid w:val="4BBE6C56"/>
    <w:rsid w:val="4BDA60D4"/>
    <w:rsid w:val="4C054E1F"/>
    <w:rsid w:val="4C0849EF"/>
    <w:rsid w:val="4C25173A"/>
    <w:rsid w:val="4C3D516E"/>
    <w:rsid w:val="4C465B56"/>
    <w:rsid w:val="4C4719BC"/>
    <w:rsid w:val="4C5916EF"/>
    <w:rsid w:val="4C793B3F"/>
    <w:rsid w:val="4C8F2B51"/>
    <w:rsid w:val="4CBE5E7F"/>
    <w:rsid w:val="4CEE0B24"/>
    <w:rsid w:val="4D063625"/>
    <w:rsid w:val="4D8316F6"/>
    <w:rsid w:val="4D97427D"/>
    <w:rsid w:val="4DBA61BD"/>
    <w:rsid w:val="4DCC42A7"/>
    <w:rsid w:val="4DDD6A19"/>
    <w:rsid w:val="4DED015F"/>
    <w:rsid w:val="4E265601"/>
    <w:rsid w:val="4E3A57A8"/>
    <w:rsid w:val="4E4C6050"/>
    <w:rsid w:val="4E69114C"/>
    <w:rsid w:val="4E920EE8"/>
    <w:rsid w:val="4EE400F6"/>
    <w:rsid w:val="4EED428C"/>
    <w:rsid w:val="4EF81C72"/>
    <w:rsid w:val="4F355850"/>
    <w:rsid w:val="4F55619D"/>
    <w:rsid w:val="4F563CC4"/>
    <w:rsid w:val="4F78348B"/>
    <w:rsid w:val="4F7F4A63"/>
    <w:rsid w:val="4F962631"/>
    <w:rsid w:val="4FA15966"/>
    <w:rsid w:val="4FDE24B2"/>
    <w:rsid w:val="500A094A"/>
    <w:rsid w:val="500F58E7"/>
    <w:rsid w:val="50140F7B"/>
    <w:rsid w:val="505B7E69"/>
    <w:rsid w:val="507C52F6"/>
    <w:rsid w:val="5097222A"/>
    <w:rsid w:val="50B777C2"/>
    <w:rsid w:val="50BD4EE1"/>
    <w:rsid w:val="50BF0BE9"/>
    <w:rsid w:val="50C60CC2"/>
    <w:rsid w:val="50DB3A34"/>
    <w:rsid w:val="510D6187"/>
    <w:rsid w:val="5115786A"/>
    <w:rsid w:val="51276498"/>
    <w:rsid w:val="513A44A9"/>
    <w:rsid w:val="515F5389"/>
    <w:rsid w:val="516A1CA8"/>
    <w:rsid w:val="517448D5"/>
    <w:rsid w:val="51A127A5"/>
    <w:rsid w:val="51C75A33"/>
    <w:rsid w:val="51FD2BA9"/>
    <w:rsid w:val="520E0886"/>
    <w:rsid w:val="52225D83"/>
    <w:rsid w:val="522E0F28"/>
    <w:rsid w:val="52543170"/>
    <w:rsid w:val="5290036C"/>
    <w:rsid w:val="52976E1B"/>
    <w:rsid w:val="52E3080D"/>
    <w:rsid w:val="52F061DD"/>
    <w:rsid w:val="530D7C97"/>
    <w:rsid w:val="531703EF"/>
    <w:rsid w:val="531E05AA"/>
    <w:rsid w:val="53312A7E"/>
    <w:rsid w:val="53325D2C"/>
    <w:rsid w:val="533645D0"/>
    <w:rsid w:val="5354676C"/>
    <w:rsid w:val="5364625F"/>
    <w:rsid w:val="53A5521A"/>
    <w:rsid w:val="53B667B2"/>
    <w:rsid w:val="549D01C5"/>
    <w:rsid w:val="549E0B9F"/>
    <w:rsid w:val="549F610D"/>
    <w:rsid w:val="54D04518"/>
    <w:rsid w:val="5520724E"/>
    <w:rsid w:val="557856C0"/>
    <w:rsid w:val="557E68DD"/>
    <w:rsid w:val="55C91693"/>
    <w:rsid w:val="55FD7C4A"/>
    <w:rsid w:val="561C3648"/>
    <w:rsid w:val="563B0D04"/>
    <w:rsid w:val="56DE6313"/>
    <w:rsid w:val="56E36785"/>
    <w:rsid w:val="56E37DF1"/>
    <w:rsid w:val="56FD6C4D"/>
    <w:rsid w:val="571C3A45"/>
    <w:rsid w:val="577F0676"/>
    <w:rsid w:val="58084DFC"/>
    <w:rsid w:val="586A1E0E"/>
    <w:rsid w:val="588F6ABD"/>
    <w:rsid w:val="5890055A"/>
    <w:rsid w:val="58B70EDD"/>
    <w:rsid w:val="59101387"/>
    <w:rsid w:val="591A3FB4"/>
    <w:rsid w:val="593633A8"/>
    <w:rsid w:val="595C13AB"/>
    <w:rsid w:val="595C637A"/>
    <w:rsid w:val="596E53F1"/>
    <w:rsid w:val="59DC2F2E"/>
    <w:rsid w:val="59F92CC7"/>
    <w:rsid w:val="5A24227A"/>
    <w:rsid w:val="5A87580D"/>
    <w:rsid w:val="5AC8371E"/>
    <w:rsid w:val="5AE03957"/>
    <w:rsid w:val="5B4D070C"/>
    <w:rsid w:val="5BAC35E9"/>
    <w:rsid w:val="5BC01EB4"/>
    <w:rsid w:val="5BDE4349"/>
    <w:rsid w:val="5BE17EDB"/>
    <w:rsid w:val="5BF1724E"/>
    <w:rsid w:val="5BFF3893"/>
    <w:rsid w:val="5C9127DF"/>
    <w:rsid w:val="5CDC3492"/>
    <w:rsid w:val="5CEE21E8"/>
    <w:rsid w:val="5D2E3D0D"/>
    <w:rsid w:val="5D616655"/>
    <w:rsid w:val="5D6A48C4"/>
    <w:rsid w:val="5D7A55A8"/>
    <w:rsid w:val="5DB627D2"/>
    <w:rsid w:val="5DD15589"/>
    <w:rsid w:val="5DDD79E4"/>
    <w:rsid w:val="5DDE6F83"/>
    <w:rsid w:val="5E046A15"/>
    <w:rsid w:val="5E096C5A"/>
    <w:rsid w:val="5E0A45F7"/>
    <w:rsid w:val="5E203E1A"/>
    <w:rsid w:val="5EBC3491"/>
    <w:rsid w:val="5ED24587"/>
    <w:rsid w:val="5ED41788"/>
    <w:rsid w:val="5EEC01A1"/>
    <w:rsid w:val="5F24793A"/>
    <w:rsid w:val="5F633513"/>
    <w:rsid w:val="5F9369C6"/>
    <w:rsid w:val="5FA42829"/>
    <w:rsid w:val="5FA73B79"/>
    <w:rsid w:val="5FB014E7"/>
    <w:rsid w:val="5FC1162D"/>
    <w:rsid w:val="5FCD3B2E"/>
    <w:rsid w:val="5FE01A64"/>
    <w:rsid w:val="600D5258"/>
    <w:rsid w:val="60416502"/>
    <w:rsid w:val="605129B1"/>
    <w:rsid w:val="60956369"/>
    <w:rsid w:val="60F32700"/>
    <w:rsid w:val="6108594B"/>
    <w:rsid w:val="61274AC2"/>
    <w:rsid w:val="616109D2"/>
    <w:rsid w:val="616B35FF"/>
    <w:rsid w:val="61DC19A6"/>
    <w:rsid w:val="62035823"/>
    <w:rsid w:val="62175ED4"/>
    <w:rsid w:val="62986BDB"/>
    <w:rsid w:val="62CE02E9"/>
    <w:rsid w:val="62D605D0"/>
    <w:rsid w:val="62D653F0"/>
    <w:rsid w:val="634E3BD3"/>
    <w:rsid w:val="63B219B9"/>
    <w:rsid w:val="63BF40DA"/>
    <w:rsid w:val="63ED47CD"/>
    <w:rsid w:val="63ED7F20"/>
    <w:rsid w:val="641E704E"/>
    <w:rsid w:val="641F12D3"/>
    <w:rsid w:val="646D3B32"/>
    <w:rsid w:val="649B6AD6"/>
    <w:rsid w:val="64BD52F5"/>
    <w:rsid w:val="655C1270"/>
    <w:rsid w:val="655E29B2"/>
    <w:rsid w:val="65956E9C"/>
    <w:rsid w:val="65B6475E"/>
    <w:rsid w:val="66144AC0"/>
    <w:rsid w:val="663A3EE7"/>
    <w:rsid w:val="6642401D"/>
    <w:rsid w:val="665B62F2"/>
    <w:rsid w:val="667A1D83"/>
    <w:rsid w:val="668B5572"/>
    <w:rsid w:val="668E05A6"/>
    <w:rsid w:val="66C04DB7"/>
    <w:rsid w:val="66DC4B24"/>
    <w:rsid w:val="66E843B7"/>
    <w:rsid w:val="66F22E85"/>
    <w:rsid w:val="66FF5C2F"/>
    <w:rsid w:val="67254545"/>
    <w:rsid w:val="673D4944"/>
    <w:rsid w:val="6764746E"/>
    <w:rsid w:val="67761366"/>
    <w:rsid w:val="6790608B"/>
    <w:rsid w:val="67F3390B"/>
    <w:rsid w:val="681764E6"/>
    <w:rsid w:val="687F3E33"/>
    <w:rsid w:val="6896419C"/>
    <w:rsid w:val="68D56ED4"/>
    <w:rsid w:val="68FEE748"/>
    <w:rsid w:val="690E58E3"/>
    <w:rsid w:val="69454135"/>
    <w:rsid w:val="69AA1D06"/>
    <w:rsid w:val="69E836AE"/>
    <w:rsid w:val="6A0740E0"/>
    <w:rsid w:val="6A100511"/>
    <w:rsid w:val="6A671C6C"/>
    <w:rsid w:val="6AB82959"/>
    <w:rsid w:val="6AB9362D"/>
    <w:rsid w:val="6AFE7E7F"/>
    <w:rsid w:val="6B106E5D"/>
    <w:rsid w:val="6B1F7E37"/>
    <w:rsid w:val="6B2A62D8"/>
    <w:rsid w:val="6B2F4327"/>
    <w:rsid w:val="6B902262"/>
    <w:rsid w:val="6BBE51DA"/>
    <w:rsid w:val="6C300469"/>
    <w:rsid w:val="6C396365"/>
    <w:rsid w:val="6C3F109E"/>
    <w:rsid w:val="6C423AF6"/>
    <w:rsid w:val="6C877A37"/>
    <w:rsid w:val="6CEB76CA"/>
    <w:rsid w:val="6D3438CD"/>
    <w:rsid w:val="6D5706B8"/>
    <w:rsid w:val="6DBB6E4C"/>
    <w:rsid w:val="6E1B45FE"/>
    <w:rsid w:val="6E2A4841"/>
    <w:rsid w:val="6E3B3CE2"/>
    <w:rsid w:val="6E602011"/>
    <w:rsid w:val="6E896DC7"/>
    <w:rsid w:val="6ED52B8A"/>
    <w:rsid w:val="6ED81F64"/>
    <w:rsid w:val="6EEA3674"/>
    <w:rsid w:val="6EEB2821"/>
    <w:rsid w:val="6EEE1D77"/>
    <w:rsid w:val="6EF6237A"/>
    <w:rsid w:val="6F131B5B"/>
    <w:rsid w:val="6F2908C4"/>
    <w:rsid w:val="6F5217A3"/>
    <w:rsid w:val="6F676490"/>
    <w:rsid w:val="6FBE2FCD"/>
    <w:rsid w:val="6FE45707"/>
    <w:rsid w:val="6FEA53D1"/>
    <w:rsid w:val="702C664F"/>
    <w:rsid w:val="703603A6"/>
    <w:rsid w:val="7089502D"/>
    <w:rsid w:val="70B82429"/>
    <w:rsid w:val="70D62282"/>
    <w:rsid w:val="712C772F"/>
    <w:rsid w:val="713C05DD"/>
    <w:rsid w:val="71460460"/>
    <w:rsid w:val="71487ECC"/>
    <w:rsid w:val="71542301"/>
    <w:rsid w:val="71641E18"/>
    <w:rsid w:val="71793B16"/>
    <w:rsid w:val="7185070D"/>
    <w:rsid w:val="719621B7"/>
    <w:rsid w:val="71E24D11"/>
    <w:rsid w:val="72306F25"/>
    <w:rsid w:val="72A314FA"/>
    <w:rsid w:val="72B33057"/>
    <w:rsid w:val="73FE7882"/>
    <w:rsid w:val="7413351F"/>
    <w:rsid w:val="746A1E3C"/>
    <w:rsid w:val="747857D7"/>
    <w:rsid w:val="74807A31"/>
    <w:rsid w:val="748527D2"/>
    <w:rsid w:val="74852DB2"/>
    <w:rsid w:val="748E78D8"/>
    <w:rsid w:val="74B777F9"/>
    <w:rsid w:val="74D750DF"/>
    <w:rsid w:val="752B765B"/>
    <w:rsid w:val="7533222E"/>
    <w:rsid w:val="75A5137D"/>
    <w:rsid w:val="75BC5722"/>
    <w:rsid w:val="75E1357E"/>
    <w:rsid w:val="76010C8A"/>
    <w:rsid w:val="76097AEF"/>
    <w:rsid w:val="762D0236"/>
    <w:rsid w:val="76302BB8"/>
    <w:rsid w:val="764115D4"/>
    <w:rsid w:val="766A5A4A"/>
    <w:rsid w:val="767E1BCE"/>
    <w:rsid w:val="768674F2"/>
    <w:rsid w:val="770D58D1"/>
    <w:rsid w:val="77854DAE"/>
    <w:rsid w:val="779E031E"/>
    <w:rsid w:val="77CA6D43"/>
    <w:rsid w:val="77F7266A"/>
    <w:rsid w:val="7814495B"/>
    <w:rsid w:val="782A3DBC"/>
    <w:rsid w:val="78491B75"/>
    <w:rsid w:val="78542BE7"/>
    <w:rsid w:val="78596E7A"/>
    <w:rsid w:val="7872247D"/>
    <w:rsid w:val="789B0DC7"/>
    <w:rsid w:val="795A07EF"/>
    <w:rsid w:val="79D00527"/>
    <w:rsid w:val="79D12015"/>
    <w:rsid w:val="79E50853"/>
    <w:rsid w:val="7A283B9E"/>
    <w:rsid w:val="7A7E219D"/>
    <w:rsid w:val="7AA06900"/>
    <w:rsid w:val="7AC47FDA"/>
    <w:rsid w:val="7B771530"/>
    <w:rsid w:val="7B954CF1"/>
    <w:rsid w:val="7BB315E0"/>
    <w:rsid w:val="7BDE7DCD"/>
    <w:rsid w:val="7BDF4EBD"/>
    <w:rsid w:val="7BE34610"/>
    <w:rsid w:val="7C2C4EBF"/>
    <w:rsid w:val="7C500F24"/>
    <w:rsid w:val="7C52743D"/>
    <w:rsid w:val="7C7623A6"/>
    <w:rsid w:val="7C88532A"/>
    <w:rsid w:val="7D4D1DE7"/>
    <w:rsid w:val="7D5947FB"/>
    <w:rsid w:val="7D8778F0"/>
    <w:rsid w:val="7DB05EA2"/>
    <w:rsid w:val="7DC41BCA"/>
    <w:rsid w:val="7DC75C09"/>
    <w:rsid w:val="7DCF4ABD"/>
    <w:rsid w:val="7E3A5CC6"/>
    <w:rsid w:val="7E7A0DD6"/>
    <w:rsid w:val="7E9844A9"/>
    <w:rsid w:val="7EAA3ED2"/>
    <w:rsid w:val="7EAB3D33"/>
    <w:rsid w:val="7F63612B"/>
    <w:rsid w:val="7F9F6E3D"/>
    <w:rsid w:val="7FB704A7"/>
    <w:rsid w:val="7FD06EFB"/>
    <w:rsid w:val="7FDF7184"/>
    <w:rsid w:val="7FDFD276"/>
    <w:rsid w:val="7FFB3F25"/>
    <w:rsid w:val="AF9FA2A3"/>
    <w:rsid w:val="DDD48C73"/>
    <w:rsid w:val="F4CD8744"/>
    <w:rsid w:val="F74D687A"/>
    <w:rsid w:val="FD7F2360"/>
    <w:rsid w:val="FF3EC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index 5"/>
    <w:basedOn w:val="1"/>
    <w:next w:val="1"/>
    <w:qFormat/>
    <w:uiPriority w:val="0"/>
    <w:pPr>
      <w:ind w:left="1680"/>
    </w:pPr>
    <w:rPr>
      <w:rFonts w:ascii="Calibri" w:hAnsi="Calibri" w:eastAsia="宋体" w:cs="Times New Roman"/>
    </w:r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napToGrid w:val="0"/>
      <w:ind w:firstLine="640" w:firstLineChars="200"/>
    </w:pPr>
    <w:rPr>
      <w:rFonts w:ascii="仿宋_GB2312" w:hAnsi="仿宋_GB2312" w:eastAsia="宋体" w:cs="仿宋_GB2312"/>
      <w:szCs w:val="32"/>
    </w:rPr>
  </w:style>
  <w:style w:type="paragraph" w:styleId="7">
    <w:name w:val="footer"/>
    <w:basedOn w:val="1"/>
    <w:next w:val="3"/>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spacing w:before="120" w:after="120" w:line="360" w:lineRule="auto"/>
      <w:ind w:firstLine="200" w:firstLineChars="200"/>
      <w:jc w:val="left"/>
    </w:pPr>
    <w:rPr>
      <w:rFonts w:ascii="Calibri" w:hAnsi="Times New Roman" w:eastAsia="Calibri" w:cs="Times New Roman"/>
      <w:b/>
      <w:bCs/>
      <w:caps/>
      <w:sz w:val="20"/>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qFormat/>
    <w:uiPriority w:val="0"/>
    <w:pPr>
      <w:spacing w:line="300" w:lineRule="auto"/>
      <w:ind w:firstLine="420"/>
    </w:pPr>
    <w:rPr>
      <w:sz w:val="24"/>
    </w:rPr>
  </w:style>
  <w:style w:type="character" w:styleId="14">
    <w:name w:val="Strong"/>
    <w:basedOn w:val="13"/>
    <w:qFormat/>
    <w:uiPriority w:val="0"/>
    <w:rPr>
      <w:b/>
      <w:w w:val="100"/>
      <w:sz w:val="20"/>
      <w:szCs w:val="20"/>
      <w:shd w:val="clear" w:color="auto" w:fill="auto"/>
    </w:rPr>
  </w:style>
  <w:style w:type="paragraph" w:customStyle="1" w:styleId="15">
    <w:name w:val="文件格式"/>
    <w:basedOn w:val="1"/>
    <w:qFormat/>
    <w:uiPriority w:val="99"/>
    <w:pPr>
      <w:widowControl/>
      <w:spacing w:line="460" w:lineRule="atLeast"/>
      <w:ind w:left="1" w:firstLine="419"/>
      <w:textAlignment w:val="bottom"/>
    </w:pPr>
    <w:rPr>
      <w:rFonts w:eastAsia="仿宋_GB2312"/>
      <w:color w:val="FF0000"/>
      <w:kern w:val="0"/>
      <w:sz w:val="32"/>
      <w:szCs w:val="32"/>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仿宋" w:hAnsi="仿宋" w:eastAsia="仿宋" w:cs="仿宋"/>
      <w:sz w:val="19"/>
      <w:szCs w:val="19"/>
      <w:lang w:val="en-US" w:eastAsia="en-US" w:bidi="ar-SA"/>
    </w:rPr>
  </w:style>
  <w:style w:type="character" w:customStyle="1" w:styleId="18">
    <w:name w:val="font41"/>
    <w:basedOn w:val="13"/>
    <w:qFormat/>
    <w:uiPriority w:val="0"/>
    <w:rPr>
      <w:rFonts w:hint="eastAsia" w:ascii="宋体" w:hAnsi="宋体" w:eastAsia="宋体" w:cs="宋体"/>
      <w:color w:val="000000"/>
      <w:sz w:val="24"/>
      <w:szCs w:val="24"/>
      <w:u w:val="none"/>
    </w:rPr>
  </w:style>
  <w:style w:type="character" w:customStyle="1" w:styleId="19">
    <w:name w:val="font51"/>
    <w:basedOn w:val="13"/>
    <w:qFormat/>
    <w:uiPriority w:val="0"/>
    <w:rPr>
      <w:rFonts w:hint="eastAsia" w:ascii="宋体" w:hAnsi="宋体" w:eastAsia="宋体" w:cs="宋体"/>
      <w:color w:val="000000"/>
      <w:sz w:val="24"/>
      <w:szCs w:val="24"/>
      <w:u w:val="none"/>
    </w:rPr>
  </w:style>
  <w:style w:type="character" w:customStyle="1" w:styleId="20">
    <w:name w:val="font6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8a9d542a-d7e1-457e-baa9-e4ce3fd1a1a8</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9CE74ED</paraID>
      <start>41</start>
      <end>42</end>
      <status>ignored</status>
      <modifiedWord/>
      <trackRevisions>false</trackRevisions>
    </reviewItem>
    <reviewItem>
      <errorID>f462bcf0-c566-469c-aa0f-b068dffca3bb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303ADC1C</paraID>
      <start>41</start>
      <end>42</end>
      <status>ignored</status>
      <modifiedWord/>
      <trackRevisions>false</trackRevisions>
    </reviewItem>
    <reviewItem>
      <errorID>ec76ff90-0604-4cb1-b630-690e6067c2f6</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20151E8</paraID>
      <start>13</start>
      <end>14</end>
      <status>ignored</status>
      <modifiedWord/>
      <trackRevisions>false</trackRevisions>
    </reviewItem>
    <reviewItem>
      <errorID>e411fb8c-6425-4571-8c9b-ddfbdfc66d18</errorID>
      <errorWord>，</errorWord>
      <group>L1_Word</group>
      <groupName>字词问题</groupName>
      <ability>L2_Typo</ability>
      <abilityName>字词错误</abilityName>
      <candidateList>
        <item>，在</item>
      </candidateList>
      <explain/>
      <paraID>31029994</paraID>
      <start>28</start>
      <end>30</end>
      <status>modified</status>
      <modifiedWord>，在</modifiedWord>
      <trackRevisions>false</trackRevisions>
    </reviewItem>
    <reviewItem>
      <errorID>7320e93a-5d49-4115-9649-1f63c19fdf2b</errorID>
      <errorWord>人</errorWord>
      <group>L1_Word</group>
      <groupName>字词问题</groupName>
      <ability>L2_Typo</ability>
      <abilityName>字词错误</abilityName>
      <candidateList>
        <item>人员</item>
      </candidateList>
      <explain>〈名〉担任某种职务的人：机关工作～｜值班～｜～配备。</explain>
      <paraID> 3722A90</paraID>
      <start>30</start>
      <end>32</end>
      <status>modified</status>
      <modifiedWord>人员</modifiedWord>
      <trackRevisions>false</trackRevisions>
    </reviewItem>
    <reviewItem>
      <errorID>02c5f867-483e-47ef-a512-6b97003263da</errorID>
      <errorWord>5千</errorWord>
      <group>L1_Knowledge</group>
      <groupName>知识性问题</groupName>
      <ability>L2_Knowledge</ability>
      <abilityName>其他知识</abilityName>
      <candidateList>
        <item>5000</item>
      </candidateList>
      <explain/>
      <paraID>45A6EAE9</paraID>
      <start>26</start>
      <end>28</end>
      <status>ignored</status>
      <modifiedWord/>
      <trackRevisions>false</trackRevisions>
    </reviewItem>
    <reviewItem>
      <errorID>a9cd3215-fba0-4f25-a892-26a4a686f430</errorID>
      <errorWord>5千</errorWord>
      <group>L1_Knowledge</group>
      <groupName>知识性问题</groupName>
      <ability>L2_Knowledge</ability>
      <abilityName>其他知识</abilityName>
      <candidateList>
        <item>5000</item>
      </candidateList>
      <explain/>
      <paraID>45A6EAE9</paraID>
      <start>56</start>
      <end>58</end>
      <status>ignored</status>
      <modifiedWord/>
      <trackRevisions>false</trackRevisions>
    </reviewItem>
    <reviewItem>
      <errorID>47676809-3f7d-4ba0-942f-56338ec3e837</errorID>
      <errorWord>高</errorWord>
      <group>L1_Word</group>
      <groupName>字词问题</groupName>
      <ability>L2_Typo</ability>
      <abilityName>字词错误</abilityName>
      <candidateList>
        <item>高于</item>
      </candidateList>
      <explain/>
      <paraID> 5D905EE</paraID>
      <start>21</start>
      <end>23</end>
      <status>modified</status>
      <modifiedWord>高于</modifiedWord>
      <trackRevisions>false</trackRevisions>
    </reviewItem>
    <reviewItem>
      <errorID>5d36238d-f4c5-48e9-a3a6-080f8f5fa92e</errorID>
      <errorWord>5千</errorWord>
      <group>L1_Knowledge</group>
      <groupName>知识性问题</groupName>
      <ability>L2_Knowledge</ability>
      <abilityName>其他知识</abilityName>
      <candidateList>
        <item>5000</item>
      </candidateList>
      <explain/>
      <paraID> 300A51F</paraID>
      <start>28</start>
      <end>30</end>
      <status>ignored</status>
      <modifiedWord/>
      <trackRevisions>false</trackRevisions>
    </reviewItem>
    <reviewItem>
      <errorID>aa8302aa-3d21-4e39-a753-9a829669f5a3</errorID>
      <errorWord>5千</errorWord>
      <group>L1_Knowledge</group>
      <groupName>知识性问题</groupName>
      <ability>L2_Knowledge</ability>
      <abilityName>其他知识</abilityName>
      <candidateList>
        <item>5000</item>
      </candidateList>
      <explain/>
      <paraID> 300A51F</paraID>
      <start>60</start>
      <end>62</end>
      <status>ignored</status>
      <modifiedWord/>
      <trackRevisions>false</trackRevisions>
    </reviewItem>
    <reviewItem>
      <errorID>00470fa9-bcec-4177-b6cc-58eb5d51967e</errorID>
      <errorWord>(</errorWord>
      <group>L1_Format</group>
      <groupName>格式问题</groupName>
      <ability>L2_HalfPunc</ability>
      <abilityName>全半角检查</abilityName>
      <candidateList>
        <item>（</item>
      </candidateList>
      <explain>文本全半角错误。</explain>
      <paraID>4B01D97B</paraID>
      <start>8</start>
      <end>9</end>
      <status>modified</status>
      <modifiedWord>（</modifiedWord>
      <trackRevisions>false</trackRevisions>
    </reviewItem>
    <reviewItem>
      <errorID>4126ea98-e579-4420-9889-0905c3da4822</errorID>
      <errorWord>)</errorWord>
      <group>L1_Format</group>
      <groupName>格式问题</groupName>
      <ability>L2_HalfPunc</ability>
      <abilityName>全半角检查</abilityName>
      <candidateList>
        <item>）</item>
      </candidateList>
      <explain>文本全半角错误。</explain>
      <paraID>4B01D97B</paraID>
      <start>11</start>
      <end>12</end>
      <status>modified</status>
      <modifiedWord>）</modifiedWord>
      <trackRevisions>false</trackRevisions>
    </reviewItem>
    <reviewItem>
      <errorID>ed1bdd70-01b6-404d-9380-cb6f6a7b7e6a</errorID>
      <errorWord>(</errorWord>
      <group>L1_Format</group>
      <groupName>格式问题</groupName>
      <ability>L2_HalfPunc</ability>
      <abilityName>全半角检查</abilityName>
      <candidateList>
        <item>（</item>
      </candidateList>
      <explain>文本全半角错误。</explain>
      <paraID>73B79E06</paraID>
      <start>11</start>
      <end>12</end>
      <status>modified</status>
      <modifiedWord>（</modifiedWord>
      <trackRevisions>false</trackRevisions>
    </reviewItem>
    <reviewItem>
      <errorID>af5b2ca8-246a-4231-84b1-c400518ff70f</errorID>
      <errorWord>)</errorWord>
      <group>L1_Format</group>
      <groupName>格式问题</groupName>
      <ability>L2_HalfPunc</ability>
      <abilityName>全半角检查</abilityName>
      <candidateList>
        <item>）</item>
      </candidateList>
      <explain>文本全半角错误。</explain>
      <paraID>73B79E06</paraID>
      <start>15</start>
      <end>16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c2ea502-3b6d-4f2c-b33b-43a6ca764c48}">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7400</Words>
  <Characters>7542</Characters>
  <Lines>0</Lines>
  <Paragraphs>0</Paragraphs>
  <TotalTime>41</TotalTime>
  <ScaleCrop>false</ScaleCrop>
  <LinksUpToDate>false</LinksUpToDate>
  <CharactersWithSpaces>7626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2025-04-22T19:30:00Z</dcterms:created>
  <dc:creator>kacar</dc:creator>
  <cp:lastModifiedBy>索小雅</cp:lastModifiedBy>
  <cp:lastPrinted>2025-11-19T04:52:00Z</cp:lastPrinted>
  <dcterms:modified xsi:type="dcterms:W3CDTF">2025-11-25T09:43:37Z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8D6F7173E92F4CE694D5E6AFD8463810_13</vt:lpwstr>
  </property>
  <property fmtid="{D5CDD505-2E9C-101B-9397-08002B2CF9AE}" pid="4" name="KSOTemplateDocerSaveRecord">
    <vt:lpwstr>eyJoZGlkIjoiNTFjYjg4OGZmYTcwZjE0ZThhNmU3OTY3OGVmMTQ0ZWIiLCJ1c2VySWQiOiIyMzcwMTU5MDQifQ==</vt:lpwstr>
  </property>
</Properties>
</file>