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olor w:val="000000"/>
          <w:w w:val="9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w w:val="90"/>
          <w:kern w:val="0"/>
          <w:sz w:val="36"/>
          <w:szCs w:val="36"/>
          <w:u w:val="none"/>
          <w:lang w:val="en-US" w:eastAsia="zh-CN" w:bidi="ar"/>
        </w:rPr>
        <w:t>昌吉州2023年度拟新增第三批医疗保障慢性病定点零售药店</w:t>
      </w:r>
    </w:p>
    <w:tbl>
      <w:tblPr>
        <w:tblStyle w:val="2"/>
        <w:tblpPr w:leftFromText="180" w:rightFromText="180" w:vertAnchor="text" w:horzAnchor="page" w:tblpX="1467" w:tblpY="631"/>
        <w:tblOverlap w:val="never"/>
        <w:tblW w:w="93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630"/>
        <w:gridCol w:w="1729"/>
        <w:gridCol w:w="1328"/>
        <w:gridCol w:w="1715"/>
        <w:gridCol w:w="1241"/>
        <w:gridCol w:w="1037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定点药店名称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服务电话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所在街道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所在社区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开通服务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州本级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国药控股国大药房新疆新特药业连锁有限责任公司昌吉九分店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0994-2207235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昌吉市塔城路晨光绿景西区2号1层2号铺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建国路街道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电力社区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TE5OTBkNmU5Yzk3YTEzYTllZDllZTJhMjdhODkifQ=="/>
  </w:docVars>
  <w:rsids>
    <w:rsidRoot w:val="00000000"/>
    <w:rsid w:val="06231AC2"/>
    <w:rsid w:val="090958B6"/>
    <w:rsid w:val="09FF193A"/>
    <w:rsid w:val="12582F79"/>
    <w:rsid w:val="19E04A96"/>
    <w:rsid w:val="30644993"/>
    <w:rsid w:val="408663F2"/>
    <w:rsid w:val="484E558F"/>
    <w:rsid w:val="4DB07126"/>
    <w:rsid w:val="5BB87C1B"/>
    <w:rsid w:val="70C304F0"/>
    <w:rsid w:val="776C5BF2"/>
    <w:rsid w:val="7BD92CA1"/>
    <w:rsid w:val="7D68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2023-04-14T10:10:00Z</dcterms:created>
  <dc:creator>Administrator</dc:creator>
  <cp:lastModifiedBy>Administrator</cp:lastModifiedBy>
  <cp:lastPrinted>2023-07-31T03:07:00Z</cp:lastPrinted>
  <dcterms:modified xsi:type="dcterms:W3CDTF">2023-08-01T11:32:27Z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7A9C99ED31B141439376CFD35D152D24_12</vt:lpwstr>
  </property>
</Properties>
</file>