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827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《昌吉回族自治州天然林保护修复中长期实施方案（2021-2035年）》（征求意见稿）</w:t>
      </w:r>
    </w:p>
    <w:p w14:paraId="4D07F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581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起草说明</w:t>
      </w:r>
    </w:p>
    <w:p w14:paraId="08299E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根据会议安排，现将《昌吉回族自治州天然林保护修复中长期实施方案（2021—2035年）（送审稿）》（以下简称《方案》）起草情况汇报如下：</w:t>
      </w:r>
    </w:p>
    <w:p w14:paraId="44C0F0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宋体" w:hAnsi="宋体" w:eastAsia="黑体" w:cs="黑体"/>
          <w:color w:val="000000"/>
          <w:sz w:val="32"/>
          <w:lang w:eastAsia="zh-CN"/>
        </w:rPr>
      </w:pPr>
      <w:r>
        <w:rPr>
          <w:rFonts w:hint="eastAsia" w:ascii="宋体" w:hAnsi="宋体" w:eastAsia="黑体" w:cs="黑体"/>
          <w:color w:val="000000"/>
          <w:sz w:val="32"/>
          <w:lang w:eastAsia="zh-CN"/>
        </w:rPr>
        <w:t>一、起草依据和过程</w:t>
      </w:r>
    </w:p>
    <w:p w14:paraId="7CA5E9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党的十八大以来，党中央、国务院将生态文明建设纳入“五位一体”总体布局，作出全面保护天然林的重大战略部署。2020年新修订的《中华人民共和国森林法》正式确立天然林全面保护基本制度，中共中央办公厅、国务院办公厅印发的《天然林保护修复制度方案》，构建了全国天然林保护修复工作的顶层制度框架。2025年1月，国家六部门联合印发《全国天然林保护修复中长期规划（2021—2035年）》，明确天然林保护修复的总体思路、核心原则和重点任务，为全国系统性推进天然林保护修复、推动保护工作由全面覆盖向高质量提质升级转变提供了纲领性指引。2026年7月，新疆维吾尔自治区林业和草原局印发《新疆维吾尔自治区天然林保护修复中长期总体方案（2021—2035年）》，对全区天然林保护修复工作作出系统性统筹部署、细化阶段任务与落实举措，为昌吉州常态化、规范化开展天然林保护修复工作提供了直接政策遵循和实操依据。</w:t>
      </w:r>
    </w:p>
    <w:p w14:paraId="21126D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《方案》编制工作于2025年6月启动，2026年3月底形成初稿。《新疆维吾尔自治区天然林保护修复中长期总体方案》印发后，我局严格对照上位方案相关要求，对文稿进一步修改完善。2026年8月组织开展专家评审，专家组一致同意通过《方案》审查；9月面向州直相关部门、各县（市）、国有林管理局等17家单位征求意见，累计收到意见建议11条，全部予以采纳，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形成送审稿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。</w:t>
      </w:r>
    </w:p>
    <w:p w14:paraId="44C48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textAlignment w:val="auto"/>
        <w:rPr>
          <w:rFonts w:hint="eastAsia" w:ascii="宋体" w:hAnsi="宋体" w:eastAsia="黑体" w:cs="黑体"/>
          <w:color w:val="000000"/>
          <w:sz w:val="32"/>
          <w:lang w:eastAsia="zh-CN"/>
        </w:rPr>
      </w:pPr>
      <w:r>
        <w:rPr>
          <w:rFonts w:hint="eastAsia" w:ascii="宋体" w:hAnsi="宋体" w:eastAsia="黑体" w:cs="黑体"/>
          <w:color w:val="000000"/>
          <w:sz w:val="32"/>
          <w:lang w:eastAsia="zh-CN"/>
        </w:rPr>
        <w:t>二、编制必要性</w:t>
      </w:r>
    </w:p>
    <w:p w14:paraId="3B5BC3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天然林是我国森林生态系统的核心基底，群落结构稳定、生态功能完备、生物多样性富集，既是珍稀种质资源库，也是关键生态储备载体，对维护国家生态安全、支撑经济社会可持续发展具有不可替代的战略价值。为贯彻习近平总书记关于天然林保护修复重要指示批示精神，落实党中央、国务院决策部署，对标《全国天然林保护修复中长期规划（2021—2035年）》《新疆维吾尔自治区天然林保护修复中长期总体方案（2021—2035年）》要求，昌吉州林草局编制《昌吉回族自治州天然林保护修复中长期实施方案（2021—2035年）》。</w:t>
      </w:r>
    </w:p>
    <w:p w14:paraId="68626E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1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方案紧扣国家战略导向，以构建健康稳定、功能完备的天然林生态系统为目标，坚持问题导向和目标导向相结合，实行一体化管护，将非天然林中的国家级公益林纳入实施范围，推进天然林保护与公益林管理并轨。全州着力加强天然林和非天然国家级公益林管护，压紧压实管护责任，持续提升管护能力，统筹开展森林抚育、低质低效林改造、促进森林更新等修复措施，同步推动林区转型发展，完善民生保障。方案提出，力争到2035年实现天然林面积稳定、森林质量显著提升、生态系统健康稳定的目标。本实施方案是当前及今后一段时期，指导昌吉州天然林保护修复工作的纲领性文件。</w:t>
      </w:r>
    </w:p>
    <w:p w14:paraId="365002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宋体" w:hAnsi="宋体" w:eastAsia="黑体" w:cs="黑体"/>
          <w:color w:val="000000"/>
          <w:sz w:val="32"/>
          <w:lang w:eastAsia="zh-CN"/>
        </w:rPr>
      </w:pPr>
      <w:r>
        <w:rPr>
          <w:rFonts w:hint="eastAsia" w:ascii="宋体" w:hAnsi="宋体" w:eastAsia="黑体" w:cs="黑体"/>
          <w:color w:val="000000"/>
          <w:sz w:val="32"/>
          <w:lang w:eastAsia="zh-CN"/>
        </w:rPr>
        <w:t>三、主要内容</w:t>
      </w:r>
    </w:p>
    <w:p w14:paraId="1164B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《方案》共包含基本情况、总体要求、总体布局、天然林保护、天然林修复、资金投入和效益评价、保障措施等七个部分，具体如下：</w:t>
      </w:r>
    </w:p>
    <w:p w14:paraId="567FAE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第一部分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基本情况。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对我州自然地理概况、森林资源现状、保护修复成效和面临的形势与问题进行了概述。</w:t>
      </w:r>
    </w:p>
    <w:p w14:paraId="7491A2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第二部分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总体要求。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从指导思想、基本原则、编制依据、范围期限、目标任务五个方面提出总体思路。</w:t>
      </w:r>
    </w:p>
    <w:p w14:paraId="1F02C3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第三部分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总体布局。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实行天然林保护与公益林管理并轨，对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全州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天然林和非天然国家级公益林共1833.5197万亩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进行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统一规划布局、统一基础数据、统一补偿政策、统一管护制度；划定重点保护区域0.0193万亩实行封禁保护，其余1833.5004万亩纳入一般保护区域实行全面保护和科学经营；根据林分分布和主导生态功能，划定准噶尔荒漠林区、天山北坡天然林区2个修复区，分区明确修复措施和主攻方向。</w:t>
      </w:r>
    </w:p>
    <w:p w14:paraId="61FF0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第四部分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天然林保护。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从森林防火、有害生物防治、生物多样性保护、林地生产力维护四方面明确资源保护任务；管护面积1833.5197万亩，由8个实施单位分工负责，管护责任落实到人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头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地块；规划期内维修改造管护站点、配齐巡护装备、建设“天空地”一体化智能监测网络，全面提升管护能力。</w:t>
      </w:r>
    </w:p>
    <w:p w14:paraId="38E1D7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第五部分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天然林修复。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将实施范围内的森林资源划分为原始林、健康次生乔木林、低质低效次生林、残次林、国家特别规定的灌木林、一般灌木林、疏林7类，明确各类修复对象及措施。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2026-2035年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规划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天然林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修复面积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共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20.4484万亩，其中森林抚育0.2500万亩、低质低效林改造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0.6607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万亩、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促进森林更新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19.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377万亩，任务分解落实到实施单位和规划期各年度。</w:t>
      </w:r>
    </w:p>
    <w:p w14:paraId="3045B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第六部分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资金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>需求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和效益评价。</w:t>
      </w:r>
      <w:r>
        <w:rPr>
          <w:rFonts w:hint="eastAsia" w:ascii="宋体" w:hAnsi="宋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资金来源</w:t>
      </w:r>
      <w:r>
        <w:rPr>
          <w:rFonts w:hint="eastAsia" w:ascii="宋体" w:hAnsi="宋体" w:eastAsia="方正仿宋简体" w:cs="方正仿宋简体"/>
          <w:b w:val="0"/>
          <w:bCs w:val="0"/>
          <w:color w:val="000000"/>
          <w:sz w:val="32"/>
          <w:szCs w:val="32"/>
          <w:lang w:eastAsia="zh-CN"/>
        </w:rPr>
        <w:t>主要</w:t>
      </w:r>
      <w:r>
        <w:rPr>
          <w:rFonts w:hint="eastAsia" w:ascii="宋体" w:hAnsi="宋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为</w:t>
      </w:r>
      <w:r>
        <w:rPr>
          <w:rFonts w:hint="eastAsia" w:ascii="宋体" w:hAnsi="宋体" w:eastAsia="方正仿宋简体" w:cs="方正仿宋简体"/>
          <w:b w:val="0"/>
          <w:bCs w:val="0"/>
          <w:color w:val="000000"/>
          <w:sz w:val="32"/>
          <w:szCs w:val="32"/>
          <w:lang w:eastAsia="zh-CN"/>
        </w:rPr>
        <w:t>中央财政</w:t>
      </w:r>
      <w:r>
        <w:rPr>
          <w:rFonts w:hint="eastAsia" w:ascii="宋体" w:hAnsi="宋体" w:eastAsia="方正仿宋简体" w:cs="方正仿宋简体"/>
          <w:b w:val="0"/>
          <w:bCs w:val="0"/>
          <w:color w:val="000000"/>
          <w:sz w:val="32"/>
          <w:szCs w:val="32"/>
          <w:lang w:val="en-US" w:eastAsia="zh-CN"/>
        </w:rPr>
        <w:t>资金。昌吉州天然林保护修复</w:t>
      </w:r>
      <w:r>
        <w:rPr>
          <w:rFonts w:hint="eastAsia" w:ascii="宋体" w:hAnsi="宋体" w:eastAsia="方正仿宋简体" w:cs="方正仿宋简体"/>
          <w:b w:val="0"/>
          <w:bCs w:val="0"/>
          <w:color w:val="000000"/>
          <w:sz w:val="32"/>
          <w:szCs w:val="32"/>
          <w:lang w:eastAsia="zh-CN"/>
        </w:rPr>
        <w:t>2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026—2035年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总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资金需求76037.38万元，其中天然林保护资金71558.96万元、天然林修复资金4478.42万元。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效益评价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从生态效益、社会效益、经济效益三方面开展。</w:t>
      </w:r>
    </w:p>
    <w:p w14:paraId="5E5D8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第七部分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简体" w:cs="方正仿宋简体"/>
          <w:b/>
          <w:bCs/>
          <w:color w:val="000000"/>
          <w:sz w:val="32"/>
          <w:szCs w:val="32"/>
          <w:lang w:eastAsia="zh-CN"/>
        </w:rPr>
        <w:t>保障措施。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提出加强组织领导、加强能力建设、强化监督管理、强化科技支撑、推进落地上图五方面的保障措施。</w:t>
      </w:r>
    </w:p>
    <w:p w14:paraId="643735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宋体" w:hAnsi="宋体" w:eastAsia="黑体" w:cs="黑体"/>
          <w:color w:val="000000"/>
          <w:sz w:val="32"/>
          <w:lang w:eastAsia="zh-CN"/>
        </w:rPr>
      </w:pPr>
      <w:r>
        <w:rPr>
          <w:rFonts w:hint="eastAsia" w:ascii="宋体" w:hAnsi="宋体" w:eastAsia="黑体" w:cs="黑体"/>
          <w:color w:val="000000"/>
          <w:sz w:val="32"/>
          <w:lang w:eastAsia="zh-CN"/>
        </w:rPr>
        <w:t>四、请示事项</w:t>
      </w:r>
    </w:p>
    <w:p w14:paraId="29BF4B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jc w:val="both"/>
        <w:textAlignment w:val="auto"/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现将《方案》提交州人民政府常务会议研究审议。待审议通过后，对照自治区实施方案制发流程，以州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val="en-US" w:eastAsia="zh-CN"/>
        </w:rPr>
        <w:t>人民政府</w:t>
      </w:r>
      <w:r>
        <w:rPr>
          <w:rFonts w:hint="eastAsia" w:ascii="宋体" w:hAnsi="宋体" w:eastAsia="方正仿宋简体" w:cs="方正仿宋简体"/>
          <w:color w:val="000000"/>
          <w:sz w:val="32"/>
          <w:szCs w:val="32"/>
          <w:lang w:eastAsia="zh-CN"/>
        </w:rPr>
        <w:t>名义印发。</w:t>
      </w:r>
    </w:p>
    <w:sectPr>
      <w:footerReference r:id="rId5" w:type="default"/>
      <w:footerReference r:id="rId6" w:type="even"/>
      <w:pgSz w:w="11906" w:h="16838"/>
      <w:pgMar w:top="1985" w:right="1474" w:bottom="1588" w:left="1531" w:header="851" w:footer="1191" w:gutter="0"/>
      <w:pgNumType w:fmt="numberInDash" w:start="1"/>
      <w:cols w:space="720" w:num="1"/>
      <w:docGrid w:type="linesAndChar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1E286E-4572-4C81-ADB7-40B85B8AF4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2" w:fontKey="{99E7C1DB-D438-4552-80A2-1615DCAAACC0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2C356E4-0CE0-4DFF-AD88-628C3B116A6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B6FF6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495E72">
                          <w:pPr>
                            <w:widowControl w:val="0"/>
                            <w:snapToGrid w:val="0"/>
                            <w:ind w:right="440" w:rightChars="2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95E72">
                    <w:pPr>
                      <w:widowControl w:val="0"/>
                      <w:snapToGrid w:val="0"/>
                      <w:ind w:right="440" w:rightChars="2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0C4F5"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06154F">
                          <w:pPr>
                            <w:widowControl w:val="0"/>
                            <w:snapToGrid w:val="0"/>
                            <w:ind w:left="440" w:leftChars="2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06154F">
                    <w:pPr>
                      <w:widowControl w:val="0"/>
                      <w:snapToGrid w:val="0"/>
                      <w:ind w:left="440" w:leftChars="2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720"/>
  <w:evenAndOddHeaders w:val="1"/>
  <w:drawingGridHorizontalSpacing w:val="101"/>
  <w:drawingGridVerticalSpacing w:val="57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4264"/>
    <w:rsid w:val="0029639D"/>
    <w:rsid w:val="00326F90"/>
    <w:rsid w:val="00486083"/>
    <w:rsid w:val="005E1BCA"/>
    <w:rsid w:val="009B06C2"/>
    <w:rsid w:val="00AA1D8D"/>
    <w:rsid w:val="00B47730"/>
    <w:rsid w:val="00CB0664"/>
    <w:rsid w:val="00E849CA"/>
    <w:rsid w:val="00FC693F"/>
    <w:rsid w:val="02986908"/>
    <w:rsid w:val="04AA6940"/>
    <w:rsid w:val="0E8457DE"/>
    <w:rsid w:val="14BA5ED4"/>
    <w:rsid w:val="1B060A96"/>
    <w:rsid w:val="25AA5517"/>
    <w:rsid w:val="39BC3940"/>
    <w:rsid w:val="421E61F4"/>
    <w:rsid w:val="452245D4"/>
    <w:rsid w:val="50415057"/>
    <w:rsid w:val="5A3A7A9B"/>
    <w:rsid w:val="607C0570"/>
    <w:rsid w:val="786A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45"/>
    <w:unhideWhenUsed/>
    <w:qFormat/>
    <w:uiPriority w:val="99"/>
    <w:pPr>
      <w:spacing w:after="120"/>
    </w:pPr>
  </w:style>
  <w:style w:type="paragraph" w:styleId="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字符"/>
    <w:basedOn w:val="133"/>
    <w:link w:val="25"/>
    <w:qFormat/>
    <w:uiPriority w:val="99"/>
  </w:style>
  <w:style w:type="character" w:customStyle="1" w:styleId="137">
    <w:name w:val="页脚 字符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3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3"/>
    <w:link w:val="2"/>
    <w:qFormat/>
    <w:uiPriority w:val="99"/>
  </w:style>
  <w:style w:type="character" w:customStyle="1" w:styleId="146">
    <w:name w:val="正文文本 2 字符"/>
    <w:basedOn w:val="133"/>
    <w:link w:val="28"/>
    <w:qFormat/>
    <w:uiPriority w:val="99"/>
  </w:style>
  <w:style w:type="character" w:customStyle="1" w:styleId="147">
    <w:name w:val="正文文本 3 字符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宏文本 字符"/>
    <w:basedOn w:val="133"/>
    <w:link w:val="3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3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3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3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3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4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1958</Words>
  <Characters>2110</Characters>
  <Lines>17</Lines>
  <Paragraphs>4</Paragraphs>
  <TotalTime>14</TotalTime>
  <ScaleCrop>false</ScaleCrop>
  <LinksUpToDate>false</LinksUpToDate>
  <CharactersWithSpaces>2117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小麦啾</cp:lastModifiedBy>
  <dcterms:modified xsi:type="dcterms:W3CDTF">2026-10-29T02:52:08Z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eyJoZGlkIjoiM2Q5NDlmNDc3N2ZkYzk3ZGJmOTUwNTM0Mzc5MTVlNDMiLCJ1c2VySWQiOiIzMjQ5NjUzODcifQ==</vt:lpwstr>
  </property>
  <property fmtid="{D5CDD505-2E9C-101B-9397-08002B2CF9AE}" pid="3" name="KSOProductBuildVer">
    <vt:lpwstr>2052-12.1.0.29680</vt:lpwstr>
  </property>
  <property fmtid="{D5CDD505-2E9C-101B-9397-08002B2CF9AE}" pid="4" name="ICV">
    <vt:lpwstr>B907DC27820549CCABE78DD0BE2811A1_13</vt:lpwstr>
  </property>
</Properties>
</file>