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1561" w:beforeLines="500" w:after="0" w:line="360" w:lineRule="auto"/>
        <w:jc w:val="center"/>
        <w:textAlignment w:val="auto"/>
        <w:rPr>
          <w:rFonts w:hint="eastAsia" w:ascii="方正小标宋简体" w:hAnsi="方正小标宋简体" w:eastAsia="方正小标宋简体" w:cs="方正小标宋简体"/>
          <w:b/>
          <w:bCs/>
          <w:kern w:val="0"/>
          <w:sz w:val="44"/>
          <w:szCs w:val="44"/>
          <w:lang w:eastAsia="zh-CN"/>
          <w14:ligatures w14:val="none"/>
        </w:rPr>
      </w:pPr>
      <w:r>
        <w:rPr>
          <w:rFonts w:hint="eastAsia" w:ascii="方正小标宋简体" w:hAnsi="方正小标宋简体" w:eastAsia="方正小标宋简体" w:cs="方正小标宋简体"/>
          <w:b/>
          <w:bCs/>
          <w:kern w:val="0"/>
          <w:sz w:val="44"/>
          <w:szCs w:val="44"/>
          <w:lang w:eastAsia="zh-CN"/>
          <w14:ligatures w14:val="none"/>
        </w:rPr>
        <w:t>昌吉回族自治州</w:t>
      </w:r>
    </w:p>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方正小标宋简体" w:hAnsi="方正小标宋简体" w:eastAsia="方正小标宋简体" w:cs="方正小标宋简体"/>
          <w:b/>
          <w:bCs/>
          <w:kern w:val="0"/>
          <w:sz w:val="44"/>
          <w:szCs w:val="44"/>
          <w:lang w:eastAsia="zh-CN"/>
          <w14:ligatures w14:val="none"/>
        </w:rPr>
      </w:pPr>
      <w:r>
        <w:rPr>
          <w:rFonts w:hint="eastAsia" w:ascii="方正小标宋简体" w:hAnsi="方正小标宋简体" w:eastAsia="方正小标宋简体" w:cs="方正小标宋简体"/>
          <w:b/>
          <w:bCs/>
          <w:kern w:val="0"/>
          <w:sz w:val="44"/>
          <w:szCs w:val="44"/>
          <w:lang w:eastAsia="zh-CN"/>
          <w14:ligatures w14:val="none"/>
        </w:rPr>
        <w:t>天然林保护修复中长期实施方案</w:t>
      </w:r>
    </w:p>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方正小标宋简体" w:hAnsi="方正小标宋简体" w:eastAsia="方正小标宋简体" w:cs="方正小标宋简体"/>
          <w:kern w:val="0"/>
          <w:sz w:val="44"/>
          <w:szCs w:val="44"/>
          <w:lang w:eastAsia="zh-CN"/>
          <w14:ligatures w14:val="none"/>
        </w:rPr>
      </w:pPr>
      <w:r>
        <w:rPr>
          <w:rFonts w:hint="eastAsia" w:ascii="方正小标宋简体" w:hAnsi="方正小标宋简体" w:eastAsia="方正小标宋简体" w:cs="方正小标宋简体"/>
          <w:b/>
          <w:bCs/>
          <w:kern w:val="0"/>
          <w:sz w:val="44"/>
          <w:szCs w:val="44"/>
          <w:lang w:eastAsia="zh-CN"/>
          <w14:ligatures w14:val="none"/>
        </w:rPr>
        <w:t>（2021-2035年）</w:t>
      </w:r>
    </w:p>
    <w:p>
      <w:pPr>
        <w:keepNext w:val="0"/>
        <w:keepLines w:val="0"/>
        <w:pageBreakBefore w:val="0"/>
        <w:widowControl w:val="0"/>
        <w:kinsoku/>
        <w:wordWrap/>
        <w:overflowPunct/>
        <w:topLinePunct w:val="0"/>
        <w:autoSpaceDE w:val="0"/>
        <w:autoSpaceDN w:val="0"/>
        <w:bidi w:val="0"/>
        <w:adjustRightInd/>
        <w:snapToGrid/>
        <w:spacing w:before="937" w:beforeLines="300" w:line="360" w:lineRule="auto"/>
        <w:jc w:val="center"/>
        <w:textAlignment w:val="auto"/>
        <w:rPr>
          <w:rFonts w:ascii="Times New Roman" w:hAnsi="Times New Roman" w:eastAsia="仿宋" w:cs="Times New Roman"/>
          <w:b/>
          <w:spacing w:val="-2"/>
          <w:kern w:val="0"/>
          <w:sz w:val="44"/>
          <w:szCs w:val="44"/>
          <w:lang w:bidi="zh-CN"/>
        </w:rPr>
      </w:pPr>
      <w:r>
        <w:rPr>
          <w:rFonts w:ascii="Times New Roman" w:hAnsi="Times New Roman" w:eastAsia="仿宋" w:cs="Times New Roman"/>
          <w:b/>
          <w:spacing w:val="-2"/>
          <w:kern w:val="0"/>
          <w:sz w:val="44"/>
          <w:szCs w:val="44"/>
          <w:lang w:eastAsia="zh-CN" w:bidi="zh-CN"/>
        </w:rPr>
        <w:t>（</w:t>
      </w:r>
      <w:r>
        <w:rPr>
          <w:rFonts w:hint="eastAsia" w:ascii="Times New Roman" w:hAnsi="Times New Roman" w:eastAsia="仿宋" w:cs="Times New Roman"/>
          <w:b/>
          <w:spacing w:val="-2"/>
          <w:kern w:val="0"/>
          <w:sz w:val="44"/>
          <w:szCs w:val="44"/>
          <w:lang w:eastAsia="zh-CN" w:bidi="zh-CN"/>
        </w:rPr>
        <w:t>征求意见</w:t>
      </w:r>
      <w:r>
        <w:rPr>
          <w:rFonts w:ascii="Times New Roman" w:hAnsi="Times New Roman" w:eastAsia="仿宋" w:cs="Times New Roman"/>
          <w:b/>
          <w:spacing w:val="-2"/>
          <w:kern w:val="0"/>
          <w:sz w:val="44"/>
          <w:szCs w:val="44"/>
          <w:lang w:eastAsia="zh-CN" w:bidi="zh-CN"/>
        </w:rPr>
        <w:t>稿）</w:t>
      </w:r>
    </w:p>
    <w:p>
      <w:pPr>
        <w:keepNext w:val="0"/>
        <w:keepLines w:val="0"/>
        <w:pageBreakBefore w:val="0"/>
        <w:widowControl w:val="0"/>
        <w:kinsoku/>
        <w:wordWrap/>
        <w:overflowPunct/>
        <w:topLinePunct w:val="0"/>
        <w:autoSpaceDE w:val="0"/>
        <w:autoSpaceDN w:val="0"/>
        <w:bidi w:val="0"/>
        <w:adjustRightInd/>
        <w:snapToGrid/>
        <w:spacing w:before="4681" w:beforeLines="1500" w:line="360" w:lineRule="auto"/>
        <w:jc w:val="center"/>
        <w:textAlignment w:val="auto"/>
        <w:rPr>
          <w:rFonts w:ascii="Times New Roman" w:hAnsi="Times New Roman" w:eastAsia="仿宋" w:cs="Times New Roman"/>
          <w:b/>
          <w:spacing w:val="-2"/>
          <w:kern w:val="0"/>
          <w:sz w:val="44"/>
          <w:szCs w:val="44"/>
          <w:lang w:bidi="zh-CN"/>
        </w:rPr>
      </w:pPr>
      <w:r>
        <w:rPr>
          <w:rFonts w:hint="eastAsia" w:ascii="方正小标宋简体" w:hAnsi="方正小标宋简体" w:eastAsia="方正小标宋简体" w:cs="方正小标宋简体"/>
          <w:kern w:val="0"/>
          <w:sz w:val="44"/>
          <w:szCs w:val="44"/>
          <w:lang w:eastAsia="zh-CN"/>
          <w14:ligatures w14:val="none"/>
        </w:rPr>
        <w:t>二〇二六</w:t>
      </w:r>
      <w:bookmarkStart w:id="25" w:name="_GoBack"/>
      <w:bookmarkEnd w:id="25"/>
      <w:r>
        <w:rPr>
          <w:rFonts w:hint="eastAsia" w:ascii="方正小标宋简体" w:hAnsi="方正小标宋简体" w:eastAsia="方正小标宋简体" w:cs="方正小标宋简体"/>
          <w:kern w:val="0"/>
          <w:sz w:val="44"/>
          <w:szCs w:val="44"/>
          <w:lang w:eastAsia="zh-CN"/>
          <w14:ligatures w14:val="none"/>
        </w:rPr>
        <w:t>年</w:t>
      </w:r>
      <w:r>
        <w:rPr>
          <w:rFonts w:hint="eastAsia" w:ascii="方正小标宋简体" w:hAnsi="方正小标宋简体" w:eastAsia="方正小标宋简体" w:cs="方正小标宋简体"/>
          <w:kern w:val="0"/>
          <w:sz w:val="44"/>
          <w:szCs w:val="44"/>
          <w:lang w:val="en-US" w:eastAsia="zh-CN"/>
          <w14:ligatures w14:val="none"/>
        </w:rPr>
        <w:t>十</w:t>
      </w:r>
      <w:r>
        <w:rPr>
          <w:rFonts w:hint="eastAsia" w:ascii="方正小标宋简体" w:hAnsi="方正小标宋简体" w:eastAsia="方正小标宋简体" w:cs="方正小标宋简体"/>
          <w:kern w:val="0"/>
          <w:sz w:val="44"/>
          <w:szCs w:val="44"/>
          <w:lang w:eastAsia="zh-CN"/>
          <w14:ligatures w14:val="none"/>
        </w:rPr>
        <w:t>月</w:t>
      </w:r>
    </w:p>
    <w:p>
      <w:pPr>
        <w:wordWrap w:val="0"/>
        <w:overflowPunct w:val="0"/>
        <w:autoSpaceDE w:val="0"/>
        <w:autoSpaceDN w:val="0"/>
        <w:spacing w:line="360" w:lineRule="auto"/>
        <w:ind w:firstLine="554" w:firstLineChars="200"/>
        <w:rPr>
          <w:rFonts w:ascii="Times New Roman" w:hAnsi="Times New Roman" w:eastAsia="仿宋" w:cs="Times New Roman"/>
          <w:b/>
          <w:spacing w:val="-2"/>
          <w:kern w:val="0"/>
          <w:sz w:val="28"/>
          <w:szCs w:val="28"/>
          <w:lang w:bidi="zh-CN"/>
        </w:rPr>
      </w:pPr>
      <w:r>
        <w:rPr>
          <w:rFonts w:ascii="Times New Roman" w:hAnsi="Times New Roman" w:eastAsia="仿宋" w:cs="Times New Roman"/>
          <w:b/>
          <w:spacing w:val="-2"/>
          <w:kern w:val="0"/>
          <w:sz w:val="28"/>
          <w:szCs w:val="28"/>
          <w:lang w:bidi="zh-CN"/>
        </w:rPr>
        <w:br w:type="page"/>
      </w: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14:ligatures w14:val="standardContextual"/>
        </w:rPr>
        <w:sectPr>
          <w:headerReference r:id="rId3" w:type="default"/>
          <w:footerReference r:id="rId4" w:type="default"/>
          <w:pgSz w:w="11906" w:h="16838"/>
          <w:pgMar w:top="1440" w:right="1800" w:bottom="1440" w:left="1800" w:header="907" w:footer="964" w:gutter="0"/>
          <w:pgNumType w:fmt="numberInDash"/>
          <w:cols w:space="425" w:num="1"/>
          <w:titlePg/>
          <w:docGrid w:type="lines" w:linePitch="312" w:charSpace="0"/>
        </w:sectPr>
      </w:pPr>
    </w:p>
    <w:sdt>
      <w:sdtPr>
        <w:rPr>
          <w:rFonts w:ascii="宋体" w:hAnsi="宋体" w:eastAsia="宋体" w:cstheme="minorBidi"/>
          <w:kern w:val="2"/>
          <w:sz w:val="21"/>
          <w:szCs w:val="22"/>
          <w:lang w:val="en-US" w:eastAsia="zh-CN" w:bidi="ar-SA"/>
          <w14:ligatures w14:val="standardContextual"/>
        </w:rPr>
        <w:id w:val="147475465"/>
        <w15:color w:val="DBDBDB"/>
        <w:docPartObj>
          <w:docPartGallery w:val="Table of Contents"/>
          <w:docPartUnique/>
        </w:docPartObj>
      </w:sdtPr>
      <w:sdtEndPr>
        <w:rPr>
          <w:rFonts w:hint="eastAsia" w:ascii="Times New Roman" w:hAnsi="Times New Roman" w:eastAsia="宋体" w:cs="Times New Roman"/>
          <w:snapToGrid w:val="0"/>
          <w:color w:val="000000"/>
          <w:kern w:val="2"/>
          <w:sz w:val="24"/>
          <w:szCs w:val="24"/>
          <w:lang w:val="en-US" w:eastAsia="zh-CN" w:bidi="ar-SA"/>
          <w14:ligatures w14:val="standardContextual"/>
        </w:rPr>
      </w:sdtEndPr>
      <w:sdtContent>
        <w:p>
          <w:pPr>
            <w:spacing w:before="0" w:beforeLines="0" w:after="0" w:afterLines="0" w:line="240" w:lineRule="auto"/>
            <w:ind w:left="0" w:leftChars="0" w:right="0" w:rightChars="0" w:firstLine="0" w:firstLineChars="0"/>
            <w:jc w:val="center"/>
          </w:pPr>
          <w:r>
            <w:rPr>
              <w:rFonts w:hint="eastAsia" w:ascii="黑体" w:hAnsi="黑体" w:eastAsia="黑体" w:cs="黑体"/>
              <w:sz w:val="36"/>
              <w:szCs w:val="40"/>
            </w:rPr>
            <w:t>目</w:t>
          </w:r>
          <w:r>
            <w:rPr>
              <w:rFonts w:hint="eastAsia" w:ascii="黑体" w:hAnsi="黑体" w:eastAsia="黑体" w:cs="黑体"/>
              <w:sz w:val="36"/>
              <w:szCs w:val="40"/>
              <w:lang w:val="en-US" w:eastAsia="zh-CN"/>
            </w:rPr>
            <w:t xml:space="preserve">  </w:t>
          </w:r>
          <w:r>
            <w:rPr>
              <w:rFonts w:hint="eastAsia" w:ascii="黑体" w:hAnsi="黑体" w:eastAsia="黑体" w:cs="黑体"/>
              <w:sz w:val="36"/>
              <w:szCs w:val="40"/>
            </w:rPr>
            <w:t>录</w:t>
          </w:r>
        </w:p>
        <w:p>
          <w:pPr>
            <w:pStyle w:val="6"/>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0" w:firstLineChars="0"/>
            <w:textAlignment w:val="baseline"/>
            <w:rPr>
              <w:rFonts w:hint="eastAsia" w:ascii="宋体" w:hAnsi="宋体" w:eastAsia="方正仿宋简体" w:cs="仿宋"/>
              <w:b/>
              <w:bCs/>
              <w:sz w:val="32"/>
              <w:szCs w:val="32"/>
            </w:rPr>
          </w:pPr>
          <w:r>
            <w:rPr>
              <w:rFonts w:hint="eastAsia" w:ascii="仿宋" w:hAnsi="仿宋" w:eastAsia="仿宋" w:cs="仿宋"/>
            </w:rPr>
            <w:fldChar w:fldCharType="begin"/>
          </w:r>
          <w:r>
            <w:rPr>
              <w:rFonts w:hint="eastAsia" w:ascii="仿宋" w:hAnsi="仿宋" w:eastAsia="仿宋" w:cs="仿宋"/>
            </w:rPr>
            <w:instrText xml:space="preserve">TOC \o "1-3" \h \u </w:instrText>
          </w:r>
          <w:r>
            <w:rPr>
              <w:rFonts w:hint="eastAsia" w:ascii="仿宋" w:hAnsi="仿宋" w:eastAsia="仿宋" w:cs="仿宋"/>
            </w:rPr>
            <w:fldChar w:fldCharType="separate"/>
          </w:r>
          <w:r>
            <w:rPr>
              <w:rFonts w:hint="eastAsia" w:ascii="宋体" w:hAnsi="宋体" w:eastAsia="方正仿宋简体" w:cs="仿宋"/>
              <w:b/>
              <w:bCs/>
              <w:sz w:val="32"/>
              <w:szCs w:val="32"/>
            </w:rPr>
            <w:fldChar w:fldCharType="begin"/>
          </w:r>
          <w:r>
            <w:rPr>
              <w:rFonts w:hint="eastAsia" w:ascii="宋体" w:hAnsi="宋体" w:eastAsia="方正仿宋简体" w:cs="仿宋"/>
              <w:b/>
              <w:bCs/>
              <w:sz w:val="32"/>
              <w:szCs w:val="32"/>
            </w:rPr>
            <w:instrText xml:space="preserve"> HYPERLINK \l _Toc14945 </w:instrText>
          </w:r>
          <w:r>
            <w:rPr>
              <w:rFonts w:hint="eastAsia" w:ascii="宋体" w:hAnsi="宋体" w:eastAsia="方正仿宋简体" w:cs="仿宋"/>
              <w:b/>
              <w:bCs/>
              <w:sz w:val="32"/>
              <w:szCs w:val="32"/>
            </w:rPr>
            <w:fldChar w:fldCharType="separate"/>
          </w:r>
          <w:r>
            <w:rPr>
              <w:rFonts w:hint="eastAsia" w:ascii="宋体" w:hAnsi="宋体" w:eastAsia="方正仿宋简体" w:cs="仿宋"/>
              <w:b/>
              <w:bCs/>
              <w:snapToGrid w:val="0"/>
              <w:kern w:val="44"/>
              <w:sz w:val="32"/>
              <w:szCs w:val="32"/>
              <w14:ligatures w14:val="none"/>
            </w:rPr>
            <w:t>第一章  基本情况</w:t>
          </w:r>
          <w:r>
            <w:rPr>
              <w:rFonts w:hint="eastAsia" w:ascii="宋体" w:hAnsi="宋体" w:eastAsia="方正仿宋简体" w:cs="仿宋"/>
              <w:b/>
              <w:bCs/>
              <w:sz w:val="32"/>
              <w:szCs w:val="32"/>
            </w:rPr>
            <w:tab/>
          </w:r>
          <w:r>
            <w:rPr>
              <w:rFonts w:hint="eastAsia" w:ascii="宋体" w:hAnsi="宋体" w:eastAsia="方正仿宋简体" w:cs="仿宋"/>
              <w:b/>
              <w:bCs/>
              <w:sz w:val="32"/>
              <w:szCs w:val="32"/>
            </w:rPr>
            <w:fldChar w:fldCharType="begin"/>
          </w:r>
          <w:r>
            <w:rPr>
              <w:rFonts w:hint="eastAsia" w:ascii="宋体" w:hAnsi="宋体" w:eastAsia="方正仿宋简体" w:cs="仿宋"/>
              <w:b/>
              <w:bCs/>
              <w:sz w:val="32"/>
              <w:szCs w:val="32"/>
            </w:rPr>
            <w:instrText xml:space="preserve"> PAGEREF _Toc14945 \h </w:instrText>
          </w:r>
          <w:r>
            <w:rPr>
              <w:rFonts w:hint="eastAsia" w:ascii="宋体" w:hAnsi="宋体" w:eastAsia="方正仿宋简体" w:cs="仿宋"/>
              <w:b/>
              <w:bCs/>
              <w:sz w:val="32"/>
              <w:szCs w:val="32"/>
            </w:rPr>
            <w:fldChar w:fldCharType="separate"/>
          </w:r>
          <w:r>
            <w:rPr>
              <w:rFonts w:hint="eastAsia" w:ascii="宋体" w:hAnsi="宋体" w:eastAsia="方正仿宋简体" w:cs="仿宋"/>
              <w:b/>
              <w:bCs/>
              <w:sz w:val="32"/>
              <w:szCs w:val="32"/>
            </w:rPr>
            <w:t>1</w:t>
          </w:r>
          <w:r>
            <w:rPr>
              <w:rFonts w:hint="eastAsia" w:ascii="宋体" w:hAnsi="宋体" w:eastAsia="方正仿宋简体" w:cs="仿宋"/>
              <w:b/>
              <w:bCs/>
              <w:sz w:val="32"/>
              <w:szCs w:val="32"/>
            </w:rPr>
            <w:fldChar w:fldCharType="end"/>
          </w:r>
          <w:r>
            <w:rPr>
              <w:rFonts w:hint="eastAsia" w:ascii="宋体" w:hAnsi="宋体" w:eastAsia="方正仿宋简体" w:cs="仿宋"/>
              <w:b/>
              <w:bCs/>
              <w:sz w:val="32"/>
              <w:szCs w:val="32"/>
            </w:rPr>
            <w:fldChar w:fldCharType="end"/>
          </w:r>
        </w:p>
        <w:p>
          <w:pPr>
            <w:pStyle w:val="3"/>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640" w:firstLineChars="200"/>
            <w:textAlignment w:val="baseline"/>
            <w:rPr>
              <w:rFonts w:hint="eastAsia" w:ascii="宋体" w:hAnsi="宋体" w:eastAsia="方正仿宋简体" w:cs="仿宋"/>
              <w:sz w:val="32"/>
              <w:szCs w:val="32"/>
            </w:rPr>
          </w:pP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HYPERLINK \l _Toc32709 </w:instrText>
          </w:r>
          <w:r>
            <w:rPr>
              <w:rFonts w:hint="eastAsia" w:ascii="宋体" w:hAnsi="宋体" w:eastAsia="方正仿宋简体" w:cs="仿宋"/>
              <w:sz w:val="32"/>
              <w:szCs w:val="32"/>
            </w:rPr>
            <w:fldChar w:fldCharType="separate"/>
          </w:r>
          <w:r>
            <w:rPr>
              <w:rFonts w:hint="eastAsia" w:ascii="宋体" w:hAnsi="宋体" w:eastAsia="方正仿宋简体" w:cs="仿宋"/>
              <w:snapToGrid w:val="0"/>
              <w:sz w:val="32"/>
              <w:szCs w:val="32"/>
              <w:lang w:val="en-US" w:eastAsia="zh-CN"/>
              <w14:ligatures w14:val="none"/>
            </w:rPr>
            <w:t>一、</w:t>
          </w:r>
          <w:r>
            <w:rPr>
              <w:rFonts w:hint="eastAsia" w:ascii="宋体" w:hAnsi="宋体" w:eastAsia="方正仿宋简体" w:cs="仿宋"/>
              <w:snapToGrid w:val="0"/>
              <w:sz w:val="32"/>
              <w:szCs w:val="32"/>
              <w14:ligatures w14:val="none"/>
            </w:rPr>
            <w:t>自然环境概况</w:t>
          </w:r>
          <w:r>
            <w:rPr>
              <w:rFonts w:hint="eastAsia" w:ascii="宋体" w:hAnsi="宋体" w:eastAsia="方正仿宋简体" w:cs="仿宋"/>
              <w:sz w:val="32"/>
              <w:szCs w:val="32"/>
            </w:rPr>
            <w:tab/>
          </w: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PAGEREF _Toc32709 \h </w:instrText>
          </w:r>
          <w:r>
            <w:rPr>
              <w:rFonts w:hint="eastAsia" w:ascii="宋体" w:hAnsi="宋体" w:eastAsia="方正仿宋简体" w:cs="仿宋"/>
              <w:sz w:val="32"/>
              <w:szCs w:val="32"/>
            </w:rPr>
            <w:fldChar w:fldCharType="separate"/>
          </w:r>
          <w:r>
            <w:rPr>
              <w:rFonts w:hint="eastAsia" w:ascii="宋体" w:hAnsi="宋体" w:eastAsia="方正仿宋简体" w:cs="仿宋"/>
              <w:sz w:val="32"/>
              <w:szCs w:val="32"/>
            </w:rPr>
            <w:t>1</w:t>
          </w:r>
          <w:r>
            <w:rPr>
              <w:rFonts w:hint="eastAsia" w:ascii="宋体" w:hAnsi="宋体" w:eastAsia="方正仿宋简体" w:cs="仿宋"/>
              <w:sz w:val="32"/>
              <w:szCs w:val="32"/>
            </w:rPr>
            <w:fldChar w:fldCharType="end"/>
          </w:r>
          <w:r>
            <w:rPr>
              <w:rFonts w:hint="eastAsia" w:ascii="宋体" w:hAnsi="宋体" w:eastAsia="方正仿宋简体" w:cs="仿宋"/>
              <w:sz w:val="32"/>
              <w:szCs w:val="32"/>
            </w:rPr>
            <w:fldChar w:fldCharType="end"/>
          </w:r>
        </w:p>
        <w:p>
          <w:pPr>
            <w:pStyle w:val="3"/>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640" w:firstLineChars="200"/>
            <w:textAlignment w:val="baseline"/>
            <w:rPr>
              <w:rFonts w:hint="eastAsia" w:ascii="宋体" w:hAnsi="宋体" w:eastAsia="方正仿宋简体" w:cs="仿宋"/>
              <w:sz w:val="32"/>
              <w:szCs w:val="32"/>
            </w:rPr>
          </w:pP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HYPERLINK \l _Toc10261 </w:instrText>
          </w:r>
          <w:r>
            <w:rPr>
              <w:rFonts w:hint="eastAsia" w:ascii="宋体" w:hAnsi="宋体" w:eastAsia="方正仿宋简体" w:cs="仿宋"/>
              <w:sz w:val="32"/>
              <w:szCs w:val="32"/>
            </w:rPr>
            <w:fldChar w:fldCharType="separate"/>
          </w:r>
          <w:r>
            <w:rPr>
              <w:rFonts w:hint="eastAsia" w:ascii="宋体" w:hAnsi="宋体" w:eastAsia="方正仿宋简体" w:cs="仿宋"/>
              <w:snapToGrid w:val="0"/>
              <w:sz w:val="32"/>
              <w:szCs w:val="32"/>
              <w:lang w:val="en-US" w:eastAsia="zh-CN"/>
              <w14:ligatures w14:val="none"/>
            </w:rPr>
            <w:t>二、森林资源现状</w:t>
          </w:r>
          <w:r>
            <w:rPr>
              <w:rFonts w:hint="eastAsia" w:ascii="宋体" w:hAnsi="宋体" w:eastAsia="方正仿宋简体" w:cs="仿宋"/>
              <w:sz w:val="32"/>
              <w:szCs w:val="32"/>
            </w:rPr>
            <w:tab/>
          </w: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PAGEREF _Toc10261 \h </w:instrText>
          </w:r>
          <w:r>
            <w:rPr>
              <w:rFonts w:hint="eastAsia" w:ascii="宋体" w:hAnsi="宋体" w:eastAsia="方正仿宋简体" w:cs="仿宋"/>
              <w:sz w:val="32"/>
              <w:szCs w:val="32"/>
            </w:rPr>
            <w:fldChar w:fldCharType="separate"/>
          </w:r>
          <w:r>
            <w:rPr>
              <w:rFonts w:hint="eastAsia" w:ascii="宋体" w:hAnsi="宋体" w:eastAsia="方正仿宋简体" w:cs="仿宋"/>
              <w:sz w:val="32"/>
              <w:szCs w:val="32"/>
            </w:rPr>
            <w:t>2</w:t>
          </w:r>
          <w:r>
            <w:rPr>
              <w:rFonts w:hint="eastAsia" w:ascii="宋体" w:hAnsi="宋体" w:eastAsia="方正仿宋简体" w:cs="仿宋"/>
              <w:sz w:val="32"/>
              <w:szCs w:val="32"/>
            </w:rPr>
            <w:fldChar w:fldCharType="end"/>
          </w:r>
          <w:r>
            <w:rPr>
              <w:rFonts w:hint="eastAsia" w:ascii="宋体" w:hAnsi="宋体" w:eastAsia="方正仿宋简体" w:cs="仿宋"/>
              <w:sz w:val="32"/>
              <w:szCs w:val="32"/>
            </w:rPr>
            <w:fldChar w:fldCharType="end"/>
          </w:r>
        </w:p>
        <w:p>
          <w:pPr>
            <w:pStyle w:val="3"/>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640" w:firstLineChars="200"/>
            <w:textAlignment w:val="baseline"/>
            <w:rPr>
              <w:rFonts w:hint="eastAsia" w:ascii="宋体" w:hAnsi="宋体" w:eastAsia="方正仿宋简体" w:cs="仿宋"/>
              <w:sz w:val="32"/>
              <w:szCs w:val="32"/>
            </w:rPr>
          </w:pP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HYPERLINK \l _Toc7070 </w:instrText>
          </w:r>
          <w:r>
            <w:rPr>
              <w:rFonts w:hint="eastAsia" w:ascii="宋体" w:hAnsi="宋体" w:eastAsia="方正仿宋简体" w:cs="仿宋"/>
              <w:sz w:val="32"/>
              <w:szCs w:val="32"/>
            </w:rPr>
            <w:fldChar w:fldCharType="separate"/>
          </w:r>
          <w:r>
            <w:rPr>
              <w:rFonts w:hint="eastAsia" w:ascii="宋体" w:hAnsi="宋体" w:eastAsia="方正仿宋简体" w:cs="仿宋"/>
              <w:snapToGrid w:val="0"/>
              <w:sz w:val="32"/>
              <w:szCs w:val="32"/>
              <w:lang w:val="en-US" w:eastAsia="zh-CN"/>
              <w14:ligatures w14:val="none"/>
            </w:rPr>
            <w:t>三、保护修复成效</w:t>
          </w:r>
          <w:r>
            <w:rPr>
              <w:rFonts w:hint="eastAsia" w:ascii="宋体" w:hAnsi="宋体" w:eastAsia="方正仿宋简体" w:cs="仿宋"/>
              <w:sz w:val="32"/>
              <w:szCs w:val="32"/>
            </w:rPr>
            <w:tab/>
          </w: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PAGEREF _Toc7070 \h </w:instrText>
          </w:r>
          <w:r>
            <w:rPr>
              <w:rFonts w:hint="eastAsia" w:ascii="宋体" w:hAnsi="宋体" w:eastAsia="方正仿宋简体" w:cs="仿宋"/>
              <w:sz w:val="32"/>
              <w:szCs w:val="32"/>
            </w:rPr>
            <w:fldChar w:fldCharType="separate"/>
          </w:r>
          <w:r>
            <w:rPr>
              <w:rFonts w:hint="eastAsia" w:ascii="宋体" w:hAnsi="宋体" w:eastAsia="方正仿宋简体" w:cs="仿宋"/>
              <w:sz w:val="32"/>
              <w:szCs w:val="32"/>
            </w:rPr>
            <w:t>3</w:t>
          </w:r>
          <w:r>
            <w:rPr>
              <w:rFonts w:hint="eastAsia" w:ascii="宋体" w:hAnsi="宋体" w:eastAsia="方正仿宋简体" w:cs="仿宋"/>
              <w:sz w:val="32"/>
              <w:szCs w:val="32"/>
            </w:rPr>
            <w:fldChar w:fldCharType="end"/>
          </w:r>
          <w:r>
            <w:rPr>
              <w:rFonts w:hint="eastAsia" w:ascii="宋体" w:hAnsi="宋体" w:eastAsia="方正仿宋简体" w:cs="仿宋"/>
              <w:sz w:val="32"/>
              <w:szCs w:val="32"/>
            </w:rPr>
            <w:fldChar w:fldCharType="end"/>
          </w:r>
        </w:p>
        <w:p>
          <w:pPr>
            <w:pStyle w:val="3"/>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640" w:firstLineChars="200"/>
            <w:textAlignment w:val="baseline"/>
            <w:rPr>
              <w:rFonts w:hint="eastAsia" w:ascii="宋体" w:hAnsi="宋体" w:eastAsia="方正仿宋简体" w:cs="仿宋"/>
              <w:sz w:val="32"/>
              <w:szCs w:val="32"/>
            </w:rPr>
          </w:pP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HYPERLINK \l _Toc14790 </w:instrText>
          </w:r>
          <w:r>
            <w:rPr>
              <w:rFonts w:hint="eastAsia" w:ascii="宋体" w:hAnsi="宋体" w:eastAsia="方正仿宋简体" w:cs="仿宋"/>
              <w:sz w:val="32"/>
              <w:szCs w:val="32"/>
            </w:rPr>
            <w:fldChar w:fldCharType="separate"/>
          </w:r>
          <w:r>
            <w:rPr>
              <w:rFonts w:hint="eastAsia" w:ascii="宋体" w:hAnsi="宋体" w:eastAsia="方正仿宋简体" w:cs="仿宋"/>
              <w:snapToGrid w:val="0"/>
              <w:sz w:val="32"/>
              <w:szCs w:val="32"/>
              <w:lang w:val="en-US" w:eastAsia="zh-CN"/>
              <w14:ligatures w14:val="none"/>
            </w:rPr>
            <w:t>四、面临的形势与问题</w:t>
          </w:r>
          <w:r>
            <w:rPr>
              <w:rFonts w:hint="eastAsia" w:ascii="宋体" w:hAnsi="宋体" w:eastAsia="方正仿宋简体" w:cs="仿宋"/>
              <w:sz w:val="32"/>
              <w:szCs w:val="32"/>
            </w:rPr>
            <w:tab/>
          </w: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PAGEREF _Toc14790 \h </w:instrText>
          </w:r>
          <w:r>
            <w:rPr>
              <w:rFonts w:hint="eastAsia" w:ascii="宋体" w:hAnsi="宋体" w:eastAsia="方正仿宋简体" w:cs="仿宋"/>
              <w:sz w:val="32"/>
              <w:szCs w:val="32"/>
            </w:rPr>
            <w:fldChar w:fldCharType="separate"/>
          </w:r>
          <w:r>
            <w:rPr>
              <w:rFonts w:hint="eastAsia" w:ascii="宋体" w:hAnsi="宋体" w:eastAsia="方正仿宋简体" w:cs="仿宋"/>
              <w:sz w:val="32"/>
              <w:szCs w:val="32"/>
            </w:rPr>
            <w:t>4</w:t>
          </w:r>
          <w:r>
            <w:rPr>
              <w:rFonts w:hint="eastAsia" w:ascii="宋体" w:hAnsi="宋体" w:eastAsia="方正仿宋简体" w:cs="仿宋"/>
              <w:sz w:val="32"/>
              <w:szCs w:val="32"/>
            </w:rPr>
            <w:fldChar w:fldCharType="end"/>
          </w:r>
          <w:r>
            <w:rPr>
              <w:rFonts w:hint="eastAsia" w:ascii="宋体" w:hAnsi="宋体" w:eastAsia="方正仿宋简体" w:cs="仿宋"/>
              <w:sz w:val="32"/>
              <w:szCs w:val="32"/>
            </w:rPr>
            <w:fldChar w:fldCharType="end"/>
          </w:r>
        </w:p>
        <w:p>
          <w:pPr>
            <w:pStyle w:val="6"/>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0" w:firstLineChars="0"/>
            <w:textAlignment w:val="baseline"/>
            <w:rPr>
              <w:rFonts w:hint="eastAsia" w:ascii="宋体" w:hAnsi="宋体" w:eastAsia="方正仿宋简体" w:cs="仿宋"/>
              <w:b/>
              <w:bCs/>
              <w:sz w:val="32"/>
              <w:szCs w:val="32"/>
            </w:rPr>
          </w:pPr>
          <w:r>
            <w:rPr>
              <w:rFonts w:hint="eastAsia" w:ascii="宋体" w:hAnsi="宋体" w:eastAsia="方正仿宋简体" w:cs="仿宋"/>
              <w:b/>
              <w:bCs/>
              <w:sz w:val="32"/>
              <w:szCs w:val="32"/>
            </w:rPr>
            <w:fldChar w:fldCharType="begin"/>
          </w:r>
          <w:r>
            <w:rPr>
              <w:rFonts w:hint="eastAsia" w:ascii="宋体" w:hAnsi="宋体" w:eastAsia="方正仿宋简体" w:cs="仿宋"/>
              <w:b/>
              <w:bCs/>
              <w:sz w:val="32"/>
              <w:szCs w:val="32"/>
            </w:rPr>
            <w:instrText xml:space="preserve"> HYPERLINK \l _Toc31349 </w:instrText>
          </w:r>
          <w:r>
            <w:rPr>
              <w:rFonts w:hint="eastAsia" w:ascii="宋体" w:hAnsi="宋体" w:eastAsia="方正仿宋简体" w:cs="仿宋"/>
              <w:b/>
              <w:bCs/>
              <w:sz w:val="32"/>
              <w:szCs w:val="32"/>
            </w:rPr>
            <w:fldChar w:fldCharType="separate"/>
          </w:r>
          <w:r>
            <w:rPr>
              <w:rFonts w:hint="eastAsia" w:ascii="宋体" w:hAnsi="宋体" w:eastAsia="方正仿宋简体" w:cs="仿宋"/>
              <w:b/>
              <w:bCs/>
              <w:snapToGrid w:val="0"/>
              <w:kern w:val="44"/>
              <w:sz w:val="32"/>
              <w:szCs w:val="32"/>
              <w14:ligatures w14:val="none"/>
            </w:rPr>
            <w:t>第二章 总体要求</w:t>
          </w:r>
          <w:r>
            <w:rPr>
              <w:rFonts w:hint="eastAsia" w:ascii="宋体" w:hAnsi="宋体" w:eastAsia="方正仿宋简体" w:cs="仿宋"/>
              <w:b/>
              <w:bCs/>
              <w:sz w:val="32"/>
              <w:szCs w:val="32"/>
            </w:rPr>
            <w:tab/>
          </w:r>
          <w:r>
            <w:rPr>
              <w:rFonts w:hint="eastAsia" w:ascii="宋体" w:hAnsi="宋体" w:eastAsia="方正仿宋简体" w:cs="仿宋"/>
              <w:b/>
              <w:bCs/>
              <w:sz w:val="32"/>
              <w:szCs w:val="32"/>
            </w:rPr>
            <w:fldChar w:fldCharType="begin"/>
          </w:r>
          <w:r>
            <w:rPr>
              <w:rFonts w:hint="eastAsia" w:ascii="宋体" w:hAnsi="宋体" w:eastAsia="方正仿宋简体" w:cs="仿宋"/>
              <w:b/>
              <w:bCs/>
              <w:sz w:val="32"/>
              <w:szCs w:val="32"/>
            </w:rPr>
            <w:instrText xml:space="preserve"> PAGEREF _Toc31349 \h </w:instrText>
          </w:r>
          <w:r>
            <w:rPr>
              <w:rFonts w:hint="eastAsia" w:ascii="宋体" w:hAnsi="宋体" w:eastAsia="方正仿宋简体" w:cs="仿宋"/>
              <w:b/>
              <w:bCs/>
              <w:sz w:val="32"/>
              <w:szCs w:val="32"/>
            </w:rPr>
            <w:fldChar w:fldCharType="separate"/>
          </w:r>
          <w:r>
            <w:rPr>
              <w:rFonts w:hint="eastAsia" w:ascii="宋体" w:hAnsi="宋体" w:eastAsia="方正仿宋简体" w:cs="仿宋"/>
              <w:b/>
              <w:bCs/>
              <w:sz w:val="32"/>
              <w:szCs w:val="32"/>
            </w:rPr>
            <w:t>5</w:t>
          </w:r>
          <w:r>
            <w:rPr>
              <w:rFonts w:hint="eastAsia" w:ascii="宋体" w:hAnsi="宋体" w:eastAsia="方正仿宋简体" w:cs="仿宋"/>
              <w:b/>
              <w:bCs/>
              <w:sz w:val="32"/>
              <w:szCs w:val="32"/>
            </w:rPr>
            <w:fldChar w:fldCharType="end"/>
          </w:r>
          <w:r>
            <w:rPr>
              <w:rFonts w:hint="eastAsia" w:ascii="宋体" w:hAnsi="宋体" w:eastAsia="方正仿宋简体" w:cs="仿宋"/>
              <w:b/>
              <w:bCs/>
              <w:sz w:val="32"/>
              <w:szCs w:val="32"/>
            </w:rPr>
            <w:fldChar w:fldCharType="end"/>
          </w:r>
        </w:p>
        <w:p>
          <w:pPr>
            <w:pStyle w:val="3"/>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640" w:firstLineChars="200"/>
            <w:textAlignment w:val="baseline"/>
            <w:rPr>
              <w:rFonts w:hint="eastAsia" w:ascii="宋体" w:hAnsi="宋体" w:eastAsia="方正仿宋简体" w:cs="仿宋"/>
              <w:sz w:val="32"/>
              <w:szCs w:val="32"/>
            </w:rPr>
          </w:pP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HYPERLINK \l _Toc5792 </w:instrText>
          </w:r>
          <w:r>
            <w:rPr>
              <w:rFonts w:hint="eastAsia" w:ascii="宋体" w:hAnsi="宋体" w:eastAsia="方正仿宋简体" w:cs="仿宋"/>
              <w:sz w:val="32"/>
              <w:szCs w:val="32"/>
            </w:rPr>
            <w:fldChar w:fldCharType="separate"/>
          </w:r>
          <w:r>
            <w:rPr>
              <w:rFonts w:hint="eastAsia" w:ascii="宋体" w:hAnsi="宋体" w:eastAsia="方正仿宋简体" w:cs="仿宋"/>
              <w:snapToGrid w:val="0"/>
              <w:sz w:val="32"/>
              <w:szCs w:val="32"/>
              <w:lang w:val="en-US" w:eastAsia="zh-CN"/>
              <w14:ligatures w14:val="none"/>
            </w:rPr>
            <w:t>一、范围期限</w:t>
          </w:r>
          <w:r>
            <w:rPr>
              <w:rFonts w:hint="eastAsia" w:ascii="宋体" w:hAnsi="宋体" w:eastAsia="方正仿宋简体" w:cs="仿宋"/>
              <w:sz w:val="32"/>
              <w:szCs w:val="32"/>
            </w:rPr>
            <w:tab/>
          </w: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PAGEREF _Toc5792 \h </w:instrText>
          </w:r>
          <w:r>
            <w:rPr>
              <w:rFonts w:hint="eastAsia" w:ascii="宋体" w:hAnsi="宋体" w:eastAsia="方正仿宋简体" w:cs="仿宋"/>
              <w:sz w:val="32"/>
              <w:szCs w:val="32"/>
            </w:rPr>
            <w:fldChar w:fldCharType="separate"/>
          </w:r>
          <w:r>
            <w:rPr>
              <w:rFonts w:hint="eastAsia" w:ascii="宋体" w:hAnsi="宋体" w:eastAsia="方正仿宋简体" w:cs="仿宋"/>
              <w:sz w:val="32"/>
              <w:szCs w:val="32"/>
            </w:rPr>
            <w:t>6</w:t>
          </w:r>
          <w:r>
            <w:rPr>
              <w:rFonts w:hint="eastAsia" w:ascii="宋体" w:hAnsi="宋体" w:eastAsia="方正仿宋简体" w:cs="仿宋"/>
              <w:sz w:val="32"/>
              <w:szCs w:val="32"/>
            </w:rPr>
            <w:fldChar w:fldCharType="end"/>
          </w:r>
          <w:r>
            <w:rPr>
              <w:rFonts w:hint="eastAsia" w:ascii="宋体" w:hAnsi="宋体" w:eastAsia="方正仿宋简体" w:cs="仿宋"/>
              <w:sz w:val="32"/>
              <w:szCs w:val="32"/>
            </w:rPr>
            <w:fldChar w:fldCharType="end"/>
          </w:r>
        </w:p>
        <w:p>
          <w:pPr>
            <w:pStyle w:val="3"/>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640" w:firstLineChars="200"/>
            <w:textAlignment w:val="baseline"/>
            <w:rPr>
              <w:rFonts w:hint="eastAsia" w:ascii="宋体" w:hAnsi="宋体" w:eastAsia="方正仿宋简体" w:cs="仿宋"/>
              <w:sz w:val="32"/>
              <w:szCs w:val="32"/>
            </w:rPr>
          </w:pP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HYPERLINK \l _Toc22633 </w:instrText>
          </w:r>
          <w:r>
            <w:rPr>
              <w:rFonts w:hint="eastAsia" w:ascii="宋体" w:hAnsi="宋体" w:eastAsia="方正仿宋简体" w:cs="仿宋"/>
              <w:sz w:val="32"/>
              <w:szCs w:val="32"/>
            </w:rPr>
            <w:fldChar w:fldCharType="separate"/>
          </w:r>
          <w:r>
            <w:rPr>
              <w:rFonts w:hint="eastAsia" w:ascii="宋体" w:hAnsi="宋体" w:eastAsia="方正仿宋简体" w:cs="仿宋"/>
              <w:snapToGrid w:val="0"/>
              <w:sz w:val="32"/>
              <w:szCs w:val="32"/>
              <w:lang w:val="en-US" w:eastAsia="zh-CN"/>
              <w14:ligatures w14:val="none"/>
            </w:rPr>
            <w:t>二、目标任务</w:t>
          </w:r>
          <w:r>
            <w:rPr>
              <w:rFonts w:hint="eastAsia" w:ascii="宋体" w:hAnsi="宋体" w:eastAsia="方正仿宋简体" w:cs="仿宋"/>
              <w:sz w:val="32"/>
              <w:szCs w:val="32"/>
            </w:rPr>
            <w:tab/>
          </w: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PAGEREF _Toc22633 \h </w:instrText>
          </w:r>
          <w:r>
            <w:rPr>
              <w:rFonts w:hint="eastAsia" w:ascii="宋体" w:hAnsi="宋体" w:eastAsia="方正仿宋简体" w:cs="仿宋"/>
              <w:sz w:val="32"/>
              <w:szCs w:val="32"/>
            </w:rPr>
            <w:fldChar w:fldCharType="separate"/>
          </w:r>
          <w:r>
            <w:rPr>
              <w:rFonts w:hint="eastAsia" w:ascii="宋体" w:hAnsi="宋体" w:eastAsia="方正仿宋简体" w:cs="仿宋"/>
              <w:sz w:val="32"/>
              <w:szCs w:val="32"/>
            </w:rPr>
            <w:t>7</w:t>
          </w:r>
          <w:r>
            <w:rPr>
              <w:rFonts w:hint="eastAsia" w:ascii="宋体" w:hAnsi="宋体" w:eastAsia="方正仿宋简体" w:cs="仿宋"/>
              <w:sz w:val="32"/>
              <w:szCs w:val="32"/>
            </w:rPr>
            <w:fldChar w:fldCharType="end"/>
          </w:r>
          <w:r>
            <w:rPr>
              <w:rFonts w:hint="eastAsia" w:ascii="宋体" w:hAnsi="宋体" w:eastAsia="方正仿宋简体" w:cs="仿宋"/>
              <w:sz w:val="32"/>
              <w:szCs w:val="32"/>
            </w:rPr>
            <w:fldChar w:fldCharType="end"/>
          </w:r>
        </w:p>
        <w:p>
          <w:pPr>
            <w:pStyle w:val="6"/>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0" w:firstLineChars="0"/>
            <w:textAlignment w:val="baseline"/>
            <w:rPr>
              <w:rFonts w:hint="eastAsia" w:ascii="宋体" w:hAnsi="宋体" w:eastAsia="方正仿宋简体" w:cs="仿宋"/>
              <w:b/>
              <w:bCs/>
              <w:sz w:val="32"/>
              <w:szCs w:val="32"/>
            </w:rPr>
          </w:pPr>
          <w:r>
            <w:rPr>
              <w:rFonts w:hint="eastAsia" w:ascii="宋体" w:hAnsi="宋体" w:eastAsia="方正仿宋简体" w:cs="仿宋"/>
              <w:b/>
              <w:bCs/>
              <w:sz w:val="32"/>
              <w:szCs w:val="32"/>
            </w:rPr>
            <w:fldChar w:fldCharType="begin"/>
          </w:r>
          <w:r>
            <w:rPr>
              <w:rFonts w:hint="eastAsia" w:ascii="宋体" w:hAnsi="宋体" w:eastAsia="方正仿宋简体" w:cs="仿宋"/>
              <w:b/>
              <w:bCs/>
              <w:sz w:val="32"/>
              <w:szCs w:val="32"/>
            </w:rPr>
            <w:instrText xml:space="preserve"> HYPERLINK \l _Toc32099 </w:instrText>
          </w:r>
          <w:r>
            <w:rPr>
              <w:rFonts w:hint="eastAsia" w:ascii="宋体" w:hAnsi="宋体" w:eastAsia="方正仿宋简体" w:cs="仿宋"/>
              <w:b/>
              <w:bCs/>
              <w:sz w:val="32"/>
              <w:szCs w:val="32"/>
            </w:rPr>
            <w:fldChar w:fldCharType="separate"/>
          </w:r>
          <w:r>
            <w:rPr>
              <w:rFonts w:hint="eastAsia" w:ascii="宋体" w:hAnsi="宋体" w:eastAsia="方正仿宋简体" w:cs="仿宋"/>
              <w:b/>
              <w:bCs/>
              <w:snapToGrid w:val="0"/>
              <w:kern w:val="44"/>
              <w:sz w:val="32"/>
              <w:szCs w:val="32"/>
              <w14:ligatures w14:val="none"/>
            </w:rPr>
            <w:t>第三章  总体布局</w:t>
          </w:r>
          <w:r>
            <w:rPr>
              <w:rFonts w:hint="eastAsia" w:ascii="宋体" w:hAnsi="宋体" w:eastAsia="方正仿宋简体" w:cs="仿宋"/>
              <w:b/>
              <w:bCs/>
              <w:sz w:val="32"/>
              <w:szCs w:val="32"/>
            </w:rPr>
            <w:tab/>
          </w:r>
          <w:r>
            <w:rPr>
              <w:rFonts w:hint="eastAsia" w:ascii="宋体" w:hAnsi="宋体" w:eastAsia="方正仿宋简体" w:cs="仿宋"/>
              <w:b/>
              <w:bCs/>
              <w:sz w:val="32"/>
              <w:szCs w:val="32"/>
            </w:rPr>
            <w:fldChar w:fldCharType="begin"/>
          </w:r>
          <w:r>
            <w:rPr>
              <w:rFonts w:hint="eastAsia" w:ascii="宋体" w:hAnsi="宋体" w:eastAsia="方正仿宋简体" w:cs="仿宋"/>
              <w:b/>
              <w:bCs/>
              <w:sz w:val="32"/>
              <w:szCs w:val="32"/>
            </w:rPr>
            <w:instrText xml:space="preserve"> PAGEREF _Toc32099 \h </w:instrText>
          </w:r>
          <w:r>
            <w:rPr>
              <w:rFonts w:hint="eastAsia" w:ascii="宋体" w:hAnsi="宋体" w:eastAsia="方正仿宋简体" w:cs="仿宋"/>
              <w:b/>
              <w:bCs/>
              <w:sz w:val="32"/>
              <w:szCs w:val="32"/>
            </w:rPr>
            <w:fldChar w:fldCharType="separate"/>
          </w:r>
          <w:r>
            <w:rPr>
              <w:rFonts w:hint="eastAsia" w:ascii="宋体" w:hAnsi="宋体" w:eastAsia="方正仿宋简体" w:cs="仿宋"/>
              <w:b/>
              <w:bCs/>
              <w:sz w:val="32"/>
              <w:szCs w:val="32"/>
            </w:rPr>
            <w:t>8</w:t>
          </w:r>
          <w:r>
            <w:rPr>
              <w:rFonts w:hint="eastAsia" w:ascii="宋体" w:hAnsi="宋体" w:eastAsia="方正仿宋简体" w:cs="仿宋"/>
              <w:b/>
              <w:bCs/>
              <w:sz w:val="32"/>
              <w:szCs w:val="32"/>
            </w:rPr>
            <w:fldChar w:fldCharType="end"/>
          </w:r>
          <w:r>
            <w:rPr>
              <w:rFonts w:hint="eastAsia" w:ascii="宋体" w:hAnsi="宋体" w:eastAsia="方正仿宋简体" w:cs="仿宋"/>
              <w:b/>
              <w:bCs/>
              <w:sz w:val="32"/>
              <w:szCs w:val="32"/>
            </w:rPr>
            <w:fldChar w:fldCharType="end"/>
          </w:r>
        </w:p>
        <w:p>
          <w:pPr>
            <w:pStyle w:val="3"/>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640" w:firstLineChars="200"/>
            <w:textAlignment w:val="baseline"/>
            <w:rPr>
              <w:rFonts w:hint="eastAsia" w:ascii="宋体" w:hAnsi="宋体" w:eastAsia="方正仿宋简体" w:cs="仿宋"/>
              <w:sz w:val="32"/>
              <w:szCs w:val="32"/>
            </w:rPr>
          </w:pP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HYPERLINK \l _Toc2026 </w:instrText>
          </w:r>
          <w:r>
            <w:rPr>
              <w:rFonts w:hint="eastAsia" w:ascii="宋体" w:hAnsi="宋体" w:eastAsia="方正仿宋简体" w:cs="仿宋"/>
              <w:sz w:val="32"/>
              <w:szCs w:val="32"/>
            </w:rPr>
            <w:fldChar w:fldCharType="separate"/>
          </w:r>
          <w:r>
            <w:rPr>
              <w:rFonts w:hint="eastAsia" w:ascii="宋体" w:hAnsi="宋体" w:eastAsia="方正仿宋简体" w:cs="仿宋"/>
              <w:snapToGrid w:val="0"/>
              <w:sz w:val="32"/>
              <w:szCs w:val="32"/>
              <w:lang w:val="en-US" w:eastAsia="zh-CN"/>
              <w14:ligatures w14:val="none"/>
            </w:rPr>
            <w:t>一、天然林保护与公益林管理并轨</w:t>
          </w:r>
          <w:r>
            <w:rPr>
              <w:rFonts w:hint="eastAsia" w:ascii="宋体" w:hAnsi="宋体" w:eastAsia="方正仿宋简体" w:cs="仿宋"/>
              <w:sz w:val="32"/>
              <w:szCs w:val="32"/>
            </w:rPr>
            <w:tab/>
          </w: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PAGEREF _Toc2026 \h </w:instrText>
          </w:r>
          <w:r>
            <w:rPr>
              <w:rFonts w:hint="eastAsia" w:ascii="宋体" w:hAnsi="宋体" w:eastAsia="方正仿宋简体" w:cs="仿宋"/>
              <w:sz w:val="32"/>
              <w:szCs w:val="32"/>
            </w:rPr>
            <w:fldChar w:fldCharType="separate"/>
          </w:r>
          <w:r>
            <w:rPr>
              <w:rFonts w:hint="eastAsia" w:ascii="宋体" w:hAnsi="宋体" w:eastAsia="方正仿宋简体" w:cs="仿宋"/>
              <w:sz w:val="32"/>
              <w:szCs w:val="32"/>
            </w:rPr>
            <w:t>8</w:t>
          </w:r>
          <w:r>
            <w:rPr>
              <w:rFonts w:hint="eastAsia" w:ascii="宋体" w:hAnsi="宋体" w:eastAsia="方正仿宋简体" w:cs="仿宋"/>
              <w:sz w:val="32"/>
              <w:szCs w:val="32"/>
            </w:rPr>
            <w:fldChar w:fldCharType="end"/>
          </w:r>
          <w:r>
            <w:rPr>
              <w:rFonts w:hint="eastAsia" w:ascii="宋体" w:hAnsi="宋体" w:eastAsia="方正仿宋简体" w:cs="仿宋"/>
              <w:sz w:val="32"/>
              <w:szCs w:val="32"/>
            </w:rPr>
            <w:fldChar w:fldCharType="end"/>
          </w:r>
        </w:p>
        <w:p>
          <w:pPr>
            <w:pStyle w:val="3"/>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640" w:firstLineChars="200"/>
            <w:textAlignment w:val="baseline"/>
            <w:rPr>
              <w:rFonts w:hint="eastAsia" w:ascii="宋体" w:hAnsi="宋体" w:eastAsia="方正仿宋简体" w:cs="仿宋"/>
              <w:sz w:val="32"/>
              <w:szCs w:val="32"/>
            </w:rPr>
          </w:pP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HYPERLINK \l _Toc4770 </w:instrText>
          </w:r>
          <w:r>
            <w:rPr>
              <w:rFonts w:hint="eastAsia" w:ascii="宋体" w:hAnsi="宋体" w:eastAsia="方正仿宋简体" w:cs="仿宋"/>
              <w:sz w:val="32"/>
              <w:szCs w:val="32"/>
            </w:rPr>
            <w:fldChar w:fldCharType="separate"/>
          </w:r>
          <w:r>
            <w:rPr>
              <w:rFonts w:hint="eastAsia" w:ascii="宋体" w:hAnsi="宋体" w:eastAsia="方正仿宋简体" w:cs="仿宋"/>
              <w:snapToGrid w:val="0"/>
              <w:sz w:val="32"/>
              <w:szCs w:val="32"/>
              <w:lang w:val="en-US" w:eastAsia="zh-CN"/>
              <w14:ligatures w14:val="none"/>
            </w:rPr>
            <w:t>二、分类管控</w:t>
          </w:r>
          <w:r>
            <w:rPr>
              <w:rFonts w:hint="eastAsia" w:ascii="宋体" w:hAnsi="宋体" w:eastAsia="方正仿宋简体" w:cs="仿宋"/>
              <w:sz w:val="32"/>
              <w:szCs w:val="32"/>
            </w:rPr>
            <w:tab/>
          </w: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PAGEREF _Toc4770 \h </w:instrText>
          </w:r>
          <w:r>
            <w:rPr>
              <w:rFonts w:hint="eastAsia" w:ascii="宋体" w:hAnsi="宋体" w:eastAsia="方正仿宋简体" w:cs="仿宋"/>
              <w:sz w:val="32"/>
              <w:szCs w:val="32"/>
            </w:rPr>
            <w:fldChar w:fldCharType="separate"/>
          </w:r>
          <w:r>
            <w:rPr>
              <w:rFonts w:hint="eastAsia" w:ascii="宋体" w:hAnsi="宋体" w:eastAsia="方正仿宋简体" w:cs="仿宋"/>
              <w:sz w:val="32"/>
              <w:szCs w:val="32"/>
            </w:rPr>
            <w:t>8</w:t>
          </w:r>
          <w:r>
            <w:rPr>
              <w:rFonts w:hint="eastAsia" w:ascii="宋体" w:hAnsi="宋体" w:eastAsia="方正仿宋简体" w:cs="仿宋"/>
              <w:sz w:val="32"/>
              <w:szCs w:val="32"/>
            </w:rPr>
            <w:fldChar w:fldCharType="end"/>
          </w:r>
          <w:r>
            <w:rPr>
              <w:rFonts w:hint="eastAsia" w:ascii="宋体" w:hAnsi="宋体" w:eastAsia="方正仿宋简体" w:cs="仿宋"/>
              <w:sz w:val="32"/>
              <w:szCs w:val="32"/>
            </w:rPr>
            <w:fldChar w:fldCharType="end"/>
          </w:r>
        </w:p>
        <w:p>
          <w:pPr>
            <w:pStyle w:val="3"/>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640" w:firstLineChars="200"/>
            <w:textAlignment w:val="baseline"/>
            <w:rPr>
              <w:rFonts w:hint="eastAsia" w:ascii="宋体" w:hAnsi="宋体" w:eastAsia="方正仿宋简体" w:cs="仿宋"/>
              <w:sz w:val="32"/>
              <w:szCs w:val="32"/>
            </w:rPr>
          </w:pP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HYPERLINK \l _Toc28543 </w:instrText>
          </w:r>
          <w:r>
            <w:rPr>
              <w:rFonts w:hint="eastAsia" w:ascii="宋体" w:hAnsi="宋体" w:eastAsia="方正仿宋简体" w:cs="仿宋"/>
              <w:sz w:val="32"/>
              <w:szCs w:val="32"/>
            </w:rPr>
            <w:fldChar w:fldCharType="separate"/>
          </w:r>
          <w:r>
            <w:rPr>
              <w:rFonts w:hint="eastAsia" w:ascii="宋体" w:hAnsi="宋体" w:eastAsia="方正仿宋简体" w:cs="仿宋"/>
              <w:snapToGrid w:val="0"/>
              <w:sz w:val="32"/>
              <w:szCs w:val="32"/>
              <w:lang w:val="en-US" w:eastAsia="zh-CN"/>
              <w14:ligatures w14:val="none"/>
            </w:rPr>
            <w:t>三、分区修复</w:t>
          </w:r>
          <w:r>
            <w:rPr>
              <w:rFonts w:hint="eastAsia" w:ascii="宋体" w:hAnsi="宋体" w:eastAsia="方正仿宋简体" w:cs="仿宋"/>
              <w:sz w:val="32"/>
              <w:szCs w:val="32"/>
            </w:rPr>
            <w:tab/>
          </w: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PAGEREF _Toc28543 \h </w:instrText>
          </w:r>
          <w:r>
            <w:rPr>
              <w:rFonts w:hint="eastAsia" w:ascii="宋体" w:hAnsi="宋体" w:eastAsia="方正仿宋简体" w:cs="仿宋"/>
              <w:sz w:val="32"/>
              <w:szCs w:val="32"/>
            </w:rPr>
            <w:fldChar w:fldCharType="separate"/>
          </w:r>
          <w:r>
            <w:rPr>
              <w:rFonts w:hint="eastAsia" w:ascii="宋体" w:hAnsi="宋体" w:eastAsia="方正仿宋简体" w:cs="仿宋"/>
              <w:sz w:val="32"/>
              <w:szCs w:val="32"/>
            </w:rPr>
            <w:t>9</w:t>
          </w:r>
          <w:r>
            <w:rPr>
              <w:rFonts w:hint="eastAsia" w:ascii="宋体" w:hAnsi="宋体" w:eastAsia="方正仿宋简体" w:cs="仿宋"/>
              <w:sz w:val="32"/>
              <w:szCs w:val="32"/>
            </w:rPr>
            <w:fldChar w:fldCharType="end"/>
          </w:r>
          <w:r>
            <w:rPr>
              <w:rFonts w:hint="eastAsia" w:ascii="宋体" w:hAnsi="宋体" w:eastAsia="方正仿宋简体" w:cs="仿宋"/>
              <w:sz w:val="32"/>
              <w:szCs w:val="32"/>
            </w:rPr>
            <w:fldChar w:fldCharType="end"/>
          </w:r>
        </w:p>
        <w:p>
          <w:pPr>
            <w:pStyle w:val="6"/>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0" w:firstLineChars="0"/>
            <w:textAlignment w:val="baseline"/>
            <w:rPr>
              <w:rFonts w:hint="eastAsia" w:ascii="宋体" w:hAnsi="宋体" w:eastAsia="方正仿宋简体" w:cs="仿宋"/>
              <w:b/>
              <w:bCs/>
              <w:sz w:val="32"/>
              <w:szCs w:val="32"/>
            </w:rPr>
          </w:pPr>
          <w:r>
            <w:rPr>
              <w:rFonts w:hint="eastAsia" w:ascii="宋体" w:hAnsi="宋体" w:eastAsia="方正仿宋简体" w:cs="仿宋"/>
              <w:b/>
              <w:bCs/>
              <w:sz w:val="32"/>
              <w:szCs w:val="32"/>
            </w:rPr>
            <w:fldChar w:fldCharType="begin"/>
          </w:r>
          <w:r>
            <w:rPr>
              <w:rFonts w:hint="eastAsia" w:ascii="宋体" w:hAnsi="宋体" w:eastAsia="方正仿宋简体" w:cs="仿宋"/>
              <w:b/>
              <w:bCs/>
              <w:sz w:val="32"/>
              <w:szCs w:val="32"/>
            </w:rPr>
            <w:instrText xml:space="preserve"> HYPERLINK \l _Toc11784 </w:instrText>
          </w:r>
          <w:r>
            <w:rPr>
              <w:rFonts w:hint="eastAsia" w:ascii="宋体" w:hAnsi="宋体" w:eastAsia="方正仿宋简体" w:cs="仿宋"/>
              <w:b/>
              <w:bCs/>
              <w:sz w:val="32"/>
              <w:szCs w:val="32"/>
            </w:rPr>
            <w:fldChar w:fldCharType="separate"/>
          </w:r>
          <w:r>
            <w:rPr>
              <w:rFonts w:hint="eastAsia" w:ascii="宋体" w:hAnsi="宋体" w:eastAsia="方正仿宋简体" w:cs="仿宋"/>
              <w:b/>
              <w:bCs/>
              <w:snapToGrid w:val="0"/>
              <w:kern w:val="44"/>
              <w:sz w:val="32"/>
              <w:szCs w:val="32"/>
              <w14:ligatures w14:val="none"/>
            </w:rPr>
            <w:t>第四章  天然林保护</w:t>
          </w:r>
          <w:r>
            <w:rPr>
              <w:rFonts w:hint="eastAsia" w:ascii="宋体" w:hAnsi="宋体" w:eastAsia="方正仿宋简体" w:cs="仿宋"/>
              <w:b/>
              <w:bCs/>
              <w:sz w:val="32"/>
              <w:szCs w:val="32"/>
            </w:rPr>
            <w:tab/>
          </w:r>
          <w:r>
            <w:rPr>
              <w:rFonts w:hint="eastAsia" w:ascii="宋体" w:hAnsi="宋体" w:eastAsia="方正仿宋简体" w:cs="仿宋"/>
              <w:b/>
              <w:bCs/>
              <w:sz w:val="32"/>
              <w:szCs w:val="32"/>
            </w:rPr>
            <w:fldChar w:fldCharType="begin"/>
          </w:r>
          <w:r>
            <w:rPr>
              <w:rFonts w:hint="eastAsia" w:ascii="宋体" w:hAnsi="宋体" w:eastAsia="方正仿宋简体" w:cs="仿宋"/>
              <w:b/>
              <w:bCs/>
              <w:sz w:val="32"/>
              <w:szCs w:val="32"/>
            </w:rPr>
            <w:instrText xml:space="preserve"> PAGEREF _Toc11784 \h </w:instrText>
          </w:r>
          <w:r>
            <w:rPr>
              <w:rFonts w:hint="eastAsia" w:ascii="宋体" w:hAnsi="宋体" w:eastAsia="方正仿宋简体" w:cs="仿宋"/>
              <w:b/>
              <w:bCs/>
              <w:sz w:val="32"/>
              <w:szCs w:val="32"/>
            </w:rPr>
            <w:fldChar w:fldCharType="separate"/>
          </w:r>
          <w:r>
            <w:rPr>
              <w:rFonts w:hint="eastAsia" w:ascii="宋体" w:hAnsi="宋体" w:eastAsia="方正仿宋简体" w:cs="仿宋"/>
              <w:b/>
              <w:bCs/>
              <w:sz w:val="32"/>
              <w:szCs w:val="32"/>
            </w:rPr>
            <w:t>10</w:t>
          </w:r>
          <w:r>
            <w:rPr>
              <w:rFonts w:hint="eastAsia" w:ascii="宋体" w:hAnsi="宋体" w:eastAsia="方正仿宋简体" w:cs="仿宋"/>
              <w:b/>
              <w:bCs/>
              <w:sz w:val="32"/>
              <w:szCs w:val="32"/>
            </w:rPr>
            <w:fldChar w:fldCharType="end"/>
          </w:r>
          <w:r>
            <w:rPr>
              <w:rFonts w:hint="eastAsia" w:ascii="宋体" w:hAnsi="宋体" w:eastAsia="方正仿宋简体" w:cs="仿宋"/>
              <w:b/>
              <w:bCs/>
              <w:sz w:val="32"/>
              <w:szCs w:val="32"/>
            </w:rPr>
            <w:fldChar w:fldCharType="end"/>
          </w:r>
        </w:p>
        <w:p>
          <w:pPr>
            <w:pStyle w:val="3"/>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640" w:firstLineChars="200"/>
            <w:textAlignment w:val="baseline"/>
            <w:rPr>
              <w:rFonts w:hint="eastAsia" w:ascii="宋体" w:hAnsi="宋体" w:eastAsia="方正仿宋简体" w:cs="仿宋"/>
              <w:sz w:val="32"/>
              <w:szCs w:val="32"/>
            </w:rPr>
          </w:pP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HYPERLINK \l _Toc20094 </w:instrText>
          </w:r>
          <w:r>
            <w:rPr>
              <w:rFonts w:hint="eastAsia" w:ascii="宋体" w:hAnsi="宋体" w:eastAsia="方正仿宋简体" w:cs="仿宋"/>
              <w:sz w:val="32"/>
              <w:szCs w:val="32"/>
            </w:rPr>
            <w:fldChar w:fldCharType="separate"/>
          </w:r>
          <w:r>
            <w:rPr>
              <w:rFonts w:hint="eastAsia" w:ascii="宋体" w:hAnsi="宋体" w:eastAsia="方正仿宋简体" w:cs="仿宋"/>
              <w:snapToGrid w:val="0"/>
              <w:sz w:val="32"/>
              <w:szCs w:val="32"/>
              <w:lang w:val="en-US" w:eastAsia="zh-CN"/>
              <w14:ligatures w14:val="none"/>
            </w:rPr>
            <w:t>一、现状评价</w:t>
          </w:r>
          <w:r>
            <w:rPr>
              <w:rFonts w:hint="eastAsia" w:ascii="宋体" w:hAnsi="宋体" w:eastAsia="方正仿宋简体" w:cs="仿宋"/>
              <w:sz w:val="32"/>
              <w:szCs w:val="32"/>
            </w:rPr>
            <w:tab/>
          </w: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PAGEREF _Toc20094 \h </w:instrText>
          </w:r>
          <w:r>
            <w:rPr>
              <w:rFonts w:hint="eastAsia" w:ascii="宋体" w:hAnsi="宋体" w:eastAsia="方正仿宋简体" w:cs="仿宋"/>
              <w:sz w:val="32"/>
              <w:szCs w:val="32"/>
            </w:rPr>
            <w:fldChar w:fldCharType="separate"/>
          </w:r>
          <w:r>
            <w:rPr>
              <w:rFonts w:hint="eastAsia" w:ascii="宋体" w:hAnsi="宋体" w:eastAsia="方正仿宋简体" w:cs="仿宋"/>
              <w:sz w:val="32"/>
              <w:szCs w:val="32"/>
            </w:rPr>
            <w:t>10</w:t>
          </w:r>
          <w:r>
            <w:rPr>
              <w:rFonts w:hint="eastAsia" w:ascii="宋体" w:hAnsi="宋体" w:eastAsia="方正仿宋简体" w:cs="仿宋"/>
              <w:sz w:val="32"/>
              <w:szCs w:val="32"/>
            </w:rPr>
            <w:fldChar w:fldCharType="end"/>
          </w:r>
          <w:r>
            <w:rPr>
              <w:rFonts w:hint="eastAsia" w:ascii="宋体" w:hAnsi="宋体" w:eastAsia="方正仿宋简体" w:cs="仿宋"/>
              <w:sz w:val="32"/>
              <w:szCs w:val="32"/>
            </w:rPr>
            <w:fldChar w:fldCharType="end"/>
          </w:r>
        </w:p>
        <w:p>
          <w:pPr>
            <w:pStyle w:val="3"/>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640" w:firstLineChars="200"/>
            <w:textAlignment w:val="baseline"/>
            <w:rPr>
              <w:rFonts w:hint="eastAsia" w:ascii="宋体" w:hAnsi="宋体" w:eastAsia="方正仿宋简体" w:cs="仿宋"/>
              <w:sz w:val="32"/>
              <w:szCs w:val="32"/>
            </w:rPr>
          </w:pP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HYPERLINK \l _Toc1693 </w:instrText>
          </w:r>
          <w:r>
            <w:rPr>
              <w:rFonts w:hint="eastAsia" w:ascii="宋体" w:hAnsi="宋体" w:eastAsia="方正仿宋简体" w:cs="仿宋"/>
              <w:sz w:val="32"/>
              <w:szCs w:val="32"/>
            </w:rPr>
            <w:fldChar w:fldCharType="separate"/>
          </w:r>
          <w:r>
            <w:rPr>
              <w:rFonts w:hint="eastAsia" w:ascii="宋体" w:hAnsi="宋体" w:eastAsia="方正仿宋简体" w:cs="仿宋"/>
              <w:snapToGrid w:val="0"/>
              <w:sz w:val="32"/>
              <w:szCs w:val="32"/>
              <w:lang w:val="en-US" w:eastAsia="zh-CN"/>
              <w14:ligatures w14:val="none"/>
            </w:rPr>
            <w:t>二、资源保护</w:t>
          </w:r>
          <w:r>
            <w:rPr>
              <w:rFonts w:hint="eastAsia" w:ascii="宋体" w:hAnsi="宋体" w:eastAsia="方正仿宋简体" w:cs="仿宋"/>
              <w:sz w:val="32"/>
              <w:szCs w:val="32"/>
            </w:rPr>
            <w:tab/>
          </w: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PAGEREF _Toc1693 \h </w:instrText>
          </w:r>
          <w:r>
            <w:rPr>
              <w:rFonts w:hint="eastAsia" w:ascii="宋体" w:hAnsi="宋体" w:eastAsia="方正仿宋简体" w:cs="仿宋"/>
              <w:sz w:val="32"/>
              <w:szCs w:val="32"/>
            </w:rPr>
            <w:fldChar w:fldCharType="separate"/>
          </w:r>
          <w:r>
            <w:rPr>
              <w:rFonts w:hint="eastAsia" w:ascii="宋体" w:hAnsi="宋体" w:eastAsia="方正仿宋简体" w:cs="仿宋"/>
              <w:sz w:val="32"/>
              <w:szCs w:val="32"/>
            </w:rPr>
            <w:t>12</w:t>
          </w:r>
          <w:r>
            <w:rPr>
              <w:rFonts w:hint="eastAsia" w:ascii="宋体" w:hAnsi="宋体" w:eastAsia="方正仿宋简体" w:cs="仿宋"/>
              <w:sz w:val="32"/>
              <w:szCs w:val="32"/>
            </w:rPr>
            <w:fldChar w:fldCharType="end"/>
          </w:r>
          <w:r>
            <w:rPr>
              <w:rFonts w:hint="eastAsia" w:ascii="宋体" w:hAnsi="宋体" w:eastAsia="方正仿宋简体" w:cs="仿宋"/>
              <w:sz w:val="32"/>
              <w:szCs w:val="32"/>
            </w:rPr>
            <w:fldChar w:fldCharType="end"/>
          </w:r>
        </w:p>
        <w:p>
          <w:pPr>
            <w:pStyle w:val="3"/>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640" w:firstLineChars="200"/>
            <w:textAlignment w:val="baseline"/>
            <w:rPr>
              <w:rFonts w:hint="eastAsia" w:ascii="宋体" w:hAnsi="宋体" w:eastAsia="方正仿宋简体" w:cs="仿宋"/>
              <w:sz w:val="32"/>
              <w:szCs w:val="32"/>
            </w:rPr>
          </w:pP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HYPERLINK \l _Toc18606 </w:instrText>
          </w:r>
          <w:r>
            <w:rPr>
              <w:rFonts w:hint="eastAsia" w:ascii="宋体" w:hAnsi="宋体" w:eastAsia="方正仿宋简体" w:cs="仿宋"/>
              <w:sz w:val="32"/>
              <w:szCs w:val="32"/>
            </w:rPr>
            <w:fldChar w:fldCharType="separate"/>
          </w:r>
          <w:r>
            <w:rPr>
              <w:rFonts w:hint="eastAsia" w:ascii="宋体" w:hAnsi="宋体" w:eastAsia="方正仿宋简体" w:cs="仿宋"/>
              <w:snapToGrid w:val="0"/>
              <w:sz w:val="32"/>
              <w:szCs w:val="32"/>
              <w:lang w:val="en-US" w:eastAsia="zh-CN"/>
              <w14:ligatures w14:val="none"/>
            </w:rPr>
            <w:t>三、全面管护</w:t>
          </w:r>
          <w:r>
            <w:rPr>
              <w:rFonts w:hint="eastAsia" w:ascii="宋体" w:hAnsi="宋体" w:eastAsia="方正仿宋简体" w:cs="仿宋"/>
              <w:sz w:val="32"/>
              <w:szCs w:val="32"/>
            </w:rPr>
            <w:tab/>
          </w: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PAGEREF _Toc18606 \h </w:instrText>
          </w:r>
          <w:r>
            <w:rPr>
              <w:rFonts w:hint="eastAsia" w:ascii="宋体" w:hAnsi="宋体" w:eastAsia="方正仿宋简体" w:cs="仿宋"/>
              <w:sz w:val="32"/>
              <w:szCs w:val="32"/>
            </w:rPr>
            <w:fldChar w:fldCharType="separate"/>
          </w:r>
          <w:r>
            <w:rPr>
              <w:rFonts w:hint="eastAsia" w:ascii="宋体" w:hAnsi="宋体" w:eastAsia="方正仿宋简体" w:cs="仿宋"/>
              <w:sz w:val="32"/>
              <w:szCs w:val="32"/>
            </w:rPr>
            <w:t>14</w:t>
          </w:r>
          <w:r>
            <w:rPr>
              <w:rFonts w:hint="eastAsia" w:ascii="宋体" w:hAnsi="宋体" w:eastAsia="方正仿宋简体" w:cs="仿宋"/>
              <w:sz w:val="32"/>
              <w:szCs w:val="32"/>
            </w:rPr>
            <w:fldChar w:fldCharType="end"/>
          </w:r>
          <w:r>
            <w:rPr>
              <w:rFonts w:hint="eastAsia" w:ascii="宋体" w:hAnsi="宋体" w:eastAsia="方正仿宋简体" w:cs="仿宋"/>
              <w:sz w:val="32"/>
              <w:szCs w:val="32"/>
            </w:rPr>
            <w:fldChar w:fldCharType="end"/>
          </w:r>
        </w:p>
        <w:p>
          <w:pPr>
            <w:pStyle w:val="6"/>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0" w:firstLineChars="0"/>
            <w:textAlignment w:val="baseline"/>
            <w:rPr>
              <w:rFonts w:hint="eastAsia" w:ascii="宋体" w:hAnsi="宋体" w:eastAsia="方正仿宋简体" w:cs="仿宋"/>
              <w:b/>
              <w:bCs/>
              <w:sz w:val="32"/>
              <w:szCs w:val="32"/>
            </w:rPr>
          </w:pPr>
          <w:r>
            <w:rPr>
              <w:rFonts w:hint="eastAsia" w:ascii="宋体" w:hAnsi="宋体" w:eastAsia="方正仿宋简体" w:cs="仿宋"/>
              <w:b/>
              <w:bCs/>
              <w:sz w:val="32"/>
              <w:szCs w:val="32"/>
            </w:rPr>
            <w:fldChar w:fldCharType="begin"/>
          </w:r>
          <w:r>
            <w:rPr>
              <w:rFonts w:hint="eastAsia" w:ascii="宋体" w:hAnsi="宋体" w:eastAsia="方正仿宋简体" w:cs="仿宋"/>
              <w:b/>
              <w:bCs/>
              <w:sz w:val="32"/>
              <w:szCs w:val="32"/>
            </w:rPr>
            <w:instrText xml:space="preserve"> HYPERLINK \l _Toc24164 </w:instrText>
          </w:r>
          <w:r>
            <w:rPr>
              <w:rFonts w:hint="eastAsia" w:ascii="宋体" w:hAnsi="宋体" w:eastAsia="方正仿宋简体" w:cs="仿宋"/>
              <w:b/>
              <w:bCs/>
              <w:sz w:val="32"/>
              <w:szCs w:val="32"/>
            </w:rPr>
            <w:fldChar w:fldCharType="separate"/>
          </w:r>
          <w:r>
            <w:rPr>
              <w:rFonts w:hint="eastAsia" w:ascii="宋体" w:hAnsi="宋体" w:eastAsia="方正仿宋简体" w:cs="仿宋"/>
              <w:b/>
              <w:bCs/>
              <w:snapToGrid w:val="0"/>
              <w:kern w:val="44"/>
              <w:sz w:val="32"/>
              <w:szCs w:val="32"/>
              <w14:ligatures w14:val="none"/>
            </w:rPr>
            <w:t>第五章  天然林修复</w:t>
          </w:r>
          <w:r>
            <w:rPr>
              <w:rFonts w:hint="eastAsia" w:ascii="宋体" w:hAnsi="宋体" w:eastAsia="方正仿宋简体" w:cs="仿宋"/>
              <w:b/>
              <w:bCs/>
              <w:sz w:val="32"/>
              <w:szCs w:val="32"/>
            </w:rPr>
            <w:tab/>
          </w:r>
          <w:r>
            <w:rPr>
              <w:rFonts w:hint="eastAsia" w:ascii="宋体" w:hAnsi="宋体" w:eastAsia="方正仿宋简体" w:cs="仿宋"/>
              <w:b/>
              <w:bCs/>
              <w:sz w:val="32"/>
              <w:szCs w:val="32"/>
            </w:rPr>
            <w:fldChar w:fldCharType="begin"/>
          </w:r>
          <w:r>
            <w:rPr>
              <w:rFonts w:hint="eastAsia" w:ascii="宋体" w:hAnsi="宋体" w:eastAsia="方正仿宋简体" w:cs="仿宋"/>
              <w:b/>
              <w:bCs/>
              <w:sz w:val="32"/>
              <w:szCs w:val="32"/>
            </w:rPr>
            <w:instrText xml:space="preserve"> PAGEREF _Toc24164 \h </w:instrText>
          </w:r>
          <w:r>
            <w:rPr>
              <w:rFonts w:hint="eastAsia" w:ascii="宋体" w:hAnsi="宋体" w:eastAsia="方正仿宋简体" w:cs="仿宋"/>
              <w:b/>
              <w:bCs/>
              <w:sz w:val="32"/>
              <w:szCs w:val="32"/>
            </w:rPr>
            <w:fldChar w:fldCharType="separate"/>
          </w:r>
          <w:r>
            <w:rPr>
              <w:rFonts w:hint="eastAsia" w:ascii="宋体" w:hAnsi="宋体" w:eastAsia="方正仿宋简体" w:cs="仿宋"/>
              <w:b/>
              <w:bCs/>
              <w:sz w:val="32"/>
              <w:szCs w:val="32"/>
            </w:rPr>
            <w:t>16</w:t>
          </w:r>
          <w:r>
            <w:rPr>
              <w:rFonts w:hint="eastAsia" w:ascii="宋体" w:hAnsi="宋体" w:eastAsia="方正仿宋简体" w:cs="仿宋"/>
              <w:b/>
              <w:bCs/>
              <w:sz w:val="32"/>
              <w:szCs w:val="32"/>
            </w:rPr>
            <w:fldChar w:fldCharType="end"/>
          </w:r>
          <w:r>
            <w:rPr>
              <w:rFonts w:hint="eastAsia" w:ascii="宋体" w:hAnsi="宋体" w:eastAsia="方正仿宋简体" w:cs="仿宋"/>
              <w:b/>
              <w:bCs/>
              <w:sz w:val="32"/>
              <w:szCs w:val="32"/>
            </w:rPr>
            <w:fldChar w:fldCharType="end"/>
          </w:r>
        </w:p>
        <w:p>
          <w:pPr>
            <w:pStyle w:val="3"/>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640" w:firstLineChars="200"/>
            <w:textAlignment w:val="baseline"/>
            <w:rPr>
              <w:rFonts w:hint="eastAsia" w:ascii="宋体" w:hAnsi="宋体" w:eastAsia="方正仿宋简体" w:cs="仿宋"/>
              <w:sz w:val="32"/>
              <w:szCs w:val="32"/>
            </w:rPr>
          </w:pP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HYPERLINK \l _Toc30710 </w:instrText>
          </w:r>
          <w:r>
            <w:rPr>
              <w:rFonts w:hint="eastAsia" w:ascii="宋体" w:hAnsi="宋体" w:eastAsia="方正仿宋简体" w:cs="仿宋"/>
              <w:sz w:val="32"/>
              <w:szCs w:val="32"/>
            </w:rPr>
            <w:fldChar w:fldCharType="separate"/>
          </w:r>
          <w:r>
            <w:rPr>
              <w:rFonts w:hint="eastAsia" w:ascii="宋体" w:hAnsi="宋体" w:eastAsia="方正仿宋简体" w:cs="仿宋"/>
              <w:snapToGrid w:val="0"/>
              <w:sz w:val="32"/>
              <w:szCs w:val="32"/>
              <w:lang w:val="en-US" w:eastAsia="zh-CN"/>
              <w14:ligatures w14:val="none"/>
            </w:rPr>
            <w:t>一、修复对象及措施</w:t>
          </w:r>
          <w:r>
            <w:rPr>
              <w:rFonts w:hint="eastAsia" w:ascii="宋体" w:hAnsi="宋体" w:eastAsia="方正仿宋简体" w:cs="仿宋"/>
              <w:sz w:val="32"/>
              <w:szCs w:val="32"/>
            </w:rPr>
            <w:tab/>
          </w: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PAGEREF _Toc30710 \h </w:instrText>
          </w:r>
          <w:r>
            <w:rPr>
              <w:rFonts w:hint="eastAsia" w:ascii="宋体" w:hAnsi="宋体" w:eastAsia="方正仿宋简体" w:cs="仿宋"/>
              <w:sz w:val="32"/>
              <w:szCs w:val="32"/>
            </w:rPr>
            <w:fldChar w:fldCharType="separate"/>
          </w:r>
          <w:r>
            <w:rPr>
              <w:rFonts w:hint="eastAsia" w:ascii="宋体" w:hAnsi="宋体" w:eastAsia="方正仿宋简体" w:cs="仿宋"/>
              <w:sz w:val="32"/>
              <w:szCs w:val="32"/>
            </w:rPr>
            <w:t>16</w:t>
          </w:r>
          <w:r>
            <w:rPr>
              <w:rFonts w:hint="eastAsia" w:ascii="宋体" w:hAnsi="宋体" w:eastAsia="方正仿宋简体" w:cs="仿宋"/>
              <w:sz w:val="32"/>
              <w:szCs w:val="32"/>
            </w:rPr>
            <w:fldChar w:fldCharType="end"/>
          </w:r>
          <w:r>
            <w:rPr>
              <w:rFonts w:hint="eastAsia" w:ascii="宋体" w:hAnsi="宋体" w:eastAsia="方正仿宋简体" w:cs="仿宋"/>
              <w:sz w:val="32"/>
              <w:szCs w:val="32"/>
            </w:rPr>
            <w:fldChar w:fldCharType="end"/>
          </w:r>
        </w:p>
        <w:p>
          <w:pPr>
            <w:pStyle w:val="3"/>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640" w:firstLineChars="200"/>
            <w:textAlignment w:val="baseline"/>
            <w:rPr>
              <w:rFonts w:hint="eastAsia" w:ascii="宋体" w:hAnsi="宋体" w:eastAsia="方正仿宋简体" w:cs="仿宋"/>
              <w:sz w:val="32"/>
              <w:szCs w:val="32"/>
            </w:rPr>
          </w:pP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HYPERLINK \l _Toc4048 </w:instrText>
          </w:r>
          <w:r>
            <w:rPr>
              <w:rFonts w:hint="eastAsia" w:ascii="宋体" w:hAnsi="宋体" w:eastAsia="方正仿宋简体" w:cs="仿宋"/>
              <w:sz w:val="32"/>
              <w:szCs w:val="32"/>
            </w:rPr>
            <w:fldChar w:fldCharType="separate"/>
          </w:r>
          <w:r>
            <w:rPr>
              <w:rFonts w:hint="eastAsia" w:ascii="宋体" w:hAnsi="宋体" w:eastAsia="方正仿宋简体" w:cs="仿宋"/>
              <w:snapToGrid w:val="0"/>
              <w:sz w:val="32"/>
              <w:szCs w:val="32"/>
              <w:lang w:val="en-US" w:eastAsia="zh-CN"/>
              <w14:ligatures w14:val="none"/>
            </w:rPr>
            <w:t>二、修复任务</w:t>
          </w:r>
          <w:r>
            <w:rPr>
              <w:rFonts w:hint="eastAsia" w:ascii="宋体" w:hAnsi="宋体" w:eastAsia="方正仿宋简体" w:cs="仿宋"/>
              <w:sz w:val="32"/>
              <w:szCs w:val="32"/>
            </w:rPr>
            <w:tab/>
          </w: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PAGEREF _Toc4048 \h </w:instrText>
          </w:r>
          <w:r>
            <w:rPr>
              <w:rFonts w:hint="eastAsia" w:ascii="宋体" w:hAnsi="宋体" w:eastAsia="方正仿宋简体" w:cs="仿宋"/>
              <w:sz w:val="32"/>
              <w:szCs w:val="32"/>
            </w:rPr>
            <w:fldChar w:fldCharType="separate"/>
          </w:r>
          <w:r>
            <w:rPr>
              <w:rFonts w:hint="eastAsia" w:ascii="宋体" w:hAnsi="宋体" w:eastAsia="方正仿宋简体" w:cs="仿宋"/>
              <w:sz w:val="32"/>
              <w:szCs w:val="32"/>
            </w:rPr>
            <w:t>17</w:t>
          </w:r>
          <w:r>
            <w:rPr>
              <w:rFonts w:hint="eastAsia" w:ascii="宋体" w:hAnsi="宋体" w:eastAsia="方正仿宋简体" w:cs="仿宋"/>
              <w:sz w:val="32"/>
              <w:szCs w:val="32"/>
            </w:rPr>
            <w:fldChar w:fldCharType="end"/>
          </w:r>
          <w:r>
            <w:rPr>
              <w:rFonts w:hint="eastAsia" w:ascii="宋体" w:hAnsi="宋体" w:eastAsia="方正仿宋简体" w:cs="仿宋"/>
              <w:sz w:val="32"/>
              <w:szCs w:val="32"/>
            </w:rPr>
            <w:fldChar w:fldCharType="end"/>
          </w:r>
        </w:p>
        <w:p>
          <w:pPr>
            <w:pStyle w:val="6"/>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0" w:firstLineChars="0"/>
            <w:textAlignment w:val="baseline"/>
            <w:rPr>
              <w:rFonts w:hint="eastAsia" w:ascii="宋体" w:hAnsi="宋体" w:eastAsia="方正仿宋简体" w:cs="仿宋"/>
              <w:b/>
              <w:bCs/>
              <w:sz w:val="32"/>
              <w:szCs w:val="32"/>
            </w:rPr>
          </w:pPr>
          <w:r>
            <w:rPr>
              <w:rFonts w:hint="eastAsia" w:ascii="宋体" w:hAnsi="宋体" w:eastAsia="方正仿宋简体" w:cs="仿宋"/>
              <w:b/>
              <w:bCs/>
              <w:sz w:val="32"/>
              <w:szCs w:val="32"/>
            </w:rPr>
            <w:fldChar w:fldCharType="begin"/>
          </w:r>
          <w:r>
            <w:rPr>
              <w:rFonts w:hint="eastAsia" w:ascii="宋体" w:hAnsi="宋体" w:eastAsia="方正仿宋简体" w:cs="仿宋"/>
              <w:b/>
              <w:bCs/>
              <w:sz w:val="32"/>
              <w:szCs w:val="32"/>
            </w:rPr>
            <w:instrText xml:space="preserve"> HYPERLINK \l _Toc31876 </w:instrText>
          </w:r>
          <w:r>
            <w:rPr>
              <w:rFonts w:hint="eastAsia" w:ascii="宋体" w:hAnsi="宋体" w:eastAsia="方正仿宋简体" w:cs="仿宋"/>
              <w:b/>
              <w:bCs/>
              <w:sz w:val="32"/>
              <w:szCs w:val="32"/>
            </w:rPr>
            <w:fldChar w:fldCharType="separate"/>
          </w:r>
          <w:r>
            <w:rPr>
              <w:rFonts w:hint="eastAsia" w:ascii="宋体" w:hAnsi="宋体" w:eastAsia="方正仿宋简体" w:cs="仿宋"/>
              <w:b/>
              <w:bCs/>
              <w:snapToGrid w:val="0"/>
              <w:kern w:val="44"/>
              <w:sz w:val="32"/>
              <w:szCs w:val="32"/>
              <w14:ligatures w14:val="none"/>
            </w:rPr>
            <w:t>第六章  资金需求和效益评价</w:t>
          </w:r>
          <w:r>
            <w:rPr>
              <w:rFonts w:hint="eastAsia" w:ascii="宋体" w:hAnsi="宋体" w:eastAsia="方正仿宋简体" w:cs="仿宋"/>
              <w:b/>
              <w:bCs/>
              <w:sz w:val="32"/>
              <w:szCs w:val="32"/>
            </w:rPr>
            <w:tab/>
          </w:r>
          <w:r>
            <w:rPr>
              <w:rFonts w:hint="eastAsia" w:ascii="宋体" w:hAnsi="宋体" w:eastAsia="方正仿宋简体" w:cs="仿宋"/>
              <w:b/>
              <w:bCs/>
              <w:sz w:val="32"/>
              <w:szCs w:val="32"/>
            </w:rPr>
            <w:fldChar w:fldCharType="begin"/>
          </w:r>
          <w:r>
            <w:rPr>
              <w:rFonts w:hint="eastAsia" w:ascii="宋体" w:hAnsi="宋体" w:eastAsia="方正仿宋简体" w:cs="仿宋"/>
              <w:b/>
              <w:bCs/>
              <w:sz w:val="32"/>
              <w:szCs w:val="32"/>
            </w:rPr>
            <w:instrText xml:space="preserve"> PAGEREF _Toc31876 \h </w:instrText>
          </w:r>
          <w:r>
            <w:rPr>
              <w:rFonts w:hint="eastAsia" w:ascii="宋体" w:hAnsi="宋体" w:eastAsia="方正仿宋简体" w:cs="仿宋"/>
              <w:b/>
              <w:bCs/>
              <w:sz w:val="32"/>
              <w:szCs w:val="32"/>
            </w:rPr>
            <w:fldChar w:fldCharType="separate"/>
          </w:r>
          <w:r>
            <w:rPr>
              <w:rFonts w:hint="eastAsia" w:ascii="宋体" w:hAnsi="宋体" w:eastAsia="方正仿宋简体" w:cs="仿宋"/>
              <w:b/>
              <w:bCs/>
              <w:sz w:val="32"/>
              <w:szCs w:val="32"/>
            </w:rPr>
            <w:t>20</w:t>
          </w:r>
          <w:r>
            <w:rPr>
              <w:rFonts w:hint="eastAsia" w:ascii="宋体" w:hAnsi="宋体" w:eastAsia="方正仿宋简体" w:cs="仿宋"/>
              <w:b/>
              <w:bCs/>
              <w:sz w:val="32"/>
              <w:szCs w:val="32"/>
            </w:rPr>
            <w:fldChar w:fldCharType="end"/>
          </w:r>
          <w:r>
            <w:rPr>
              <w:rFonts w:hint="eastAsia" w:ascii="宋体" w:hAnsi="宋体" w:eastAsia="方正仿宋简体" w:cs="仿宋"/>
              <w:b/>
              <w:bCs/>
              <w:sz w:val="32"/>
              <w:szCs w:val="32"/>
            </w:rPr>
            <w:fldChar w:fldCharType="end"/>
          </w:r>
        </w:p>
        <w:p>
          <w:pPr>
            <w:pStyle w:val="3"/>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640" w:firstLineChars="200"/>
            <w:textAlignment w:val="baseline"/>
            <w:rPr>
              <w:rFonts w:hint="eastAsia" w:ascii="宋体" w:hAnsi="宋体" w:eastAsia="方正仿宋简体" w:cs="仿宋"/>
              <w:sz w:val="32"/>
              <w:szCs w:val="32"/>
            </w:rPr>
          </w:pP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HYPERLINK \l _Toc13269 </w:instrText>
          </w:r>
          <w:r>
            <w:rPr>
              <w:rFonts w:hint="eastAsia" w:ascii="宋体" w:hAnsi="宋体" w:eastAsia="方正仿宋简体" w:cs="仿宋"/>
              <w:sz w:val="32"/>
              <w:szCs w:val="32"/>
            </w:rPr>
            <w:fldChar w:fldCharType="separate"/>
          </w:r>
          <w:r>
            <w:rPr>
              <w:rFonts w:hint="eastAsia" w:ascii="宋体" w:hAnsi="宋体" w:eastAsia="方正仿宋简体" w:cs="仿宋"/>
              <w:snapToGrid w:val="0"/>
              <w:sz w:val="32"/>
              <w:szCs w:val="32"/>
              <w:lang w:val="en-US" w:eastAsia="zh-CN"/>
              <w14:ligatures w14:val="none"/>
            </w:rPr>
            <w:t>一、资金需求</w:t>
          </w:r>
          <w:r>
            <w:rPr>
              <w:rFonts w:hint="eastAsia" w:ascii="宋体" w:hAnsi="宋体" w:eastAsia="方正仿宋简体" w:cs="仿宋"/>
              <w:sz w:val="32"/>
              <w:szCs w:val="32"/>
            </w:rPr>
            <w:tab/>
          </w: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PAGEREF _Toc13269 \h </w:instrText>
          </w:r>
          <w:r>
            <w:rPr>
              <w:rFonts w:hint="eastAsia" w:ascii="宋体" w:hAnsi="宋体" w:eastAsia="方正仿宋简体" w:cs="仿宋"/>
              <w:sz w:val="32"/>
              <w:szCs w:val="32"/>
            </w:rPr>
            <w:fldChar w:fldCharType="separate"/>
          </w:r>
          <w:r>
            <w:rPr>
              <w:rFonts w:hint="eastAsia" w:ascii="宋体" w:hAnsi="宋体" w:eastAsia="方正仿宋简体" w:cs="仿宋"/>
              <w:sz w:val="32"/>
              <w:szCs w:val="32"/>
            </w:rPr>
            <w:t>20</w:t>
          </w:r>
          <w:r>
            <w:rPr>
              <w:rFonts w:hint="eastAsia" w:ascii="宋体" w:hAnsi="宋体" w:eastAsia="方正仿宋简体" w:cs="仿宋"/>
              <w:sz w:val="32"/>
              <w:szCs w:val="32"/>
            </w:rPr>
            <w:fldChar w:fldCharType="end"/>
          </w:r>
          <w:r>
            <w:rPr>
              <w:rFonts w:hint="eastAsia" w:ascii="宋体" w:hAnsi="宋体" w:eastAsia="方正仿宋简体" w:cs="仿宋"/>
              <w:sz w:val="32"/>
              <w:szCs w:val="32"/>
            </w:rPr>
            <w:fldChar w:fldCharType="end"/>
          </w:r>
        </w:p>
        <w:p>
          <w:pPr>
            <w:pStyle w:val="3"/>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640" w:firstLineChars="200"/>
            <w:textAlignment w:val="baseline"/>
            <w:rPr>
              <w:rFonts w:hint="eastAsia" w:ascii="宋体" w:hAnsi="宋体" w:eastAsia="方正仿宋简体" w:cs="仿宋"/>
              <w:sz w:val="32"/>
              <w:szCs w:val="32"/>
            </w:rPr>
          </w:pP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HYPERLINK \l _Toc1799 </w:instrText>
          </w:r>
          <w:r>
            <w:rPr>
              <w:rFonts w:hint="eastAsia" w:ascii="宋体" w:hAnsi="宋体" w:eastAsia="方正仿宋简体" w:cs="仿宋"/>
              <w:sz w:val="32"/>
              <w:szCs w:val="32"/>
            </w:rPr>
            <w:fldChar w:fldCharType="separate"/>
          </w:r>
          <w:r>
            <w:rPr>
              <w:rFonts w:hint="eastAsia" w:ascii="宋体" w:hAnsi="宋体" w:eastAsia="方正仿宋简体" w:cs="仿宋"/>
              <w:snapToGrid w:val="0"/>
              <w:sz w:val="32"/>
              <w:szCs w:val="32"/>
              <w:lang w:val="en-US" w:eastAsia="zh-CN"/>
              <w14:ligatures w14:val="none"/>
            </w:rPr>
            <w:t>二、效益评价</w:t>
          </w:r>
          <w:r>
            <w:rPr>
              <w:rFonts w:hint="eastAsia" w:ascii="宋体" w:hAnsi="宋体" w:eastAsia="方正仿宋简体" w:cs="仿宋"/>
              <w:sz w:val="32"/>
              <w:szCs w:val="32"/>
            </w:rPr>
            <w:tab/>
          </w:r>
          <w:r>
            <w:rPr>
              <w:rFonts w:hint="eastAsia" w:ascii="宋体" w:hAnsi="宋体" w:eastAsia="方正仿宋简体" w:cs="仿宋"/>
              <w:sz w:val="32"/>
              <w:szCs w:val="32"/>
            </w:rPr>
            <w:fldChar w:fldCharType="begin"/>
          </w:r>
          <w:r>
            <w:rPr>
              <w:rFonts w:hint="eastAsia" w:ascii="宋体" w:hAnsi="宋体" w:eastAsia="方正仿宋简体" w:cs="仿宋"/>
              <w:sz w:val="32"/>
              <w:szCs w:val="32"/>
            </w:rPr>
            <w:instrText xml:space="preserve"> PAGEREF _Toc1799 \h </w:instrText>
          </w:r>
          <w:r>
            <w:rPr>
              <w:rFonts w:hint="eastAsia" w:ascii="宋体" w:hAnsi="宋体" w:eastAsia="方正仿宋简体" w:cs="仿宋"/>
              <w:sz w:val="32"/>
              <w:szCs w:val="32"/>
            </w:rPr>
            <w:fldChar w:fldCharType="separate"/>
          </w:r>
          <w:r>
            <w:rPr>
              <w:rFonts w:hint="eastAsia" w:ascii="宋体" w:hAnsi="宋体" w:eastAsia="方正仿宋简体" w:cs="仿宋"/>
              <w:sz w:val="32"/>
              <w:szCs w:val="32"/>
            </w:rPr>
            <w:t>22</w:t>
          </w:r>
          <w:r>
            <w:rPr>
              <w:rFonts w:hint="eastAsia" w:ascii="宋体" w:hAnsi="宋体" w:eastAsia="方正仿宋简体" w:cs="仿宋"/>
              <w:sz w:val="32"/>
              <w:szCs w:val="32"/>
            </w:rPr>
            <w:fldChar w:fldCharType="end"/>
          </w:r>
          <w:r>
            <w:rPr>
              <w:rFonts w:hint="eastAsia" w:ascii="宋体" w:hAnsi="宋体" w:eastAsia="方正仿宋简体" w:cs="仿宋"/>
              <w:sz w:val="32"/>
              <w:szCs w:val="32"/>
            </w:rPr>
            <w:fldChar w:fldCharType="end"/>
          </w:r>
        </w:p>
        <w:p>
          <w:pPr>
            <w:pStyle w:val="6"/>
            <w:keepNext w:val="0"/>
            <w:keepLines w:val="0"/>
            <w:pageBreakBefore w:val="0"/>
            <w:widowControl/>
            <w:tabs>
              <w:tab w:val="right" w:leader="dot" w:pos="8306"/>
            </w:tabs>
            <w:kinsoku/>
            <w:wordWrap w:val="0"/>
            <w:overflowPunct w:val="0"/>
            <w:topLinePunct w:val="0"/>
            <w:autoSpaceDE w:val="0"/>
            <w:autoSpaceDN w:val="0"/>
            <w:bidi w:val="0"/>
            <w:adjustRightInd w:val="0"/>
            <w:snapToGrid w:val="0"/>
            <w:spacing w:line="560" w:lineRule="exact"/>
            <w:ind w:left="0" w:leftChars="0" w:firstLine="0" w:firstLineChars="0"/>
            <w:textAlignment w:val="baseline"/>
            <w:rPr>
              <w:rFonts w:hint="eastAsia" w:ascii="仿宋" w:hAnsi="仿宋" w:eastAsia="仿宋" w:cs="仿宋"/>
              <w:b/>
              <w:bCs/>
            </w:rPr>
          </w:pPr>
          <w:r>
            <w:rPr>
              <w:rFonts w:hint="eastAsia" w:ascii="宋体" w:hAnsi="宋体" w:eastAsia="方正仿宋简体" w:cs="仿宋"/>
              <w:b/>
              <w:bCs/>
              <w:sz w:val="32"/>
              <w:szCs w:val="32"/>
            </w:rPr>
            <w:fldChar w:fldCharType="begin"/>
          </w:r>
          <w:r>
            <w:rPr>
              <w:rFonts w:hint="eastAsia" w:ascii="宋体" w:hAnsi="宋体" w:eastAsia="方正仿宋简体" w:cs="仿宋"/>
              <w:b/>
              <w:bCs/>
              <w:sz w:val="32"/>
              <w:szCs w:val="32"/>
            </w:rPr>
            <w:instrText xml:space="preserve"> HYPERLINK \l _Toc3501 </w:instrText>
          </w:r>
          <w:r>
            <w:rPr>
              <w:rFonts w:hint="eastAsia" w:ascii="宋体" w:hAnsi="宋体" w:eastAsia="方正仿宋简体" w:cs="仿宋"/>
              <w:b/>
              <w:bCs/>
              <w:sz w:val="32"/>
              <w:szCs w:val="32"/>
            </w:rPr>
            <w:fldChar w:fldCharType="separate"/>
          </w:r>
          <w:r>
            <w:rPr>
              <w:rFonts w:hint="eastAsia" w:ascii="宋体" w:hAnsi="宋体" w:eastAsia="方正仿宋简体" w:cs="仿宋"/>
              <w:b/>
              <w:bCs/>
              <w:snapToGrid w:val="0"/>
              <w:kern w:val="44"/>
              <w:sz w:val="32"/>
              <w:szCs w:val="32"/>
              <w14:ligatures w14:val="none"/>
            </w:rPr>
            <w:t>第七章 保障措施</w:t>
          </w:r>
          <w:r>
            <w:rPr>
              <w:rFonts w:hint="eastAsia" w:ascii="宋体" w:hAnsi="宋体" w:eastAsia="方正仿宋简体" w:cs="仿宋"/>
              <w:b/>
              <w:bCs/>
              <w:sz w:val="32"/>
              <w:szCs w:val="32"/>
            </w:rPr>
            <w:tab/>
          </w:r>
          <w:r>
            <w:rPr>
              <w:rFonts w:hint="eastAsia" w:ascii="宋体" w:hAnsi="宋体" w:eastAsia="方正仿宋简体" w:cs="仿宋"/>
              <w:b/>
              <w:bCs/>
              <w:sz w:val="32"/>
              <w:szCs w:val="32"/>
            </w:rPr>
            <w:fldChar w:fldCharType="begin"/>
          </w:r>
          <w:r>
            <w:rPr>
              <w:rFonts w:hint="eastAsia" w:ascii="宋体" w:hAnsi="宋体" w:eastAsia="方正仿宋简体" w:cs="仿宋"/>
              <w:b/>
              <w:bCs/>
              <w:sz w:val="32"/>
              <w:szCs w:val="32"/>
            </w:rPr>
            <w:instrText xml:space="preserve"> PAGEREF _Toc3501 \h </w:instrText>
          </w:r>
          <w:r>
            <w:rPr>
              <w:rFonts w:hint="eastAsia" w:ascii="宋体" w:hAnsi="宋体" w:eastAsia="方正仿宋简体" w:cs="仿宋"/>
              <w:b/>
              <w:bCs/>
              <w:sz w:val="32"/>
              <w:szCs w:val="32"/>
            </w:rPr>
            <w:fldChar w:fldCharType="separate"/>
          </w:r>
          <w:r>
            <w:rPr>
              <w:rFonts w:hint="eastAsia" w:ascii="宋体" w:hAnsi="宋体" w:eastAsia="方正仿宋简体" w:cs="仿宋"/>
              <w:b/>
              <w:bCs/>
              <w:sz w:val="32"/>
              <w:szCs w:val="32"/>
            </w:rPr>
            <w:t>24</w:t>
          </w:r>
          <w:r>
            <w:rPr>
              <w:rFonts w:hint="eastAsia" w:ascii="宋体" w:hAnsi="宋体" w:eastAsia="方正仿宋简体" w:cs="仿宋"/>
              <w:b/>
              <w:bCs/>
              <w:sz w:val="32"/>
              <w:szCs w:val="32"/>
            </w:rPr>
            <w:fldChar w:fldCharType="end"/>
          </w:r>
          <w:r>
            <w:rPr>
              <w:rFonts w:hint="eastAsia" w:ascii="宋体" w:hAnsi="宋体" w:eastAsia="方正仿宋简体" w:cs="仿宋"/>
              <w:b/>
              <w:bCs/>
              <w:sz w:val="32"/>
              <w:szCs w:val="32"/>
            </w:rPr>
            <w:fldChar w:fldCharType="end"/>
          </w:r>
        </w:p>
        <w:p>
          <w:pPr>
            <w:pStyle w:val="2"/>
            <w:rPr>
              <w:rFonts w:hint="eastAsia" w:ascii="Times New Roman" w:hAnsi="Times New Roman" w:eastAsia="宋体" w:cs="Times New Roman"/>
              <w:snapToGrid w:val="0"/>
              <w:color w:val="000000"/>
              <w:kern w:val="2"/>
              <w:sz w:val="24"/>
              <w:szCs w:val="24"/>
              <w:lang w:val="en-US" w:eastAsia="zh-CN" w:bidi="ar-SA"/>
              <w14:ligatures w14:val="standardContextual"/>
            </w:rPr>
          </w:pPr>
          <w:r>
            <w:rPr>
              <w:rFonts w:hint="eastAsia" w:ascii="仿宋" w:hAnsi="仿宋" w:eastAsia="仿宋" w:cs="仿宋"/>
            </w:rPr>
            <w:fldChar w:fldCharType="end"/>
          </w:r>
        </w:p>
      </w:sdtContent>
    </w:sdt>
    <w:p>
      <w:pPr>
        <w:rPr>
          <w:rFonts w:hint="eastAsia"/>
        </w:rPr>
        <w:sectPr>
          <w:footerReference r:id="rId6" w:type="first"/>
          <w:footerReference r:id="rId5" w:type="default"/>
          <w:pgSz w:w="11906" w:h="16838"/>
          <w:pgMar w:top="1440" w:right="1800" w:bottom="1440" w:left="1800" w:header="907" w:footer="964" w:gutter="0"/>
          <w:pgNumType w:fmt="numberInDash" w:start="1"/>
          <w:cols w:space="425" w:num="1"/>
          <w:titlePg/>
          <w:docGrid w:type="lines" w:linePitch="312" w:charSpace="0"/>
        </w:sectPr>
      </w:pPr>
    </w:p>
    <w:p>
      <w:pPr>
        <w:keepNext w:val="0"/>
        <w:keepLines w:val="0"/>
        <w:pageBreakBefore w:val="0"/>
        <w:widowControl/>
        <w:kinsoku/>
        <w:wordWrap/>
        <w:overflowPunct w:val="0"/>
        <w:topLinePunct w:val="0"/>
        <w:autoSpaceDE w:val="0"/>
        <w:autoSpaceDN w:val="0"/>
        <w:bidi w:val="0"/>
        <w:adjustRightInd w:val="0"/>
        <w:snapToGrid/>
        <w:spacing w:line="560" w:lineRule="exact"/>
        <w:ind w:firstLine="640" w:firstLineChars="200"/>
        <w:jc w:val="both"/>
        <w:textAlignment w:val="baseline"/>
        <w:rPr>
          <w:rFonts w:hint="eastAsia" w:ascii="宋体" w:hAnsi="宋体" w:eastAsia="方正仿宋简体" w:cs="方正仿宋简体"/>
          <w:snapToGrid w:val="0"/>
          <w:color w:val="000000"/>
          <w:kern w:val="0"/>
          <w:sz w:val="32"/>
          <w:szCs w:val="32"/>
        </w:rPr>
      </w:pPr>
      <w:r>
        <w:rPr>
          <w:rFonts w:hint="eastAsia" w:ascii="宋体" w:hAnsi="宋体" w:eastAsia="方正仿宋简体" w:cs="方正仿宋简体"/>
          <w:snapToGrid w:val="0"/>
          <w:color w:val="000000"/>
          <w:kern w:val="0"/>
          <w:sz w:val="32"/>
          <w:szCs w:val="32"/>
          <w:lang w:val="en-US" w:eastAsia="zh-CN"/>
        </w:rPr>
        <w:t>本规划</w:t>
      </w:r>
      <w:r>
        <w:rPr>
          <w:rFonts w:hint="eastAsia" w:ascii="宋体" w:hAnsi="宋体" w:eastAsia="方正仿宋简体" w:cs="方正仿宋简体"/>
          <w:snapToGrid w:val="0"/>
          <w:color w:val="000000"/>
          <w:kern w:val="0"/>
          <w:sz w:val="32"/>
          <w:szCs w:val="32"/>
        </w:rPr>
        <w:t>依据《天然林保护修复制度方案》</w:t>
      </w:r>
      <w:r>
        <w:rPr>
          <w:rFonts w:hint="eastAsia" w:ascii="宋体" w:hAnsi="宋体" w:eastAsia="方正仿宋简体" w:cs="方正仿宋简体"/>
          <w:kern w:val="0"/>
          <w:sz w:val="32"/>
          <w:szCs w:val="32"/>
          <w:lang w:bidi="zh-CN"/>
        </w:rPr>
        <w:t>《全国天然林保护修复中长期规划（2021—2035年）》</w:t>
      </w:r>
      <w:r>
        <w:rPr>
          <w:rFonts w:hint="eastAsia" w:ascii="宋体" w:hAnsi="宋体" w:eastAsia="方正仿宋简体" w:cs="方正仿宋简体"/>
          <w:snapToGrid w:val="0"/>
          <w:color w:val="000000"/>
          <w:kern w:val="0"/>
          <w:sz w:val="32"/>
          <w:szCs w:val="32"/>
        </w:rPr>
        <w:t>《新疆维吾尔自治区天然林保护修复中长期总体方案（2021</w:t>
      </w:r>
      <w:r>
        <w:rPr>
          <w:rFonts w:hint="eastAsia" w:ascii="宋体" w:hAnsi="宋体" w:eastAsia="方正仿宋简体" w:cs="方正仿宋简体"/>
          <w:snapToGrid w:val="0"/>
          <w:color w:val="000000"/>
          <w:kern w:val="0"/>
          <w:sz w:val="32"/>
          <w:szCs w:val="32"/>
          <w:lang w:eastAsia="zh-CN"/>
        </w:rPr>
        <w:t>—</w:t>
      </w:r>
      <w:r>
        <w:rPr>
          <w:rFonts w:hint="eastAsia" w:ascii="宋体" w:hAnsi="宋体" w:eastAsia="方正仿宋简体" w:cs="方正仿宋简体"/>
          <w:snapToGrid w:val="0"/>
          <w:color w:val="000000"/>
          <w:kern w:val="0"/>
          <w:sz w:val="32"/>
          <w:szCs w:val="32"/>
        </w:rPr>
        <w:t>2035年）》编制。规划</w:t>
      </w:r>
      <w:r>
        <w:rPr>
          <w:rFonts w:hint="eastAsia" w:ascii="宋体" w:hAnsi="宋体" w:eastAsia="方正仿宋简体" w:cs="方正仿宋简体"/>
          <w:kern w:val="0"/>
          <w:sz w:val="32"/>
          <w:szCs w:val="32"/>
          <w:lang w:bidi="zh-CN"/>
        </w:rPr>
        <w:t>以构建健康稳定、功能完备的天然林生态系统为目标，坚持问题导向与目标导向并重，推行一体化管护，将非天然林中的国家级公益林纳入规划实施范围，落实天然林保护与公益林管理并轨管理，推动林区转型发展、完善民生保障，力争到2035年实现天然林面积保持稳定、森林质量显著提升、生态系统健康稳定的发展目标</w:t>
      </w:r>
      <w:r>
        <w:rPr>
          <w:rFonts w:hint="eastAsia" w:ascii="宋体" w:hAnsi="宋体" w:eastAsia="方正仿宋简体" w:cs="方正仿宋简体"/>
          <w:snapToGrid w:val="0"/>
          <w:color w:val="000000"/>
          <w:kern w:val="0"/>
          <w:sz w:val="32"/>
          <w:szCs w:val="32"/>
        </w:rPr>
        <w:t>。</w:t>
      </w:r>
    </w:p>
    <w:p>
      <w:pPr>
        <w:pageBreakBefore w:val="0"/>
        <w:kinsoku/>
        <w:wordWrap w:val="0"/>
        <w:overflowPunct w:val="0"/>
        <w:topLinePunct w:val="0"/>
        <w:autoSpaceDE w:val="0"/>
        <w:autoSpaceDN w:val="0"/>
        <w:bidi w:val="0"/>
        <w:adjustRightInd w:val="0"/>
        <w:snapToGrid w:val="0"/>
        <w:spacing w:before="240" w:beforeLines="100" w:after="120" w:afterLines="50" w:line="560" w:lineRule="exact"/>
        <w:jc w:val="center"/>
        <w:textAlignment w:val="baseline"/>
        <w:outlineLvl w:val="0"/>
        <w:rPr>
          <w:rFonts w:hint="eastAsia" w:ascii="黑体" w:hAnsi="黑体" w:eastAsia="黑体" w:cs="黑体"/>
          <w:b/>
          <w:bCs/>
          <w:snapToGrid w:val="0"/>
          <w:color w:val="000000"/>
          <w:kern w:val="44"/>
          <w:sz w:val="32"/>
          <w:szCs w:val="32"/>
          <w14:ligatures w14:val="none"/>
        </w:rPr>
      </w:pPr>
      <w:bookmarkStart w:id="0" w:name="_Toc14945"/>
      <w:r>
        <w:rPr>
          <w:rFonts w:hint="eastAsia" w:ascii="黑体" w:hAnsi="黑体" w:eastAsia="黑体" w:cs="黑体"/>
          <w:b/>
          <w:bCs/>
          <w:snapToGrid w:val="0"/>
          <w:color w:val="000000"/>
          <w:kern w:val="44"/>
          <w:sz w:val="32"/>
          <w:szCs w:val="32"/>
          <w14:ligatures w14:val="none"/>
        </w:rPr>
        <w:t>第一章  基本情况</w:t>
      </w:r>
      <w:bookmarkEnd w:id="0"/>
    </w:p>
    <w:p>
      <w:pPr>
        <w:keepNext/>
        <w:keepLines/>
        <w:pageBreakBefore w:val="0"/>
        <w:widowControl w:val="0"/>
        <w:kinsoku/>
        <w:wordWrap w:val="0"/>
        <w:overflowPunct w:val="0"/>
        <w:topLinePunct w:val="0"/>
        <w:autoSpaceDE w:val="0"/>
        <w:autoSpaceDN w:val="0"/>
        <w:bidi w:val="0"/>
        <w:adjustRightInd w:val="0"/>
        <w:snapToGrid/>
        <w:spacing w:before="120" w:after="120" w:afterLines="50" w:line="560" w:lineRule="exact"/>
        <w:ind w:left="601"/>
        <w:textAlignment w:val="baseline"/>
        <w:outlineLvl w:val="2"/>
        <w:rPr>
          <w:rFonts w:hint="eastAsia" w:ascii="黑体" w:hAnsi="黑体" w:eastAsia="黑体" w:cs="黑体"/>
          <w:snapToGrid w:val="0"/>
          <w:color w:val="000000"/>
          <w:sz w:val="32"/>
          <w:szCs w:val="32"/>
          <w14:ligatures w14:val="none"/>
        </w:rPr>
      </w:pPr>
      <w:bookmarkStart w:id="1" w:name="_Toc32709"/>
      <w:r>
        <w:rPr>
          <w:rFonts w:hint="eastAsia" w:ascii="黑体" w:hAnsi="黑体" w:eastAsia="黑体" w:cs="黑体"/>
          <w:snapToGrid w:val="0"/>
          <w:color w:val="000000"/>
          <w:sz w:val="32"/>
          <w:szCs w:val="32"/>
          <w:lang w:val="en-US" w:eastAsia="zh-CN"/>
          <w14:ligatures w14:val="none"/>
        </w:rPr>
        <w:t>一、</w:t>
      </w:r>
      <w:r>
        <w:rPr>
          <w:rFonts w:hint="eastAsia" w:ascii="黑体" w:hAnsi="黑体" w:eastAsia="黑体" w:cs="黑体"/>
          <w:snapToGrid w:val="0"/>
          <w:color w:val="000000"/>
          <w:sz w:val="32"/>
          <w:szCs w:val="32"/>
          <w14:ligatures w14:val="none"/>
        </w:rPr>
        <w:t>自然环境概况</w:t>
      </w:r>
      <w:bookmarkEnd w:id="1"/>
    </w:p>
    <w:p>
      <w:pPr>
        <w:keepNext w:val="0"/>
        <w:keepLines w:val="0"/>
        <w:pageBreakBefore w:val="0"/>
        <w:widowControl/>
        <w:kinsoku/>
        <w:wordWrap/>
        <w:overflowPunct w:val="0"/>
        <w:topLinePunct w:val="0"/>
        <w:autoSpaceDE w:val="0"/>
        <w:autoSpaceDN w:val="0"/>
        <w:bidi w:val="0"/>
        <w:adjustRightInd w:val="0"/>
        <w:snapToGrid/>
        <w:spacing w:line="560" w:lineRule="exact"/>
        <w:ind w:firstLine="640" w:firstLineChars="200"/>
        <w:jc w:val="both"/>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昌吉回族自治州位于天山北麓、准噶尔盆地东南缘，总面积7.39万平方千米，环抱乌鲁木齐市，属于天山北坡经济带和乌昌石城市群核心区域，是天山北坡天然林集中分布与生态屏障关键地带。全州地势南高北低，分为天山山地、山前倾斜平原、古尔班通古特沙漠、北塔山山地四大地貌单元，天然林主要集中在南部天山北坡中低山区。</w:t>
      </w:r>
    </w:p>
    <w:p>
      <w:pPr>
        <w:keepNext w:val="0"/>
        <w:keepLines w:val="0"/>
        <w:pageBreakBefore w:val="0"/>
        <w:widowControl/>
        <w:kinsoku/>
        <w:wordWrap/>
        <w:overflowPunct w:val="0"/>
        <w:topLinePunct w:val="0"/>
        <w:autoSpaceDE w:val="0"/>
        <w:autoSpaceDN w:val="0"/>
        <w:bidi w:val="0"/>
        <w:adjustRightInd w:val="0"/>
        <w:snapToGrid/>
        <w:spacing w:line="560" w:lineRule="exact"/>
        <w:ind w:firstLine="640" w:firstLineChars="200"/>
        <w:jc w:val="both"/>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昌吉州属中温带大陆性干旱气候，降水空间分布不均，南部山区气候相对湿润适宜天然林生长，北部荒漠干旱少雨。土壤垂直、水平分异明显，灰褐土、栗钙土是天然林发育的重点土壤类型。水资源以内陆河流水系为主，依靠高山冰川积雪融水补给，空间分布差异大，决定天然林分布格局，主要有玛纳斯河、呼图壁河等河流以及天山天池、东道海子等湖泊湿地。</w:t>
      </w:r>
    </w:p>
    <w:p>
      <w:pPr>
        <w:keepNext w:val="0"/>
        <w:keepLines w:val="0"/>
        <w:pageBreakBefore w:val="0"/>
        <w:widowControl/>
        <w:kinsoku/>
        <w:wordWrap/>
        <w:overflowPunct w:val="0"/>
        <w:topLinePunct w:val="0"/>
        <w:autoSpaceDE w:val="0"/>
        <w:autoSpaceDN w:val="0"/>
        <w:bidi w:val="0"/>
        <w:adjustRightInd w:val="0"/>
        <w:snapToGrid/>
        <w:spacing w:line="560" w:lineRule="exact"/>
        <w:ind w:firstLine="640" w:firstLineChars="200"/>
        <w:jc w:val="both"/>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昌吉州境内野生植物1000余种，植被垂直分异显著，雪岭云杉为天然林核心建群树种，还有阜康阿魏等区域特有保护物种；有野生油脂类植物90余种，资源开发坚持生态优先，严控对天然林生态的扰动。陆生野生动物共362种，其中国家重点保护野生动物59种，林区还分布多种天敌昆虫与有益生物，生物多样性资源丰富，各类动植物共同维系天然林生态系统稳定。</w:t>
      </w:r>
    </w:p>
    <w:p>
      <w:pPr>
        <w:keepNext/>
        <w:keepLines/>
        <w:pageBreakBefore w:val="0"/>
        <w:widowControl w:val="0"/>
        <w:kinsoku/>
        <w:wordWrap w:val="0"/>
        <w:overflowPunct w:val="0"/>
        <w:topLinePunct w:val="0"/>
        <w:autoSpaceDE w:val="0"/>
        <w:autoSpaceDN w:val="0"/>
        <w:bidi w:val="0"/>
        <w:adjustRightInd w:val="0"/>
        <w:snapToGrid/>
        <w:spacing w:before="120" w:after="120" w:afterLines="50" w:line="560" w:lineRule="exact"/>
        <w:ind w:left="601"/>
        <w:textAlignment w:val="baseline"/>
        <w:outlineLvl w:val="2"/>
        <w:rPr>
          <w:rFonts w:hint="eastAsia" w:ascii="黑体" w:hAnsi="黑体" w:eastAsia="黑体" w:cs="黑体"/>
          <w:snapToGrid w:val="0"/>
          <w:color w:val="000000"/>
          <w:sz w:val="32"/>
          <w:szCs w:val="32"/>
          <w:lang w:val="en-US" w:eastAsia="zh-CN"/>
          <w14:ligatures w14:val="none"/>
        </w:rPr>
      </w:pPr>
      <w:bookmarkStart w:id="2" w:name="_Toc10261"/>
      <w:r>
        <w:rPr>
          <w:rFonts w:hint="eastAsia" w:ascii="黑体" w:hAnsi="黑体" w:eastAsia="黑体" w:cs="黑体"/>
          <w:snapToGrid w:val="0"/>
          <w:color w:val="000000"/>
          <w:sz w:val="32"/>
          <w:szCs w:val="32"/>
          <w:lang w:val="en-US" w:eastAsia="zh-CN"/>
          <w14:ligatures w14:val="none"/>
        </w:rPr>
        <w:t>二、森林资源现状</w:t>
      </w:r>
      <w:bookmarkEnd w:id="2"/>
    </w:p>
    <w:p>
      <w:pPr>
        <w:pageBreakBefore w:val="0"/>
        <w:kinsoku/>
        <w:wordWrap w:val="0"/>
        <w:overflowPunct w:val="0"/>
        <w:topLinePunct w:val="0"/>
        <w:autoSpaceDE w:val="0"/>
        <w:autoSpaceDN w:val="0"/>
        <w:bidi w:val="0"/>
        <w:spacing w:line="560" w:lineRule="exact"/>
        <w:ind w:firstLine="640" w:firstLineChars="200"/>
        <w:rPr>
          <w:rFonts w:hint="eastAsia" w:ascii="宋体" w:hAnsi="宋体" w:eastAsia="方正仿宋简体" w:cs="方正仿宋简体"/>
          <w:snapToGrid w:val="0"/>
          <w:color w:val="0000FF"/>
          <w:kern w:val="0"/>
          <w:sz w:val="32"/>
          <w:szCs w:val="32"/>
        </w:rPr>
      </w:pPr>
      <w:r>
        <w:rPr>
          <w:rFonts w:hint="eastAsia" w:ascii="宋体" w:hAnsi="宋体" w:eastAsia="方正仿宋简体" w:cs="方正仿宋简体"/>
          <w:kern w:val="0"/>
          <w:sz w:val="32"/>
          <w:szCs w:val="32"/>
          <w:lang w:bidi="zh-CN"/>
        </w:rPr>
        <w:t>根据2024年森林草原湿地荒漠化普查成果数据及2024年国家级公益林年度监测成果统计，昌吉回族自治州林地总面积2004.7539万亩。</w:t>
      </w:r>
      <w:r>
        <w:rPr>
          <w:rFonts w:hint="eastAsia" w:ascii="宋体" w:hAnsi="宋体" w:eastAsia="方正仿宋简体" w:cs="方正仿宋简体"/>
          <w:b w:val="0"/>
          <w:bCs w:val="0"/>
          <w:kern w:val="0"/>
          <w:sz w:val="32"/>
          <w:szCs w:val="32"/>
          <w:lang w:bidi="zh-CN"/>
        </w:rPr>
        <w:t>按地类统计：乔木林地68.0373万亩、灌木林地1864.8053万亩、其他林地71.9113万亩；按林地权属划分：国有林地1933.0805万亩、非国有林地71.6734万亩；按起源划分：天然林1832.5354万亩、非天然林172.2185万亩；按森林类别划分：国家级公益林1336.6068万亩、未纳入补偿公益林668.1471万亩</w:t>
      </w:r>
      <w:r>
        <w:rPr>
          <w:rFonts w:hint="eastAsia" w:ascii="宋体" w:hAnsi="宋体" w:eastAsia="方正仿宋简体" w:cs="方正仿宋简体"/>
          <w:kern w:val="0"/>
          <w:sz w:val="32"/>
          <w:szCs w:val="32"/>
          <w:lang w:bidi="zh-CN"/>
        </w:rPr>
        <w:t>。</w:t>
      </w:r>
    </w:p>
    <w:p>
      <w:pPr>
        <w:pageBreakBefore w:val="0"/>
        <w:kinsoku/>
        <w:wordWrap w:val="0"/>
        <w:overflowPunct w:val="0"/>
        <w:topLinePunct w:val="0"/>
        <w:autoSpaceDE w:val="0"/>
        <w:autoSpaceDN w:val="0"/>
        <w:bidi w:val="0"/>
        <w:spacing w:line="560" w:lineRule="exact"/>
        <w:ind w:firstLine="643" w:firstLineChars="200"/>
        <w:rPr>
          <w:rFonts w:hint="eastAsia" w:ascii="宋体" w:hAnsi="宋体" w:eastAsia="方正仿宋简体" w:cs="方正仿宋简体"/>
          <w:kern w:val="0"/>
          <w:sz w:val="32"/>
          <w:szCs w:val="32"/>
          <w:lang w:bidi="zh-CN"/>
        </w:rPr>
      </w:pPr>
      <w:r>
        <w:rPr>
          <w:rFonts w:hint="eastAsia" w:ascii="宋体" w:hAnsi="宋体" w:eastAsia="方正仿宋简体" w:cs="方正仿宋简体"/>
          <w:b/>
          <w:bCs/>
          <w:snapToGrid w:val="0"/>
          <w:color w:val="000000"/>
          <w:kern w:val="0"/>
          <w:sz w:val="32"/>
          <w:szCs w:val="32"/>
          <w:lang w:val="en-US" w:eastAsia="zh-CN"/>
        </w:rPr>
        <w:t>天然林资源。</w:t>
      </w:r>
      <w:r>
        <w:rPr>
          <w:rFonts w:hint="eastAsia" w:ascii="宋体" w:hAnsi="宋体" w:eastAsia="方正仿宋简体" w:cs="方正仿宋简体"/>
          <w:b w:val="0"/>
          <w:bCs w:val="0"/>
          <w:kern w:val="0"/>
          <w:sz w:val="32"/>
          <w:szCs w:val="32"/>
          <w:lang w:bidi="zh-CN"/>
        </w:rPr>
        <w:t>全州天然林总面积1832.5354万亩，按地类统计：乔木林地24.9742万亩、灌木林地1807.4003万亩、其他林地0.1609万亩。按林地权属划分：国有林地1830.1279万亩、非国有林地2.4075万亩；按森林类别划分：</w:t>
      </w:r>
      <w:r>
        <w:rPr>
          <w:rFonts w:hint="eastAsia" w:ascii="宋体" w:hAnsi="宋体" w:eastAsia="方正仿宋简体" w:cs="方正仿宋简体"/>
          <w:kern w:val="0"/>
          <w:sz w:val="32"/>
          <w:szCs w:val="32"/>
          <w:lang w:bidi="zh-CN"/>
        </w:rPr>
        <w:t>国家级公益林1335.6225万亩、未纳入补偿公益林496.9129万亩。</w:t>
      </w:r>
    </w:p>
    <w:p>
      <w:pPr>
        <w:keepNext w:val="0"/>
        <w:keepLines w:val="0"/>
        <w:pageBreakBefore w:val="0"/>
        <w:widowControl/>
        <w:kinsoku/>
        <w:wordWrap/>
        <w:overflowPunct w:val="0"/>
        <w:topLinePunct w:val="0"/>
        <w:autoSpaceDE w:val="0"/>
        <w:autoSpaceDN w:val="0"/>
        <w:bidi w:val="0"/>
        <w:adjustRightInd w:val="0"/>
        <w:snapToGrid/>
        <w:spacing w:line="560" w:lineRule="exact"/>
        <w:ind w:firstLine="643" w:firstLineChars="200"/>
        <w:jc w:val="both"/>
        <w:textAlignment w:val="baseline"/>
        <w:rPr>
          <w:rFonts w:hint="eastAsia" w:ascii="宋体" w:hAnsi="宋体" w:eastAsia="方正仿宋简体" w:cs="方正仿宋简体"/>
          <w:b w:val="0"/>
          <w:bCs w:val="0"/>
          <w:snapToGrid w:val="0"/>
          <w:color w:val="000000"/>
          <w:kern w:val="0"/>
          <w:sz w:val="32"/>
          <w:szCs w:val="32"/>
          <w:lang w:val="en-US" w:eastAsia="zh-CN"/>
        </w:rPr>
      </w:pPr>
      <w:r>
        <w:rPr>
          <w:rFonts w:hint="eastAsia" w:ascii="宋体" w:hAnsi="宋体" w:eastAsia="方正仿宋简体" w:cs="方正仿宋简体"/>
          <w:b/>
          <w:bCs/>
          <w:snapToGrid w:val="0"/>
          <w:color w:val="000000"/>
          <w:kern w:val="0"/>
          <w:sz w:val="32"/>
          <w:szCs w:val="32"/>
          <w:lang w:val="en-US" w:eastAsia="zh-CN"/>
        </w:rPr>
        <w:t>非天然林资源。</w:t>
      </w:r>
      <w:r>
        <w:rPr>
          <w:rFonts w:hint="eastAsia" w:ascii="宋体" w:hAnsi="宋体" w:eastAsia="方正仿宋简体" w:cs="方正仿宋简体"/>
          <w:kern w:val="0"/>
          <w:sz w:val="32"/>
          <w:szCs w:val="32"/>
          <w:lang w:bidi="zh-CN"/>
        </w:rPr>
        <w:t>全</w:t>
      </w:r>
      <w:r>
        <w:rPr>
          <w:rFonts w:hint="eastAsia" w:ascii="宋体" w:hAnsi="宋体" w:eastAsia="方正仿宋简体" w:cs="方正仿宋简体"/>
          <w:b w:val="0"/>
          <w:bCs w:val="0"/>
          <w:kern w:val="0"/>
          <w:sz w:val="32"/>
          <w:szCs w:val="32"/>
          <w:lang w:bidi="zh-CN"/>
        </w:rPr>
        <w:t>州非天然公益林总面积172.2185万亩，按地类统计：乔木林地43.0631万亩、灌木林地57.4050万亩、其他林地71.7504万亩。按林地权属划分：国有林地102.9526万亩，非国有林地69.2659万亩。按森林类别划分：国家级公益林0.9843万亩、</w:t>
      </w:r>
      <w:r>
        <w:rPr>
          <w:rFonts w:hint="eastAsia" w:ascii="宋体" w:hAnsi="宋体" w:eastAsia="方正仿宋简体" w:cs="方正仿宋简体"/>
          <w:kern w:val="0"/>
          <w:sz w:val="32"/>
          <w:szCs w:val="32"/>
          <w:lang w:bidi="zh-CN"/>
        </w:rPr>
        <w:t>未纳入补偿公益林171.2342万亩。</w:t>
      </w:r>
    </w:p>
    <w:p>
      <w:pPr>
        <w:keepNext/>
        <w:keepLines/>
        <w:pageBreakBefore w:val="0"/>
        <w:widowControl w:val="0"/>
        <w:kinsoku/>
        <w:wordWrap w:val="0"/>
        <w:overflowPunct w:val="0"/>
        <w:topLinePunct w:val="0"/>
        <w:autoSpaceDE w:val="0"/>
        <w:autoSpaceDN w:val="0"/>
        <w:bidi w:val="0"/>
        <w:adjustRightInd w:val="0"/>
        <w:snapToGrid/>
        <w:spacing w:before="120" w:after="120" w:afterLines="50" w:line="560" w:lineRule="exact"/>
        <w:ind w:left="601"/>
        <w:textAlignment w:val="baseline"/>
        <w:outlineLvl w:val="2"/>
        <w:rPr>
          <w:rFonts w:hint="eastAsia" w:ascii="黑体" w:hAnsi="黑体" w:eastAsia="黑体" w:cs="黑体"/>
          <w:snapToGrid w:val="0"/>
          <w:color w:val="000000"/>
          <w:sz w:val="32"/>
          <w:szCs w:val="32"/>
          <w:lang w:val="en-US" w:eastAsia="zh-CN"/>
          <w14:ligatures w14:val="none"/>
        </w:rPr>
      </w:pPr>
      <w:bookmarkStart w:id="3" w:name="_Toc7070"/>
      <w:r>
        <w:rPr>
          <w:rFonts w:hint="eastAsia" w:ascii="黑体" w:hAnsi="黑体" w:eastAsia="黑体" w:cs="黑体"/>
          <w:snapToGrid w:val="0"/>
          <w:color w:val="000000"/>
          <w:sz w:val="32"/>
          <w:szCs w:val="32"/>
          <w:lang w:val="en-US" w:eastAsia="zh-CN"/>
          <w14:ligatures w14:val="none"/>
        </w:rPr>
        <w:t>三、保护修复成效</w:t>
      </w:r>
      <w:bookmarkEnd w:id="3"/>
      <w:r>
        <w:rPr>
          <w:rFonts w:hint="eastAsia" w:ascii="黑体" w:hAnsi="黑体" w:eastAsia="黑体" w:cs="黑体"/>
          <w:snapToGrid w:val="0"/>
          <w:color w:val="000000"/>
          <w:sz w:val="32"/>
          <w:szCs w:val="32"/>
          <w:lang w:val="en-US" w:eastAsia="zh-CN"/>
          <w14:ligatures w14:val="none"/>
        </w:rPr>
        <w:t>（2011-2020年）</w:t>
      </w:r>
    </w:p>
    <w:p>
      <w:pPr>
        <w:keepNext w:val="0"/>
        <w:keepLines w:val="0"/>
        <w:pageBreakBefore w:val="0"/>
        <w:widowControl/>
        <w:kinsoku/>
        <w:wordWrap/>
        <w:overflowPunct w:val="0"/>
        <w:topLinePunct w:val="0"/>
        <w:autoSpaceDE w:val="0"/>
        <w:autoSpaceDN w:val="0"/>
        <w:bidi w:val="0"/>
        <w:adjustRightInd w:val="0"/>
        <w:snapToGrid/>
        <w:spacing w:line="560" w:lineRule="exact"/>
        <w:ind w:firstLine="640" w:firstLineChars="200"/>
        <w:jc w:val="both"/>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昌吉州落实国家及自治区天然林保护修复部署，立足天山北坡天然林资源特点，以筑牢生态安全屏障为核心，统筹天然林管护、退化林修复、国有林场改革、荒漠化治理等工作，持续完善管护体系、政策制度与科技支撑，多年来取得阶段性成效，为本州2021—2035年中长期保护修复工作打下坚实基础、积累实践经验。</w:t>
      </w:r>
    </w:p>
    <w:p>
      <w:pPr>
        <w:keepNext/>
        <w:keepLines/>
        <w:pageBreakBefore w:val="0"/>
        <w:widowControl w:val="0"/>
        <w:numPr>
          <w:ilvl w:val="0"/>
          <w:numId w:val="1"/>
        </w:numPr>
        <w:kinsoku/>
        <w:wordWrap/>
        <w:overflowPunct/>
        <w:topLinePunct w:val="0"/>
        <w:autoSpaceDE/>
        <w:autoSpaceDN/>
        <w:bidi w:val="0"/>
        <w:adjustRightInd w:val="0"/>
        <w:snapToGrid/>
        <w:spacing w:before="120" w:beforeLines="50" w:after="120" w:afterLines="50" w:line="560" w:lineRule="exact"/>
        <w:ind w:firstLine="640" w:firstLineChars="200"/>
        <w:textAlignment w:val="auto"/>
        <w:outlineLvl w:val="3"/>
        <w:rPr>
          <w:rFonts w:hint="eastAsia" w:ascii="方正楷体简体" w:hAnsi="方正楷体简体" w:eastAsia="方正楷体简体" w:cs="方正楷体简体"/>
          <w:b w:val="0"/>
          <w:bCs/>
          <w:sz w:val="32"/>
          <w:szCs w:val="32"/>
          <w:lang w:val="zh-CN"/>
          <w14:ligatures w14:val="none"/>
        </w:rPr>
      </w:pPr>
      <w:r>
        <w:rPr>
          <w:rFonts w:hint="eastAsia" w:ascii="方正楷体简体" w:hAnsi="方正楷体简体" w:eastAsia="方正楷体简体" w:cs="方正楷体简体"/>
          <w:b w:val="0"/>
          <w:bCs/>
          <w:sz w:val="32"/>
          <w:szCs w:val="32"/>
          <w:lang w:val="zh-CN"/>
          <w14:ligatures w14:val="none"/>
        </w:rPr>
        <w:t>重点任务完成情况</w:t>
      </w:r>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zh-CN" w:eastAsia="zh-CN"/>
        </w:rPr>
      </w:pPr>
      <w:r>
        <w:rPr>
          <w:rFonts w:hint="eastAsia" w:ascii="宋体" w:hAnsi="宋体" w:eastAsia="方正仿宋简体" w:cs="方正仿宋简体"/>
          <w:snapToGrid w:val="0"/>
          <w:color w:val="000000"/>
          <w:kern w:val="0"/>
          <w:sz w:val="32"/>
          <w:szCs w:val="32"/>
          <w:lang w:val="en-US" w:eastAsia="zh-CN"/>
        </w:rPr>
        <w:t>依托天保二期工程与</w:t>
      </w:r>
      <w:r>
        <w:rPr>
          <w:rFonts w:hint="eastAsia" w:ascii="宋体" w:hAnsi="宋体" w:eastAsia="方正仿宋简体" w:cs="方正仿宋简体"/>
          <w:snapToGrid w:val="0"/>
          <w:color w:val="000000"/>
          <w:kern w:val="0"/>
          <w:sz w:val="32"/>
          <w:szCs w:val="32"/>
        </w:rPr>
        <w:t>森林生态效益补偿资金</w:t>
      </w:r>
      <w:r>
        <w:rPr>
          <w:rFonts w:hint="eastAsia" w:ascii="宋体" w:hAnsi="宋体" w:eastAsia="方正仿宋简体" w:cs="方正仿宋简体"/>
          <w:snapToGrid w:val="0"/>
          <w:color w:val="000000"/>
          <w:kern w:val="0"/>
          <w:sz w:val="32"/>
          <w:szCs w:val="32"/>
          <w:lang w:val="en-US" w:eastAsia="zh-CN"/>
        </w:rPr>
        <w:t>，全面落实天然林和公益林管护，停止天然林商业性采伐，完成5个国有林场改革；科学开展山区天然林修复、封育、沙化土地治理，2011—2020年累计人工造林199万亩、封育68.5万亩，治理沙化土地530余万亩；持续推进管护站点、围栏、防火及监测预警等基础设施建设，配齐巡护、应急装备，强化队伍培训；健全配套政策制度，积极争取各级资金，规范资金监管，落实公益林补偿，兼顾生态保护与民生保障。</w:t>
      </w:r>
    </w:p>
    <w:p>
      <w:pPr>
        <w:keepNext/>
        <w:keepLines/>
        <w:pageBreakBefore w:val="0"/>
        <w:widowControl w:val="0"/>
        <w:numPr>
          <w:ilvl w:val="0"/>
          <w:numId w:val="1"/>
        </w:numPr>
        <w:kinsoku/>
        <w:wordWrap/>
        <w:overflowPunct/>
        <w:topLinePunct w:val="0"/>
        <w:autoSpaceDE/>
        <w:autoSpaceDN/>
        <w:bidi w:val="0"/>
        <w:adjustRightInd w:val="0"/>
        <w:snapToGrid/>
        <w:spacing w:before="120" w:beforeLines="50" w:after="120" w:afterLines="50" w:line="560" w:lineRule="exact"/>
        <w:ind w:firstLine="640" w:firstLineChars="200"/>
        <w:textAlignment w:val="auto"/>
        <w:outlineLvl w:val="3"/>
        <w:rPr>
          <w:rFonts w:hint="eastAsia" w:ascii="方正楷体简体" w:hAnsi="方正楷体简体" w:eastAsia="方正楷体简体" w:cs="方正楷体简体"/>
          <w:b w:val="0"/>
          <w:bCs/>
          <w:sz w:val="32"/>
          <w:szCs w:val="32"/>
          <w:lang w:val="zh-CN"/>
          <w14:ligatures w14:val="none"/>
        </w:rPr>
      </w:pPr>
      <w:r>
        <w:rPr>
          <w:rFonts w:hint="eastAsia" w:ascii="方正楷体简体" w:hAnsi="方正楷体简体" w:eastAsia="方正楷体简体" w:cs="方正楷体简体"/>
          <w:b w:val="0"/>
          <w:bCs/>
          <w:sz w:val="32"/>
          <w:szCs w:val="32"/>
          <w:lang w:val="zh-CN"/>
          <w14:ligatures w14:val="none"/>
        </w:rPr>
        <w:t>主要成效</w:t>
      </w:r>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经过十年不懈努力，全州森林资源稳步增长，森林覆盖率由12.8%提升至13.9%，天然林退化态势得到遏制；水源涵养、防风固沙等生态功能持续增强，天山北坡生态屏障更加稳固；野生动植物栖息地得到改善，雪豹、北山羊等重点保护物种种群稳中有升，生态系统稳定性提高；建成五级管护网络，管护精细化水平不断提升；通过护林员岗位、生态补偿带动群众增收，初步形成生态保护与绿色发展协同推进格局。</w:t>
      </w:r>
    </w:p>
    <w:p>
      <w:pPr>
        <w:keepNext/>
        <w:keepLines/>
        <w:pageBreakBefore w:val="0"/>
        <w:widowControl w:val="0"/>
        <w:numPr>
          <w:ilvl w:val="0"/>
          <w:numId w:val="1"/>
        </w:numPr>
        <w:kinsoku/>
        <w:wordWrap/>
        <w:overflowPunct/>
        <w:topLinePunct w:val="0"/>
        <w:autoSpaceDE/>
        <w:autoSpaceDN/>
        <w:bidi w:val="0"/>
        <w:adjustRightInd w:val="0"/>
        <w:snapToGrid/>
        <w:spacing w:before="120" w:beforeLines="50" w:after="120" w:afterLines="50" w:line="560" w:lineRule="exact"/>
        <w:ind w:firstLine="640" w:firstLineChars="200"/>
        <w:textAlignment w:val="auto"/>
        <w:outlineLvl w:val="3"/>
        <w:rPr>
          <w:rFonts w:hint="eastAsia" w:ascii="方正楷体简体" w:hAnsi="方正楷体简体" w:eastAsia="方正楷体简体" w:cs="方正楷体简体"/>
          <w:b w:val="0"/>
          <w:bCs/>
          <w:sz w:val="32"/>
          <w:szCs w:val="32"/>
          <w:lang w:val="zh-CN"/>
          <w14:ligatures w14:val="none"/>
        </w:rPr>
      </w:pPr>
      <w:r>
        <w:rPr>
          <w:rFonts w:hint="eastAsia" w:ascii="方正楷体简体" w:hAnsi="方正楷体简体" w:eastAsia="方正楷体简体" w:cs="方正楷体简体"/>
          <w:b w:val="0"/>
          <w:bCs/>
          <w:sz w:val="32"/>
          <w:szCs w:val="32"/>
          <w:lang w:val="zh-CN"/>
          <w14:ligatures w14:val="none"/>
        </w:rPr>
        <w:t>主要经验</w:t>
      </w:r>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一是强化组织领导，搭建专职管理机构与层级责任体系，但暴露出偏远区域管护力量不足；二是完善配套政策制度，严格采伐管控与补偿资金发放，现有政策在差异化生态修复方面仍有欠缺；三是规范工程项目全过程管理，实行三级检查验收，干旱区生态修复技术与一体化监测体系仍有待补强；四是严格专项资金全过程绩效管理，健全监督机制，但生态产业带动能力偏弱；五是多渠道开展生态普法宣传，群众护林意识得到提升，社会公众参与机制仍需完善。</w:t>
      </w:r>
    </w:p>
    <w:p>
      <w:pPr>
        <w:keepNext/>
        <w:keepLines/>
        <w:pageBreakBefore w:val="0"/>
        <w:widowControl w:val="0"/>
        <w:kinsoku/>
        <w:wordWrap w:val="0"/>
        <w:overflowPunct w:val="0"/>
        <w:topLinePunct w:val="0"/>
        <w:autoSpaceDE w:val="0"/>
        <w:autoSpaceDN w:val="0"/>
        <w:bidi w:val="0"/>
        <w:adjustRightInd w:val="0"/>
        <w:snapToGrid/>
        <w:spacing w:before="120" w:after="120" w:afterLines="50" w:line="560" w:lineRule="exact"/>
        <w:ind w:left="601"/>
        <w:textAlignment w:val="baseline"/>
        <w:outlineLvl w:val="2"/>
        <w:rPr>
          <w:rFonts w:hint="eastAsia" w:ascii="黑体" w:hAnsi="黑体" w:eastAsia="黑体" w:cs="黑体"/>
          <w:snapToGrid w:val="0"/>
          <w:color w:val="000000"/>
          <w:sz w:val="32"/>
          <w:szCs w:val="32"/>
          <w:lang w:val="en-US" w:eastAsia="zh-CN"/>
          <w14:ligatures w14:val="none"/>
        </w:rPr>
      </w:pPr>
      <w:bookmarkStart w:id="4" w:name="_Toc14790"/>
      <w:r>
        <w:rPr>
          <w:rFonts w:hint="eastAsia" w:ascii="黑体" w:hAnsi="黑体" w:eastAsia="黑体" w:cs="黑体"/>
          <w:snapToGrid w:val="0"/>
          <w:color w:val="000000"/>
          <w:sz w:val="32"/>
          <w:szCs w:val="32"/>
          <w:lang w:val="en-US" w:eastAsia="zh-CN"/>
          <w14:ligatures w14:val="none"/>
        </w:rPr>
        <w:t>四、面临的形势与问题</w:t>
      </w:r>
      <w:bookmarkEnd w:id="4"/>
    </w:p>
    <w:p>
      <w:pPr>
        <w:keepNext/>
        <w:keepLines/>
        <w:pageBreakBefore w:val="0"/>
        <w:widowControl w:val="0"/>
        <w:numPr>
          <w:ilvl w:val="0"/>
          <w:numId w:val="2"/>
        </w:numPr>
        <w:kinsoku/>
        <w:wordWrap/>
        <w:overflowPunct/>
        <w:topLinePunct w:val="0"/>
        <w:autoSpaceDE/>
        <w:autoSpaceDN/>
        <w:bidi w:val="0"/>
        <w:adjustRightInd w:val="0"/>
        <w:snapToGrid/>
        <w:spacing w:before="120" w:beforeLines="50" w:after="120" w:afterLines="50" w:line="560" w:lineRule="exact"/>
        <w:ind w:firstLine="640" w:firstLineChars="200"/>
        <w:textAlignment w:val="auto"/>
        <w:outlineLvl w:val="3"/>
        <w:rPr>
          <w:rFonts w:hint="eastAsia" w:ascii="方正楷体简体" w:hAnsi="方正楷体简体" w:eastAsia="方正楷体简体" w:cs="方正楷体简体"/>
          <w:b w:val="0"/>
          <w:bCs/>
          <w:sz w:val="32"/>
          <w:szCs w:val="32"/>
          <w:lang w:val="zh-CN"/>
          <w14:ligatures w14:val="none"/>
        </w:rPr>
      </w:pPr>
      <w:r>
        <w:rPr>
          <w:rFonts w:hint="eastAsia" w:ascii="方正楷体简体" w:hAnsi="方正楷体简体" w:eastAsia="方正楷体简体" w:cs="方正楷体简体"/>
          <w:b w:val="0"/>
          <w:bCs/>
          <w:sz w:val="32"/>
          <w:szCs w:val="32"/>
          <w:lang w:val="zh-CN"/>
          <w14:ligatures w14:val="none"/>
        </w:rPr>
        <w:t>面临形势</w:t>
      </w:r>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zh-CN" w:eastAsia="zh-CN"/>
        </w:rPr>
      </w:pPr>
      <w:r>
        <w:rPr>
          <w:rFonts w:hint="eastAsia" w:ascii="宋体" w:hAnsi="宋体" w:eastAsia="方正仿宋简体" w:cs="方正仿宋简体"/>
          <w:snapToGrid w:val="0"/>
          <w:color w:val="000000"/>
          <w:kern w:val="0"/>
          <w:sz w:val="32"/>
          <w:szCs w:val="32"/>
          <w:lang w:val="en-US" w:eastAsia="zh-CN"/>
        </w:rPr>
        <w:t>国家层面，持续强化天然林保护顶层设计，进一步明确新时期天然林保护修复的指导思想、基本原则、重点任务与保障举措。自治区层面，立足西北生态安全屏障定位，重点推进天山北坡、准噶尔盆地边缘生态治理，印发全区天然林保护修复总体方案，为昌吉州工作提供直接遵循。地州层面，经过前期天保工程实施，管护体系、林长制、智慧林草平台基础条件已经具备，全州“南护天山、北固沙漠、中建绿洲”生态布局下，群众生态需求持续提升，但沙化治理、退化林修复等任务依然繁重，生态保护与经济发展统筹压力并存。</w:t>
      </w:r>
    </w:p>
    <w:p>
      <w:pPr>
        <w:keepNext/>
        <w:keepLines/>
        <w:pageBreakBefore w:val="0"/>
        <w:widowControl w:val="0"/>
        <w:numPr>
          <w:ilvl w:val="0"/>
          <w:numId w:val="2"/>
        </w:numPr>
        <w:kinsoku/>
        <w:wordWrap/>
        <w:overflowPunct/>
        <w:topLinePunct w:val="0"/>
        <w:autoSpaceDE/>
        <w:autoSpaceDN/>
        <w:bidi w:val="0"/>
        <w:adjustRightInd w:val="0"/>
        <w:snapToGrid/>
        <w:spacing w:before="120" w:beforeLines="50" w:after="120" w:afterLines="50" w:line="560" w:lineRule="exact"/>
        <w:ind w:firstLine="640" w:firstLineChars="200"/>
        <w:textAlignment w:val="auto"/>
        <w:outlineLvl w:val="3"/>
        <w:rPr>
          <w:rFonts w:hint="eastAsia" w:ascii="方正楷体简体" w:hAnsi="方正楷体简体" w:eastAsia="方正楷体简体" w:cs="方正楷体简体"/>
          <w:b w:val="0"/>
          <w:bCs/>
          <w:sz w:val="32"/>
          <w:szCs w:val="32"/>
          <w:lang w:val="zh-CN"/>
          <w14:ligatures w14:val="none"/>
        </w:rPr>
      </w:pPr>
      <w:r>
        <w:rPr>
          <w:rFonts w:hint="eastAsia" w:ascii="方正楷体简体" w:hAnsi="方正楷体简体" w:eastAsia="方正楷体简体" w:cs="方正楷体简体"/>
          <w:b w:val="0"/>
          <w:bCs/>
          <w:sz w:val="32"/>
          <w:szCs w:val="32"/>
          <w:lang w:val="zh-CN"/>
          <w14:ligatures w14:val="none"/>
        </w:rPr>
        <w:t>主要问题</w:t>
      </w:r>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zh-CN" w:eastAsia="zh-CN"/>
        </w:rPr>
      </w:pPr>
      <w:r>
        <w:rPr>
          <w:rFonts w:hint="eastAsia" w:ascii="宋体" w:hAnsi="宋体" w:eastAsia="方正仿宋简体" w:cs="方正仿宋简体"/>
          <w:snapToGrid w:val="0"/>
          <w:color w:val="000000"/>
          <w:kern w:val="0"/>
          <w:sz w:val="32"/>
          <w:szCs w:val="32"/>
          <w:lang w:val="en-US" w:eastAsia="zh-CN"/>
        </w:rPr>
        <w:t>一是天然林退化修复难度大，山区、荒漠天然林受干旱风沙制约，林分结构单一，荒漠林自然恢复缓慢，生态系统连通性不足，抵御自然灾害能力偏弱。二是管护精细化与科技支撑不足，偏远区域管护站点、装备条件有限，基层管护人员专业能力有待提升；干旱区修复关键技术研发转化不足，“天空地”一体化监测体系尚未建成。三是生态惠民融合程度不深，林下经济、生态旅游产业规模偏小，资源优势转化不充分；公众护林意识有待提升，社会参与和监督机制尚不健全。</w:t>
      </w:r>
    </w:p>
    <w:p>
      <w:pPr>
        <w:pageBreakBefore w:val="0"/>
        <w:kinsoku/>
        <w:wordWrap w:val="0"/>
        <w:overflowPunct w:val="0"/>
        <w:topLinePunct w:val="0"/>
        <w:autoSpaceDE w:val="0"/>
        <w:autoSpaceDN w:val="0"/>
        <w:bidi w:val="0"/>
        <w:adjustRightInd w:val="0"/>
        <w:snapToGrid w:val="0"/>
        <w:spacing w:before="240" w:beforeLines="100" w:after="120" w:afterLines="50" w:line="560" w:lineRule="exact"/>
        <w:jc w:val="center"/>
        <w:textAlignment w:val="baseline"/>
        <w:outlineLvl w:val="0"/>
        <w:rPr>
          <w:rFonts w:hint="eastAsia" w:ascii="黑体" w:hAnsi="黑体" w:eastAsia="黑体" w:cs="黑体"/>
          <w:b/>
          <w:bCs/>
          <w:snapToGrid w:val="0"/>
          <w:color w:val="000000"/>
          <w:kern w:val="44"/>
          <w:sz w:val="32"/>
          <w:szCs w:val="32"/>
          <w14:ligatures w14:val="none"/>
        </w:rPr>
      </w:pPr>
      <w:bookmarkStart w:id="5" w:name="_Toc31349"/>
      <w:r>
        <w:rPr>
          <w:rFonts w:hint="eastAsia" w:ascii="黑体" w:hAnsi="黑体" w:eastAsia="黑体" w:cs="黑体"/>
          <w:b/>
          <w:bCs/>
          <w:snapToGrid w:val="0"/>
          <w:color w:val="000000"/>
          <w:kern w:val="44"/>
          <w:sz w:val="32"/>
          <w:szCs w:val="32"/>
          <w14:ligatures w14:val="none"/>
        </w:rPr>
        <w:t>第二章 总体要求</w:t>
      </w:r>
      <w:bookmarkEnd w:id="5"/>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坚持以习近平新时代中国特色社会主义思想为指导，深入践行习近平生态文明思想，牢固树立绿水青山就是金山银山理念，全面贯彻落实国家天然林保护修复系列决策部署，严格执行《全国天然林保护修复中长期规划（2021—2035年）》及《新疆维吾尔自治区天然林保护修复中长期总体方案（2021—2035年）》工作要求，主动衔接《林业草原保护利用“十五五”规划》和“三北”工程六期等国家林草重大工程部署，立足昌吉州天山北坡天然林资源禀赋、分布特征与核心生态功能定位，坚持扩绿、兴绿、护绿协同并举，深入贯彻习近平总书记关于推动森林“水库、钱库、粮库、碳库”联动的重要指示精神，统筹推进山水林田湖草沙一体化保护和系统治理。以构建健康稳定、结构优良、功能完备的天然林生态系统为总体目标，以提质增效、精准修复为核心主线，严格遵循天然林自然演替规律，坚持自然恢复为主、人工辅助修复为辅的治理原则，健全完善昌吉州全面保护、系统恢复、用途管控、权责明晰的天然林保护修复制度体系。聚焦天山北坡等重点生态区位，从严落实天然林全域保护管控措施，科学有序推进退化天然林修复提升，持续强化天然林涵养水源、保持水土、防风固沙、固碳增汇、维护生物多样性等核心生态功能。持续推动天然林资源高水平保护与高质量发展有机统一，科学挖掘生态产品价值，稳步助推林区产业绿色转型升级，助力林区经济社会高质量发展，为筑牢昌吉州天山北坡重要生态安全屏障、持续推进全州生态文明建设、实现人与自然和谐共生的现代化筑牢坚实生态根基。</w:t>
      </w:r>
    </w:p>
    <w:p>
      <w:pPr>
        <w:keepNext/>
        <w:keepLines/>
        <w:pageBreakBefore w:val="0"/>
        <w:widowControl w:val="0"/>
        <w:kinsoku/>
        <w:wordWrap w:val="0"/>
        <w:overflowPunct w:val="0"/>
        <w:topLinePunct w:val="0"/>
        <w:autoSpaceDE w:val="0"/>
        <w:autoSpaceDN w:val="0"/>
        <w:bidi w:val="0"/>
        <w:adjustRightInd w:val="0"/>
        <w:snapToGrid/>
        <w:spacing w:before="120" w:after="120" w:afterLines="50" w:line="560" w:lineRule="exact"/>
        <w:ind w:left="601"/>
        <w:textAlignment w:val="baseline"/>
        <w:outlineLvl w:val="2"/>
        <w:rPr>
          <w:rFonts w:hint="eastAsia" w:ascii="黑体" w:hAnsi="黑体" w:eastAsia="黑体" w:cs="黑体"/>
          <w:snapToGrid w:val="0"/>
          <w:color w:val="000000"/>
          <w:sz w:val="32"/>
          <w:szCs w:val="32"/>
          <w:lang w:val="en-US" w:eastAsia="zh-CN"/>
          <w14:ligatures w14:val="none"/>
        </w:rPr>
      </w:pPr>
      <w:bookmarkStart w:id="6" w:name="_Toc5792"/>
      <w:r>
        <w:rPr>
          <w:rFonts w:hint="eastAsia" w:ascii="黑体" w:hAnsi="黑体" w:eastAsia="黑体" w:cs="黑体"/>
          <w:snapToGrid w:val="0"/>
          <w:color w:val="000000"/>
          <w:sz w:val="32"/>
          <w:szCs w:val="32"/>
          <w:lang w:val="en-US" w:eastAsia="zh-CN"/>
          <w14:ligatures w14:val="none"/>
        </w:rPr>
        <w:t>一、范围期限</w:t>
      </w:r>
      <w:bookmarkEnd w:id="6"/>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规划</w:t>
      </w:r>
      <w:r>
        <w:rPr>
          <w:rFonts w:hint="eastAsia" w:ascii="宋体" w:hAnsi="宋体" w:eastAsia="方正仿宋简体" w:cs="方正仿宋简体"/>
          <w:snapToGrid w:val="0"/>
          <w:color w:val="000000"/>
          <w:kern w:val="0"/>
          <w:sz w:val="32"/>
          <w:szCs w:val="32"/>
          <w:lang w:val="zh-CN" w:eastAsia="zh-CN"/>
        </w:rPr>
        <w:t>范围</w:t>
      </w:r>
      <w:r>
        <w:rPr>
          <w:rFonts w:hint="eastAsia" w:ascii="宋体" w:hAnsi="宋体" w:eastAsia="方正仿宋简体" w:cs="方正仿宋简体"/>
          <w:snapToGrid w:val="0"/>
          <w:color w:val="000000"/>
          <w:kern w:val="0"/>
          <w:sz w:val="32"/>
          <w:szCs w:val="32"/>
          <w:lang w:val="en-US" w:eastAsia="zh-CN"/>
        </w:rPr>
        <w:t>涉及全州2个市（昌吉市、阜康市）、5个县（玛纳斯县、呼图壁县、</w:t>
      </w:r>
      <w:r>
        <w:rPr>
          <w:rFonts w:hint="eastAsia" w:ascii="宋体" w:hAnsi="宋体" w:eastAsia="方正仿宋简体" w:cs="方正仿宋简体"/>
          <w:snapToGrid w:val="0"/>
          <w:color w:val="000000"/>
          <w:kern w:val="0"/>
          <w:sz w:val="32"/>
          <w:szCs w:val="32"/>
          <w:lang w:val="zh-CN" w:eastAsia="zh-CN"/>
        </w:rPr>
        <w:t>奇台县、吉木萨尔县、木垒哈萨克自治县</w:t>
      </w:r>
      <w:r>
        <w:rPr>
          <w:rFonts w:hint="eastAsia" w:ascii="宋体" w:hAnsi="宋体" w:eastAsia="方正仿宋简体" w:cs="方正仿宋简体"/>
          <w:snapToGrid w:val="0"/>
          <w:color w:val="000000"/>
          <w:kern w:val="0"/>
          <w:sz w:val="32"/>
          <w:szCs w:val="32"/>
          <w:lang w:val="en-US" w:eastAsia="zh-CN"/>
        </w:rPr>
        <w:t>）和1个国有林管理局（阜康国有林管理局）管辖的天然林（</w:t>
      </w:r>
      <w:r>
        <w:rPr>
          <w:rFonts w:hint="eastAsia" w:ascii="宋体" w:hAnsi="宋体" w:eastAsia="方正仿宋简体" w:cs="方正仿宋简体"/>
          <w:snapToGrid w:val="0"/>
          <w:color w:val="000000"/>
          <w:kern w:val="0"/>
          <w:sz w:val="32"/>
          <w:szCs w:val="32"/>
          <w:lang w:val="zh-CN" w:eastAsia="zh-CN"/>
        </w:rPr>
        <w:t>1832.5354</w:t>
      </w:r>
      <w:r>
        <w:rPr>
          <w:rFonts w:hint="eastAsia" w:ascii="宋体" w:hAnsi="宋体" w:eastAsia="方正仿宋简体" w:cs="方正仿宋简体"/>
          <w:snapToGrid w:val="0"/>
          <w:color w:val="000000"/>
          <w:kern w:val="0"/>
          <w:sz w:val="32"/>
          <w:szCs w:val="32"/>
          <w:lang w:val="en-US" w:eastAsia="zh-CN"/>
        </w:rPr>
        <w:t>万</w:t>
      </w:r>
      <w:r>
        <w:rPr>
          <w:rFonts w:hint="eastAsia" w:ascii="宋体" w:hAnsi="宋体" w:eastAsia="方正仿宋简体" w:cs="方正仿宋简体"/>
          <w:snapToGrid w:val="0"/>
          <w:color w:val="000000"/>
          <w:kern w:val="0"/>
          <w:sz w:val="32"/>
          <w:szCs w:val="32"/>
          <w:lang w:val="zh-CN" w:eastAsia="zh-CN"/>
        </w:rPr>
        <w:t>亩</w:t>
      </w:r>
      <w:r>
        <w:rPr>
          <w:rFonts w:hint="eastAsia" w:ascii="宋体" w:hAnsi="宋体" w:eastAsia="方正仿宋简体" w:cs="方正仿宋简体"/>
          <w:snapToGrid w:val="0"/>
          <w:color w:val="000000"/>
          <w:kern w:val="0"/>
          <w:sz w:val="32"/>
          <w:szCs w:val="32"/>
          <w:lang w:val="en-US" w:eastAsia="zh-CN"/>
        </w:rPr>
        <w:t>）和非天然国家级公益林（0.9843万亩）。</w:t>
      </w:r>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zh-CN" w:eastAsia="zh-CN"/>
        </w:rPr>
      </w:pPr>
      <w:r>
        <w:rPr>
          <w:rFonts w:hint="eastAsia" w:ascii="宋体" w:hAnsi="宋体" w:eastAsia="方正仿宋简体" w:cs="方正仿宋简体"/>
          <w:snapToGrid w:val="0"/>
          <w:color w:val="000000"/>
          <w:kern w:val="0"/>
          <w:sz w:val="32"/>
          <w:szCs w:val="32"/>
          <w:lang w:val="zh-CN" w:eastAsia="zh-CN"/>
        </w:rPr>
        <w:t>规划期</w:t>
      </w:r>
      <w:r>
        <w:rPr>
          <w:rFonts w:hint="eastAsia" w:ascii="宋体" w:hAnsi="宋体" w:eastAsia="方正仿宋简体" w:cs="方正仿宋简体"/>
          <w:snapToGrid w:val="0"/>
          <w:color w:val="000000"/>
          <w:kern w:val="0"/>
          <w:sz w:val="32"/>
          <w:szCs w:val="32"/>
          <w:lang w:val="en-US" w:eastAsia="zh-CN"/>
        </w:rPr>
        <w:t>为15年，即</w:t>
      </w:r>
      <w:r>
        <w:rPr>
          <w:rFonts w:hint="eastAsia" w:ascii="宋体" w:hAnsi="宋体" w:eastAsia="方正仿宋简体" w:cs="方正仿宋简体"/>
          <w:snapToGrid w:val="0"/>
          <w:color w:val="000000"/>
          <w:kern w:val="0"/>
          <w:sz w:val="32"/>
          <w:szCs w:val="32"/>
          <w:lang w:val="zh-CN" w:eastAsia="zh-CN"/>
        </w:rPr>
        <w:t>2021</w:t>
      </w:r>
      <w:r>
        <w:rPr>
          <w:rFonts w:hint="eastAsia" w:ascii="宋体" w:hAnsi="宋体" w:eastAsia="方正仿宋简体" w:cs="方正仿宋简体"/>
          <w:snapToGrid w:val="0"/>
          <w:color w:val="000000"/>
          <w:kern w:val="0"/>
          <w:sz w:val="32"/>
          <w:szCs w:val="32"/>
          <w:lang w:val="en-US" w:eastAsia="zh-CN"/>
        </w:rPr>
        <w:t>—</w:t>
      </w:r>
      <w:r>
        <w:rPr>
          <w:rFonts w:hint="eastAsia" w:ascii="宋体" w:hAnsi="宋体" w:eastAsia="方正仿宋简体" w:cs="方正仿宋简体"/>
          <w:snapToGrid w:val="0"/>
          <w:color w:val="000000"/>
          <w:kern w:val="0"/>
          <w:sz w:val="32"/>
          <w:szCs w:val="32"/>
          <w:lang w:val="zh-CN" w:eastAsia="zh-CN"/>
        </w:rPr>
        <w:t>2035年。其中：近期2021</w:t>
      </w:r>
      <w:r>
        <w:rPr>
          <w:rFonts w:hint="eastAsia" w:ascii="宋体" w:hAnsi="宋体" w:eastAsia="方正仿宋简体" w:cs="方正仿宋简体"/>
          <w:snapToGrid w:val="0"/>
          <w:color w:val="000000"/>
          <w:kern w:val="0"/>
          <w:sz w:val="32"/>
          <w:szCs w:val="32"/>
          <w:lang w:val="en-US" w:eastAsia="zh-CN"/>
        </w:rPr>
        <w:t>—</w:t>
      </w:r>
      <w:r>
        <w:rPr>
          <w:rFonts w:hint="eastAsia" w:ascii="宋体" w:hAnsi="宋体" w:eastAsia="方正仿宋简体" w:cs="方正仿宋简体"/>
          <w:snapToGrid w:val="0"/>
          <w:color w:val="000000"/>
          <w:kern w:val="0"/>
          <w:sz w:val="32"/>
          <w:szCs w:val="32"/>
          <w:lang w:val="zh-CN" w:eastAsia="zh-CN"/>
        </w:rPr>
        <w:t>2025年，中期2026</w:t>
      </w:r>
      <w:r>
        <w:rPr>
          <w:rFonts w:hint="eastAsia" w:ascii="宋体" w:hAnsi="宋体" w:eastAsia="方正仿宋简体" w:cs="方正仿宋简体"/>
          <w:snapToGrid w:val="0"/>
          <w:color w:val="000000"/>
          <w:kern w:val="0"/>
          <w:sz w:val="32"/>
          <w:szCs w:val="32"/>
          <w:lang w:val="en-US" w:eastAsia="zh-CN"/>
        </w:rPr>
        <w:t>—</w:t>
      </w:r>
      <w:r>
        <w:rPr>
          <w:rFonts w:hint="eastAsia" w:ascii="宋体" w:hAnsi="宋体" w:eastAsia="方正仿宋简体" w:cs="方正仿宋简体"/>
          <w:snapToGrid w:val="0"/>
          <w:color w:val="000000"/>
          <w:kern w:val="0"/>
          <w:sz w:val="32"/>
          <w:szCs w:val="32"/>
          <w:lang w:val="zh-CN" w:eastAsia="zh-CN"/>
        </w:rPr>
        <w:t>2030年，远期2031</w:t>
      </w:r>
      <w:r>
        <w:rPr>
          <w:rFonts w:hint="eastAsia" w:ascii="宋体" w:hAnsi="宋体" w:eastAsia="方正仿宋简体" w:cs="方正仿宋简体"/>
          <w:snapToGrid w:val="0"/>
          <w:color w:val="000000"/>
          <w:kern w:val="0"/>
          <w:sz w:val="32"/>
          <w:szCs w:val="32"/>
          <w:lang w:val="en-US" w:eastAsia="zh-CN"/>
        </w:rPr>
        <w:t>—</w:t>
      </w:r>
      <w:r>
        <w:rPr>
          <w:rFonts w:hint="eastAsia" w:ascii="宋体" w:hAnsi="宋体" w:eastAsia="方正仿宋简体" w:cs="方正仿宋简体"/>
          <w:snapToGrid w:val="0"/>
          <w:color w:val="000000"/>
          <w:kern w:val="0"/>
          <w:sz w:val="32"/>
          <w:szCs w:val="32"/>
          <w:lang w:val="zh-CN" w:eastAsia="zh-CN"/>
        </w:rPr>
        <w:t>2035年。</w:t>
      </w:r>
    </w:p>
    <w:p>
      <w:pPr>
        <w:keepNext w:val="0"/>
        <w:keepLines w:val="0"/>
        <w:pageBreakBefore w:val="0"/>
        <w:widowControl w:val="0"/>
        <w:kinsoku/>
        <w:wordWrap w:val="0"/>
        <w:overflowPunct w:val="0"/>
        <w:topLinePunct w:val="0"/>
        <w:autoSpaceDE w:val="0"/>
        <w:autoSpaceDN w:val="0"/>
        <w:bidi w:val="0"/>
        <w:adjustRightInd w:val="0"/>
        <w:snapToGrid/>
        <w:spacing w:before="120" w:after="120" w:afterLines="50" w:line="560" w:lineRule="exact"/>
        <w:ind w:left="601"/>
        <w:textAlignment w:val="baseline"/>
        <w:outlineLvl w:val="2"/>
        <w:rPr>
          <w:rFonts w:hint="eastAsia" w:ascii="黑体" w:hAnsi="黑体" w:eastAsia="黑体" w:cs="黑体"/>
          <w:snapToGrid w:val="0"/>
          <w:color w:val="000000"/>
          <w:sz w:val="32"/>
          <w:szCs w:val="32"/>
          <w:lang w:val="en-US" w:eastAsia="zh-CN"/>
          <w14:ligatures w14:val="none"/>
        </w:rPr>
      </w:pPr>
      <w:bookmarkStart w:id="7" w:name="_Toc22633"/>
      <w:r>
        <w:rPr>
          <w:rFonts w:hint="eastAsia" w:ascii="黑体" w:hAnsi="黑体" w:eastAsia="黑体" w:cs="黑体"/>
          <w:snapToGrid w:val="0"/>
          <w:color w:val="000000"/>
          <w:sz w:val="32"/>
          <w:szCs w:val="32"/>
          <w:lang w:val="en-US" w:eastAsia="zh-CN"/>
          <w14:ligatures w14:val="none"/>
        </w:rPr>
        <w:t>二、目标任务</w:t>
      </w:r>
      <w:bookmarkEnd w:id="7"/>
    </w:p>
    <w:p>
      <w:pPr>
        <w:keepNext w:val="0"/>
        <w:keepLines w:val="0"/>
        <w:pageBreakBefore w:val="0"/>
        <w:widowControl w:val="0"/>
        <w:numPr>
          <w:ilvl w:val="0"/>
          <w:numId w:val="3"/>
        </w:numPr>
        <w:kinsoku/>
        <w:wordWrap/>
        <w:overflowPunct/>
        <w:topLinePunct w:val="0"/>
        <w:autoSpaceDE/>
        <w:autoSpaceDN/>
        <w:bidi w:val="0"/>
        <w:adjustRightInd w:val="0"/>
        <w:snapToGrid/>
        <w:spacing w:before="120" w:beforeLines="50" w:after="120" w:afterLines="50" w:line="560" w:lineRule="exact"/>
        <w:ind w:firstLine="640" w:firstLineChars="200"/>
        <w:textAlignment w:val="auto"/>
        <w:outlineLvl w:val="3"/>
        <w:rPr>
          <w:rFonts w:hint="eastAsia" w:ascii="方正楷体简体" w:hAnsi="方正楷体简体" w:eastAsia="方正楷体简体" w:cs="方正楷体简体"/>
          <w:b w:val="0"/>
          <w:bCs/>
          <w:sz w:val="32"/>
          <w:szCs w:val="32"/>
          <w:lang w:val="en-US" w:eastAsia="zh-CN"/>
          <w14:ligatures w14:val="none"/>
        </w:rPr>
      </w:pPr>
      <w:r>
        <w:rPr>
          <w:rFonts w:hint="eastAsia" w:ascii="方正楷体简体" w:hAnsi="方正楷体简体" w:eastAsia="方正楷体简体" w:cs="方正楷体简体"/>
          <w:b w:val="0"/>
          <w:bCs/>
          <w:sz w:val="32"/>
          <w:szCs w:val="32"/>
          <w:lang w:val="en-US" w:eastAsia="zh-CN"/>
          <w14:ligatures w14:val="none"/>
        </w:rPr>
        <w:t>规划目标</w:t>
      </w:r>
    </w:p>
    <w:p>
      <w:pPr>
        <w:keepNext w:val="0"/>
        <w:keepLines w:val="0"/>
        <w:pageBreakBefore w:val="0"/>
        <w:widowControl w:val="0"/>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zh-CN" w:eastAsia="zh-CN"/>
        </w:rPr>
      </w:pPr>
      <w:r>
        <w:rPr>
          <w:rFonts w:hint="eastAsia" w:ascii="宋体" w:hAnsi="宋体" w:eastAsia="方正仿宋简体" w:cs="方正仿宋简体"/>
          <w:b/>
          <w:bCs/>
          <w:snapToGrid w:val="0"/>
          <w:color w:val="000000"/>
          <w:kern w:val="0"/>
          <w:sz w:val="32"/>
          <w:szCs w:val="32"/>
          <w:lang w:val="zh-CN" w:eastAsia="zh-CN"/>
        </w:rPr>
        <w:t>总体目标。</w:t>
      </w:r>
      <w:r>
        <w:rPr>
          <w:rFonts w:hint="eastAsia" w:ascii="宋体" w:hAnsi="宋体" w:eastAsia="方正仿宋简体" w:cs="方正仿宋简体"/>
          <w:snapToGrid w:val="0"/>
          <w:color w:val="000000"/>
          <w:kern w:val="0"/>
          <w:sz w:val="32"/>
          <w:szCs w:val="32"/>
          <w:lang w:val="zh-CN" w:eastAsia="zh-CN"/>
        </w:rPr>
        <w:t>立足昌吉州天然林、公益林资源现状，落实既定指导思想与原则，健全法规制度、政策保障、技术标准、监督评价四大体系，推进天然林保护与公益林管理并轨融合。到2035年，力争实现天然林面积稳定在1832.5354万亩，累计完成天然林修复面积达20.4484万亩，提升森林质量、保护特色物种与生物多样性，建成以天然林为主体的健康稳定森林生态系统，夯实天山北坡生态安全屏障。</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zh-CN" w:eastAsia="zh-CN"/>
        </w:rPr>
      </w:pPr>
      <w:r>
        <w:rPr>
          <w:rFonts w:hint="eastAsia" w:ascii="宋体" w:hAnsi="宋体" w:eastAsia="方正仿宋简体" w:cs="方正仿宋简体"/>
          <w:b/>
          <w:bCs/>
          <w:snapToGrid w:val="0"/>
          <w:color w:val="000000"/>
          <w:kern w:val="0"/>
          <w:sz w:val="32"/>
          <w:szCs w:val="32"/>
          <w:lang w:val="zh-CN" w:eastAsia="zh-CN"/>
        </w:rPr>
        <w:t>阶段性目标。</w:t>
      </w:r>
      <w:r>
        <w:rPr>
          <w:rFonts w:hint="eastAsia" w:ascii="宋体" w:hAnsi="宋体" w:eastAsia="方正仿宋简体" w:cs="方正仿宋简体"/>
          <w:snapToGrid w:val="0"/>
          <w:color w:val="000000"/>
          <w:kern w:val="0"/>
          <w:sz w:val="32"/>
          <w:szCs w:val="32"/>
          <w:lang w:val="zh-CN" w:eastAsia="zh-CN"/>
        </w:rPr>
        <w:t>分</w:t>
      </w:r>
      <w:r>
        <w:rPr>
          <w:rFonts w:hint="eastAsia" w:ascii="宋体" w:hAnsi="宋体" w:eastAsia="方正仿宋简体" w:cs="方正仿宋简体"/>
          <w:snapToGrid w:val="0"/>
          <w:color w:val="000000"/>
          <w:kern w:val="0"/>
          <w:sz w:val="32"/>
          <w:szCs w:val="32"/>
          <w:lang w:val="en-US" w:eastAsia="zh-CN"/>
        </w:rPr>
        <w:t>为</w:t>
      </w:r>
      <w:r>
        <w:rPr>
          <w:rFonts w:hint="eastAsia" w:ascii="宋体" w:hAnsi="宋体" w:eastAsia="方正仿宋简体" w:cs="方正仿宋简体"/>
          <w:snapToGrid w:val="0"/>
          <w:color w:val="000000"/>
          <w:kern w:val="0"/>
          <w:sz w:val="32"/>
          <w:szCs w:val="32"/>
          <w:lang w:val="zh-CN" w:eastAsia="zh-CN"/>
        </w:rPr>
        <w:t>两期推进：2026—2030年为中期阶段，实现天然林与非天然国家级公益林生态系统有效恢复，基本建成全州“天空地”一体化智能监测网络，累计完成天然林修复4.4484万亩；2031—2035年为远期阶段，全面完成保护修复任务，实现从全面保护、系统修复到功能提升的阶段性跨越，到2035年累计修复天然林20.4484万亩，推动森林可持续经营与生态产品价值转化。</w:t>
      </w:r>
    </w:p>
    <w:p>
      <w:pPr>
        <w:keepNext/>
        <w:keepLines/>
        <w:pageBreakBefore w:val="0"/>
        <w:widowControl w:val="0"/>
        <w:numPr>
          <w:ilvl w:val="0"/>
          <w:numId w:val="3"/>
        </w:numPr>
        <w:kinsoku/>
        <w:wordWrap/>
        <w:overflowPunct/>
        <w:topLinePunct w:val="0"/>
        <w:autoSpaceDE/>
        <w:autoSpaceDN/>
        <w:bidi w:val="0"/>
        <w:adjustRightInd w:val="0"/>
        <w:snapToGrid/>
        <w:spacing w:before="120" w:beforeLines="50" w:after="120" w:afterLines="50" w:line="560" w:lineRule="exact"/>
        <w:ind w:firstLine="640" w:firstLineChars="200"/>
        <w:textAlignment w:val="auto"/>
        <w:outlineLvl w:val="3"/>
        <w:rPr>
          <w:rFonts w:hint="eastAsia" w:ascii="方正楷体简体" w:hAnsi="方正楷体简体" w:eastAsia="方正楷体简体" w:cs="方正楷体简体"/>
          <w:b w:val="0"/>
          <w:bCs/>
          <w:sz w:val="32"/>
          <w:szCs w:val="32"/>
          <w:lang w:val="en-US" w:eastAsia="zh-CN"/>
          <w14:ligatures w14:val="none"/>
        </w:rPr>
      </w:pPr>
      <w:r>
        <w:rPr>
          <w:rFonts w:hint="eastAsia" w:ascii="方正楷体简体" w:hAnsi="方正楷体简体" w:eastAsia="方正楷体简体" w:cs="方正楷体简体"/>
          <w:b w:val="0"/>
          <w:bCs/>
          <w:sz w:val="32"/>
          <w:szCs w:val="32"/>
          <w:lang w:val="en-US" w:eastAsia="zh-CN"/>
          <w14:ligatures w14:val="none"/>
        </w:rPr>
        <w:t>规划任务</w:t>
      </w:r>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zh-CN" w:eastAsia="zh-CN"/>
        </w:rPr>
        <w:t>一是强化资源保护，规划期每年管护总面积1833.5197万亩，包含天然林1832.5354万亩、非天然国家级公益林0.9843万亩，分重点、一般保护区域实施常态化管护。二是开展科学修复，规划天然林修复总规模20.4484万亩，其中2026—2030年实施4.4484万亩，2031—2035年实施16万亩。三是推动转型发展，引导国有林业单位职能由“养人”向干事创业转变，完善激励机制；坚持保护优先，依托天山北坡、天池、北塔山等生态资源，发展森林康养、生态科普、林下经济等生态产业，促进生态资源转化，带动就业增收，实现生态保护与林区经济协同发展。</w:t>
      </w:r>
    </w:p>
    <w:p>
      <w:pPr>
        <w:pageBreakBefore w:val="0"/>
        <w:kinsoku/>
        <w:wordWrap w:val="0"/>
        <w:overflowPunct w:val="0"/>
        <w:topLinePunct w:val="0"/>
        <w:autoSpaceDE w:val="0"/>
        <w:autoSpaceDN w:val="0"/>
        <w:bidi w:val="0"/>
        <w:adjustRightInd w:val="0"/>
        <w:snapToGrid w:val="0"/>
        <w:spacing w:before="240" w:beforeLines="100" w:after="120" w:afterLines="50" w:line="560" w:lineRule="exact"/>
        <w:jc w:val="center"/>
        <w:textAlignment w:val="baseline"/>
        <w:outlineLvl w:val="0"/>
        <w:rPr>
          <w:rFonts w:hint="eastAsia" w:ascii="黑体" w:hAnsi="黑体" w:eastAsia="黑体" w:cs="黑体"/>
          <w:b/>
          <w:bCs/>
          <w:snapToGrid w:val="0"/>
          <w:color w:val="000000"/>
          <w:kern w:val="44"/>
          <w:sz w:val="32"/>
          <w:szCs w:val="32"/>
          <w14:ligatures w14:val="none"/>
        </w:rPr>
      </w:pPr>
      <w:bookmarkStart w:id="8" w:name="_Toc32099"/>
      <w:r>
        <w:rPr>
          <w:rFonts w:hint="eastAsia" w:ascii="黑体" w:hAnsi="黑体" w:eastAsia="黑体" w:cs="黑体"/>
          <w:b/>
          <w:bCs/>
          <w:snapToGrid w:val="0"/>
          <w:color w:val="000000"/>
          <w:kern w:val="44"/>
          <w:sz w:val="32"/>
          <w:szCs w:val="32"/>
          <w14:ligatures w14:val="none"/>
        </w:rPr>
        <w:t>第三章  总体布局</w:t>
      </w:r>
      <w:bookmarkEnd w:id="8"/>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zh-CN" w:eastAsia="zh-CN"/>
        </w:rPr>
        <w:t>根据国家天然林保护修复制度方案，结合昌吉州天然林分布特征、生态区位重要性及规划范围，确定昌吉州天然林重点保护区域和一般保护区域，实行分区保护和分类管控。重点保护区域实行封禁保护；一般保护区域在全面保护基础上着力开展科学经营，优化林分结构、提升森林质量。划入生态保护红线的区域，严格落实生态保护红线有关管理规定，切实筑牢昌吉州天山北坡生态安全屏障。</w:t>
      </w:r>
    </w:p>
    <w:p>
      <w:pPr>
        <w:keepNext/>
        <w:keepLines/>
        <w:pageBreakBefore w:val="0"/>
        <w:widowControl w:val="0"/>
        <w:kinsoku/>
        <w:wordWrap w:val="0"/>
        <w:overflowPunct w:val="0"/>
        <w:topLinePunct w:val="0"/>
        <w:autoSpaceDE w:val="0"/>
        <w:autoSpaceDN w:val="0"/>
        <w:bidi w:val="0"/>
        <w:adjustRightInd w:val="0"/>
        <w:snapToGrid/>
        <w:spacing w:before="120" w:after="120" w:afterLines="50" w:line="560" w:lineRule="exact"/>
        <w:ind w:left="601"/>
        <w:textAlignment w:val="baseline"/>
        <w:outlineLvl w:val="2"/>
        <w:rPr>
          <w:rFonts w:hint="eastAsia" w:ascii="黑体" w:hAnsi="黑体" w:eastAsia="黑体" w:cs="黑体"/>
          <w:snapToGrid w:val="0"/>
          <w:color w:val="000000"/>
          <w:sz w:val="32"/>
          <w:szCs w:val="32"/>
          <w:lang w:val="en-US" w:eastAsia="zh-CN"/>
          <w14:ligatures w14:val="none"/>
        </w:rPr>
      </w:pPr>
      <w:bookmarkStart w:id="9" w:name="_Toc2026"/>
      <w:r>
        <w:rPr>
          <w:rFonts w:hint="eastAsia" w:ascii="黑体" w:hAnsi="黑体" w:eastAsia="黑体" w:cs="黑体"/>
          <w:snapToGrid w:val="0"/>
          <w:color w:val="000000"/>
          <w:sz w:val="32"/>
          <w:szCs w:val="32"/>
          <w:lang w:val="en-US" w:eastAsia="zh-CN"/>
          <w14:ligatures w14:val="none"/>
        </w:rPr>
        <w:t>一、天然林保护与公益林管理并轨</w:t>
      </w:r>
      <w:bookmarkEnd w:id="9"/>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zh-CN" w:eastAsia="zh-CN"/>
        </w:rPr>
      </w:pPr>
      <w:r>
        <w:rPr>
          <w:rFonts w:hint="eastAsia" w:ascii="宋体" w:hAnsi="宋体" w:eastAsia="方正仿宋简体" w:cs="方正仿宋简体"/>
          <w:snapToGrid w:val="0"/>
          <w:color w:val="000000"/>
          <w:kern w:val="0"/>
          <w:sz w:val="32"/>
          <w:szCs w:val="32"/>
          <w:lang w:val="zh-CN" w:eastAsia="zh-CN"/>
        </w:rPr>
        <w:t>实行天然林保护与公益林管理并轨，实施一体化保护，统一规划布局、统一管理平台、统一基础数据、统一补偿政策，统一管护制度，构建完备、规范、高效的保护制度体系。</w:t>
      </w:r>
    </w:p>
    <w:p>
      <w:pPr>
        <w:keepNext/>
        <w:keepLines/>
        <w:pageBreakBefore w:val="0"/>
        <w:widowControl w:val="0"/>
        <w:kinsoku/>
        <w:wordWrap w:val="0"/>
        <w:overflowPunct w:val="0"/>
        <w:topLinePunct w:val="0"/>
        <w:autoSpaceDE w:val="0"/>
        <w:autoSpaceDN w:val="0"/>
        <w:bidi w:val="0"/>
        <w:adjustRightInd w:val="0"/>
        <w:snapToGrid/>
        <w:spacing w:before="120" w:after="120" w:afterLines="50" w:line="560" w:lineRule="exact"/>
        <w:ind w:left="601"/>
        <w:textAlignment w:val="baseline"/>
        <w:outlineLvl w:val="2"/>
        <w:rPr>
          <w:rFonts w:hint="eastAsia" w:ascii="黑体" w:hAnsi="黑体" w:eastAsia="黑体" w:cs="黑体"/>
          <w:snapToGrid w:val="0"/>
          <w:color w:val="000000"/>
          <w:sz w:val="32"/>
          <w:szCs w:val="32"/>
          <w:lang w:val="en-US" w:eastAsia="zh-CN"/>
          <w14:ligatures w14:val="none"/>
        </w:rPr>
      </w:pPr>
      <w:bookmarkStart w:id="10" w:name="_Toc4770"/>
      <w:r>
        <w:rPr>
          <w:rFonts w:hint="eastAsia" w:ascii="黑体" w:hAnsi="黑体" w:eastAsia="黑体" w:cs="黑体"/>
          <w:snapToGrid w:val="0"/>
          <w:color w:val="000000"/>
          <w:sz w:val="32"/>
          <w:szCs w:val="32"/>
          <w:lang w:val="en-US" w:eastAsia="zh-CN"/>
          <w14:ligatures w14:val="none"/>
        </w:rPr>
        <w:t>二、分类管控</w:t>
      </w:r>
      <w:bookmarkEnd w:id="10"/>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b/>
          <w:bCs/>
          <w:snapToGrid w:val="0"/>
          <w:color w:val="000000"/>
          <w:kern w:val="0"/>
          <w:sz w:val="32"/>
          <w:szCs w:val="32"/>
          <w:lang w:val="en-US" w:eastAsia="zh-CN"/>
        </w:rPr>
        <w:t>重点保护区域。</w:t>
      </w:r>
      <w:r>
        <w:rPr>
          <w:rFonts w:hint="eastAsia" w:ascii="宋体" w:hAnsi="宋体" w:eastAsia="方正仿宋简体" w:cs="方正仿宋简体"/>
          <w:snapToGrid w:val="0"/>
          <w:color w:val="000000"/>
          <w:kern w:val="0"/>
          <w:sz w:val="32"/>
          <w:szCs w:val="32"/>
          <w:lang w:val="en-US" w:eastAsia="zh-CN"/>
        </w:rPr>
        <w:t>依据《天然林保护修复中长期规划（2021—2035年）》，划定范围包含国家公园、国家级自然保护区、饮用水水源一级保护区内划入国家级公益林的天然林以及保存完好的原始林，涉及2个实施单位，总面积0.0193万亩，含天然乔木林0.0185万亩、国家特别规定灌木林0.0008万亩，实施封禁保护。该区域是区域生态安全核心支撑，承担水源涵养、水土保持、防风固沙功能，重在维护生态系统原真性与完整性。在管控措施上，除国家重大工程、生态管护、科研监测等法定特殊情形外，严禁占用林地、开展生产经营及其他人为扰动，依靠自然恢复维系生态稳定。</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zh-CN" w:eastAsia="zh-CN"/>
        </w:rPr>
      </w:pPr>
      <w:r>
        <w:rPr>
          <w:rFonts w:hint="eastAsia" w:ascii="宋体" w:hAnsi="宋体" w:eastAsia="方正仿宋简体" w:cs="方正仿宋简体"/>
          <w:b/>
          <w:bCs/>
          <w:snapToGrid w:val="0"/>
          <w:color w:val="000000"/>
          <w:kern w:val="0"/>
          <w:sz w:val="32"/>
          <w:szCs w:val="32"/>
          <w:lang w:val="en-US" w:eastAsia="zh-CN"/>
        </w:rPr>
        <w:t>一般保护区域。</w:t>
      </w:r>
      <w:r>
        <w:rPr>
          <w:rFonts w:hint="eastAsia" w:ascii="宋体" w:hAnsi="宋体" w:eastAsia="方正仿宋简体" w:cs="方正仿宋简体"/>
          <w:snapToGrid w:val="0"/>
          <w:color w:val="000000"/>
          <w:kern w:val="0"/>
          <w:sz w:val="32"/>
          <w:szCs w:val="32"/>
          <w:lang w:val="zh-CN" w:eastAsia="zh-CN"/>
        </w:rPr>
        <w:t>昌吉</w:t>
      </w:r>
      <w:r>
        <w:rPr>
          <w:rFonts w:hint="eastAsia" w:ascii="宋体" w:hAnsi="宋体" w:eastAsia="方正仿宋简体" w:cs="方正仿宋简体"/>
          <w:snapToGrid w:val="0"/>
          <w:color w:val="000000"/>
          <w:kern w:val="0"/>
          <w:sz w:val="32"/>
          <w:szCs w:val="32"/>
          <w:lang w:val="en-US" w:eastAsia="zh-CN"/>
        </w:rPr>
        <w:t>州重点保护区域之外</w:t>
      </w:r>
      <w:r>
        <w:rPr>
          <w:rFonts w:hint="eastAsia" w:ascii="宋体" w:hAnsi="宋体" w:eastAsia="方正仿宋简体" w:cs="方正仿宋简体"/>
          <w:snapToGrid w:val="0"/>
          <w:color w:val="000000"/>
          <w:kern w:val="0"/>
          <w:sz w:val="32"/>
          <w:szCs w:val="32"/>
          <w:lang w:val="zh-CN" w:eastAsia="zh-CN"/>
        </w:rPr>
        <w:t>所有天然林及非天然国家级公益林均为一般保护区域，分布于</w:t>
      </w:r>
      <w:r>
        <w:rPr>
          <w:rFonts w:hint="eastAsia" w:ascii="宋体" w:hAnsi="宋体" w:eastAsia="方正仿宋简体" w:cs="方正仿宋简体"/>
          <w:snapToGrid w:val="0"/>
          <w:color w:val="000000"/>
          <w:kern w:val="0"/>
          <w:sz w:val="32"/>
          <w:szCs w:val="32"/>
          <w:lang w:val="en-US" w:eastAsia="zh-CN"/>
        </w:rPr>
        <w:t>州辖区内2个市、5个县和1个国有林管理局</w:t>
      </w:r>
      <w:r>
        <w:rPr>
          <w:rFonts w:hint="eastAsia" w:ascii="宋体" w:hAnsi="宋体" w:eastAsia="方正仿宋简体" w:cs="方正仿宋简体"/>
          <w:snapToGrid w:val="0"/>
          <w:color w:val="000000"/>
          <w:kern w:val="0"/>
          <w:sz w:val="32"/>
          <w:szCs w:val="32"/>
          <w:lang w:val="zh-CN" w:eastAsia="zh-CN"/>
        </w:rPr>
        <w:t>，总面积</w:t>
      </w:r>
      <w:r>
        <w:rPr>
          <w:rFonts w:hint="eastAsia" w:ascii="宋体" w:hAnsi="宋体" w:eastAsia="方正仿宋简体" w:cs="方正仿宋简体"/>
          <w:snapToGrid w:val="0"/>
          <w:color w:val="000000"/>
          <w:kern w:val="0"/>
          <w:sz w:val="32"/>
          <w:szCs w:val="32"/>
          <w:lang w:val="en-US" w:eastAsia="zh-CN"/>
        </w:rPr>
        <w:t>1833.5004</w:t>
      </w:r>
      <w:r>
        <w:rPr>
          <w:rFonts w:hint="eastAsia" w:ascii="宋体" w:hAnsi="宋体" w:eastAsia="方正仿宋简体" w:cs="方正仿宋简体"/>
          <w:snapToGrid w:val="0"/>
          <w:color w:val="000000"/>
          <w:kern w:val="0"/>
          <w:sz w:val="32"/>
          <w:szCs w:val="32"/>
          <w:lang w:val="zh-CN" w:eastAsia="zh-CN"/>
        </w:rPr>
        <w:t>万亩，以灌木林地为主。该区域是天然林生态系统重要组成部分，也是重点保护区与绿洲、荒漠之间的生态缓冲过渡带。在严格保护前提下，可实施森林抚育、退化林修复等近自然经营措施，提升林分质量与生态功能，形成和重点保护区功能互补的保护格局。管控上，建设项目原则上不占或少占林地，确需占用须依法审批。其中生态保护红线内248.5763万亩，严控林地用途转换，严禁毁林开垦；红线外1583.9398万亩，在不改变林地用途、保护植被的基础上，可适度发展林下经济、生态旅游、森林康养等绿色产业。</w:t>
      </w:r>
    </w:p>
    <w:p>
      <w:pPr>
        <w:keepNext/>
        <w:keepLines/>
        <w:pageBreakBefore w:val="0"/>
        <w:widowControl w:val="0"/>
        <w:kinsoku/>
        <w:wordWrap w:val="0"/>
        <w:overflowPunct w:val="0"/>
        <w:topLinePunct w:val="0"/>
        <w:autoSpaceDE w:val="0"/>
        <w:autoSpaceDN w:val="0"/>
        <w:bidi w:val="0"/>
        <w:adjustRightInd w:val="0"/>
        <w:snapToGrid/>
        <w:spacing w:before="120" w:after="120" w:afterLines="50" w:line="560" w:lineRule="exact"/>
        <w:ind w:left="601"/>
        <w:textAlignment w:val="baseline"/>
        <w:outlineLvl w:val="2"/>
        <w:rPr>
          <w:rFonts w:hint="eastAsia" w:ascii="黑体" w:hAnsi="黑体" w:eastAsia="黑体" w:cs="黑体"/>
          <w:snapToGrid w:val="0"/>
          <w:color w:val="000000"/>
          <w:sz w:val="32"/>
          <w:szCs w:val="32"/>
          <w:lang w:val="en-US" w:eastAsia="zh-CN"/>
          <w14:ligatures w14:val="none"/>
        </w:rPr>
      </w:pPr>
      <w:bookmarkStart w:id="11" w:name="_Toc28543"/>
      <w:r>
        <w:rPr>
          <w:rFonts w:hint="eastAsia" w:ascii="黑体" w:hAnsi="黑体" w:eastAsia="黑体" w:cs="黑体"/>
          <w:snapToGrid w:val="0"/>
          <w:color w:val="000000"/>
          <w:sz w:val="32"/>
          <w:szCs w:val="32"/>
          <w:lang w:val="en-US" w:eastAsia="zh-CN"/>
          <w14:ligatures w14:val="none"/>
        </w:rPr>
        <w:t>三、分区修复</w:t>
      </w:r>
      <w:bookmarkEnd w:id="11"/>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昌吉州结合本地生态本底、北方防沙带功能定位以及新疆“三屏两环多廊道”生态安全格局，衔接国家和自治区相关规划，将天然林保护修复划分为准噶尔荒漠林区、天山北坡天然林区两大分区，实行分区保护、分类管控。其中天山北坡天然林区重点开展生态系统保护修复与天然林质量提升；准噶尔荒漠林区重点实施三北工程六期防风固沙、植被恢复和封禁保育，不同类型修复项目按要求归口对应工程管理。</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b/>
          <w:bCs/>
          <w:snapToGrid w:val="0"/>
          <w:color w:val="000000"/>
          <w:kern w:val="0"/>
          <w:sz w:val="32"/>
          <w:szCs w:val="32"/>
          <w:lang w:val="en-US" w:eastAsia="zh-CN"/>
        </w:rPr>
        <w:t>准噶尔荒漠林区。</w:t>
      </w:r>
      <w:r>
        <w:rPr>
          <w:rFonts w:hint="eastAsia" w:ascii="宋体" w:hAnsi="宋体" w:eastAsia="方正仿宋简体" w:cs="方正仿宋简体"/>
          <w:snapToGrid w:val="0"/>
          <w:color w:val="000000"/>
          <w:kern w:val="0"/>
          <w:sz w:val="32"/>
          <w:szCs w:val="32"/>
          <w:lang w:val="en-US" w:eastAsia="zh-CN"/>
        </w:rPr>
        <w:t>主要分布于古尔班通古特沙漠南缘，覆盖全州各县市，以荒漠灌木林、绿洲边缘次生林为主，生态极度脆弱，受人为干扰、水分不足、鼠兔灾害影响，荒漠林退化、碎片化问题突出。治理上采取围栏封育、退化林补植补播，选用乡土耐旱树种，因地制宜实施生态补水，开展鼠兔害绿色防控，配套网格化与智慧监测，筑牢绿洲防风固沙屏障，相关任务与三北六期工程空间衔接。</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b/>
          <w:bCs/>
          <w:snapToGrid w:val="0"/>
          <w:color w:val="000000"/>
          <w:kern w:val="0"/>
          <w:sz w:val="32"/>
          <w:szCs w:val="32"/>
          <w:lang w:val="en-US" w:eastAsia="zh-CN"/>
        </w:rPr>
        <w:t>天山北坡天然林区。</w:t>
      </w:r>
      <w:r>
        <w:rPr>
          <w:rFonts w:hint="eastAsia" w:ascii="宋体" w:hAnsi="宋体" w:eastAsia="方正仿宋简体" w:cs="方正仿宋简体"/>
          <w:snapToGrid w:val="0"/>
          <w:color w:val="000000"/>
          <w:kern w:val="0"/>
          <w:sz w:val="32"/>
          <w:szCs w:val="32"/>
          <w:lang w:val="en-US" w:eastAsia="zh-CN"/>
        </w:rPr>
        <w:t>沿天山北坡中低山带状分布，覆盖多县市及阜康国有林管理局，以雪岭云杉为优势树种，是区域重要水源涵养与水土保持生态屏障。存在林地连通性不足、部分林分老化更新困难、病虫害潜在风险等问题。治理坚持自然恢复为主、人工促进为辅，实施森林抚育、退化林修复、清理病腐木，强化珍稀物种与生境保护，完善管护基础设施，搭建一体化监测网络，落实林长制，推进天然林质量精准提升，任务对接自治区林草“十五五”规划。</w:t>
      </w:r>
    </w:p>
    <w:p>
      <w:pPr>
        <w:pageBreakBefore w:val="0"/>
        <w:kinsoku/>
        <w:wordWrap w:val="0"/>
        <w:overflowPunct w:val="0"/>
        <w:topLinePunct w:val="0"/>
        <w:autoSpaceDE w:val="0"/>
        <w:autoSpaceDN w:val="0"/>
        <w:bidi w:val="0"/>
        <w:adjustRightInd w:val="0"/>
        <w:snapToGrid w:val="0"/>
        <w:spacing w:before="240" w:beforeLines="100" w:after="120" w:afterLines="50" w:line="560" w:lineRule="exact"/>
        <w:jc w:val="center"/>
        <w:textAlignment w:val="baseline"/>
        <w:outlineLvl w:val="0"/>
        <w:rPr>
          <w:rFonts w:hint="eastAsia" w:ascii="黑体" w:hAnsi="黑体" w:eastAsia="黑体" w:cs="黑体"/>
          <w:b/>
          <w:bCs/>
          <w:snapToGrid w:val="0"/>
          <w:color w:val="000000"/>
          <w:kern w:val="44"/>
          <w:sz w:val="32"/>
          <w:szCs w:val="32"/>
          <w14:ligatures w14:val="none"/>
        </w:rPr>
      </w:pPr>
      <w:bookmarkStart w:id="12" w:name="_Toc11784"/>
      <w:r>
        <w:rPr>
          <w:rFonts w:hint="eastAsia" w:ascii="黑体" w:hAnsi="黑体" w:eastAsia="黑体" w:cs="黑体"/>
          <w:b/>
          <w:bCs/>
          <w:snapToGrid w:val="0"/>
          <w:color w:val="000000"/>
          <w:kern w:val="44"/>
          <w:sz w:val="32"/>
          <w:szCs w:val="32"/>
          <w14:ligatures w14:val="none"/>
        </w:rPr>
        <w:t>第四章  天然林保护</w:t>
      </w:r>
      <w:bookmarkEnd w:id="12"/>
    </w:p>
    <w:p>
      <w:pPr>
        <w:keepNext/>
        <w:keepLines/>
        <w:pageBreakBefore w:val="0"/>
        <w:widowControl w:val="0"/>
        <w:kinsoku/>
        <w:wordWrap w:val="0"/>
        <w:overflowPunct w:val="0"/>
        <w:topLinePunct w:val="0"/>
        <w:autoSpaceDE w:val="0"/>
        <w:autoSpaceDN w:val="0"/>
        <w:bidi w:val="0"/>
        <w:adjustRightInd w:val="0"/>
        <w:snapToGrid/>
        <w:spacing w:before="120" w:after="120" w:afterLines="50" w:line="560" w:lineRule="exact"/>
        <w:ind w:left="601"/>
        <w:textAlignment w:val="baseline"/>
        <w:outlineLvl w:val="2"/>
        <w:rPr>
          <w:rFonts w:hint="eastAsia" w:ascii="黑体" w:hAnsi="黑体" w:eastAsia="黑体" w:cs="黑体"/>
          <w:snapToGrid w:val="0"/>
          <w:color w:val="000000"/>
          <w:sz w:val="32"/>
          <w:szCs w:val="32"/>
          <w:lang w:val="en-US" w:eastAsia="zh-CN"/>
          <w14:ligatures w14:val="none"/>
        </w:rPr>
      </w:pPr>
      <w:bookmarkStart w:id="13" w:name="_Toc20094"/>
      <w:r>
        <w:rPr>
          <w:rFonts w:hint="eastAsia" w:ascii="黑体" w:hAnsi="黑体" w:eastAsia="黑体" w:cs="黑体"/>
          <w:snapToGrid w:val="0"/>
          <w:color w:val="000000"/>
          <w:sz w:val="32"/>
          <w:szCs w:val="32"/>
          <w:lang w:val="en-US" w:eastAsia="zh-CN"/>
          <w14:ligatures w14:val="none"/>
        </w:rPr>
        <w:t>一、现状评价</w:t>
      </w:r>
      <w:bookmarkEnd w:id="13"/>
    </w:p>
    <w:p>
      <w:pPr>
        <w:keepNext/>
        <w:keepLines/>
        <w:pageBreakBefore w:val="0"/>
        <w:widowControl w:val="0"/>
        <w:numPr>
          <w:ilvl w:val="0"/>
          <w:numId w:val="4"/>
        </w:numPr>
        <w:kinsoku/>
        <w:wordWrap/>
        <w:overflowPunct/>
        <w:topLinePunct w:val="0"/>
        <w:autoSpaceDE/>
        <w:autoSpaceDN/>
        <w:bidi w:val="0"/>
        <w:adjustRightInd w:val="0"/>
        <w:snapToGrid/>
        <w:spacing w:before="120" w:beforeLines="50" w:after="120" w:afterLines="50" w:line="560" w:lineRule="exact"/>
        <w:ind w:firstLine="640" w:firstLineChars="200"/>
        <w:textAlignment w:val="auto"/>
        <w:outlineLvl w:val="3"/>
        <w:rPr>
          <w:rFonts w:hint="eastAsia" w:ascii="方正楷体简体" w:hAnsi="方正楷体简体" w:eastAsia="方正楷体简体" w:cs="方正楷体简体"/>
          <w:b w:val="0"/>
          <w:bCs/>
          <w:sz w:val="32"/>
          <w:szCs w:val="32"/>
          <w:lang w:val="en-US" w:eastAsia="zh-CN"/>
          <w14:ligatures w14:val="none"/>
        </w:rPr>
      </w:pPr>
      <w:r>
        <w:rPr>
          <w:rFonts w:hint="eastAsia" w:ascii="方正楷体简体" w:hAnsi="方正楷体简体" w:eastAsia="方正楷体简体" w:cs="方正楷体简体"/>
          <w:b w:val="0"/>
          <w:bCs/>
          <w:sz w:val="32"/>
          <w:szCs w:val="32"/>
          <w:lang w:val="en-US" w:eastAsia="zh-CN"/>
          <w14:ligatures w14:val="none"/>
        </w:rPr>
        <w:t>资源保护与管护能力现状</w:t>
      </w:r>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zh-CN" w:eastAsia="zh-CN"/>
        </w:rPr>
      </w:pPr>
      <w:r>
        <w:rPr>
          <w:rFonts w:hint="eastAsia" w:ascii="宋体" w:hAnsi="宋体" w:eastAsia="方正仿宋简体" w:cs="方正仿宋简体"/>
          <w:snapToGrid w:val="0"/>
          <w:color w:val="000000"/>
          <w:kern w:val="0"/>
          <w:sz w:val="32"/>
          <w:szCs w:val="32"/>
          <w:lang w:val="zh-CN" w:eastAsia="zh-CN"/>
        </w:rPr>
        <w:t>近年来，昌吉州持续推进天然林保护修复工作，不断健全管护机制、完善基础设施、强化资源监管，天然林资源得到有效保护，管护体系逐步完善，管护能力稳步提升。全州天然林保护态势总体向好，管护基础不断夯实，但在管护手段、基层能力、科技支撑等方面仍有提升空间，需进一步补齐短板、强化弱项，全面提升天然林保护管理水平。</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zh-CN" w:eastAsia="zh-CN"/>
        </w:rPr>
      </w:pPr>
      <w:r>
        <w:rPr>
          <w:rFonts w:hint="eastAsia" w:ascii="宋体" w:hAnsi="宋体" w:eastAsia="方正仿宋简体" w:cs="方正仿宋简体"/>
          <w:b/>
          <w:bCs/>
          <w:snapToGrid w:val="0"/>
          <w:color w:val="000000"/>
          <w:kern w:val="0"/>
          <w:sz w:val="32"/>
          <w:szCs w:val="32"/>
          <w:lang w:val="en-US" w:eastAsia="zh-CN"/>
        </w:rPr>
        <w:t>管护责任落实。</w:t>
      </w:r>
      <w:r>
        <w:rPr>
          <w:rFonts w:hint="eastAsia" w:ascii="宋体" w:hAnsi="宋体" w:eastAsia="方正仿宋简体" w:cs="方正仿宋简体"/>
          <w:snapToGrid w:val="0"/>
          <w:color w:val="000000"/>
          <w:kern w:val="0"/>
          <w:sz w:val="32"/>
          <w:szCs w:val="32"/>
          <w:lang w:val="en-US" w:eastAsia="zh-CN"/>
        </w:rPr>
        <w:t>全州管护总面积1833.5197万亩，涵盖天然林1832.5354万亩、非天然国家级公益林0.9843万亩，由8个实施单位分区管护。现有700余名护林员及临时护林员，落实分片巡护、定期汇报与管护考核制度，有效遏制各类破坏林地行为。全面推行四级林长制，至2025年12月签订管护责任书703份，实现管护责任闭环传导。</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b/>
          <w:bCs/>
          <w:snapToGrid w:val="0"/>
          <w:color w:val="000000"/>
          <w:kern w:val="0"/>
          <w:sz w:val="32"/>
          <w:szCs w:val="32"/>
          <w:lang w:val="en-US" w:eastAsia="zh-CN"/>
        </w:rPr>
        <w:t>基础设施建设。</w:t>
      </w:r>
      <w:r>
        <w:rPr>
          <w:rFonts w:hint="eastAsia" w:ascii="宋体" w:hAnsi="宋体" w:eastAsia="方正仿宋简体" w:cs="方正仿宋简体"/>
          <w:snapToGrid w:val="0"/>
          <w:color w:val="000000"/>
          <w:kern w:val="0"/>
          <w:sz w:val="32"/>
          <w:szCs w:val="32"/>
          <w:lang w:val="en-US" w:eastAsia="zh-CN"/>
        </w:rPr>
        <w:t>持续完善天然林管护基础设施，已建成管护站76座，</w:t>
      </w:r>
      <w:r>
        <w:rPr>
          <w:rFonts w:hint="eastAsia" w:ascii="宋体" w:hAnsi="宋体" w:eastAsia="方正仿宋简体" w:cs="方正仿宋简体"/>
          <w:snapToGrid w:val="0"/>
          <w:color w:val="000000"/>
          <w:kern w:val="0"/>
          <w:sz w:val="32"/>
          <w:szCs w:val="32"/>
          <w:lang w:val="zh-CN" w:eastAsia="zh-CN"/>
        </w:rPr>
        <w:t>配备办公、住宿、应急值守等配套设施；</w:t>
      </w:r>
      <w:r>
        <w:rPr>
          <w:rFonts w:hint="eastAsia" w:ascii="宋体" w:hAnsi="宋体" w:eastAsia="方正仿宋简体" w:cs="方正仿宋简体"/>
          <w:snapToGrid w:val="0"/>
          <w:color w:val="000000"/>
          <w:kern w:val="0"/>
          <w:sz w:val="32"/>
          <w:szCs w:val="32"/>
          <w:lang w:val="en-US" w:eastAsia="zh-CN"/>
        </w:rPr>
        <w:t>配置巡护车辆153辆，改善基层管护条件。同步建设智慧管护平台，布设高清监控摄像头144个、云台56个、多旋翼无人机10架，构建“科技+人工”协同管护模式，实现林区实时监测预警，提升巡护与应急处置能力。</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b/>
          <w:bCs/>
          <w:snapToGrid w:val="0"/>
          <w:color w:val="000000"/>
          <w:kern w:val="0"/>
          <w:sz w:val="32"/>
          <w:szCs w:val="32"/>
          <w:lang w:val="en-US" w:eastAsia="zh-CN"/>
        </w:rPr>
        <w:t>“三防”体系建设。</w:t>
      </w:r>
      <w:r>
        <w:rPr>
          <w:rFonts w:hint="eastAsia" w:ascii="宋体" w:hAnsi="宋体" w:eastAsia="方正仿宋简体" w:cs="方正仿宋简体"/>
          <w:snapToGrid w:val="0"/>
          <w:color w:val="000000"/>
          <w:kern w:val="0"/>
          <w:sz w:val="32"/>
          <w:szCs w:val="32"/>
          <w:lang w:val="en-US" w:eastAsia="zh-CN"/>
        </w:rPr>
        <w:t>逐步建立森林防火、林业有害生物防治、野生动物保护体系。健全县级防火组织与扑火队伍，常态化开展防火宣传、隐患排查和应急演练；布设有害生物监测点位，持续监测防控病虫害；强化野生动物栖息地管护，设立监测与救护站点，严打非法猎捕交易行为，守护生物多样性与生态稳定。</w:t>
      </w:r>
    </w:p>
    <w:p>
      <w:pPr>
        <w:keepNext/>
        <w:keepLines/>
        <w:pageBreakBefore w:val="0"/>
        <w:widowControl w:val="0"/>
        <w:numPr>
          <w:ilvl w:val="0"/>
          <w:numId w:val="4"/>
        </w:numPr>
        <w:kinsoku/>
        <w:wordWrap/>
        <w:overflowPunct/>
        <w:topLinePunct w:val="0"/>
        <w:autoSpaceDE/>
        <w:autoSpaceDN/>
        <w:bidi w:val="0"/>
        <w:adjustRightInd w:val="0"/>
        <w:snapToGrid/>
        <w:spacing w:before="120" w:beforeLines="50" w:after="120" w:afterLines="50" w:line="560" w:lineRule="exact"/>
        <w:ind w:firstLine="640" w:firstLineChars="200"/>
        <w:textAlignment w:val="auto"/>
        <w:outlineLvl w:val="3"/>
        <w:rPr>
          <w:rFonts w:hint="eastAsia" w:ascii="方正楷体简体" w:hAnsi="方正楷体简体" w:eastAsia="方正楷体简体" w:cs="方正楷体简体"/>
          <w:b w:val="0"/>
          <w:bCs/>
          <w:sz w:val="32"/>
          <w:szCs w:val="32"/>
          <w:lang w:val="en-US" w:eastAsia="zh-CN"/>
          <w14:ligatures w14:val="none"/>
        </w:rPr>
      </w:pPr>
      <w:r>
        <w:rPr>
          <w:rFonts w:hint="eastAsia" w:ascii="方正楷体简体" w:hAnsi="方正楷体简体" w:eastAsia="方正楷体简体" w:cs="方正楷体简体"/>
          <w:b w:val="0"/>
          <w:bCs/>
          <w:sz w:val="32"/>
          <w:szCs w:val="32"/>
          <w:lang w:val="en-US" w:eastAsia="zh-CN"/>
          <w14:ligatures w14:val="none"/>
        </w:rPr>
        <w:t>当前面临的主要困难和问题</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b/>
          <w:bCs/>
          <w:snapToGrid w:val="0"/>
          <w:color w:val="000000"/>
          <w:kern w:val="0"/>
          <w:sz w:val="32"/>
          <w:szCs w:val="32"/>
          <w:lang w:val="en-US" w:eastAsia="zh-CN"/>
        </w:rPr>
        <w:t>管护能力仍存短板。</w:t>
      </w:r>
      <w:r>
        <w:rPr>
          <w:rFonts w:hint="eastAsia" w:ascii="宋体" w:hAnsi="宋体" w:eastAsia="方正仿宋简体" w:cs="方正仿宋简体"/>
          <w:snapToGrid w:val="0"/>
          <w:color w:val="000000"/>
          <w:kern w:val="0"/>
          <w:sz w:val="32"/>
          <w:szCs w:val="32"/>
          <w:lang w:val="en-US" w:eastAsia="zh-CN"/>
        </w:rPr>
        <w:t>部分偏远林区护林员队伍年龄偏大、专业能力不足，缺少系统化业务培训，难以适配“科技+人工”管护模式；四级管护体系联动不足，乡、村管护力量薄弱，管护责任落实存在短板，偏远、零散天然林巡护管控不到位。</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b/>
          <w:bCs/>
          <w:snapToGrid w:val="0"/>
          <w:color w:val="000000"/>
          <w:kern w:val="0"/>
          <w:sz w:val="32"/>
          <w:szCs w:val="32"/>
          <w:lang w:val="en-US" w:eastAsia="zh-CN"/>
        </w:rPr>
        <w:t>基础设施建设区域不均衡。</w:t>
      </w:r>
      <w:r>
        <w:rPr>
          <w:rFonts w:hint="eastAsia" w:ascii="宋体" w:hAnsi="宋体" w:eastAsia="方正仿宋简体" w:cs="方正仿宋简体"/>
          <w:snapToGrid w:val="0"/>
          <w:color w:val="000000"/>
          <w:kern w:val="0"/>
          <w:sz w:val="32"/>
          <w:szCs w:val="32"/>
          <w:lang w:val="en-US" w:eastAsia="zh-CN"/>
        </w:rPr>
        <w:t>天山北坡天然林区配套较好，准漠林区偏远点位管护站点简陋、道路不畅、装备不足；智慧管护建设尚在起步，平台覆盖有限，监测设备布设不够合理，科技赋能管护效能未能充分释放。</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b/>
          <w:bCs/>
          <w:snapToGrid w:val="0"/>
          <w:color w:val="000000"/>
          <w:kern w:val="0"/>
          <w:sz w:val="32"/>
          <w:szCs w:val="32"/>
          <w:lang w:val="en-US" w:eastAsia="zh-CN"/>
        </w:rPr>
        <w:t>森林防护体系仍需完善。</w:t>
      </w:r>
      <w:r>
        <w:rPr>
          <w:rFonts w:hint="eastAsia" w:ascii="宋体" w:hAnsi="宋体" w:eastAsia="方正仿宋简体" w:cs="方正仿宋简体"/>
          <w:snapToGrid w:val="0"/>
          <w:color w:val="000000"/>
          <w:kern w:val="0"/>
          <w:sz w:val="32"/>
          <w:szCs w:val="32"/>
          <w:lang w:val="en-US" w:eastAsia="zh-CN"/>
        </w:rPr>
        <w:t>森林防火存在通道、水源短板，偏远区域扑火响应慢，人为火隐患尚未根除；有害生物监测预警精度不足，无公害防治技术推广有限；野生动物栖息地破碎化，非法猎捕交易行为仍有发生，救助保护体系有待加强。</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b/>
          <w:bCs/>
          <w:snapToGrid w:val="0"/>
          <w:color w:val="000000"/>
          <w:kern w:val="0"/>
          <w:sz w:val="32"/>
          <w:szCs w:val="32"/>
          <w:lang w:val="en-US" w:eastAsia="zh-CN"/>
        </w:rPr>
        <w:t>生态修复难度较大。</w:t>
      </w:r>
      <w:r>
        <w:rPr>
          <w:rFonts w:hint="eastAsia" w:ascii="宋体" w:hAnsi="宋体" w:eastAsia="方正仿宋简体" w:cs="方正仿宋简体"/>
          <w:snapToGrid w:val="0"/>
          <w:color w:val="000000"/>
          <w:kern w:val="0"/>
          <w:sz w:val="32"/>
          <w:szCs w:val="32"/>
          <w:lang w:val="en-US" w:eastAsia="zh-CN"/>
        </w:rPr>
        <w:t>准噶尔荒漠林区干旱缺水、立地条件差，植被自然恢复缓慢，人工修复成本高；天山北坡天然林区部分林分老化、天然更新不足，叠加极端天气，林分提质与生态功能恢复难度较大。</w:t>
      </w:r>
    </w:p>
    <w:p>
      <w:pPr>
        <w:keepNext/>
        <w:keepLines/>
        <w:pageBreakBefore w:val="0"/>
        <w:widowControl w:val="0"/>
        <w:kinsoku/>
        <w:wordWrap w:val="0"/>
        <w:overflowPunct w:val="0"/>
        <w:topLinePunct w:val="0"/>
        <w:autoSpaceDE w:val="0"/>
        <w:autoSpaceDN w:val="0"/>
        <w:bidi w:val="0"/>
        <w:adjustRightInd w:val="0"/>
        <w:snapToGrid/>
        <w:spacing w:before="120" w:after="120" w:afterLines="50" w:line="560" w:lineRule="exact"/>
        <w:ind w:left="601"/>
        <w:textAlignment w:val="baseline"/>
        <w:outlineLvl w:val="2"/>
        <w:rPr>
          <w:rFonts w:hint="eastAsia" w:ascii="黑体" w:hAnsi="黑体" w:eastAsia="黑体" w:cs="黑体"/>
          <w:snapToGrid w:val="0"/>
          <w:color w:val="000000"/>
          <w:sz w:val="32"/>
          <w:szCs w:val="32"/>
          <w:lang w:val="en-US" w:eastAsia="zh-CN"/>
          <w14:ligatures w14:val="none"/>
        </w:rPr>
      </w:pPr>
      <w:bookmarkStart w:id="14" w:name="_Toc1693"/>
      <w:r>
        <w:rPr>
          <w:rFonts w:hint="eastAsia" w:ascii="黑体" w:hAnsi="黑体" w:eastAsia="黑体" w:cs="黑体"/>
          <w:snapToGrid w:val="0"/>
          <w:color w:val="000000"/>
          <w:sz w:val="32"/>
          <w:szCs w:val="32"/>
          <w:lang w:val="en-US" w:eastAsia="zh-CN"/>
          <w14:ligatures w14:val="none"/>
        </w:rPr>
        <w:t>二、资源保护</w:t>
      </w:r>
      <w:bookmarkEnd w:id="14"/>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b/>
          <w:bCs/>
          <w:snapToGrid w:val="0"/>
          <w:color w:val="000000"/>
          <w:kern w:val="0"/>
          <w:sz w:val="32"/>
          <w:szCs w:val="32"/>
          <w:lang w:val="en-US" w:eastAsia="zh-CN"/>
        </w:rPr>
        <w:t>森林防火。</w:t>
      </w:r>
      <w:r>
        <w:rPr>
          <w:rFonts w:hint="eastAsia" w:ascii="宋体" w:hAnsi="宋体" w:eastAsia="方正仿宋简体" w:cs="方正仿宋简体"/>
          <w:snapToGrid w:val="0"/>
          <w:color w:val="000000"/>
          <w:kern w:val="0"/>
          <w:sz w:val="32"/>
          <w:szCs w:val="32"/>
          <w:lang w:val="en-US" w:eastAsia="zh-CN"/>
        </w:rPr>
        <w:t>秉持“预防为主、积极消灭、生命至上、安全第一”方针，打造“人防+技防+物防”三位一体森林防火体系。从严开展火源管控，防火期严控进山人员车辆，禁止野外用火，全面排查火灾隐患并实施台账销号管理。持续完善防火基础设施，在两大林区扩建物资库，建设消防水池、防火隔离带，拓宽防火通道；升级智慧火情监测系统，加密监测设备布设，提升火情早期处置能力。建强扑火队伍，常态化组织应急演练，严格执行扑火安全“三先四不打”要求，保障人员安全，同时建立跨区域联防联控机制，凝聚防火合力。多渠道开展防火宣传，广泛普及防火法规知识，增强群众森林防火意识。</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b/>
          <w:bCs/>
          <w:snapToGrid w:val="0"/>
          <w:color w:val="000000"/>
          <w:kern w:val="0"/>
          <w:sz w:val="32"/>
          <w:szCs w:val="32"/>
          <w:lang w:val="en-US" w:eastAsia="zh-CN"/>
        </w:rPr>
        <w:t>有害生物防治。</w:t>
      </w:r>
      <w:r>
        <w:rPr>
          <w:rFonts w:hint="eastAsia" w:ascii="宋体" w:hAnsi="宋体" w:eastAsia="方正仿宋简体" w:cs="方正仿宋简体"/>
          <w:snapToGrid w:val="0"/>
          <w:color w:val="000000"/>
          <w:kern w:val="0"/>
          <w:sz w:val="32"/>
          <w:szCs w:val="32"/>
          <w:lang w:val="en-US" w:eastAsia="zh-CN"/>
        </w:rPr>
        <w:t>按照“预防为主、科学防控、依法治理、促进健康”原则，针对天山北坡雪岭云杉小蠹虫、准噶尔荒漠林区鼠（兔）害等主要有害生物，建立集精准监测、科学防治、全程管控于一体的有害生物防治体系。优化监测站点布局，配齐设备与人员，常态化开展巡查监测，建立数据库实现动态预警。坚持绿色防控，因地制宜推广生物、物理等无公害防治技术，减少化学药剂使用，在病虫害高发区实施统防统治，遏制灾害扩散。严格落实林草植物检疫，强化苗木与木材检疫监管，防范外来有害生物入侵；健全灾害应急处置机制，快速处置突发灾情。同时加强基层人员技术培训，持续提升有害生物防治专业化、规范化水平。</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b/>
          <w:bCs/>
          <w:snapToGrid w:val="0"/>
          <w:color w:val="000000"/>
          <w:kern w:val="0"/>
          <w:sz w:val="32"/>
          <w:szCs w:val="32"/>
          <w:lang w:val="en-US" w:eastAsia="zh-CN"/>
        </w:rPr>
        <w:t>生物多样性保护。</w:t>
      </w:r>
      <w:r>
        <w:rPr>
          <w:rFonts w:hint="eastAsia" w:ascii="宋体" w:hAnsi="宋体" w:eastAsia="方正仿宋简体" w:cs="方正仿宋简体"/>
          <w:snapToGrid w:val="0"/>
          <w:color w:val="000000"/>
          <w:kern w:val="0"/>
          <w:sz w:val="32"/>
          <w:szCs w:val="32"/>
          <w:lang w:val="en-US" w:eastAsia="zh-CN"/>
        </w:rPr>
        <w:t>结合昌吉州天然林生物多样性本底，聚焦雪岭云杉原生群落、阜康阿魏及马鹿、棕熊等珍稀动植物，构建就地、迁地、专项保护相结合的综合保护体系。划定保护小区，实施封禁管控，降低人为干扰，推进栖息地连通与生态廊道建设，缓解栖息地碎片化，保障动物迁徙与物种基因交流。持续开展珍稀植物监测、人工繁育与补植，完善野生动物救助站点，严厉打击非法猎捕交易等违法行为。定期组织生物多样性普查，建立物种资源数据库，夯实生物多样性保护的数据基础，提升生态系统稳定水平。</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b/>
          <w:bCs/>
          <w:snapToGrid w:val="0"/>
          <w:color w:val="000000"/>
          <w:kern w:val="0"/>
          <w:sz w:val="32"/>
          <w:szCs w:val="32"/>
          <w:lang w:val="en-US" w:eastAsia="zh-CN"/>
        </w:rPr>
        <w:t>林地生产力维护。</w:t>
      </w:r>
      <w:r>
        <w:rPr>
          <w:rFonts w:hint="eastAsia" w:ascii="宋体" w:hAnsi="宋体" w:eastAsia="方正仿宋简体" w:cs="方正仿宋简体"/>
          <w:snapToGrid w:val="0"/>
          <w:color w:val="000000"/>
          <w:kern w:val="0"/>
          <w:sz w:val="32"/>
          <w:szCs w:val="32"/>
          <w:lang w:val="en-US" w:eastAsia="zh-CN"/>
        </w:rPr>
        <w:t>遵循“科学经营、提质增效、永续利用”原则，依托两大林区不同立地条件分类实施林地提质，增强天然林生态功能。天山北坡天然林区通过森林抚育、人工促进天然更新，清理病腐衰弱木、补植乡土树种，优化林分结构；准噶尔荒漠林区实施封沙育林与补植补播，选用梭梭、柽柳等耐旱本土物种，提高植被盖度与防风固沙能力。严格执行林地用途管控，规范征占用审批，守护天然林面积；针对荒漠林地土壤贫瘠问题开展土壤改良，提升地力。坚持保护优先，适度发展林下经济、生态旅游等绿色产业，科学把控经营强度，防止林地退化。同步强化极端天气监测预警，落实抗旱防寒举措，降低气候变化带来的不利影响，稳固林地生产力，实现生态保护与经济发展协同共进。</w:t>
      </w:r>
    </w:p>
    <w:p>
      <w:pPr>
        <w:keepNext/>
        <w:keepLines/>
        <w:pageBreakBefore w:val="0"/>
        <w:widowControl w:val="0"/>
        <w:kinsoku/>
        <w:wordWrap w:val="0"/>
        <w:overflowPunct w:val="0"/>
        <w:topLinePunct w:val="0"/>
        <w:autoSpaceDE w:val="0"/>
        <w:autoSpaceDN w:val="0"/>
        <w:bidi w:val="0"/>
        <w:adjustRightInd w:val="0"/>
        <w:snapToGrid/>
        <w:spacing w:before="120" w:after="120" w:afterLines="50" w:line="560" w:lineRule="exact"/>
        <w:ind w:left="601"/>
        <w:textAlignment w:val="baseline"/>
        <w:outlineLvl w:val="2"/>
        <w:rPr>
          <w:rFonts w:hint="eastAsia" w:ascii="黑体" w:hAnsi="黑体" w:eastAsia="黑体" w:cs="黑体"/>
          <w:snapToGrid w:val="0"/>
          <w:color w:val="000000"/>
          <w:sz w:val="32"/>
          <w:szCs w:val="32"/>
          <w:lang w:val="en-US" w:eastAsia="zh-CN"/>
          <w14:ligatures w14:val="none"/>
        </w:rPr>
      </w:pPr>
      <w:bookmarkStart w:id="15" w:name="_Toc18606"/>
      <w:r>
        <w:rPr>
          <w:rFonts w:hint="eastAsia" w:ascii="黑体" w:hAnsi="黑体" w:eastAsia="黑体" w:cs="黑体"/>
          <w:snapToGrid w:val="0"/>
          <w:color w:val="000000"/>
          <w:sz w:val="32"/>
          <w:szCs w:val="32"/>
          <w:lang w:val="en-US" w:eastAsia="zh-CN"/>
          <w14:ligatures w14:val="none"/>
        </w:rPr>
        <w:t>三、全面管护</w:t>
      </w:r>
      <w:bookmarkEnd w:id="15"/>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b/>
          <w:bCs/>
          <w:snapToGrid w:val="0"/>
          <w:color w:val="000000"/>
          <w:kern w:val="0"/>
          <w:sz w:val="32"/>
          <w:szCs w:val="32"/>
          <w:lang w:val="en-US" w:eastAsia="zh-CN"/>
        </w:rPr>
        <w:t>明确管护任务。</w:t>
      </w:r>
      <w:r>
        <w:rPr>
          <w:rFonts w:hint="eastAsia" w:ascii="宋体" w:hAnsi="宋体" w:eastAsia="方正仿宋简体" w:cs="方正仿宋简体"/>
          <w:snapToGrid w:val="0"/>
          <w:color w:val="000000"/>
          <w:kern w:val="0"/>
          <w:sz w:val="32"/>
          <w:szCs w:val="32"/>
          <w:lang w:val="en-US" w:eastAsia="zh-CN"/>
        </w:rPr>
        <w:t>按照《新疆维吾尔自治区国家级公益林管护办法》相关规定，平原区人均管护面积原则上在10000～30000亩之间，山区人均管护面积原则上在6000～20000亩之间，长期聘用管护人员超核定上限单位按“自然减员、只减不增”管理。2026—2035年，昌吉州规划共核减长期聘用管护人员93人，临时聘用管护人员5人。</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b/>
          <w:bCs/>
          <w:snapToGrid w:val="0"/>
          <w:color w:val="000000"/>
          <w:kern w:val="0"/>
          <w:sz w:val="32"/>
          <w:szCs w:val="32"/>
          <w:lang w:val="en-US" w:eastAsia="zh-CN"/>
        </w:rPr>
        <w:t>落实管护责任。</w:t>
      </w:r>
      <w:r>
        <w:rPr>
          <w:rFonts w:hint="eastAsia" w:ascii="宋体" w:hAnsi="宋体" w:eastAsia="方正仿宋简体" w:cs="方正仿宋简体"/>
          <w:snapToGrid w:val="0"/>
          <w:color w:val="000000"/>
          <w:kern w:val="0"/>
          <w:sz w:val="32"/>
          <w:szCs w:val="32"/>
          <w:lang w:val="en-US" w:eastAsia="zh-CN"/>
        </w:rPr>
        <w:t>全面落实国家及自治区天然林保护修复相关部署，将此项工作纳入规范化、制度化管理，压实州、县、乡、村四级政府主体责任，把保护修复任务纳入各级经济社会发展规划，明确政府主要负责人为第一责任人，编制州县两级实施方案，构建“州级统筹、县市落实、林场执行、村级联动”工作格局；依托四级林长制建立目标考核机制，将管护成效与林长履职、地方绩效考核挂钩，严格天然林用途管制与林地征占用审批，稳定天然林面积。结合两大林区管护实际，依据管护面积、难度和人员标准科学划分管护责任区，任务落实到山头地块与护林员，签订管护责任书实现全域覆盖，按照“远山设卡、近山巡护、荒漠重点防控”思路，综合运用人工巡护、卡口管控、视频与无人机监测等智慧管护手段，破解偏远及荒漠林区巡护难题。同时持续加大管护执法力度，严厉查处毁林开垦、非法侵占林地等各类破坏行为，不断完善配套制度，以严格保护举措持续提升天然林资源质量与生态功能，保障中长期保护修复目标顺利落地。</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highlight w:val="none"/>
          <w:lang w:val="en-US" w:eastAsia="zh-CN"/>
        </w:rPr>
      </w:pPr>
      <w:r>
        <w:rPr>
          <w:rFonts w:hint="eastAsia" w:ascii="宋体" w:hAnsi="宋体" w:eastAsia="方正仿宋简体" w:cs="方正仿宋简体"/>
          <w:b/>
          <w:bCs/>
          <w:snapToGrid w:val="0"/>
          <w:color w:val="000000"/>
          <w:kern w:val="0"/>
          <w:sz w:val="32"/>
          <w:szCs w:val="32"/>
          <w:lang w:val="en-US" w:eastAsia="zh-CN"/>
        </w:rPr>
        <w:t>提升管护能力。</w:t>
      </w:r>
      <w:r>
        <w:rPr>
          <w:rFonts w:hint="eastAsia" w:ascii="宋体" w:hAnsi="宋体" w:eastAsia="方正仿宋简体" w:cs="方正仿宋简体"/>
          <w:snapToGrid w:val="0"/>
          <w:color w:val="000000"/>
          <w:kern w:val="0"/>
          <w:sz w:val="32"/>
          <w:szCs w:val="32"/>
          <w:highlight w:val="none"/>
          <w:lang w:val="en-US" w:eastAsia="zh-CN"/>
        </w:rPr>
        <w:t>规划对全州76个管护站实施维修维护，配套完善水、电、消防、防护装备等设施，对现有153辆巡护车辆开展常态化保养，简易修缮巡护道路桥梁，布设各类管护标识，购置巡护装备1709套，夯实一线管护硬件基础；推进管护智能化升级，规划购置智能化设备110架（套），包括巡护无人机57架、高空云台53套，升级智慧林草管护平台，搭建配套基础设施，做好现有信息化设备运维，同时结合本地山区、荒漠环境推进平台本地化适配，构建空天地一体化三级监测体系，运用AI分析模型提升监测预警与科学决策水平；健全应急处置体系，修订各类专项应急预案，储备应急物资，建强专业应急队伍，完善跨区域跨部门联动机制，高效处置森林火灾、生物灾害等突发事件；优化巡护网格布局，加密重点区域巡护频次，常态化开展护林员业务培训每年不少于2次，完善激励考核机制，推行人工巡护与科技监测、群众监督相结合的管护模式，实现巡护全程规范可追溯；构建多渠道科普宣传体系，面向林区群众、青少年等群体开展普法与生态科普，打造林区科普阵地，联动学校、社区、企业引导社会力量参与保护；建立天然林保护成效监测评估体系，优化监测点位，完善评估指标，持续跟踪资源动态，联合科研院所攻关荒漠林修复、雪岭云杉保护等关键技术并做好技术推广，全面提升天然林保护修复科学化、规范化水平。</w:t>
      </w:r>
    </w:p>
    <w:p>
      <w:pPr>
        <w:pageBreakBefore w:val="0"/>
        <w:kinsoku/>
        <w:wordWrap w:val="0"/>
        <w:overflowPunct w:val="0"/>
        <w:topLinePunct w:val="0"/>
        <w:autoSpaceDE w:val="0"/>
        <w:autoSpaceDN w:val="0"/>
        <w:bidi w:val="0"/>
        <w:adjustRightInd w:val="0"/>
        <w:snapToGrid w:val="0"/>
        <w:spacing w:before="240" w:beforeLines="100" w:after="120" w:afterLines="50" w:line="560" w:lineRule="exact"/>
        <w:jc w:val="center"/>
        <w:textAlignment w:val="baseline"/>
        <w:outlineLvl w:val="0"/>
        <w:rPr>
          <w:rFonts w:hint="eastAsia" w:ascii="黑体" w:hAnsi="黑体" w:eastAsia="黑体" w:cs="黑体"/>
          <w:b/>
          <w:bCs/>
          <w:snapToGrid w:val="0"/>
          <w:color w:val="000000"/>
          <w:kern w:val="44"/>
          <w:sz w:val="32"/>
          <w:szCs w:val="32"/>
          <w14:ligatures w14:val="none"/>
        </w:rPr>
      </w:pPr>
      <w:bookmarkStart w:id="16" w:name="_Toc24164"/>
      <w:r>
        <w:rPr>
          <w:rFonts w:hint="eastAsia" w:ascii="黑体" w:hAnsi="黑体" w:eastAsia="黑体" w:cs="黑体"/>
          <w:b/>
          <w:bCs/>
          <w:snapToGrid w:val="0"/>
          <w:color w:val="000000"/>
          <w:kern w:val="44"/>
          <w:sz w:val="32"/>
          <w:szCs w:val="32"/>
          <w14:ligatures w14:val="none"/>
        </w:rPr>
        <w:t>第五章  天然林修复</w:t>
      </w:r>
      <w:bookmarkEnd w:id="16"/>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按照地类和森林资源健康等级，可将天然林分为原始林、健康次生乔木林、低质低效次生林、残次林，国家特别规定的灌木林、一般灌木林和疏林。</w:t>
      </w:r>
    </w:p>
    <w:p>
      <w:pPr>
        <w:keepNext/>
        <w:keepLines/>
        <w:pageBreakBefore w:val="0"/>
        <w:widowControl w:val="0"/>
        <w:kinsoku/>
        <w:wordWrap w:val="0"/>
        <w:overflowPunct w:val="0"/>
        <w:topLinePunct w:val="0"/>
        <w:autoSpaceDE w:val="0"/>
        <w:autoSpaceDN w:val="0"/>
        <w:bidi w:val="0"/>
        <w:adjustRightInd w:val="0"/>
        <w:snapToGrid/>
        <w:spacing w:before="120" w:after="120" w:afterLines="50" w:line="560" w:lineRule="exact"/>
        <w:ind w:left="601"/>
        <w:textAlignment w:val="baseline"/>
        <w:outlineLvl w:val="2"/>
        <w:rPr>
          <w:rFonts w:hint="eastAsia" w:ascii="黑体" w:hAnsi="黑体" w:eastAsia="黑体" w:cs="黑体"/>
          <w:snapToGrid w:val="0"/>
          <w:color w:val="000000"/>
          <w:sz w:val="32"/>
          <w:szCs w:val="32"/>
          <w:lang w:val="en-US" w:eastAsia="zh-CN"/>
          <w14:ligatures w14:val="none"/>
        </w:rPr>
      </w:pPr>
      <w:bookmarkStart w:id="17" w:name="_Toc30710"/>
      <w:r>
        <w:rPr>
          <w:rFonts w:hint="eastAsia" w:ascii="黑体" w:hAnsi="黑体" w:eastAsia="黑体" w:cs="黑体"/>
          <w:snapToGrid w:val="0"/>
          <w:color w:val="000000"/>
          <w:sz w:val="32"/>
          <w:szCs w:val="32"/>
          <w:lang w:val="en-US" w:eastAsia="zh-CN"/>
          <w14:ligatures w14:val="none"/>
        </w:rPr>
        <w:t>一、修复对象及措施</w:t>
      </w:r>
      <w:bookmarkEnd w:id="17"/>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根据森林生态系统的演替阶段和树木生长发育特点，遵循自然生长发育规律，主要对结构受到破坏、目的树种缺乏、林分生长退化，或受到林业有害生物、森林火灾、气象灾害等强干扰的天然林进行修复，并根据自然地理特征和气候条件，因地制宜，因林施策，采取抚育（森林抚育、可持续经营）、低质低效林改造（后备资源培育、补植补造）、系统重建、促进更新（引洪植绿、封山（沙）育林）等具体修复措施，精准提升天然林质量和功能。</w:t>
      </w:r>
    </w:p>
    <w:p>
      <w:pPr>
        <w:keepNext/>
        <w:keepLines/>
        <w:pageBreakBefore w:val="0"/>
        <w:widowControl w:val="0"/>
        <w:kinsoku/>
        <w:wordWrap w:val="0"/>
        <w:overflowPunct w:val="0"/>
        <w:topLinePunct w:val="0"/>
        <w:autoSpaceDE w:val="0"/>
        <w:autoSpaceDN w:val="0"/>
        <w:bidi w:val="0"/>
        <w:adjustRightInd w:val="0"/>
        <w:snapToGrid/>
        <w:spacing w:before="120" w:after="120" w:afterLines="50" w:line="560" w:lineRule="exact"/>
        <w:ind w:left="601"/>
        <w:textAlignment w:val="baseline"/>
        <w:outlineLvl w:val="2"/>
        <w:rPr>
          <w:rFonts w:hint="eastAsia" w:ascii="黑体" w:hAnsi="黑体" w:eastAsia="黑体" w:cs="黑体"/>
          <w:snapToGrid w:val="0"/>
          <w:color w:val="000000"/>
          <w:sz w:val="32"/>
          <w:szCs w:val="32"/>
          <w:lang w:val="en-US" w:eastAsia="zh-CN"/>
          <w14:ligatures w14:val="none"/>
        </w:rPr>
      </w:pPr>
      <w:bookmarkStart w:id="18" w:name="_Toc4048"/>
      <w:r>
        <w:rPr>
          <w:rFonts w:hint="eastAsia" w:ascii="黑体" w:hAnsi="黑体" w:eastAsia="黑体" w:cs="黑体"/>
          <w:snapToGrid w:val="0"/>
          <w:color w:val="000000"/>
          <w:sz w:val="32"/>
          <w:szCs w:val="32"/>
          <w:lang w:val="en-US" w:eastAsia="zh-CN"/>
          <w14:ligatures w14:val="none"/>
        </w:rPr>
        <w:t>二、修复任务</w:t>
      </w:r>
      <w:bookmarkEnd w:id="18"/>
    </w:p>
    <w:p>
      <w:pPr>
        <w:keepNext/>
        <w:keepLines/>
        <w:pageBreakBefore w:val="0"/>
        <w:widowControl w:val="0"/>
        <w:numPr>
          <w:ilvl w:val="0"/>
          <w:numId w:val="5"/>
        </w:numPr>
        <w:kinsoku/>
        <w:wordWrap/>
        <w:overflowPunct/>
        <w:topLinePunct w:val="0"/>
        <w:autoSpaceDE/>
        <w:autoSpaceDN/>
        <w:bidi w:val="0"/>
        <w:adjustRightInd w:val="0"/>
        <w:snapToGrid/>
        <w:spacing w:before="120" w:beforeLines="50" w:after="120" w:afterLines="50" w:line="560" w:lineRule="exact"/>
        <w:ind w:firstLine="640" w:firstLineChars="200"/>
        <w:textAlignment w:val="auto"/>
        <w:outlineLvl w:val="3"/>
        <w:rPr>
          <w:rFonts w:hint="eastAsia" w:ascii="方正楷体简体" w:hAnsi="方正楷体简体" w:eastAsia="方正楷体简体" w:cs="方正楷体简体"/>
          <w:b w:val="0"/>
          <w:bCs/>
          <w:sz w:val="32"/>
          <w:szCs w:val="32"/>
          <w:lang w:val="en-US" w:eastAsia="zh-CN"/>
          <w14:ligatures w14:val="none"/>
        </w:rPr>
      </w:pPr>
      <w:r>
        <w:rPr>
          <w:rFonts w:hint="eastAsia" w:ascii="方正楷体简体" w:hAnsi="方正楷体简体" w:eastAsia="方正楷体简体" w:cs="方正楷体简体"/>
          <w:b w:val="0"/>
          <w:bCs/>
          <w:sz w:val="32"/>
          <w:szCs w:val="32"/>
          <w:lang w:val="en-US" w:eastAsia="zh-CN"/>
          <w14:ligatures w14:val="none"/>
        </w:rPr>
        <w:t>修复模式</w:t>
      </w:r>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以区域生态系统（小流域、沟系）为经营单元进行全面规划，按照近自然、多功能、全周期的经营理念，根据森林生态系统的演替阶段和树木生长发育特点，从整体上优化树种配置、年龄构成、层次结构和空间布置，打造多树种、多层次、多类型、空间分布相对均匀的森林景观，使林地空间得到充分利用，林地生产力得到充分发挥，森林活力不断增强，实现综合效益最大化。针对具体地块及修复对象，按照培育目标，要突破采用单一森林经营技术措施类型的局限，因地制宜、适地适树，合理组装配套技术，综合施治。</w:t>
      </w:r>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昌吉州规划期内开展四种天然林修复模式，具体如下：</w:t>
      </w:r>
    </w:p>
    <w:tbl>
      <w:tblPr>
        <w:tblStyle w:val="8"/>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trPr>
        <w:tc>
          <w:tcPr>
            <w:tcW w:w="8516" w:type="dxa"/>
            <w:vAlign w:val="center"/>
          </w:tcPr>
          <w:p>
            <w:pPr>
              <w:widowControl/>
              <w:kinsoku w:val="0"/>
              <w:autoSpaceDE w:val="0"/>
              <w:autoSpaceDN w:val="0"/>
              <w:adjustRightInd w:val="0"/>
              <w:snapToGrid w:val="0"/>
              <w:jc w:val="center"/>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b/>
                <w:bCs/>
                <w:snapToGrid w:val="0"/>
                <w:color w:val="000000"/>
                <w:kern w:val="0"/>
                <w:sz w:val="24"/>
                <w:szCs w:val="24"/>
              </w:rPr>
              <w:t>专栏1  森林抚育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16" w:type="dxa"/>
          </w:tcPr>
          <w:p>
            <w:pPr>
              <w:widowControl/>
              <w:wordWrap w:val="0"/>
              <w:overflowPunct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b/>
                <w:bCs/>
                <w:snapToGrid w:val="0"/>
                <w:color w:val="000000"/>
                <w:kern w:val="0"/>
                <w:sz w:val="24"/>
                <w:szCs w:val="24"/>
              </w:rPr>
              <w:t>1. 模式地点：</w:t>
            </w:r>
            <w:r>
              <w:rPr>
                <w:rFonts w:hint="eastAsia" w:ascii="宋体" w:hAnsi="宋体" w:eastAsia="方正仿宋简体" w:cs="方正仿宋简体"/>
                <w:snapToGrid w:val="0"/>
                <w:color w:val="000000"/>
                <w:kern w:val="0"/>
                <w:sz w:val="24"/>
                <w:szCs w:val="24"/>
              </w:rPr>
              <w:t>阜康国有林管理局</w:t>
            </w:r>
            <w:r>
              <w:rPr>
                <w:rFonts w:hint="eastAsia" w:ascii="宋体" w:hAnsi="宋体" w:eastAsia="方正仿宋简体" w:cs="方正仿宋简体"/>
                <w:snapToGrid w:val="0"/>
                <w:color w:val="000000"/>
                <w:kern w:val="0"/>
                <w:sz w:val="24"/>
                <w:szCs w:val="24"/>
                <w:lang w:eastAsia="zh-CN"/>
              </w:rPr>
              <w:t>（</w:t>
            </w:r>
            <w:r>
              <w:rPr>
                <w:rFonts w:hint="eastAsia" w:ascii="宋体" w:hAnsi="宋体" w:eastAsia="方正仿宋简体" w:cs="方正仿宋简体"/>
                <w:snapToGrid w:val="0"/>
                <w:color w:val="000000"/>
                <w:kern w:val="0"/>
                <w:sz w:val="24"/>
                <w:szCs w:val="24"/>
                <w:lang w:val="en-US" w:eastAsia="zh-CN"/>
              </w:rPr>
              <w:t>大黄山片区</w:t>
            </w:r>
            <w:r>
              <w:rPr>
                <w:rFonts w:hint="eastAsia" w:ascii="宋体" w:hAnsi="宋体" w:eastAsia="方正仿宋简体" w:cs="方正仿宋简体"/>
                <w:snapToGrid w:val="0"/>
                <w:color w:val="000000"/>
                <w:kern w:val="0"/>
                <w:sz w:val="24"/>
                <w:szCs w:val="24"/>
                <w:lang w:eastAsia="zh-CN"/>
              </w:rPr>
              <w:t>）</w:t>
            </w:r>
          </w:p>
          <w:p>
            <w:pPr>
              <w:widowControl/>
              <w:wordWrap w:val="0"/>
              <w:overflowPunct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b/>
                <w:bCs/>
                <w:snapToGrid w:val="0"/>
                <w:color w:val="000000"/>
                <w:kern w:val="0"/>
                <w:sz w:val="24"/>
                <w:szCs w:val="24"/>
              </w:rPr>
              <w:t>2. 修复面积</w:t>
            </w:r>
            <w:r>
              <w:rPr>
                <w:rFonts w:hint="eastAsia" w:ascii="宋体" w:hAnsi="宋体" w:eastAsia="方正仿宋简体" w:cs="方正仿宋简体"/>
                <w:snapToGrid w:val="0"/>
                <w:color w:val="000000"/>
                <w:kern w:val="0"/>
                <w:sz w:val="24"/>
                <w:szCs w:val="24"/>
              </w:rPr>
              <w:t>：0.2500万亩</w:t>
            </w:r>
          </w:p>
          <w:p>
            <w:pPr>
              <w:widowControl/>
              <w:kinsoku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b/>
                <w:bCs/>
                <w:snapToGrid w:val="0"/>
                <w:color w:val="000000"/>
                <w:kern w:val="0"/>
                <w:sz w:val="24"/>
                <w:szCs w:val="24"/>
                <w:lang w:eastAsia="zh-CN"/>
              </w:rPr>
            </w:pPr>
            <w:r>
              <w:rPr>
                <w:rFonts w:hint="eastAsia" w:ascii="宋体" w:hAnsi="宋体" w:eastAsia="方正仿宋简体" w:cs="方正仿宋简体"/>
                <w:b/>
                <w:bCs/>
                <w:snapToGrid w:val="0"/>
                <w:color w:val="000000"/>
                <w:kern w:val="0"/>
                <w:sz w:val="24"/>
                <w:szCs w:val="24"/>
              </w:rPr>
              <w:t>3. 技术措施：</w:t>
            </w:r>
            <w:r>
              <w:rPr>
                <w:rFonts w:hint="eastAsia" w:ascii="宋体" w:hAnsi="宋体" w:eastAsia="方正仿宋简体" w:cs="方正仿宋简体"/>
                <w:snapToGrid w:val="0"/>
                <w:color w:val="000000"/>
                <w:kern w:val="0"/>
                <w:sz w:val="24"/>
                <w:szCs w:val="24"/>
              </w:rPr>
              <w:t>森林抚育</w:t>
            </w:r>
          </w:p>
          <w:p>
            <w:pPr>
              <w:widowControl/>
              <w:wordWrap w:val="0"/>
              <w:overflowPunct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b/>
                <w:bCs/>
                <w:snapToGrid w:val="0"/>
                <w:color w:val="000000"/>
                <w:kern w:val="0"/>
                <w:sz w:val="24"/>
                <w:szCs w:val="24"/>
              </w:rPr>
              <w:t>4. 模式要点</w:t>
            </w:r>
            <w:r>
              <w:rPr>
                <w:rFonts w:hint="eastAsia" w:ascii="宋体" w:hAnsi="宋体" w:eastAsia="方正仿宋简体" w:cs="方正仿宋简体"/>
                <w:snapToGrid w:val="0"/>
                <w:color w:val="000000"/>
                <w:kern w:val="0"/>
                <w:sz w:val="24"/>
                <w:szCs w:val="24"/>
              </w:rPr>
              <w:t>：按《森林抚育规程》（GB/T15781—2015）执行，对风灾倒伏木、自然枯死木和病虫害枯立木等进行清理、修枝和割灌除草等。改善森林的树种组成、年龄和空间结构，提高林地生产力和林木生长量，促进森林、林木生长发育，培育健康稳定、优质高效的森林生态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1" w:hRule="atLeast"/>
        </w:trPr>
        <w:tc>
          <w:tcPr>
            <w:tcW w:w="8516" w:type="dxa"/>
            <w:vAlign w:val="center"/>
          </w:tcPr>
          <w:p>
            <w:pPr>
              <w:widowControl/>
              <w:kinsoku w:val="0"/>
              <w:autoSpaceDE w:val="0"/>
              <w:autoSpaceDN w:val="0"/>
              <w:adjustRightInd w:val="0"/>
              <w:snapToGrid w:val="0"/>
              <w:jc w:val="center"/>
              <w:textAlignment w:val="baseline"/>
              <w:rPr>
                <w:rFonts w:hint="eastAsia" w:ascii="宋体" w:hAnsi="宋体" w:eastAsia="方正仿宋简体" w:cs="方正仿宋简体"/>
                <w:b/>
                <w:bCs/>
                <w:snapToGrid w:val="0"/>
                <w:color w:val="000000"/>
                <w:kern w:val="0"/>
                <w:sz w:val="24"/>
                <w:szCs w:val="24"/>
              </w:rPr>
            </w:pPr>
            <w:r>
              <w:rPr>
                <w:rFonts w:hint="eastAsia" w:ascii="宋体" w:hAnsi="宋体" w:eastAsia="方正仿宋简体" w:cs="方正仿宋简体"/>
                <w:b/>
                <w:bCs/>
                <w:snapToGrid w:val="0"/>
                <w:color w:val="000000"/>
                <w:kern w:val="0"/>
                <w:sz w:val="24"/>
                <w:szCs w:val="24"/>
              </w:rPr>
              <w:t>专栏2  低质低效林改造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16" w:type="dxa"/>
          </w:tcPr>
          <w:p>
            <w:pPr>
              <w:widowControl/>
              <w:kinsoku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b/>
                <w:bCs/>
                <w:snapToGrid w:val="0"/>
                <w:color w:val="000000"/>
                <w:kern w:val="0"/>
                <w:sz w:val="24"/>
                <w:szCs w:val="24"/>
              </w:rPr>
              <w:t>1. 模式地点</w:t>
            </w:r>
            <w:r>
              <w:rPr>
                <w:rFonts w:hint="eastAsia" w:ascii="宋体" w:hAnsi="宋体" w:eastAsia="方正仿宋简体" w:cs="方正仿宋简体"/>
                <w:snapToGrid w:val="0"/>
                <w:color w:val="000000"/>
                <w:kern w:val="0"/>
                <w:sz w:val="24"/>
                <w:szCs w:val="24"/>
              </w:rPr>
              <w:t>：阜康国有林管理局</w:t>
            </w:r>
            <w:r>
              <w:rPr>
                <w:rFonts w:hint="eastAsia" w:ascii="宋体" w:hAnsi="宋体" w:eastAsia="方正仿宋简体" w:cs="方正仿宋简体"/>
                <w:snapToGrid w:val="0"/>
                <w:color w:val="000000"/>
                <w:kern w:val="0"/>
                <w:sz w:val="24"/>
                <w:szCs w:val="24"/>
                <w:lang w:eastAsia="zh-CN"/>
              </w:rPr>
              <w:t>（</w:t>
            </w:r>
            <w:r>
              <w:rPr>
                <w:rFonts w:hint="eastAsia" w:ascii="宋体" w:hAnsi="宋体" w:eastAsia="方正仿宋简体" w:cs="方正仿宋简体"/>
                <w:snapToGrid w:val="0"/>
                <w:color w:val="000000"/>
                <w:kern w:val="0"/>
                <w:sz w:val="24"/>
                <w:szCs w:val="24"/>
                <w:lang w:val="en-US" w:eastAsia="zh-CN"/>
              </w:rPr>
              <w:t>水磨沟片区、三工片区</w:t>
            </w:r>
            <w:r>
              <w:rPr>
                <w:rFonts w:hint="eastAsia" w:ascii="宋体" w:hAnsi="宋体" w:eastAsia="方正仿宋简体" w:cs="方正仿宋简体"/>
                <w:snapToGrid w:val="0"/>
                <w:color w:val="000000"/>
                <w:kern w:val="0"/>
                <w:sz w:val="24"/>
                <w:szCs w:val="24"/>
                <w:lang w:eastAsia="zh-CN"/>
              </w:rPr>
              <w:t>）</w:t>
            </w:r>
          </w:p>
          <w:p>
            <w:pPr>
              <w:widowControl/>
              <w:kinsoku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b/>
                <w:bCs/>
                <w:snapToGrid w:val="0"/>
                <w:color w:val="000000"/>
                <w:kern w:val="0"/>
                <w:sz w:val="24"/>
                <w:szCs w:val="24"/>
              </w:rPr>
              <w:t>2. 修复面积：</w:t>
            </w:r>
            <w:r>
              <w:rPr>
                <w:rFonts w:hint="eastAsia" w:ascii="宋体" w:hAnsi="宋体" w:eastAsia="方正仿宋简体" w:cs="方正仿宋简体"/>
                <w:snapToGrid w:val="0"/>
                <w:color w:val="000000"/>
                <w:kern w:val="0"/>
                <w:sz w:val="24"/>
                <w:szCs w:val="24"/>
              </w:rPr>
              <w:t>0.</w:t>
            </w:r>
            <w:r>
              <w:rPr>
                <w:rFonts w:hint="eastAsia" w:ascii="宋体" w:hAnsi="宋体" w:eastAsia="方正仿宋简体" w:cs="方正仿宋简体"/>
                <w:snapToGrid w:val="0"/>
                <w:color w:val="000000"/>
                <w:kern w:val="0"/>
                <w:sz w:val="24"/>
                <w:szCs w:val="24"/>
                <w:lang w:val="en-US" w:eastAsia="zh-CN"/>
              </w:rPr>
              <w:t>660</w:t>
            </w:r>
            <w:r>
              <w:rPr>
                <w:rFonts w:hint="eastAsia" w:ascii="宋体" w:hAnsi="宋体" w:eastAsia="方正仿宋简体" w:cs="方正仿宋简体"/>
                <w:snapToGrid w:val="0"/>
                <w:color w:val="000000"/>
                <w:kern w:val="0"/>
                <w:sz w:val="24"/>
                <w:szCs w:val="24"/>
              </w:rPr>
              <w:t>7万亩</w:t>
            </w:r>
          </w:p>
          <w:p>
            <w:pPr>
              <w:widowControl/>
              <w:kinsoku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b/>
                <w:bCs/>
                <w:snapToGrid w:val="0"/>
                <w:color w:val="000000"/>
                <w:kern w:val="0"/>
                <w:sz w:val="24"/>
                <w:szCs w:val="24"/>
                <w:lang w:eastAsia="zh-CN"/>
              </w:rPr>
            </w:pPr>
            <w:r>
              <w:rPr>
                <w:rFonts w:hint="eastAsia" w:ascii="宋体" w:hAnsi="宋体" w:eastAsia="方正仿宋简体" w:cs="方正仿宋简体"/>
                <w:b/>
                <w:bCs/>
                <w:snapToGrid w:val="0"/>
                <w:color w:val="000000"/>
                <w:kern w:val="0"/>
                <w:sz w:val="24"/>
                <w:szCs w:val="24"/>
              </w:rPr>
              <w:t>3. 技术措施：</w:t>
            </w:r>
            <w:r>
              <w:rPr>
                <w:rFonts w:hint="eastAsia" w:ascii="宋体" w:hAnsi="宋体" w:eastAsia="方正仿宋简体" w:cs="方正仿宋简体"/>
                <w:snapToGrid w:val="0"/>
                <w:color w:val="000000"/>
                <w:kern w:val="0"/>
                <w:sz w:val="24"/>
                <w:szCs w:val="24"/>
              </w:rPr>
              <w:t>补植补造</w:t>
            </w:r>
          </w:p>
          <w:p>
            <w:pPr>
              <w:widowControl/>
              <w:wordWrap w:val="0"/>
              <w:overflowPunct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b/>
                <w:bCs/>
                <w:snapToGrid w:val="0"/>
                <w:color w:val="000000"/>
                <w:kern w:val="0"/>
                <w:sz w:val="24"/>
                <w:szCs w:val="24"/>
              </w:rPr>
            </w:pPr>
            <w:r>
              <w:rPr>
                <w:rFonts w:hint="eastAsia" w:ascii="宋体" w:hAnsi="宋体" w:eastAsia="方正仿宋简体" w:cs="方正仿宋简体"/>
                <w:b/>
                <w:bCs/>
                <w:snapToGrid w:val="0"/>
                <w:color w:val="000000"/>
                <w:kern w:val="0"/>
                <w:sz w:val="24"/>
                <w:szCs w:val="24"/>
              </w:rPr>
              <w:t>4. 模式要点：</w:t>
            </w:r>
            <w:r>
              <w:rPr>
                <w:rFonts w:hint="eastAsia" w:ascii="宋体" w:hAnsi="宋体" w:eastAsia="方正仿宋简体" w:cs="方正仿宋简体"/>
                <w:snapToGrid w:val="0"/>
                <w:color w:val="000000"/>
                <w:kern w:val="0"/>
                <w:sz w:val="24"/>
                <w:szCs w:val="24"/>
              </w:rPr>
              <w:t>按《造林技术规程》（GB/T 15776—2023）执行，在现有的林中空地、稀疏区域进行人工植苗补植，优先选择</w:t>
            </w:r>
            <w:r>
              <w:rPr>
                <w:rFonts w:hint="eastAsia" w:ascii="宋体" w:hAnsi="宋体" w:eastAsia="方正仿宋简体" w:cs="方正仿宋简体"/>
                <w:kern w:val="0"/>
                <w:sz w:val="24"/>
                <w:szCs w:val="24"/>
                <w:lang w:bidi="zh-CN"/>
              </w:rPr>
              <w:t>云杉、兔儿条、锦鸡儿等</w:t>
            </w:r>
            <w:r>
              <w:rPr>
                <w:rFonts w:hint="eastAsia" w:ascii="宋体" w:hAnsi="宋体" w:eastAsia="方正仿宋简体" w:cs="方正仿宋简体"/>
                <w:snapToGrid w:val="0"/>
                <w:color w:val="000000"/>
                <w:kern w:val="0"/>
                <w:sz w:val="24"/>
                <w:szCs w:val="24"/>
              </w:rPr>
              <w:t>乡土树种，根据立地条件和水资源承载力，确定科学合理的补植株行距，增加林木密度、快速郁闭成林，优化树种结构，提高森林质量和生产力。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trPr>
        <w:tc>
          <w:tcPr>
            <w:tcW w:w="8516" w:type="dxa"/>
            <w:vAlign w:val="center"/>
          </w:tcPr>
          <w:p>
            <w:pPr>
              <w:widowControl/>
              <w:kinsoku w:val="0"/>
              <w:autoSpaceDE w:val="0"/>
              <w:autoSpaceDN w:val="0"/>
              <w:adjustRightInd w:val="0"/>
              <w:snapToGrid w:val="0"/>
              <w:jc w:val="center"/>
              <w:textAlignment w:val="baseline"/>
              <w:rPr>
                <w:rFonts w:hint="eastAsia" w:ascii="宋体" w:hAnsi="宋体" w:eastAsia="方正仿宋简体" w:cs="方正仿宋简体"/>
                <w:b/>
                <w:bCs/>
                <w:snapToGrid w:val="0"/>
                <w:color w:val="000000"/>
                <w:kern w:val="0"/>
                <w:sz w:val="24"/>
                <w:szCs w:val="24"/>
              </w:rPr>
            </w:pPr>
            <w:r>
              <w:rPr>
                <w:rFonts w:hint="eastAsia" w:ascii="宋体" w:hAnsi="宋体" w:eastAsia="方正仿宋简体" w:cs="方正仿宋简体"/>
                <w:b/>
                <w:bCs/>
                <w:snapToGrid w:val="0"/>
                <w:color w:val="000000"/>
                <w:kern w:val="0"/>
                <w:sz w:val="24"/>
                <w:szCs w:val="24"/>
              </w:rPr>
              <w:t>专栏3  促进森林更新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16" w:type="dxa"/>
          </w:tcPr>
          <w:p>
            <w:pPr>
              <w:widowControl/>
              <w:kinsoku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b/>
                <w:bCs/>
                <w:snapToGrid w:val="0"/>
                <w:color w:val="000000"/>
                <w:kern w:val="0"/>
                <w:sz w:val="24"/>
                <w:szCs w:val="24"/>
              </w:rPr>
            </w:pPr>
            <w:r>
              <w:rPr>
                <w:rFonts w:hint="eastAsia" w:ascii="宋体" w:hAnsi="宋体" w:eastAsia="方正仿宋简体" w:cs="方正仿宋简体"/>
                <w:b/>
                <w:bCs/>
                <w:snapToGrid w:val="0"/>
                <w:color w:val="000000"/>
                <w:kern w:val="0"/>
                <w:sz w:val="24"/>
                <w:szCs w:val="24"/>
              </w:rPr>
              <w:t>模式一：</w:t>
            </w:r>
          </w:p>
          <w:p>
            <w:pPr>
              <w:widowControl/>
              <w:kinsoku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b/>
                <w:bCs/>
                <w:snapToGrid w:val="0"/>
                <w:color w:val="000000"/>
                <w:kern w:val="0"/>
                <w:sz w:val="24"/>
                <w:szCs w:val="24"/>
              </w:rPr>
              <w:t>1. 模式地点</w:t>
            </w:r>
            <w:r>
              <w:rPr>
                <w:rFonts w:hint="eastAsia" w:ascii="宋体" w:hAnsi="宋体" w:eastAsia="方正仿宋简体" w:cs="方正仿宋简体"/>
                <w:snapToGrid w:val="0"/>
                <w:color w:val="000000"/>
                <w:kern w:val="0"/>
                <w:sz w:val="24"/>
                <w:szCs w:val="24"/>
              </w:rPr>
              <w:t>：阜康国有林管理局</w:t>
            </w:r>
            <w:r>
              <w:rPr>
                <w:rFonts w:hint="eastAsia" w:ascii="宋体" w:hAnsi="宋体" w:eastAsia="方正仿宋简体" w:cs="方正仿宋简体"/>
                <w:snapToGrid w:val="0"/>
                <w:color w:val="000000"/>
                <w:kern w:val="0"/>
                <w:sz w:val="24"/>
                <w:szCs w:val="24"/>
                <w:lang w:eastAsia="zh-CN"/>
              </w:rPr>
              <w:t>（</w:t>
            </w:r>
            <w:r>
              <w:rPr>
                <w:rFonts w:hint="eastAsia" w:ascii="宋体" w:hAnsi="宋体" w:eastAsia="方正仿宋简体" w:cs="方正仿宋简体"/>
                <w:snapToGrid w:val="0"/>
                <w:color w:val="000000"/>
                <w:kern w:val="0"/>
                <w:sz w:val="24"/>
                <w:szCs w:val="24"/>
                <w:lang w:val="en-US" w:eastAsia="zh-CN"/>
              </w:rPr>
              <w:t>大黄山片区、西沟片区</w:t>
            </w:r>
            <w:r>
              <w:rPr>
                <w:rFonts w:hint="eastAsia" w:ascii="宋体" w:hAnsi="宋体" w:eastAsia="方正仿宋简体" w:cs="方正仿宋简体"/>
                <w:snapToGrid w:val="0"/>
                <w:color w:val="000000"/>
                <w:kern w:val="0"/>
                <w:sz w:val="24"/>
                <w:szCs w:val="24"/>
                <w:lang w:eastAsia="zh-CN"/>
              </w:rPr>
              <w:t>）</w:t>
            </w:r>
          </w:p>
          <w:p>
            <w:pPr>
              <w:widowControl/>
              <w:kinsoku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b/>
                <w:bCs/>
                <w:snapToGrid w:val="0"/>
                <w:color w:val="000000"/>
                <w:kern w:val="0"/>
                <w:sz w:val="24"/>
                <w:szCs w:val="24"/>
              </w:rPr>
              <w:t>2. 修复面积：</w:t>
            </w:r>
            <w:r>
              <w:rPr>
                <w:rFonts w:hint="eastAsia" w:ascii="宋体" w:hAnsi="宋体" w:eastAsia="方正仿宋简体" w:cs="方正仿宋简体"/>
                <w:snapToGrid w:val="0"/>
                <w:color w:val="000000"/>
                <w:kern w:val="0"/>
                <w:sz w:val="24"/>
                <w:szCs w:val="24"/>
              </w:rPr>
              <w:t>0.</w:t>
            </w:r>
            <w:r>
              <w:rPr>
                <w:rFonts w:hint="eastAsia" w:ascii="宋体" w:hAnsi="宋体" w:eastAsia="方正仿宋简体" w:cs="方正仿宋简体"/>
                <w:snapToGrid w:val="0"/>
                <w:color w:val="000000"/>
                <w:kern w:val="0"/>
                <w:sz w:val="24"/>
                <w:szCs w:val="24"/>
                <w:lang w:val="en-US" w:eastAsia="zh-CN"/>
              </w:rPr>
              <w:t>1000</w:t>
            </w:r>
            <w:r>
              <w:rPr>
                <w:rFonts w:hint="eastAsia" w:ascii="宋体" w:hAnsi="宋体" w:eastAsia="方正仿宋简体" w:cs="方正仿宋简体"/>
                <w:snapToGrid w:val="0"/>
                <w:color w:val="000000"/>
                <w:kern w:val="0"/>
                <w:sz w:val="24"/>
                <w:szCs w:val="24"/>
              </w:rPr>
              <w:t>万亩</w:t>
            </w:r>
          </w:p>
          <w:p>
            <w:pPr>
              <w:widowControl/>
              <w:kinsoku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b/>
                <w:bCs/>
                <w:snapToGrid w:val="0"/>
                <w:color w:val="000000"/>
                <w:kern w:val="0"/>
                <w:sz w:val="24"/>
                <w:szCs w:val="24"/>
                <w:lang w:eastAsia="zh-CN"/>
              </w:rPr>
            </w:pPr>
            <w:r>
              <w:rPr>
                <w:rFonts w:hint="eastAsia" w:ascii="宋体" w:hAnsi="宋体" w:eastAsia="方正仿宋简体" w:cs="方正仿宋简体"/>
                <w:b/>
                <w:bCs/>
                <w:snapToGrid w:val="0"/>
                <w:color w:val="000000"/>
                <w:kern w:val="0"/>
                <w:sz w:val="24"/>
                <w:szCs w:val="24"/>
              </w:rPr>
              <w:t>3. 技术措施：</w:t>
            </w:r>
            <w:r>
              <w:rPr>
                <w:rFonts w:hint="eastAsia" w:ascii="宋体" w:hAnsi="宋体" w:eastAsia="方正仿宋简体" w:cs="方正仿宋简体"/>
                <w:snapToGrid w:val="0"/>
                <w:color w:val="000000"/>
                <w:kern w:val="0"/>
                <w:sz w:val="24"/>
                <w:szCs w:val="24"/>
              </w:rPr>
              <w:t>侵蚀沟治理</w:t>
            </w:r>
          </w:p>
          <w:p>
            <w:pPr>
              <w:widowControl/>
              <w:wordWrap w:val="0"/>
              <w:overflowPunct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b/>
                <w:bCs/>
                <w:snapToGrid w:val="0"/>
                <w:color w:val="000000"/>
                <w:kern w:val="0"/>
                <w:sz w:val="24"/>
                <w:szCs w:val="24"/>
              </w:rPr>
              <w:t>4. 模式要点：</w:t>
            </w:r>
            <w:r>
              <w:rPr>
                <w:rFonts w:hint="eastAsia" w:ascii="宋体" w:hAnsi="宋体" w:eastAsia="方正仿宋简体" w:cs="方正仿宋简体"/>
                <w:snapToGrid w:val="0"/>
                <w:color w:val="000000"/>
                <w:kern w:val="0"/>
                <w:sz w:val="24"/>
                <w:szCs w:val="24"/>
              </w:rPr>
              <w:t>对因洪水冲刷后，丧失自我恢复能力、重度退化的残次林，通过人为系统干预（清理、土地整理、固岸修复、补植补造等综合生态措施）进行重建，以达到结构稳定、功能完善、能够自我维持的近自然森林生态系统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16" w:type="dxa"/>
          </w:tcPr>
          <w:p>
            <w:pPr>
              <w:widowControl/>
              <w:kinsoku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b/>
                <w:bCs/>
                <w:snapToGrid w:val="0"/>
                <w:color w:val="000000"/>
                <w:kern w:val="0"/>
                <w:sz w:val="24"/>
                <w:szCs w:val="24"/>
              </w:rPr>
            </w:pPr>
            <w:r>
              <w:rPr>
                <w:rFonts w:hint="eastAsia" w:ascii="宋体" w:hAnsi="宋体" w:eastAsia="方正仿宋简体" w:cs="方正仿宋简体"/>
                <w:b/>
                <w:bCs/>
                <w:snapToGrid w:val="0"/>
                <w:color w:val="000000"/>
                <w:kern w:val="0"/>
                <w:sz w:val="24"/>
                <w:szCs w:val="24"/>
              </w:rPr>
              <w:t>模式二：</w:t>
            </w:r>
          </w:p>
          <w:p>
            <w:pPr>
              <w:widowControl/>
              <w:kinsoku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b/>
                <w:bCs/>
                <w:snapToGrid w:val="0"/>
                <w:color w:val="000000"/>
                <w:kern w:val="0"/>
                <w:sz w:val="24"/>
                <w:szCs w:val="24"/>
              </w:rPr>
              <w:t>1. 模式地点</w:t>
            </w:r>
            <w:r>
              <w:rPr>
                <w:rFonts w:hint="eastAsia" w:ascii="宋体" w:hAnsi="宋体" w:eastAsia="方正仿宋简体" w:cs="方正仿宋简体"/>
                <w:snapToGrid w:val="0"/>
                <w:color w:val="000000"/>
                <w:kern w:val="0"/>
                <w:sz w:val="24"/>
                <w:szCs w:val="24"/>
              </w:rPr>
              <w:t>：昌吉市、玛纳斯县和木垒哈萨克自治县。</w:t>
            </w:r>
          </w:p>
          <w:p>
            <w:pPr>
              <w:widowControl/>
              <w:kinsoku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b/>
                <w:bCs/>
                <w:snapToGrid w:val="0"/>
                <w:color w:val="000000"/>
                <w:kern w:val="0"/>
                <w:sz w:val="24"/>
                <w:szCs w:val="24"/>
              </w:rPr>
              <w:t>2. 修复面积：</w:t>
            </w:r>
            <w:r>
              <w:rPr>
                <w:rFonts w:hint="eastAsia" w:ascii="宋体" w:hAnsi="宋体" w:eastAsia="方正仿宋简体" w:cs="方正仿宋简体"/>
                <w:snapToGrid w:val="0"/>
                <w:color w:val="000000"/>
                <w:kern w:val="0"/>
                <w:sz w:val="24"/>
                <w:szCs w:val="24"/>
              </w:rPr>
              <w:t>19.4377万亩。</w:t>
            </w:r>
          </w:p>
          <w:p>
            <w:pPr>
              <w:widowControl/>
              <w:kinsoku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b/>
                <w:bCs/>
                <w:snapToGrid w:val="0"/>
                <w:color w:val="000000"/>
                <w:kern w:val="0"/>
                <w:sz w:val="24"/>
                <w:szCs w:val="24"/>
              </w:rPr>
            </w:pPr>
            <w:r>
              <w:rPr>
                <w:rFonts w:hint="eastAsia" w:ascii="宋体" w:hAnsi="宋体" w:eastAsia="方正仿宋简体" w:cs="方正仿宋简体"/>
                <w:b/>
                <w:bCs/>
                <w:snapToGrid w:val="0"/>
                <w:color w:val="000000"/>
                <w:kern w:val="0"/>
                <w:sz w:val="24"/>
                <w:szCs w:val="24"/>
              </w:rPr>
              <w:t>3. 技术措施：</w:t>
            </w:r>
            <w:r>
              <w:rPr>
                <w:rFonts w:hint="eastAsia" w:ascii="宋体" w:hAnsi="宋体" w:eastAsia="方正仿宋简体" w:cs="方正仿宋简体"/>
                <w:snapToGrid w:val="0"/>
                <w:color w:val="000000"/>
                <w:kern w:val="0"/>
                <w:sz w:val="24"/>
                <w:szCs w:val="24"/>
              </w:rPr>
              <w:t>封山（沙）育林</w:t>
            </w:r>
          </w:p>
          <w:p>
            <w:pPr>
              <w:widowControl/>
              <w:wordWrap w:val="0"/>
              <w:overflowPunct w:val="0"/>
              <w:autoSpaceDE w:val="0"/>
              <w:autoSpaceDN w:val="0"/>
              <w:adjustRightInd w:val="0"/>
              <w:snapToGrid w:val="0"/>
              <w:spacing w:line="480" w:lineRule="exact"/>
              <w:ind w:firstLine="482" w:firstLineChars="200"/>
              <w:textAlignment w:val="baseline"/>
              <w:rPr>
                <w:rFonts w:hint="eastAsia" w:ascii="宋体" w:hAnsi="宋体" w:eastAsia="方正仿宋简体" w:cs="方正仿宋简体"/>
                <w:b/>
                <w:bCs/>
                <w:snapToGrid w:val="0"/>
                <w:color w:val="000000"/>
                <w:kern w:val="0"/>
                <w:sz w:val="24"/>
                <w:szCs w:val="24"/>
              </w:rPr>
            </w:pPr>
            <w:r>
              <w:rPr>
                <w:rFonts w:hint="eastAsia" w:ascii="宋体" w:hAnsi="宋体" w:eastAsia="方正仿宋简体" w:cs="方正仿宋简体"/>
                <w:b/>
                <w:bCs/>
                <w:snapToGrid w:val="0"/>
                <w:color w:val="000000"/>
                <w:kern w:val="0"/>
                <w:sz w:val="24"/>
                <w:szCs w:val="24"/>
              </w:rPr>
              <w:t>4. 模式要点：</w:t>
            </w:r>
            <w:r>
              <w:rPr>
                <w:rFonts w:hint="eastAsia" w:ascii="宋体" w:hAnsi="宋体" w:eastAsia="方正仿宋简体" w:cs="方正仿宋简体"/>
                <w:snapToGrid w:val="0"/>
                <w:color w:val="000000"/>
                <w:kern w:val="0"/>
                <w:sz w:val="24"/>
                <w:szCs w:val="24"/>
              </w:rPr>
              <w:t>按《封山（沙）育林技术规程》（GB/T 15163—2018）执行，对具有天然下种和萌蘖能力的低质低效乔木林、疏林和灌木林，通过围栏、人工促进等措施，保护并促进幼苗幼树、林木的自然生长发育。</w:t>
            </w:r>
          </w:p>
        </w:tc>
      </w:tr>
    </w:tbl>
    <w:p>
      <w:pPr>
        <w:keepNext/>
        <w:keepLines/>
        <w:pageBreakBefore w:val="0"/>
        <w:widowControl w:val="0"/>
        <w:numPr>
          <w:ilvl w:val="0"/>
          <w:numId w:val="5"/>
        </w:numPr>
        <w:kinsoku/>
        <w:wordWrap/>
        <w:overflowPunct/>
        <w:topLinePunct w:val="0"/>
        <w:autoSpaceDE/>
        <w:autoSpaceDN/>
        <w:bidi w:val="0"/>
        <w:adjustRightInd w:val="0"/>
        <w:snapToGrid/>
        <w:spacing w:before="120" w:beforeLines="50" w:after="120" w:afterLines="50" w:line="560" w:lineRule="exact"/>
        <w:ind w:firstLine="640" w:firstLineChars="200"/>
        <w:textAlignment w:val="auto"/>
        <w:outlineLvl w:val="3"/>
        <w:rPr>
          <w:rFonts w:hint="eastAsia" w:ascii="方正楷体简体" w:hAnsi="方正楷体简体" w:eastAsia="方正楷体简体" w:cs="方正楷体简体"/>
          <w:b w:val="0"/>
          <w:bCs/>
          <w:sz w:val="32"/>
          <w:szCs w:val="32"/>
          <w:lang w:val="en-US" w:eastAsia="zh-CN"/>
          <w14:ligatures w14:val="none"/>
        </w:rPr>
      </w:pPr>
      <w:r>
        <w:rPr>
          <w:rFonts w:hint="eastAsia" w:ascii="方正楷体简体" w:hAnsi="方正楷体简体" w:eastAsia="方正楷体简体" w:cs="方正楷体简体"/>
          <w:b w:val="0"/>
          <w:bCs/>
          <w:sz w:val="32"/>
          <w:szCs w:val="32"/>
          <w:lang w:val="en-US" w:eastAsia="zh-CN"/>
          <w14:ligatures w14:val="none"/>
        </w:rPr>
        <w:t>修复任务</w:t>
      </w:r>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以森林质量精准提升为主攻方向，科学开展天然林系统修复，实行森林可持续经营。本方案在2026—2035年规划修复面积20.4484万亩，实施范围涉及木垒哈萨克自治县、昌吉市、玛纳斯县及阜康国有林管理局共4个实施单位。</w:t>
      </w:r>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阜康市、呼图壁县、奇台县和吉木萨尔县4个实施单位暂未规划修复任务，后续可通过申报中央财政林业草原生态保护恢复资金项目，统筹开展天然林修复。</w:t>
      </w:r>
    </w:p>
    <w:p>
      <w:pPr>
        <w:keepNext w:val="0"/>
        <w:keepLines w:val="0"/>
        <w:pageBreakBefore w:val="0"/>
        <w:widowControl w:val="0"/>
        <w:tabs>
          <w:tab w:val="left" w:pos="15105"/>
        </w:tabs>
        <w:kinsoku/>
        <w:wordWrap/>
        <w:overflowPunct/>
        <w:topLinePunct w:val="0"/>
        <w:autoSpaceDE/>
        <w:autoSpaceDN/>
        <w:bidi w:val="0"/>
        <w:adjustRightInd/>
        <w:snapToGrid/>
        <w:spacing w:after="240" w:afterLines="100" w:line="560" w:lineRule="exact"/>
        <w:jc w:val="center"/>
        <w:textAlignment w:val="auto"/>
        <w:rPr>
          <w:rFonts w:hint="eastAsia" w:ascii="宋体" w:hAnsi="宋体" w:eastAsia="方正仿宋简体" w:cs="方正仿宋简体"/>
          <w:b/>
          <w:sz w:val="24"/>
          <w:szCs w:val="24"/>
        </w:rPr>
      </w:pPr>
      <w:r>
        <w:rPr>
          <w:rFonts w:hint="eastAsia" w:ascii="宋体" w:hAnsi="宋体" w:eastAsia="方正仿宋简体" w:cs="方正仿宋简体"/>
          <w:b/>
          <w:sz w:val="24"/>
          <w:szCs w:val="24"/>
        </w:rPr>
        <w:t>表</w:t>
      </w:r>
      <w:r>
        <w:rPr>
          <w:rFonts w:hint="eastAsia" w:ascii="宋体" w:hAnsi="宋体" w:eastAsia="方正仿宋简体" w:cs="方正仿宋简体"/>
          <w:b/>
          <w:sz w:val="24"/>
          <w:szCs w:val="24"/>
          <w:lang w:val="en-US" w:eastAsia="zh-CN"/>
        </w:rPr>
        <w:t>5-1</w:t>
      </w:r>
      <w:r>
        <w:rPr>
          <w:rFonts w:hint="eastAsia" w:ascii="宋体" w:hAnsi="宋体" w:eastAsia="方正仿宋简体" w:cs="方正仿宋简体"/>
          <w:b/>
          <w:sz w:val="24"/>
          <w:szCs w:val="24"/>
        </w:rPr>
        <w:t xml:space="preserve">  </w:t>
      </w:r>
      <w:r>
        <w:rPr>
          <w:rFonts w:hint="eastAsia" w:ascii="宋体" w:hAnsi="宋体" w:eastAsia="方正仿宋简体" w:cs="方正仿宋简体"/>
          <w:b/>
          <w:sz w:val="24"/>
          <w:szCs w:val="24"/>
          <w:lang w:val="en-US" w:eastAsia="zh-CN"/>
        </w:rPr>
        <w:t>昌吉回族自治州天然林修复</w:t>
      </w:r>
      <w:r>
        <w:rPr>
          <w:rFonts w:hint="eastAsia" w:ascii="宋体" w:hAnsi="宋体" w:eastAsia="方正仿宋简体" w:cs="方正仿宋简体"/>
          <w:b/>
          <w:sz w:val="24"/>
          <w:szCs w:val="24"/>
        </w:rPr>
        <w:t>任务规划一览表</w:t>
      </w:r>
    </w:p>
    <w:p>
      <w:pPr>
        <w:keepNext w:val="0"/>
        <w:keepLines w:val="0"/>
        <w:pageBreakBefore w:val="0"/>
        <w:widowControl w:val="0"/>
        <w:tabs>
          <w:tab w:val="left" w:pos="15105"/>
        </w:tabs>
        <w:kinsoku/>
        <w:wordWrap/>
        <w:overflowPunct/>
        <w:topLinePunct w:val="0"/>
        <w:autoSpaceDE/>
        <w:autoSpaceDN/>
        <w:bidi w:val="0"/>
        <w:adjustRightInd/>
        <w:snapToGrid/>
        <w:spacing w:line="560" w:lineRule="exact"/>
        <w:jc w:val="right"/>
        <w:textAlignment w:val="auto"/>
        <w:rPr>
          <w:rFonts w:hint="eastAsia" w:ascii="宋体" w:hAnsi="宋体" w:eastAsia="方正仿宋简体" w:cs="方正仿宋简体"/>
          <w:b/>
          <w:sz w:val="24"/>
          <w:szCs w:val="24"/>
        </w:rPr>
      </w:pPr>
      <w:r>
        <w:rPr>
          <w:rFonts w:hint="eastAsia" w:ascii="宋体" w:hAnsi="宋体" w:eastAsia="方正仿宋简体" w:cs="方正仿宋简体"/>
          <w:b/>
          <w:sz w:val="24"/>
          <w:szCs w:val="24"/>
        </w:rPr>
        <w:t>单位：万亩</w:t>
      </w:r>
    </w:p>
    <w:tbl>
      <w:tblPr>
        <w:tblStyle w:val="7"/>
        <w:tblW w:w="84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28"/>
        <w:gridCol w:w="2139"/>
        <w:gridCol w:w="1080"/>
        <w:gridCol w:w="1080"/>
        <w:gridCol w:w="1460"/>
        <w:gridCol w:w="1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567" w:hRule="atLeast"/>
          <w:tblHeader/>
          <w:jc w:val="center"/>
        </w:trPr>
        <w:tc>
          <w:tcPr>
            <w:tcW w:w="1328"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b/>
                <w:bCs/>
                <w:i w:val="0"/>
                <w:iCs w:val="0"/>
                <w:color w:val="000000"/>
                <w:sz w:val="24"/>
                <w:szCs w:val="24"/>
                <w:u w:val="none"/>
              </w:rPr>
            </w:pPr>
            <w:r>
              <w:rPr>
                <w:rFonts w:hint="eastAsia" w:ascii="宋体" w:hAnsi="宋体" w:eastAsia="方正仿宋简体" w:cs="方正仿宋简体"/>
                <w:b/>
                <w:bCs/>
                <w:i w:val="0"/>
                <w:iCs w:val="0"/>
                <w:color w:val="000000"/>
                <w:kern w:val="0"/>
                <w:sz w:val="24"/>
                <w:szCs w:val="24"/>
                <w:u w:val="none"/>
                <w:lang w:val="en-US" w:eastAsia="zh-CN" w:bidi="ar"/>
                <w14:ligatures w14:val="standardContextual"/>
              </w:rPr>
              <w:t>单位</w:t>
            </w:r>
          </w:p>
        </w:tc>
        <w:tc>
          <w:tcPr>
            <w:tcW w:w="2139"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b/>
                <w:bCs/>
                <w:i w:val="0"/>
                <w:iCs w:val="0"/>
                <w:color w:val="000000"/>
                <w:sz w:val="24"/>
                <w:szCs w:val="24"/>
                <w:u w:val="none"/>
              </w:rPr>
            </w:pPr>
            <w:r>
              <w:rPr>
                <w:rFonts w:hint="eastAsia" w:ascii="宋体" w:hAnsi="宋体" w:eastAsia="方正仿宋简体" w:cs="方正仿宋简体"/>
                <w:b/>
                <w:bCs/>
                <w:i w:val="0"/>
                <w:iCs w:val="0"/>
                <w:color w:val="000000"/>
                <w:kern w:val="0"/>
                <w:sz w:val="24"/>
                <w:szCs w:val="24"/>
                <w:u w:val="none"/>
                <w:lang w:val="en-US" w:eastAsia="zh-CN" w:bidi="ar"/>
                <w14:ligatures w14:val="standardContextual"/>
              </w:rPr>
              <w:t>修复措施</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b/>
                <w:bCs/>
                <w:i w:val="0"/>
                <w:iCs w:val="0"/>
                <w:color w:val="000000"/>
                <w:sz w:val="24"/>
                <w:szCs w:val="24"/>
                <w:u w:val="none"/>
              </w:rPr>
            </w:pPr>
            <w:r>
              <w:rPr>
                <w:rFonts w:hint="eastAsia" w:ascii="宋体" w:hAnsi="宋体" w:eastAsia="方正仿宋简体" w:cs="方正仿宋简体"/>
                <w:b/>
                <w:bCs/>
                <w:i w:val="0"/>
                <w:iCs w:val="0"/>
                <w:color w:val="000000"/>
                <w:kern w:val="0"/>
                <w:sz w:val="24"/>
                <w:szCs w:val="24"/>
                <w:u w:val="none"/>
                <w:lang w:val="en-US" w:eastAsia="zh-CN" w:bidi="ar"/>
                <w14:ligatures w14:val="standardContextual"/>
              </w:rPr>
              <w:t>总计</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b/>
                <w:bCs/>
                <w:i w:val="0"/>
                <w:iCs w:val="0"/>
                <w:color w:val="000000"/>
                <w:sz w:val="24"/>
                <w:szCs w:val="24"/>
                <w:u w:val="none"/>
              </w:rPr>
            </w:pPr>
            <w:r>
              <w:rPr>
                <w:rFonts w:hint="eastAsia" w:ascii="宋体" w:hAnsi="宋体" w:eastAsia="方正仿宋简体" w:cs="方正仿宋简体"/>
                <w:b/>
                <w:bCs/>
                <w:i w:val="0"/>
                <w:iCs w:val="0"/>
                <w:color w:val="000000"/>
                <w:kern w:val="0"/>
                <w:sz w:val="24"/>
                <w:szCs w:val="24"/>
                <w:u w:val="none"/>
                <w:lang w:val="en-US" w:eastAsia="zh-CN" w:bidi="ar"/>
                <w14:ligatures w14:val="standardContextual"/>
              </w:rPr>
              <w:t>2026年</w:t>
            </w:r>
          </w:p>
        </w:tc>
        <w:tc>
          <w:tcPr>
            <w:tcW w:w="146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b/>
                <w:bCs/>
                <w:i w:val="0"/>
                <w:iCs w:val="0"/>
                <w:color w:val="000000"/>
                <w:sz w:val="24"/>
                <w:szCs w:val="24"/>
                <w:u w:val="none"/>
              </w:rPr>
            </w:pPr>
            <w:r>
              <w:rPr>
                <w:rFonts w:hint="eastAsia" w:ascii="宋体" w:hAnsi="宋体" w:eastAsia="方正仿宋简体" w:cs="方正仿宋简体"/>
                <w:b/>
                <w:bCs/>
                <w:i w:val="0"/>
                <w:iCs w:val="0"/>
                <w:color w:val="000000"/>
                <w:kern w:val="0"/>
                <w:sz w:val="24"/>
                <w:szCs w:val="24"/>
                <w:u w:val="none"/>
                <w:lang w:val="en-US" w:eastAsia="zh-CN" w:bidi="ar"/>
                <w14:ligatures w14:val="standardContextual"/>
              </w:rPr>
              <w:t>2027-2030年</w:t>
            </w:r>
          </w:p>
        </w:tc>
        <w:tc>
          <w:tcPr>
            <w:tcW w:w="1355"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b/>
                <w:bCs/>
                <w:i w:val="0"/>
                <w:iCs w:val="0"/>
                <w:color w:val="000000"/>
                <w:sz w:val="24"/>
                <w:szCs w:val="24"/>
                <w:u w:val="none"/>
              </w:rPr>
            </w:pPr>
            <w:r>
              <w:rPr>
                <w:rFonts w:hint="eastAsia" w:ascii="宋体" w:hAnsi="宋体" w:eastAsia="方正仿宋简体" w:cs="方正仿宋简体"/>
                <w:b/>
                <w:bCs/>
                <w:i w:val="0"/>
                <w:iCs w:val="0"/>
                <w:color w:val="000000"/>
                <w:kern w:val="0"/>
                <w:sz w:val="24"/>
                <w:szCs w:val="24"/>
                <w:u w:val="none"/>
                <w:lang w:val="en-US" w:eastAsia="zh-CN" w:bidi="ar"/>
                <w14:ligatures w14:val="standardContextual"/>
              </w:rPr>
              <w:t>2031-2035年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328" w:type="dxa"/>
            <w:vMerge w:val="restar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b/>
                <w:bCs/>
                <w:i w:val="0"/>
                <w:iCs w:val="0"/>
                <w:color w:val="000000"/>
                <w:sz w:val="24"/>
                <w:szCs w:val="24"/>
                <w:u w:val="none"/>
              </w:rPr>
            </w:pPr>
            <w:r>
              <w:rPr>
                <w:rFonts w:hint="eastAsia" w:ascii="宋体" w:hAnsi="宋体" w:eastAsia="方正仿宋简体" w:cs="方正仿宋简体"/>
                <w:b/>
                <w:bCs/>
                <w:i w:val="0"/>
                <w:iCs w:val="0"/>
                <w:color w:val="000000"/>
                <w:kern w:val="0"/>
                <w:sz w:val="24"/>
                <w:szCs w:val="24"/>
                <w:u w:val="none"/>
                <w:lang w:val="en-US" w:eastAsia="zh-CN" w:bidi="ar"/>
                <w14:ligatures w14:val="standardContextual"/>
              </w:rPr>
              <w:t>昌吉回族</w:t>
            </w:r>
            <w:r>
              <w:rPr>
                <w:rFonts w:hint="eastAsia" w:ascii="宋体" w:hAnsi="宋体" w:eastAsia="方正仿宋简体" w:cs="方正仿宋简体"/>
                <w:b/>
                <w:bCs/>
                <w:i w:val="0"/>
                <w:iCs w:val="0"/>
                <w:color w:val="000000"/>
                <w:kern w:val="0"/>
                <w:sz w:val="24"/>
                <w:szCs w:val="24"/>
                <w:u w:val="none"/>
                <w:lang w:val="en-US" w:eastAsia="zh-CN" w:bidi="ar"/>
                <w14:ligatures w14:val="standardContextual"/>
              </w:rPr>
              <w:br w:type="textWrapping"/>
            </w:r>
            <w:r>
              <w:rPr>
                <w:rFonts w:hint="eastAsia" w:ascii="宋体" w:hAnsi="宋体" w:eastAsia="方正仿宋简体" w:cs="方正仿宋简体"/>
                <w:b/>
                <w:bCs/>
                <w:i w:val="0"/>
                <w:iCs w:val="0"/>
                <w:color w:val="000000"/>
                <w:kern w:val="0"/>
                <w:sz w:val="24"/>
                <w:szCs w:val="24"/>
                <w:u w:val="none"/>
                <w:lang w:val="en-US" w:eastAsia="zh-CN" w:bidi="ar"/>
                <w14:ligatures w14:val="standardContextual"/>
              </w:rPr>
              <w:t>自治州</w:t>
            </w:r>
          </w:p>
        </w:tc>
        <w:tc>
          <w:tcPr>
            <w:tcW w:w="2139"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b/>
                <w:bCs/>
                <w:i w:val="0"/>
                <w:iCs w:val="0"/>
                <w:color w:val="000000"/>
                <w:sz w:val="24"/>
                <w:szCs w:val="24"/>
                <w:u w:val="none"/>
              </w:rPr>
            </w:pPr>
            <w:r>
              <w:rPr>
                <w:rFonts w:hint="eastAsia" w:ascii="宋体" w:hAnsi="宋体" w:eastAsia="方正仿宋简体" w:cs="方正仿宋简体"/>
                <w:b/>
                <w:bCs/>
                <w:i w:val="0"/>
                <w:iCs w:val="0"/>
                <w:color w:val="000000"/>
                <w:kern w:val="0"/>
                <w:sz w:val="24"/>
                <w:szCs w:val="24"/>
                <w:u w:val="none"/>
                <w:lang w:val="en-US" w:eastAsia="zh-CN" w:bidi="ar"/>
                <w14:ligatures w14:val="standardContextual"/>
              </w:rPr>
              <w:t>合计</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b/>
                <w:bCs/>
                <w:i w:val="0"/>
                <w:iCs w:val="0"/>
                <w:color w:val="000000"/>
                <w:sz w:val="24"/>
                <w:szCs w:val="24"/>
                <w:u w:val="none"/>
              </w:rPr>
            </w:pPr>
            <w:r>
              <w:rPr>
                <w:rFonts w:hint="eastAsia" w:ascii="宋体" w:hAnsi="宋体" w:eastAsia="方正仿宋简体" w:cs="方正仿宋简体"/>
                <w:b/>
                <w:bCs/>
                <w:i w:val="0"/>
                <w:iCs w:val="0"/>
                <w:color w:val="000000"/>
                <w:kern w:val="0"/>
                <w:sz w:val="24"/>
                <w:szCs w:val="24"/>
                <w:u w:val="none"/>
                <w:lang w:val="en-US" w:eastAsia="zh-CN" w:bidi="ar"/>
                <w14:ligatures w14:val="standardContextual"/>
              </w:rPr>
              <w:t>20.4484</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b/>
                <w:bCs/>
                <w:i w:val="0"/>
                <w:iCs w:val="0"/>
                <w:color w:val="000000"/>
                <w:sz w:val="24"/>
                <w:szCs w:val="24"/>
                <w:u w:val="none"/>
              </w:rPr>
            </w:pPr>
            <w:r>
              <w:rPr>
                <w:rFonts w:hint="eastAsia" w:ascii="宋体" w:hAnsi="宋体" w:eastAsia="方正仿宋简体" w:cs="方正仿宋简体"/>
                <w:b/>
                <w:bCs/>
                <w:i w:val="0"/>
                <w:iCs w:val="0"/>
                <w:color w:val="000000"/>
                <w:kern w:val="0"/>
                <w:sz w:val="24"/>
                <w:szCs w:val="24"/>
                <w:u w:val="none"/>
                <w:lang w:val="en-US" w:eastAsia="zh-CN" w:bidi="ar"/>
                <w14:ligatures w14:val="standardContextual"/>
              </w:rPr>
              <w:t>0.5200</w:t>
            </w:r>
          </w:p>
        </w:tc>
        <w:tc>
          <w:tcPr>
            <w:tcW w:w="146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b/>
                <w:bCs/>
                <w:i w:val="0"/>
                <w:iCs w:val="0"/>
                <w:color w:val="000000"/>
                <w:sz w:val="24"/>
                <w:szCs w:val="24"/>
                <w:u w:val="none"/>
              </w:rPr>
            </w:pPr>
            <w:r>
              <w:rPr>
                <w:rFonts w:hint="eastAsia" w:ascii="宋体" w:hAnsi="宋体" w:eastAsia="方正仿宋简体" w:cs="方正仿宋简体"/>
                <w:b/>
                <w:bCs/>
                <w:i w:val="0"/>
                <w:iCs w:val="0"/>
                <w:color w:val="000000"/>
                <w:kern w:val="0"/>
                <w:sz w:val="24"/>
                <w:szCs w:val="24"/>
                <w:u w:val="none"/>
                <w:lang w:val="en-US" w:eastAsia="zh-CN" w:bidi="ar"/>
                <w14:ligatures w14:val="standardContextual"/>
              </w:rPr>
              <w:t>3.9284</w:t>
            </w:r>
          </w:p>
        </w:tc>
        <w:tc>
          <w:tcPr>
            <w:tcW w:w="1355"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b/>
                <w:bCs/>
                <w:i w:val="0"/>
                <w:iCs w:val="0"/>
                <w:color w:val="000000"/>
                <w:sz w:val="24"/>
                <w:szCs w:val="24"/>
                <w:u w:val="none"/>
              </w:rPr>
            </w:pPr>
            <w:r>
              <w:rPr>
                <w:rFonts w:hint="eastAsia" w:ascii="宋体" w:hAnsi="宋体" w:eastAsia="方正仿宋简体" w:cs="方正仿宋简体"/>
                <w:b/>
                <w:bCs/>
                <w:i w:val="0"/>
                <w:iCs w:val="0"/>
                <w:color w:val="000000"/>
                <w:kern w:val="0"/>
                <w:sz w:val="24"/>
                <w:szCs w:val="24"/>
                <w:u w:val="none"/>
                <w:lang w:val="en-US" w:eastAsia="zh-CN" w:bidi="ar"/>
                <w14:ligatures w14:val="standardContextual"/>
              </w:rPr>
              <w:t>16.0000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328" w:type="dxa"/>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b/>
                <w:bCs/>
                <w:i w:val="0"/>
                <w:iCs w:val="0"/>
                <w:color w:val="000000"/>
                <w:sz w:val="24"/>
                <w:szCs w:val="24"/>
                <w:u w:val="none"/>
              </w:rPr>
            </w:pPr>
          </w:p>
        </w:tc>
        <w:tc>
          <w:tcPr>
            <w:tcW w:w="2139"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森林抚育</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0.2500</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0.2500</w:t>
            </w:r>
          </w:p>
        </w:tc>
        <w:tc>
          <w:tcPr>
            <w:tcW w:w="146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135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328" w:type="dxa"/>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b/>
                <w:bCs/>
                <w:i w:val="0"/>
                <w:iCs w:val="0"/>
                <w:color w:val="000000"/>
                <w:sz w:val="24"/>
                <w:szCs w:val="24"/>
                <w:u w:val="none"/>
              </w:rPr>
            </w:pPr>
          </w:p>
        </w:tc>
        <w:tc>
          <w:tcPr>
            <w:tcW w:w="2139"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低质低效林改造</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0.6607</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0.1700</w:t>
            </w:r>
          </w:p>
        </w:tc>
        <w:tc>
          <w:tcPr>
            <w:tcW w:w="146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0.4907</w:t>
            </w:r>
          </w:p>
        </w:tc>
        <w:tc>
          <w:tcPr>
            <w:tcW w:w="135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2" w:hRule="atLeast"/>
          <w:jc w:val="center"/>
        </w:trPr>
        <w:tc>
          <w:tcPr>
            <w:tcW w:w="1328" w:type="dxa"/>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b/>
                <w:bCs/>
                <w:i w:val="0"/>
                <w:iCs w:val="0"/>
                <w:color w:val="000000"/>
                <w:sz w:val="24"/>
                <w:szCs w:val="24"/>
                <w:u w:val="none"/>
              </w:rPr>
            </w:pPr>
          </w:p>
        </w:tc>
        <w:tc>
          <w:tcPr>
            <w:tcW w:w="2139"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kern w:val="0"/>
                <w:sz w:val="24"/>
                <w:szCs w:val="24"/>
                <w:u w:val="none"/>
                <w:lang w:val="en-US" w:eastAsia="zh-CN" w:bidi="ar"/>
                <w14:ligatures w14:val="standardContextual"/>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促进森林更新</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（封山（沙）育林、侵蚀沟治理）</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19.5377</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0.1000</w:t>
            </w:r>
          </w:p>
        </w:tc>
        <w:tc>
          <w:tcPr>
            <w:tcW w:w="146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3.4377</w:t>
            </w:r>
          </w:p>
        </w:tc>
        <w:tc>
          <w:tcPr>
            <w:tcW w:w="1355"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16.0000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328" w:type="dxa"/>
            <w:vMerge w:val="restar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kern w:val="0"/>
                <w:sz w:val="24"/>
                <w:szCs w:val="24"/>
                <w:u w:val="none"/>
                <w:lang w:val="en-US" w:eastAsia="zh-CN" w:bidi="ar"/>
                <w14:ligatures w14:val="standardContextual"/>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木垒哈萨克</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自治县</w:t>
            </w:r>
          </w:p>
        </w:tc>
        <w:tc>
          <w:tcPr>
            <w:tcW w:w="2139"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合计</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8.0000</w:t>
            </w:r>
          </w:p>
        </w:tc>
        <w:tc>
          <w:tcPr>
            <w:tcW w:w="108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146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1355"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8.0000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328" w:type="dxa"/>
            <w:vMerge w:val="continue"/>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p>
        </w:tc>
        <w:tc>
          <w:tcPr>
            <w:tcW w:w="2139"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kern w:val="0"/>
                <w:sz w:val="24"/>
                <w:szCs w:val="24"/>
                <w:u w:val="none"/>
                <w:lang w:val="en-US" w:eastAsia="zh-CN" w:bidi="ar"/>
                <w14:ligatures w14:val="standardContextual"/>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促进森林更新</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（封山（沙）育林）</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8.0000</w:t>
            </w:r>
          </w:p>
        </w:tc>
        <w:tc>
          <w:tcPr>
            <w:tcW w:w="108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146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1355"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8.0000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328" w:type="dxa"/>
            <w:vMerge w:val="restar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昌吉市</w:t>
            </w:r>
          </w:p>
        </w:tc>
        <w:tc>
          <w:tcPr>
            <w:tcW w:w="2139"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合计</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3.4377</w:t>
            </w:r>
          </w:p>
        </w:tc>
        <w:tc>
          <w:tcPr>
            <w:tcW w:w="108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146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3.4377</w:t>
            </w:r>
          </w:p>
        </w:tc>
        <w:tc>
          <w:tcPr>
            <w:tcW w:w="135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328" w:type="dxa"/>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2139"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kern w:val="0"/>
                <w:sz w:val="24"/>
                <w:szCs w:val="24"/>
                <w:u w:val="none"/>
                <w:lang w:val="en-US" w:eastAsia="zh-CN" w:bidi="ar"/>
                <w14:ligatures w14:val="standardContextual"/>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促进森林更新</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（封山（沙）育林）</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3.4377</w:t>
            </w:r>
          </w:p>
        </w:tc>
        <w:tc>
          <w:tcPr>
            <w:tcW w:w="108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146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3.4377</w:t>
            </w:r>
          </w:p>
        </w:tc>
        <w:tc>
          <w:tcPr>
            <w:tcW w:w="135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328" w:type="dxa"/>
            <w:vMerge w:val="restar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玛纳斯县</w:t>
            </w:r>
          </w:p>
        </w:tc>
        <w:tc>
          <w:tcPr>
            <w:tcW w:w="2139"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合计</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8.0000</w:t>
            </w:r>
          </w:p>
        </w:tc>
        <w:tc>
          <w:tcPr>
            <w:tcW w:w="108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146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1355"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8.0000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328" w:type="dxa"/>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2139"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kern w:val="0"/>
                <w:sz w:val="24"/>
                <w:szCs w:val="24"/>
                <w:u w:val="none"/>
                <w:lang w:val="en-US" w:eastAsia="zh-CN" w:bidi="ar"/>
                <w14:ligatures w14:val="standardContextual"/>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促进森林更新</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（封山（沙）育林）</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8.0000</w:t>
            </w:r>
          </w:p>
        </w:tc>
        <w:tc>
          <w:tcPr>
            <w:tcW w:w="108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146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1355"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8.0000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328" w:type="dxa"/>
            <w:vMerge w:val="restart"/>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kern w:val="0"/>
                <w:sz w:val="24"/>
                <w:szCs w:val="24"/>
                <w:u w:val="none"/>
                <w:lang w:val="en-US" w:eastAsia="zh-CN" w:bidi="ar"/>
                <w14:ligatures w14:val="standardContextual"/>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阜康国有林</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管理局</w:t>
            </w:r>
          </w:p>
        </w:tc>
        <w:tc>
          <w:tcPr>
            <w:tcW w:w="2139"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合计</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1.0107</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0.5200</w:t>
            </w:r>
          </w:p>
        </w:tc>
        <w:tc>
          <w:tcPr>
            <w:tcW w:w="146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0.4907</w:t>
            </w:r>
          </w:p>
        </w:tc>
        <w:tc>
          <w:tcPr>
            <w:tcW w:w="135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328" w:type="dxa"/>
            <w:vMerge w:val="continue"/>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p>
        </w:tc>
        <w:tc>
          <w:tcPr>
            <w:tcW w:w="2139"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森林抚育</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0.2500</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0.2500</w:t>
            </w:r>
          </w:p>
        </w:tc>
        <w:tc>
          <w:tcPr>
            <w:tcW w:w="146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135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328" w:type="dxa"/>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2139"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低质低效林改造</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0.6607</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0.1700</w:t>
            </w:r>
          </w:p>
        </w:tc>
        <w:tc>
          <w:tcPr>
            <w:tcW w:w="146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0.4907</w:t>
            </w:r>
          </w:p>
        </w:tc>
        <w:tc>
          <w:tcPr>
            <w:tcW w:w="135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328" w:type="dxa"/>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2139"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kern w:val="0"/>
                <w:sz w:val="24"/>
                <w:szCs w:val="24"/>
                <w:u w:val="none"/>
                <w:lang w:val="en-US" w:eastAsia="zh-CN" w:bidi="ar"/>
                <w14:ligatures w14:val="standardContextual"/>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促进森林更新</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（侵蚀沟治理）</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0.1000</w:t>
            </w:r>
          </w:p>
        </w:tc>
        <w:tc>
          <w:tcPr>
            <w:tcW w:w="108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方正仿宋简体" w:cs="方正仿宋简体"/>
                <w:i w:val="0"/>
                <w:iCs w:val="0"/>
                <w:color w:val="000000"/>
                <w:sz w:val="24"/>
                <w:szCs w:val="24"/>
                <w:u w:val="none"/>
              </w:rPr>
            </w:pPr>
            <w:r>
              <w:rPr>
                <w:rFonts w:hint="eastAsia" w:ascii="宋体" w:hAnsi="宋体" w:eastAsia="方正仿宋简体" w:cs="方正仿宋简体"/>
                <w:i w:val="0"/>
                <w:iCs w:val="0"/>
                <w:color w:val="000000"/>
                <w:kern w:val="0"/>
                <w:sz w:val="24"/>
                <w:szCs w:val="24"/>
                <w:u w:val="none"/>
                <w:lang w:val="en-US" w:eastAsia="zh-CN" w:bidi="ar"/>
                <w14:ligatures w14:val="standardContextual"/>
              </w:rPr>
              <w:t>0.1000</w:t>
            </w:r>
          </w:p>
        </w:tc>
        <w:tc>
          <w:tcPr>
            <w:tcW w:w="146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c>
          <w:tcPr>
            <w:tcW w:w="135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方正仿宋简体" w:cs="方正仿宋简体"/>
                <w:i w:val="0"/>
                <w:iCs w:val="0"/>
                <w:color w:val="000000"/>
                <w:sz w:val="24"/>
                <w:szCs w:val="24"/>
                <w:u w:val="none"/>
              </w:rPr>
            </w:pPr>
          </w:p>
        </w:tc>
      </w:tr>
    </w:tbl>
    <w:p>
      <w:pPr>
        <w:pageBreakBefore w:val="0"/>
        <w:widowControl w:val="0"/>
        <w:kinsoku/>
        <w:wordWrap w:val="0"/>
        <w:overflowPunct w:val="0"/>
        <w:topLinePunct w:val="0"/>
        <w:autoSpaceDE w:val="0"/>
        <w:autoSpaceDN w:val="0"/>
        <w:bidi w:val="0"/>
        <w:adjustRightInd w:val="0"/>
        <w:snapToGrid w:val="0"/>
        <w:spacing w:before="240" w:beforeLines="100" w:after="120" w:afterLines="50" w:line="560" w:lineRule="exact"/>
        <w:jc w:val="center"/>
        <w:textAlignment w:val="baseline"/>
        <w:outlineLvl w:val="0"/>
        <w:rPr>
          <w:rFonts w:hint="eastAsia" w:ascii="黑体" w:hAnsi="黑体" w:eastAsia="黑体" w:cs="黑体"/>
          <w:b/>
          <w:bCs/>
          <w:snapToGrid w:val="0"/>
          <w:color w:val="000000"/>
          <w:kern w:val="44"/>
          <w:sz w:val="32"/>
          <w:szCs w:val="32"/>
          <w14:ligatures w14:val="none"/>
        </w:rPr>
      </w:pPr>
      <w:bookmarkStart w:id="19" w:name="_Toc31876"/>
      <w:r>
        <w:rPr>
          <w:rFonts w:hint="eastAsia" w:ascii="黑体" w:hAnsi="黑体" w:eastAsia="黑体" w:cs="黑体"/>
          <w:b/>
          <w:bCs/>
          <w:snapToGrid w:val="0"/>
          <w:color w:val="000000"/>
          <w:kern w:val="44"/>
          <w:sz w:val="32"/>
          <w:szCs w:val="32"/>
          <w14:ligatures w14:val="none"/>
        </w:rPr>
        <w:t>第六章  资金需求和效益评价</w:t>
      </w:r>
      <w:bookmarkEnd w:id="19"/>
    </w:p>
    <w:p>
      <w:pPr>
        <w:keepNext/>
        <w:keepLines/>
        <w:pageBreakBefore w:val="0"/>
        <w:widowControl w:val="0"/>
        <w:kinsoku/>
        <w:wordWrap w:val="0"/>
        <w:overflowPunct w:val="0"/>
        <w:topLinePunct w:val="0"/>
        <w:autoSpaceDE w:val="0"/>
        <w:autoSpaceDN w:val="0"/>
        <w:bidi w:val="0"/>
        <w:adjustRightInd w:val="0"/>
        <w:snapToGrid/>
        <w:spacing w:before="120" w:after="120" w:afterLines="50" w:line="560" w:lineRule="exact"/>
        <w:ind w:left="601"/>
        <w:textAlignment w:val="baseline"/>
        <w:outlineLvl w:val="2"/>
        <w:rPr>
          <w:rFonts w:hint="eastAsia" w:ascii="黑体" w:hAnsi="黑体" w:eastAsia="黑体" w:cs="黑体"/>
          <w:snapToGrid w:val="0"/>
          <w:color w:val="000000"/>
          <w:sz w:val="32"/>
          <w:szCs w:val="32"/>
          <w:lang w:val="en-US" w:eastAsia="zh-CN"/>
          <w14:ligatures w14:val="none"/>
        </w:rPr>
      </w:pPr>
      <w:bookmarkStart w:id="20" w:name="_Toc13269"/>
      <w:r>
        <w:rPr>
          <w:rFonts w:hint="eastAsia" w:ascii="黑体" w:hAnsi="黑体" w:eastAsia="黑体" w:cs="黑体"/>
          <w:snapToGrid w:val="0"/>
          <w:color w:val="000000"/>
          <w:sz w:val="32"/>
          <w:szCs w:val="32"/>
          <w:lang w:val="en-US" w:eastAsia="zh-CN"/>
          <w14:ligatures w14:val="none"/>
        </w:rPr>
        <w:t>一、资金需求</w:t>
      </w:r>
      <w:bookmarkEnd w:id="20"/>
    </w:p>
    <w:p>
      <w:pPr>
        <w:keepNext w:val="0"/>
        <w:keepLines w:val="0"/>
        <w:pageBreakBefore w:val="0"/>
        <w:widowControl w:val="0"/>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据测算，昌吉州天然林保护修复2026—2035年总资金为76037.38万元，其中：2026年资金8229.51万元，占总资金的10.82%；2027—2035年资金67807.87万元，占总资金的89.18%。</w:t>
      </w:r>
    </w:p>
    <w:p>
      <w:pPr>
        <w:keepNext w:val="0"/>
        <w:keepLines w:val="0"/>
        <w:pageBreakBefore w:val="0"/>
        <w:widowControl w:val="0"/>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据实施任务类型划分，天然林保护资金71558.96万元，占总资金的94.11%；天然林修复资金4478.42万元，占总资金的5.89%。</w:t>
      </w:r>
    </w:p>
    <w:p>
      <w:pPr>
        <w:keepNext w:val="0"/>
        <w:keepLines w:val="0"/>
        <w:pageBreakBefore w:val="0"/>
        <w:widowControl w:val="0"/>
        <w:tabs>
          <w:tab w:val="left" w:pos="15105"/>
        </w:tabs>
        <w:kinsoku/>
        <w:wordWrap/>
        <w:overflowPunct/>
        <w:topLinePunct w:val="0"/>
        <w:autoSpaceDE/>
        <w:autoSpaceDN/>
        <w:bidi w:val="0"/>
        <w:adjustRightInd/>
        <w:snapToGrid/>
        <w:spacing w:after="240" w:afterLines="100" w:line="560" w:lineRule="exact"/>
        <w:jc w:val="center"/>
        <w:textAlignment w:val="auto"/>
        <w:rPr>
          <w:rFonts w:hint="eastAsia" w:ascii="宋体" w:hAnsi="宋体" w:eastAsia="方正仿宋简体" w:cs="方正仿宋简体"/>
          <w:b/>
          <w:sz w:val="24"/>
          <w:szCs w:val="24"/>
        </w:rPr>
      </w:pPr>
      <w:r>
        <w:rPr>
          <w:rFonts w:hint="eastAsia" w:ascii="宋体" w:hAnsi="宋体" w:eastAsia="方正仿宋简体" w:cs="方正仿宋简体"/>
          <w:b/>
          <w:sz w:val="24"/>
          <w:szCs w:val="24"/>
        </w:rPr>
        <w:t>表6-1  昌吉州2026-2035年天然林保护修复资金测算表</w:t>
      </w:r>
    </w:p>
    <w:tbl>
      <w:tblPr>
        <w:tblStyle w:val="7"/>
        <w:tblW w:w="8231" w:type="dxa"/>
        <w:jc w:val="center"/>
        <w:tblInd w:w="0" w:type="dxa"/>
        <w:tblLayout w:type="fixed"/>
        <w:tblCellMar>
          <w:top w:w="0" w:type="dxa"/>
          <w:left w:w="108" w:type="dxa"/>
          <w:bottom w:w="0" w:type="dxa"/>
          <w:right w:w="108" w:type="dxa"/>
        </w:tblCellMar>
      </w:tblPr>
      <w:tblGrid>
        <w:gridCol w:w="1131"/>
        <w:gridCol w:w="3340"/>
        <w:gridCol w:w="1270"/>
        <w:gridCol w:w="846"/>
        <w:gridCol w:w="1644"/>
      </w:tblGrid>
      <w:tr>
        <w:tblPrEx>
          <w:tblLayout w:type="fixed"/>
          <w:tblCellMar>
            <w:top w:w="0" w:type="dxa"/>
            <w:left w:w="108" w:type="dxa"/>
            <w:bottom w:w="0" w:type="dxa"/>
            <w:right w:w="108" w:type="dxa"/>
          </w:tblCellMar>
        </w:tblPrEx>
        <w:trPr>
          <w:trHeight w:val="576" w:hRule="atLeast"/>
          <w:tblHeader/>
          <w:jc w:val="center"/>
        </w:trPr>
        <w:tc>
          <w:tcPr>
            <w:tcW w:w="1131" w:type="dxa"/>
            <w:tcBorders>
              <w:top w:val="single" w:color="auto" w:sz="4" w:space="0"/>
              <w:left w:val="single" w:color="auto" w:sz="4" w:space="0"/>
              <w:bottom w:val="single" w:color="auto" w:sz="4" w:space="0"/>
              <w:right w:val="single" w:color="auto" w:sz="4" w:space="0"/>
            </w:tcBorders>
            <w:noWrap/>
            <w:vAlign w:val="center"/>
          </w:tcPr>
          <w:p>
            <w:pPr>
              <w:widowControl/>
              <w:autoSpaceDE w:val="0"/>
              <w:autoSpaceDN w:val="0"/>
              <w:adjustRightInd w:val="0"/>
              <w:snapToGrid w:val="0"/>
              <w:jc w:val="center"/>
              <w:textAlignment w:val="center"/>
              <w:rPr>
                <w:rFonts w:hint="eastAsia" w:ascii="宋体" w:hAnsi="宋体" w:eastAsia="方正仿宋简体" w:cs="方正仿宋简体"/>
                <w:b/>
                <w:bCs/>
                <w:snapToGrid w:val="0"/>
                <w:color w:val="000000"/>
                <w:kern w:val="0"/>
                <w:sz w:val="24"/>
                <w:szCs w:val="24"/>
                <w:lang w:eastAsia="en-US"/>
              </w:rPr>
            </w:pPr>
            <w:r>
              <w:rPr>
                <w:rFonts w:hint="eastAsia" w:ascii="宋体" w:hAnsi="宋体" w:eastAsia="方正仿宋简体" w:cs="方正仿宋简体"/>
                <w:b/>
                <w:bCs/>
                <w:snapToGrid w:val="0"/>
                <w:color w:val="000000"/>
                <w:kern w:val="0"/>
                <w:sz w:val="24"/>
                <w:szCs w:val="24"/>
                <w:lang w:bidi="ar"/>
              </w:rPr>
              <w:t>序号</w:t>
            </w:r>
          </w:p>
        </w:tc>
        <w:tc>
          <w:tcPr>
            <w:tcW w:w="3340" w:type="dxa"/>
            <w:tcBorders>
              <w:top w:val="single" w:color="auto" w:sz="4" w:space="0"/>
              <w:left w:val="single" w:color="auto" w:sz="4" w:space="0"/>
              <w:bottom w:val="single" w:color="auto" w:sz="4" w:space="0"/>
              <w:right w:val="single" w:color="auto" w:sz="4" w:space="0"/>
            </w:tcBorders>
            <w:noWrap/>
            <w:vAlign w:val="center"/>
          </w:tcPr>
          <w:p>
            <w:pPr>
              <w:widowControl/>
              <w:autoSpaceDE w:val="0"/>
              <w:autoSpaceDN w:val="0"/>
              <w:adjustRightInd w:val="0"/>
              <w:snapToGrid w:val="0"/>
              <w:jc w:val="center"/>
              <w:textAlignment w:val="center"/>
              <w:rPr>
                <w:rFonts w:hint="eastAsia" w:ascii="宋体" w:hAnsi="宋体" w:eastAsia="方正仿宋简体" w:cs="方正仿宋简体"/>
                <w:b/>
                <w:bCs/>
                <w:snapToGrid w:val="0"/>
                <w:color w:val="000000"/>
                <w:kern w:val="0"/>
                <w:sz w:val="24"/>
                <w:szCs w:val="24"/>
                <w:lang w:eastAsia="en-US"/>
              </w:rPr>
            </w:pPr>
            <w:r>
              <w:rPr>
                <w:rFonts w:hint="eastAsia" w:ascii="宋体" w:hAnsi="宋体" w:eastAsia="方正仿宋简体" w:cs="方正仿宋简体"/>
                <w:b/>
                <w:bCs/>
                <w:snapToGrid w:val="0"/>
                <w:color w:val="000000"/>
                <w:kern w:val="0"/>
                <w:sz w:val="24"/>
                <w:szCs w:val="24"/>
                <w:lang w:bidi="ar"/>
              </w:rPr>
              <w:t>项目</w:t>
            </w:r>
          </w:p>
        </w:tc>
        <w:tc>
          <w:tcPr>
            <w:tcW w:w="1270" w:type="dxa"/>
            <w:tcBorders>
              <w:top w:val="single" w:color="auto" w:sz="4" w:space="0"/>
              <w:left w:val="single" w:color="auto" w:sz="4" w:space="0"/>
              <w:bottom w:val="single" w:color="auto" w:sz="4" w:space="0"/>
              <w:right w:val="single" w:color="auto" w:sz="4" w:space="0"/>
            </w:tcBorders>
            <w:noWrap/>
            <w:vAlign w:val="center"/>
          </w:tcPr>
          <w:p>
            <w:pPr>
              <w:widowControl/>
              <w:autoSpaceDE w:val="0"/>
              <w:autoSpaceDN w:val="0"/>
              <w:adjustRightInd w:val="0"/>
              <w:snapToGrid w:val="0"/>
              <w:jc w:val="center"/>
              <w:textAlignment w:val="center"/>
              <w:rPr>
                <w:rFonts w:hint="eastAsia" w:ascii="宋体" w:hAnsi="宋体" w:eastAsia="方正仿宋简体" w:cs="方正仿宋简体"/>
                <w:b/>
                <w:bCs/>
                <w:snapToGrid w:val="0"/>
                <w:color w:val="000000"/>
                <w:kern w:val="0"/>
                <w:sz w:val="24"/>
                <w:szCs w:val="24"/>
                <w:lang w:bidi="ar"/>
              </w:rPr>
            </w:pPr>
            <w:r>
              <w:rPr>
                <w:rFonts w:hint="eastAsia" w:ascii="宋体" w:hAnsi="宋体" w:eastAsia="方正仿宋简体" w:cs="方正仿宋简体"/>
                <w:b/>
                <w:bCs/>
                <w:snapToGrid w:val="0"/>
                <w:color w:val="000000"/>
                <w:kern w:val="0"/>
                <w:sz w:val="24"/>
                <w:szCs w:val="24"/>
                <w:lang w:bidi="ar"/>
              </w:rPr>
              <w:t>合计</w:t>
            </w:r>
          </w:p>
          <w:p>
            <w:pPr>
              <w:widowControl/>
              <w:autoSpaceDE w:val="0"/>
              <w:autoSpaceDN w:val="0"/>
              <w:adjustRightInd w:val="0"/>
              <w:snapToGrid w:val="0"/>
              <w:jc w:val="center"/>
              <w:textAlignment w:val="center"/>
              <w:rPr>
                <w:rFonts w:hint="eastAsia" w:ascii="宋体" w:hAnsi="宋体" w:eastAsia="方正仿宋简体" w:cs="方正仿宋简体"/>
                <w:b/>
                <w:bCs/>
                <w:snapToGrid w:val="0"/>
                <w:color w:val="000000"/>
                <w:kern w:val="0"/>
                <w:sz w:val="24"/>
                <w:szCs w:val="24"/>
                <w:lang w:eastAsia="en-US"/>
              </w:rPr>
            </w:pPr>
            <w:r>
              <w:rPr>
                <w:rFonts w:hint="eastAsia" w:ascii="宋体" w:hAnsi="宋体" w:eastAsia="方正仿宋简体" w:cs="方正仿宋简体"/>
                <w:b/>
                <w:bCs/>
                <w:snapToGrid w:val="0"/>
                <w:color w:val="000000"/>
                <w:kern w:val="0"/>
                <w:sz w:val="24"/>
                <w:szCs w:val="24"/>
                <w:lang w:bidi="ar"/>
              </w:rPr>
              <w:t>（数量）</w:t>
            </w:r>
          </w:p>
        </w:tc>
        <w:tc>
          <w:tcPr>
            <w:tcW w:w="846" w:type="dxa"/>
            <w:tcBorders>
              <w:top w:val="single" w:color="auto" w:sz="4" w:space="0"/>
              <w:left w:val="single" w:color="auto" w:sz="4" w:space="0"/>
              <w:bottom w:val="single" w:color="auto" w:sz="4" w:space="0"/>
              <w:right w:val="single" w:color="auto" w:sz="4" w:space="0"/>
            </w:tcBorders>
            <w:noWrap/>
            <w:vAlign w:val="center"/>
          </w:tcPr>
          <w:p>
            <w:pPr>
              <w:widowControl/>
              <w:autoSpaceDE w:val="0"/>
              <w:autoSpaceDN w:val="0"/>
              <w:adjustRightInd w:val="0"/>
              <w:snapToGrid w:val="0"/>
              <w:jc w:val="center"/>
              <w:textAlignment w:val="center"/>
              <w:rPr>
                <w:rFonts w:hint="eastAsia" w:ascii="宋体" w:hAnsi="宋体" w:eastAsia="方正仿宋简体" w:cs="方正仿宋简体"/>
                <w:b/>
                <w:bCs/>
                <w:snapToGrid w:val="0"/>
                <w:color w:val="000000"/>
                <w:kern w:val="0"/>
                <w:sz w:val="24"/>
                <w:szCs w:val="24"/>
                <w:lang w:eastAsia="en-US"/>
              </w:rPr>
            </w:pPr>
            <w:r>
              <w:rPr>
                <w:rFonts w:hint="eastAsia" w:ascii="宋体" w:hAnsi="宋体" w:eastAsia="方正仿宋简体" w:cs="方正仿宋简体"/>
                <w:b/>
                <w:bCs/>
                <w:snapToGrid w:val="0"/>
                <w:color w:val="000000"/>
                <w:kern w:val="0"/>
                <w:sz w:val="24"/>
                <w:szCs w:val="24"/>
                <w:lang w:bidi="ar"/>
              </w:rPr>
              <w:t>单位</w:t>
            </w:r>
          </w:p>
        </w:tc>
        <w:tc>
          <w:tcPr>
            <w:tcW w:w="1644" w:type="dxa"/>
            <w:tcBorders>
              <w:top w:val="single" w:color="auto" w:sz="4" w:space="0"/>
              <w:left w:val="single" w:color="auto" w:sz="4" w:space="0"/>
              <w:bottom w:val="single" w:color="auto" w:sz="4" w:space="0"/>
              <w:right w:val="single" w:color="auto" w:sz="4" w:space="0"/>
            </w:tcBorders>
            <w:vAlign w:val="center"/>
          </w:tcPr>
          <w:p>
            <w:pPr>
              <w:widowControl/>
              <w:autoSpaceDE w:val="0"/>
              <w:autoSpaceDN w:val="0"/>
              <w:adjustRightInd w:val="0"/>
              <w:snapToGrid w:val="0"/>
              <w:jc w:val="center"/>
              <w:textAlignment w:val="center"/>
              <w:rPr>
                <w:rFonts w:hint="eastAsia" w:ascii="宋体" w:hAnsi="宋体" w:eastAsia="方正仿宋简体" w:cs="方正仿宋简体"/>
                <w:b/>
                <w:bCs/>
                <w:snapToGrid w:val="0"/>
                <w:color w:val="000000"/>
                <w:kern w:val="0"/>
                <w:sz w:val="24"/>
                <w:szCs w:val="24"/>
                <w:lang w:bidi="ar"/>
              </w:rPr>
            </w:pPr>
            <w:r>
              <w:rPr>
                <w:rFonts w:hint="eastAsia" w:ascii="宋体" w:hAnsi="宋体" w:eastAsia="方正仿宋简体" w:cs="方正仿宋简体"/>
                <w:b/>
                <w:bCs/>
                <w:snapToGrid w:val="0"/>
                <w:color w:val="000000"/>
                <w:kern w:val="0"/>
                <w:sz w:val="24"/>
                <w:szCs w:val="24"/>
                <w:lang w:bidi="ar"/>
              </w:rPr>
              <w:t>合计投资</w:t>
            </w:r>
          </w:p>
          <w:p>
            <w:pPr>
              <w:widowControl/>
              <w:autoSpaceDE w:val="0"/>
              <w:autoSpaceDN w:val="0"/>
              <w:adjustRightInd w:val="0"/>
              <w:snapToGrid w:val="0"/>
              <w:jc w:val="center"/>
              <w:textAlignment w:val="center"/>
              <w:rPr>
                <w:rFonts w:hint="eastAsia" w:ascii="宋体" w:hAnsi="宋体" w:eastAsia="方正仿宋简体" w:cs="方正仿宋简体"/>
                <w:b/>
                <w:bCs/>
                <w:snapToGrid w:val="0"/>
                <w:color w:val="000000"/>
                <w:kern w:val="0"/>
                <w:sz w:val="24"/>
                <w:szCs w:val="24"/>
                <w:lang w:eastAsia="en-US"/>
              </w:rPr>
            </w:pPr>
            <w:r>
              <w:rPr>
                <w:rFonts w:hint="eastAsia" w:ascii="宋体" w:hAnsi="宋体" w:eastAsia="方正仿宋简体" w:cs="方正仿宋简体"/>
                <w:b/>
                <w:bCs/>
                <w:snapToGrid w:val="0"/>
                <w:color w:val="000000"/>
                <w:kern w:val="0"/>
                <w:sz w:val="24"/>
                <w:szCs w:val="24"/>
                <w:lang w:bidi="ar"/>
              </w:rPr>
              <w:t>（万元）</w:t>
            </w:r>
          </w:p>
        </w:tc>
      </w:tr>
      <w:tr>
        <w:tblPrEx>
          <w:tblLayout w:type="fixed"/>
          <w:tblCellMar>
            <w:top w:w="0" w:type="dxa"/>
            <w:left w:w="108" w:type="dxa"/>
            <w:bottom w:w="0" w:type="dxa"/>
            <w:right w:w="108" w:type="dxa"/>
          </w:tblCellMar>
        </w:tblPrEx>
        <w:trPr>
          <w:trHeight w:val="288" w:hRule="atLeast"/>
          <w:jc w:val="center"/>
        </w:trPr>
        <w:tc>
          <w:tcPr>
            <w:tcW w:w="6587" w:type="dxa"/>
            <w:gridSpan w:val="4"/>
            <w:tcBorders>
              <w:top w:val="single" w:color="auto"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合计</w:t>
            </w:r>
          </w:p>
        </w:tc>
        <w:tc>
          <w:tcPr>
            <w:tcW w:w="1644" w:type="dxa"/>
            <w:tcBorders>
              <w:top w:val="single" w:color="auto"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b/>
                <w:bCs/>
                <w:snapToGrid w:val="0"/>
                <w:color w:val="000000"/>
                <w:kern w:val="0"/>
                <w:sz w:val="24"/>
                <w:szCs w:val="24"/>
                <w:lang w:eastAsia="en-US"/>
              </w:rPr>
            </w:pPr>
            <w:r>
              <w:rPr>
                <w:rFonts w:hint="eastAsia" w:ascii="宋体" w:hAnsi="宋体" w:eastAsia="方正仿宋简体" w:cs="方正仿宋简体"/>
                <w:b/>
                <w:bCs/>
                <w:snapToGrid w:val="0"/>
                <w:color w:val="000000"/>
                <w:kern w:val="0"/>
                <w:sz w:val="24"/>
                <w:szCs w:val="24"/>
                <w:lang w:bidi="ar"/>
              </w:rPr>
              <w:t>76037.38</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b/>
                <w:bCs/>
                <w:snapToGrid w:val="0"/>
                <w:color w:val="000000"/>
                <w:kern w:val="0"/>
                <w:sz w:val="24"/>
                <w:szCs w:val="24"/>
                <w:lang w:eastAsia="en-US"/>
              </w:rPr>
            </w:pPr>
            <w:r>
              <w:rPr>
                <w:rFonts w:hint="eastAsia" w:ascii="宋体" w:hAnsi="宋体" w:eastAsia="方正仿宋简体" w:cs="方正仿宋简体"/>
                <w:b/>
                <w:bCs/>
                <w:snapToGrid w:val="0"/>
                <w:color w:val="000000"/>
                <w:kern w:val="0"/>
                <w:sz w:val="24"/>
                <w:szCs w:val="24"/>
                <w:lang w:bidi="ar"/>
              </w:rPr>
              <w:t>1</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b/>
                <w:bCs/>
                <w:snapToGrid w:val="0"/>
                <w:color w:val="000000"/>
                <w:kern w:val="0"/>
                <w:sz w:val="24"/>
                <w:szCs w:val="24"/>
                <w:lang w:eastAsia="en-US"/>
              </w:rPr>
            </w:pPr>
            <w:r>
              <w:rPr>
                <w:rFonts w:hint="eastAsia" w:ascii="宋体" w:hAnsi="宋体" w:eastAsia="方正仿宋简体" w:cs="方正仿宋简体"/>
                <w:b/>
                <w:bCs/>
                <w:snapToGrid w:val="0"/>
                <w:color w:val="000000"/>
                <w:kern w:val="0"/>
                <w:sz w:val="24"/>
                <w:szCs w:val="24"/>
                <w:lang w:bidi="ar"/>
              </w:rPr>
              <w:t>天然林保护</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b/>
                <w:bCs/>
                <w:snapToGrid w:val="0"/>
                <w:color w:val="000000"/>
                <w:kern w:val="0"/>
                <w:sz w:val="24"/>
                <w:szCs w:val="24"/>
                <w:lang w:eastAsia="en-US"/>
              </w:rPr>
            </w:pPr>
            <w:r>
              <w:rPr>
                <w:rFonts w:hint="eastAsia" w:ascii="宋体" w:hAnsi="宋体" w:eastAsia="方正仿宋简体" w:cs="方正仿宋简体"/>
                <w:b/>
                <w:bCs/>
                <w:snapToGrid w:val="0"/>
                <w:color w:val="000000"/>
                <w:kern w:val="0"/>
                <w:sz w:val="24"/>
                <w:szCs w:val="24"/>
                <w:lang w:bidi="ar"/>
              </w:rPr>
              <w:t>71558.96</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1.1</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管护人员</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snapToGrid w:val="0"/>
                <w:color w:val="000000"/>
                <w:kern w:val="0"/>
                <w:sz w:val="24"/>
                <w:szCs w:val="24"/>
              </w:rPr>
              <w:t>50557.72</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1.1.1</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长期聘用</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5990</w:t>
            </w: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人次</w:t>
            </w: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49642.72</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1.1.2</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临时聘用</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915</w:t>
            </w: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人次</w:t>
            </w: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915.00</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1.2</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管护能力建设</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snapToGrid w:val="0"/>
                <w:color w:val="000000"/>
                <w:kern w:val="0"/>
                <w:sz w:val="24"/>
                <w:szCs w:val="24"/>
              </w:rPr>
              <w:t>2148.5</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1.2.1</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设施设备维护</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snapToGrid w:val="0"/>
                <w:color w:val="000000"/>
                <w:kern w:val="0"/>
                <w:sz w:val="24"/>
                <w:szCs w:val="24"/>
              </w:rPr>
              <w:t>2148.5</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管护站基础设施建设</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snapToGrid w:val="0"/>
                <w:color w:val="000000"/>
                <w:kern w:val="0"/>
                <w:sz w:val="24"/>
                <w:szCs w:val="24"/>
              </w:rPr>
              <w:t>76</w:t>
            </w: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座</w:t>
            </w: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2068.5</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（2）</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snapToGrid w:val="0"/>
                <w:color w:val="000000"/>
                <w:kern w:val="0"/>
                <w:sz w:val="24"/>
                <w:szCs w:val="24"/>
                <w:lang w:bidi="ar"/>
              </w:rPr>
              <w:t>现有巡护道路、桥梁等简易维修</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80</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1.3</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设备购置</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snapToGrid w:val="0"/>
                <w:color w:val="000000"/>
                <w:kern w:val="0"/>
                <w:sz w:val="24"/>
                <w:szCs w:val="24"/>
              </w:rPr>
              <w:t>7196.47</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1.3.1</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巡护无人机</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snapToGrid w:val="0"/>
                <w:color w:val="000000"/>
                <w:kern w:val="0"/>
                <w:sz w:val="24"/>
                <w:szCs w:val="24"/>
              </w:rPr>
              <w:t>57</w:t>
            </w: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架</w:t>
            </w: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245.00</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1.3.2</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高空云台</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53</w:t>
            </w: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套</w:t>
            </w: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3307.21</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1.3.3</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其他智能信息化建设</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3332.66</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1.3.4</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巡护装备</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880</w:t>
            </w: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套</w:t>
            </w: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311.60</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1.4</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运行保障经费</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snapToGrid w:val="0"/>
                <w:color w:val="000000"/>
                <w:kern w:val="0"/>
                <w:sz w:val="24"/>
                <w:szCs w:val="24"/>
              </w:rPr>
              <w:t>10723.14</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1.4.1</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办公经费</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939.40</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1.4.2</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管护车辆维护</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2242</w:t>
            </w: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val="en-US" w:eastAsia="zh-CN"/>
              </w:rPr>
            </w:pPr>
            <w:r>
              <w:rPr>
                <w:rFonts w:hint="eastAsia" w:ascii="宋体" w:hAnsi="宋体" w:eastAsia="方正仿宋简体" w:cs="方正仿宋简体"/>
                <w:snapToGrid w:val="0"/>
                <w:color w:val="000000"/>
                <w:kern w:val="0"/>
                <w:sz w:val="24"/>
                <w:szCs w:val="24"/>
                <w:lang w:bidi="ar"/>
              </w:rPr>
              <w:t>辆</w:t>
            </w:r>
            <w:r>
              <w:rPr>
                <w:rFonts w:hint="eastAsia" w:ascii="宋体" w:hAnsi="宋体" w:eastAsia="方正仿宋简体" w:cs="方正仿宋简体"/>
                <w:snapToGrid w:val="0"/>
                <w:color w:val="000000"/>
                <w:kern w:val="0"/>
                <w:sz w:val="24"/>
                <w:szCs w:val="24"/>
                <w:lang w:val="en-US" w:eastAsia="zh-CN" w:bidi="ar"/>
              </w:rPr>
              <w:t>次</w:t>
            </w: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2206.56</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1.4.3</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管护站运行费</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3379.38</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1.4.4</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应急分队经费</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1400.00</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1.4.5</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宣传培训经费</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764.70</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1.4.6</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管护辅助设施</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408.40</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1.4.7</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snapToGrid w:val="0"/>
                <w:color w:val="000000"/>
                <w:kern w:val="0"/>
                <w:sz w:val="24"/>
                <w:szCs w:val="24"/>
                <w:lang w:bidi="ar"/>
              </w:rPr>
              <w:t>原有设备维护及链路费</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1624.70</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1.5</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业务经费</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snapToGrid w:val="0"/>
                <w:color w:val="000000"/>
                <w:kern w:val="0"/>
                <w:sz w:val="24"/>
                <w:szCs w:val="24"/>
              </w:rPr>
              <w:t>893.12</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1.5.1</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管护质量监督检查</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480.00</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1.5.2</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保护成效监测和评估</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323.12</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1.5.3</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snapToGrid w:val="0"/>
                <w:color w:val="000000"/>
                <w:kern w:val="0"/>
                <w:sz w:val="24"/>
                <w:szCs w:val="24"/>
                <w:lang w:bidi="ar"/>
              </w:rPr>
              <w:t>保护修复关键技术研究</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90.00</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bidi="ar"/>
              </w:rPr>
            </w:pPr>
            <w:r>
              <w:rPr>
                <w:rFonts w:hint="eastAsia" w:ascii="宋体" w:hAnsi="宋体" w:eastAsia="方正仿宋简体" w:cs="方正仿宋简体"/>
                <w:snapToGrid w:val="0"/>
                <w:color w:val="000000"/>
                <w:kern w:val="0"/>
                <w:sz w:val="24"/>
                <w:szCs w:val="24"/>
                <w:lang w:bidi="ar"/>
              </w:rPr>
              <w:t>1.6</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bidi="ar"/>
              </w:rPr>
            </w:pPr>
            <w:r>
              <w:rPr>
                <w:rFonts w:hint="eastAsia" w:ascii="宋体" w:hAnsi="宋体" w:eastAsia="方正仿宋简体" w:cs="方正仿宋简体"/>
                <w:snapToGrid w:val="0"/>
                <w:color w:val="000000"/>
                <w:kern w:val="0"/>
                <w:sz w:val="24"/>
                <w:szCs w:val="24"/>
                <w:lang w:bidi="ar"/>
              </w:rPr>
              <w:t>林业有害生物防控</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bidi="ar"/>
              </w:rPr>
            </w:pPr>
            <w:r>
              <w:rPr>
                <w:rFonts w:hint="eastAsia" w:ascii="宋体" w:hAnsi="宋体" w:eastAsia="方正仿宋简体" w:cs="方正仿宋简体"/>
                <w:snapToGrid w:val="0"/>
                <w:color w:val="000000"/>
                <w:kern w:val="0"/>
                <w:sz w:val="24"/>
                <w:szCs w:val="24"/>
                <w:lang w:bidi="ar"/>
              </w:rPr>
              <w:t>40.00</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b/>
                <w:bCs/>
                <w:snapToGrid w:val="0"/>
                <w:color w:val="000000"/>
                <w:kern w:val="0"/>
                <w:sz w:val="24"/>
                <w:szCs w:val="24"/>
                <w:lang w:eastAsia="en-US"/>
              </w:rPr>
            </w:pPr>
            <w:r>
              <w:rPr>
                <w:rFonts w:hint="eastAsia" w:ascii="宋体" w:hAnsi="宋体" w:eastAsia="方正仿宋简体" w:cs="方正仿宋简体"/>
                <w:b/>
                <w:bCs/>
                <w:snapToGrid w:val="0"/>
                <w:color w:val="000000"/>
                <w:kern w:val="0"/>
                <w:sz w:val="24"/>
                <w:szCs w:val="24"/>
                <w:lang w:bidi="ar"/>
              </w:rPr>
              <w:t>2</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b/>
                <w:bCs/>
                <w:snapToGrid w:val="0"/>
                <w:color w:val="000000"/>
                <w:kern w:val="0"/>
                <w:sz w:val="24"/>
                <w:szCs w:val="24"/>
                <w:lang w:eastAsia="en-US"/>
              </w:rPr>
            </w:pPr>
            <w:r>
              <w:rPr>
                <w:rFonts w:hint="eastAsia" w:ascii="宋体" w:hAnsi="宋体" w:eastAsia="方正仿宋简体" w:cs="方正仿宋简体"/>
                <w:b/>
                <w:bCs/>
                <w:snapToGrid w:val="0"/>
                <w:color w:val="000000"/>
                <w:kern w:val="0"/>
                <w:sz w:val="24"/>
                <w:szCs w:val="24"/>
                <w:lang w:bidi="ar"/>
              </w:rPr>
              <w:t>天然林修复</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baseline"/>
              <w:rPr>
                <w:rFonts w:hint="eastAsia" w:ascii="宋体" w:hAnsi="宋体" w:eastAsia="方正仿宋简体" w:cs="方正仿宋简体"/>
                <w:snapToGrid w:val="0"/>
                <w:color w:val="000000"/>
                <w:kern w:val="0"/>
                <w:sz w:val="24"/>
                <w:szCs w:val="24"/>
                <w:lang w:eastAsia="en-US"/>
              </w:rPr>
            </w:pP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b/>
                <w:bCs/>
                <w:snapToGrid w:val="0"/>
                <w:color w:val="000000"/>
                <w:kern w:val="0"/>
                <w:sz w:val="24"/>
                <w:szCs w:val="24"/>
                <w:lang w:eastAsia="en-US"/>
              </w:rPr>
            </w:pPr>
            <w:r>
              <w:rPr>
                <w:rFonts w:hint="eastAsia" w:ascii="宋体" w:hAnsi="宋体" w:eastAsia="方正仿宋简体" w:cs="方正仿宋简体"/>
                <w:b/>
                <w:bCs/>
                <w:snapToGrid w:val="0"/>
                <w:color w:val="000000"/>
                <w:kern w:val="0"/>
                <w:sz w:val="24"/>
                <w:szCs w:val="24"/>
                <w:lang w:bidi="ar"/>
              </w:rPr>
              <w:t>4478.42</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2.1</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森林抚育</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2500</w:t>
            </w: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亩</w:t>
            </w: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105.00</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2.2</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snapToGrid w:val="0"/>
                <w:color w:val="000000"/>
                <w:kern w:val="0"/>
                <w:sz w:val="24"/>
                <w:szCs w:val="24"/>
                <w:lang w:bidi="ar"/>
              </w:rPr>
              <w:t>低质低效林改造（补植补造）</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4907</w:t>
            </w: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亩</w:t>
            </w: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490.70</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2.3</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snapToGrid w:val="0"/>
                <w:color w:val="000000"/>
                <w:kern w:val="0"/>
                <w:sz w:val="24"/>
                <w:szCs w:val="24"/>
                <w:lang w:bidi="ar"/>
              </w:rPr>
              <w:t>促进森林更新（侵蚀沟治理）</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2700</w:t>
            </w: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亩</w:t>
            </w: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520.00</w:t>
            </w:r>
          </w:p>
        </w:tc>
      </w:tr>
      <w:tr>
        <w:tblPrEx>
          <w:tblLayout w:type="fixed"/>
          <w:tblCellMar>
            <w:top w:w="0" w:type="dxa"/>
            <w:left w:w="108" w:type="dxa"/>
            <w:bottom w:w="0" w:type="dxa"/>
            <w:right w:w="108" w:type="dxa"/>
          </w:tblCellMar>
        </w:tblPrEx>
        <w:trPr>
          <w:trHeight w:val="288" w:hRule="atLeast"/>
          <w:jc w:val="center"/>
        </w:trPr>
        <w:tc>
          <w:tcPr>
            <w:tcW w:w="1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2.4</w:t>
            </w:r>
          </w:p>
        </w:tc>
        <w:tc>
          <w:tcPr>
            <w:tcW w:w="3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snapToGrid w:val="0"/>
                <w:color w:val="000000"/>
                <w:kern w:val="0"/>
                <w:sz w:val="24"/>
                <w:szCs w:val="24"/>
                <w:lang w:bidi="ar"/>
              </w:rPr>
              <w:t>促进森林更新（封育）</w:t>
            </w:r>
          </w:p>
        </w:tc>
        <w:tc>
          <w:tcPr>
            <w:tcW w:w="12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rPr>
            </w:pPr>
            <w:r>
              <w:rPr>
                <w:rFonts w:hint="eastAsia" w:ascii="宋体" w:hAnsi="宋体" w:eastAsia="方正仿宋简体" w:cs="方正仿宋简体"/>
                <w:snapToGrid w:val="0"/>
                <w:color w:val="000000"/>
                <w:kern w:val="0"/>
                <w:sz w:val="24"/>
                <w:szCs w:val="24"/>
              </w:rPr>
              <w:t>194377</w:t>
            </w:r>
          </w:p>
        </w:tc>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亩</w:t>
            </w:r>
          </w:p>
        </w:tc>
        <w:tc>
          <w:tcPr>
            <w:tcW w:w="16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400" w:lineRule="exact"/>
              <w:jc w:val="center"/>
              <w:textAlignment w:val="center"/>
              <w:rPr>
                <w:rFonts w:hint="eastAsia" w:ascii="宋体" w:hAnsi="宋体" w:eastAsia="方正仿宋简体" w:cs="方正仿宋简体"/>
                <w:snapToGrid w:val="0"/>
                <w:color w:val="000000"/>
                <w:kern w:val="0"/>
                <w:sz w:val="24"/>
                <w:szCs w:val="24"/>
                <w:lang w:eastAsia="en-US"/>
              </w:rPr>
            </w:pPr>
            <w:r>
              <w:rPr>
                <w:rFonts w:hint="eastAsia" w:ascii="宋体" w:hAnsi="宋体" w:eastAsia="方正仿宋简体" w:cs="方正仿宋简体"/>
                <w:snapToGrid w:val="0"/>
                <w:color w:val="000000"/>
                <w:kern w:val="0"/>
                <w:sz w:val="24"/>
                <w:szCs w:val="24"/>
                <w:lang w:bidi="ar"/>
              </w:rPr>
              <w:t>3362.72</w:t>
            </w:r>
          </w:p>
        </w:tc>
      </w:tr>
    </w:tbl>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实施建设项目总投资根据项目建设性质，中央财政补贴为基础，并引导和鼓励社会资金投入。</w:t>
      </w:r>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森林封育、营林设施建设和保护修复成效监测等资金，以及巡护道路、森林防火设备等基础设施所需资金，主要通过中央财政投资解决；多种经营性建设资金主要通过自筹和招商引资解决。对确需实施且涉及地方财政资金投入的相关工作，按程序纳入年度预算申报统筹推进，具体资金安排以经批准的年度预算为准。</w:t>
      </w:r>
    </w:p>
    <w:p>
      <w:pPr>
        <w:keepNext/>
        <w:keepLines/>
        <w:pageBreakBefore w:val="0"/>
        <w:widowControl w:val="0"/>
        <w:kinsoku/>
        <w:wordWrap w:val="0"/>
        <w:overflowPunct w:val="0"/>
        <w:topLinePunct w:val="0"/>
        <w:autoSpaceDE w:val="0"/>
        <w:autoSpaceDN w:val="0"/>
        <w:bidi w:val="0"/>
        <w:adjustRightInd w:val="0"/>
        <w:snapToGrid/>
        <w:spacing w:before="120" w:after="120" w:afterLines="50" w:line="560" w:lineRule="exact"/>
        <w:ind w:left="601"/>
        <w:textAlignment w:val="baseline"/>
        <w:outlineLvl w:val="2"/>
        <w:rPr>
          <w:rFonts w:hint="eastAsia" w:ascii="黑体" w:hAnsi="黑体" w:eastAsia="黑体" w:cs="黑体"/>
          <w:snapToGrid w:val="0"/>
          <w:color w:val="000000"/>
          <w:sz w:val="32"/>
          <w:szCs w:val="32"/>
          <w:lang w:val="en-US" w:eastAsia="zh-CN"/>
          <w14:ligatures w14:val="none"/>
        </w:rPr>
      </w:pPr>
      <w:bookmarkStart w:id="21" w:name="_Toc1799"/>
      <w:r>
        <w:rPr>
          <w:rFonts w:hint="eastAsia" w:ascii="黑体" w:hAnsi="黑体" w:eastAsia="黑体" w:cs="黑体"/>
          <w:snapToGrid w:val="0"/>
          <w:color w:val="000000"/>
          <w:sz w:val="32"/>
          <w:szCs w:val="32"/>
          <w:lang w:val="en-US" w:eastAsia="zh-CN"/>
          <w14:ligatures w14:val="none"/>
        </w:rPr>
        <w:t>二、效益评价</w:t>
      </w:r>
      <w:bookmarkEnd w:id="21"/>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昌吉回族自治州天然林保护修复中长期实施方案》（2021—2035年）的实施，立足州域天山北坡天然林区、准噶尔荒漠林区两大分区禀赋，紧扣天然林保护修复核心任务，通过系统性、常态化、精准化管护举措，实现生态、社会、经济三大效益协同共生，既筑牢区域生态安全屏障，又推动地方经济社会高质量发展，深入践行“绿水青山就是金山银山”发展理念，为全州生态文明建设和可持续发展提供坚实支撑。</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zh-CN" w:eastAsia="zh-CN"/>
        </w:rPr>
      </w:pPr>
      <w:bookmarkStart w:id="22" w:name="_Toc90125990"/>
      <w:bookmarkStart w:id="23" w:name="_Toc13220"/>
      <w:r>
        <w:rPr>
          <w:rFonts w:hint="eastAsia" w:ascii="宋体" w:hAnsi="宋体" w:eastAsia="方正仿宋简体" w:cs="方正仿宋简体"/>
          <w:b/>
          <w:bCs/>
          <w:snapToGrid w:val="0"/>
          <w:color w:val="000000"/>
          <w:kern w:val="0"/>
          <w:sz w:val="32"/>
          <w:szCs w:val="32"/>
          <w:lang w:val="en-US" w:eastAsia="zh-CN"/>
        </w:rPr>
        <w:t>生态效益。</w:t>
      </w:r>
      <w:r>
        <w:rPr>
          <w:rFonts w:hint="eastAsia" w:ascii="宋体" w:hAnsi="宋体" w:eastAsia="方正仿宋简体" w:cs="方正仿宋简体"/>
          <w:snapToGrid w:val="0"/>
          <w:color w:val="000000"/>
          <w:kern w:val="0"/>
          <w:sz w:val="32"/>
          <w:szCs w:val="32"/>
          <w:lang w:val="zh-CN" w:eastAsia="zh-CN"/>
        </w:rPr>
        <w:t>天然林作为昌吉州森林资源的主体，是境内群落最稳定、生态功能最完备、生物多样性最丰富的陆地生态系统，既是雪岭云杉、阜康阿魏等珍稀物种的种质资源库，也是维护准噶尔盆地边缘生态平衡、遏制土地沙化的核心生态基础设施，在全州生态安全和经济社会可持续发展中占据基础性、战略性地位。随着方案落地实施，林木生长态势持续向好、蓄积量稳步提升，通过生态系统物质循环与能量流动，在维护大气平衡、涵养水源、净化空气、保护生物多样性、保持水土等方面发挥不可替代的核心作用，持续改善昌吉州干旱半干旱地区生态环境。</w:t>
      </w:r>
    </w:p>
    <w:bookmarkEnd w:id="22"/>
    <w:bookmarkEnd w:id="23"/>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zh-CN" w:eastAsia="zh-CN"/>
        </w:rPr>
      </w:pPr>
      <w:r>
        <w:rPr>
          <w:rFonts w:hint="eastAsia" w:ascii="宋体" w:hAnsi="宋体" w:eastAsia="方正仿宋简体" w:cs="方正仿宋简体"/>
          <w:b/>
          <w:bCs/>
          <w:snapToGrid w:val="0"/>
          <w:color w:val="000000"/>
          <w:kern w:val="0"/>
          <w:sz w:val="32"/>
          <w:szCs w:val="32"/>
          <w:lang w:val="zh-CN" w:eastAsia="zh-CN"/>
        </w:rPr>
        <w:t>社会效益。</w:t>
      </w:r>
      <w:r>
        <w:rPr>
          <w:rFonts w:hint="eastAsia" w:ascii="宋体" w:hAnsi="宋体" w:eastAsia="方正仿宋简体" w:cs="方正仿宋简体"/>
          <w:snapToGrid w:val="0"/>
          <w:color w:val="000000"/>
          <w:kern w:val="0"/>
          <w:sz w:val="32"/>
          <w:szCs w:val="32"/>
          <w:lang w:val="zh-CN" w:eastAsia="zh-CN"/>
        </w:rPr>
        <w:t>天然林保护修复不仅筑牢生态屏障，更深度融入地方社会发展，聚焦民生改善、产业升级和科技进步，持续释放社会价值，助力构建人与自然和谐共生的社会发展格局，为全州社会稳定和高质量发展注入持久动力。</w:t>
      </w:r>
    </w:p>
    <w:p>
      <w:pPr>
        <w:pageBreakBefore w:val="0"/>
        <w:widowControl/>
        <w:kinsoku/>
        <w:wordWrap w:val="0"/>
        <w:overflowPunct w:val="0"/>
        <w:topLinePunct w:val="0"/>
        <w:autoSpaceDE w:val="0"/>
        <w:autoSpaceDN w:val="0"/>
        <w:bidi w:val="0"/>
        <w:adjustRightInd w:val="0"/>
        <w:snapToGrid w:val="0"/>
        <w:spacing w:line="560" w:lineRule="exact"/>
        <w:ind w:firstLine="643" w:firstLineChars="200"/>
        <w:textAlignment w:val="baseline"/>
        <w:rPr>
          <w:rFonts w:hint="eastAsia" w:ascii="宋体" w:hAnsi="宋体" w:eastAsia="方正仿宋简体" w:cs="方正仿宋简体"/>
          <w:snapToGrid w:val="0"/>
          <w:color w:val="000000"/>
          <w:kern w:val="0"/>
          <w:sz w:val="32"/>
          <w:szCs w:val="32"/>
          <w:lang w:val="zh-CN" w:eastAsia="zh-CN"/>
        </w:rPr>
      </w:pPr>
      <w:r>
        <w:rPr>
          <w:rFonts w:hint="eastAsia" w:ascii="宋体" w:hAnsi="宋体" w:eastAsia="方正仿宋简体" w:cs="方正仿宋简体"/>
          <w:b/>
          <w:bCs/>
          <w:snapToGrid w:val="0"/>
          <w:color w:val="000000"/>
          <w:kern w:val="0"/>
          <w:sz w:val="32"/>
          <w:szCs w:val="32"/>
          <w:lang w:val="zh-CN" w:eastAsia="zh-CN"/>
        </w:rPr>
        <w:t>经济效益。</w:t>
      </w:r>
      <w:r>
        <w:rPr>
          <w:rFonts w:hint="eastAsia" w:ascii="宋体" w:hAnsi="宋体" w:eastAsia="方正仿宋简体" w:cs="方正仿宋简体"/>
          <w:snapToGrid w:val="0"/>
          <w:color w:val="000000"/>
          <w:kern w:val="0"/>
          <w:sz w:val="32"/>
          <w:szCs w:val="32"/>
          <w:lang w:val="zh-CN" w:eastAsia="zh-CN"/>
        </w:rPr>
        <w:t>践行“绿水青山就是金山银山”理念，依托天然林保护修复推动生态保护与经济发展双向赋能，释放多元经济效益。生态效益为经济发展筑牢根基，森林资源提质增效可强化水源涵养、防风固沙等生态功能，降低风沙干旱灾害带来的经济损失，保障农牧业稳定发展；通过发展生态旅游、林下经济、沙产业等绿色产业，直接带动群众增收，稳定的天然林资源也为林业长远发展、种质资源开发创造条件。优良生态还能提升区域宜居水平与发展竞争力，吸引社会投资、助推产业升级，为全州经济社会可持续发展提供长期且不可替代的经济动能。</w:t>
      </w:r>
    </w:p>
    <w:p>
      <w:pPr>
        <w:pageBreakBefore w:val="0"/>
        <w:kinsoku/>
        <w:wordWrap w:val="0"/>
        <w:overflowPunct w:val="0"/>
        <w:topLinePunct w:val="0"/>
        <w:autoSpaceDE w:val="0"/>
        <w:autoSpaceDN w:val="0"/>
        <w:bidi w:val="0"/>
        <w:adjustRightInd w:val="0"/>
        <w:snapToGrid w:val="0"/>
        <w:spacing w:before="240" w:beforeLines="100" w:after="120" w:afterLines="50" w:line="560" w:lineRule="exact"/>
        <w:jc w:val="center"/>
        <w:textAlignment w:val="baseline"/>
        <w:outlineLvl w:val="0"/>
        <w:rPr>
          <w:rFonts w:hint="eastAsia" w:ascii="黑体" w:hAnsi="黑体" w:eastAsia="黑体" w:cs="黑体"/>
          <w:b/>
          <w:bCs/>
          <w:snapToGrid w:val="0"/>
          <w:color w:val="000000"/>
          <w:kern w:val="44"/>
          <w:sz w:val="32"/>
          <w:szCs w:val="32"/>
          <w14:ligatures w14:val="none"/>
        </w:rPr>
      </w:pPr>
      <w:r>
        <w:rPr>
          <w:rFonts w:hint="eastAsia" w:ascii="黑体" w:hAnsi="黑体" w:eastAsia="黑体" w:cs="黑体"/>
          <w:b/>
          <w:bCs/>
          <w:snapToGrid w:val="0"/>
          <w:color w:val="000000"/>
          <w:kern w:val="44"/>
          <w:sz w:val="32"/>
          <w:szCs w:val="32"/>
          <w14:ligatures w14:val="none"/>
        </w:rPr>
        <w:t>第</w:t>
      </w:r>
      <w:r>
        <w:rPr>
          <w:rFonts w:hint="eastAsia" w:ascii="黑体" w:hAnsi="黑体" w:eastAsia="黑体" w:cs="黑体"/>
          <w:b/>
          <w:bCs/>
          <w:snapToGrid w:val="0"/>
          <w:color w:val="000000"/>
          <w:kern w:val="44"/>
          <w:sz w:val="32"/>
          <w:szCs w:val="32"/>
          <w:lang w:val="en-US" w:eastAsia="zh-CN"/>
          <w14:ligatures w14:val="none"/>
        </w:rPr>
        <w:t>七</w:t>
      </w:r>
      <w:r>
        <w:rPr>
          <w:rFonts w:hint="eastAsia" w:ascii="黑体" w:hAnsi="黑体" w:eastAsia="黑体" w:cs="黑体"/>
          <w:b/>
          <w:bCs/>
          <w:snapToGrid w:val="0"/>
          <w:color w:val="000000"/>
          <w:kern w:val="44"/>
          <w:sz w:val="32"/>
          <w:szCs w:val="32"/>
          <w14:ligatures w14:val="none"/>
        </w:rPr>
        <w:t xml:space="preserve">章 </w:t>
      </w:r>
      <w:bookmarkStart w:id="24" w:name="_Toc3501"/>
      <w:r>
        <w:rPr>
          <w:rFonts w:hint="eastAsia" w:ascii="黑体" w:hAnsi="黑体" w:eastAsia="黑体" w:cs="黑体"/>
          <w:b/>
          <w:bCs/>
          <w:snapToGrid w:val="0"/>
          <w:color w:val="000000"/>
          <w:kern w:val="44"/>
          <w:sz w:val="32"/>
          <w:szCs w:val="32"/>
          <w14:ligatures w14:val="none"/>
        </w:rPr>
        <w:t>保障措施</w:t>
      </w:r>
      <w:bookmarkEnd w:id="24"/>
    </w:p>
    <w:p>
      <w:pPr>
        <w:pageBreakBefore w:val="0"/>
        <w:widowControl/>
        <w:kinsoku/>
        <w:wordWrap w:val="0"/>
        <w:overflowPunct w:val="0"/>
        <w:topLinePunct w:val="0"/>
        <w:autoSpaceDE w:val="0"/>
        <w:autoSpaceDN w:val="0"/>
        <w:bidi w:val="0"/>
        <w:adjustRightInd w:val="0"/>
        <w:snapToGrid w:val="0"/>
        <w:spacing w:line="560" w:lineRule="exact"/>
        <w:ind w:firstLine="640" w:firstLineChars="200"/>
        <w:textAlignment w:val="baseline"/>
        <w:rPr>
          <w:rFonts w:hint="eastAsia" w:ascii="宋体" w:hAnsi="宋体" w:eastAsia="方正仿宋简体" w:cs="方正仿宋简体"/>
          <w:snapToGrid w:val="0"/>
          <w:color w:val="000000"/>
          <w:kern w:val="0"/>
          <w:sz w:val="32"/>
          <w:szCs w:val="32"/>
          <w:lang w:val="en-US" w:eastAsia="zh-CN"/>
        </w:rPr>
      </w:pPr>
      <w:r>
        <w:rPr>
          <w:rFonts w:hint="eastAsia" w:ascii="宋体" w:hAnsi="宋体" w:eastAsia="方正仿宋简体" w:cs="方正仿宋简体"/>
          <w:snapToGrid w:val="0"/>
          <w:color w:val="000000"/>
          <w:kern w:val="0"/>
          <w:sz w:val="32"/>
          <w:szCs w:val="32"/>
          <w:lang w:val="en-US" w:eastAsia="zh-CN"/>
        </w:rPr>
        <w:t>昌吉州从组织领导、能力建设、监督管理、科技支撑、落地上图五个方面保障天然林保护修复规划落地：成立由州党政主要负责同志牵头的领导小组，依托州林草局设立办公室统筹推进，落实行政首长负责制与目标责任制，将任务纳入各级发展规划，强化调度督导与部门协同，积极对接项目储备与资金申报；持续完善管护站点及配套设施，常态化开展管护人员综合业务培训，搭建长期效益监测体系，多渠道开展生态科普宣传，夯实管护基础与社会基础；建立常态化监督评估机制，严控天然林改造行为，落实日常巡查与绩效考核，主动接受社会监督，规范信息报送、自查验收与档案管理，实现全过程闭环监管；强化科技支撑，联合科研单位开展技术培训，推广遥感、智能监测等数字化技术，围绕天然林演替、退化林修复、林分优化等难点开展科研攻关与长期定位监测，加快科技成果转化应用；推进保护修复任务落地上图数字化管理，将管护、修复任务精准落实至小班，建设上图管理模块，实现图数一致，推动管护由“数管林”向“图管林”转变，全面提升天然林管理精准化、规范化水平。</w:t>
      </w:r>
    </w:p>
    <w:sectPr>
      <w:footerReference r:id="rId7"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F94FE9A-CA86-4BC5-9C92-ED690CF492F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A1D0302D-1F80-4973-8E70-2F01FA47F3AF}"/>
  </w:font>
  <w:font w:name="仿宋">
    <w:panose1 w:val="02010609060101010101"/>
    <w:charset w:val="86"/>
    <w:family w:val="auto"/>
    <w:pitch w:val="default"/>
    <w:sig w:usb0="800002BF" w:usb1="38CF7CFA" w:usb2="00000016" w:usb3="00000000" w:csb0="00040001" w:csb1="00000000"/>
    <w:embedRegular r:id="rId3" w:fontKey="{DB90CEA3-9280-4EB2-8199-4A1FD8188331}"/>
  </w:font>
  <w:font w:name="方正小标宋简体">
    <w:panose1 w:val="02010601030101010101"/>
    <w:charset w:val="86"/>
    <w:family w:val="auto"/>
    <w:pitch w:val="default"/>
    <w:sig w:usb0="00000001" w:usb1="080E0000" w:usb2="00000000" w:usb3="00000000" w:csb0="00040000" w:csb1="00000000"/>
    <w:embedRegular r:id="rId4" w:fontKey="{7CF9A690-598A-424A-94E7-32EC87C043F5}"/>
  </w:font>
  <w:font w:name="方正仿宋简体">
    <w:panose1 w:val="02000000000000000000"/>
    <w:charset w:val="86"/>
    <w:family w:val="auto"/>
    <w:pitch w:val="default"/>
    <w:sig w:usb0="00000001" w:usb1="080E0000" w:usb2="00000000" w:usb3="00000000" w:csb0="00040000" w:csb1="00000000"/>
    <w:embedRegular r:id="rId5" w:fontKey="{08656803-8742-4A41-87E7-CE3570C579A4}"/>
  </w:font>
  <w:font w:name="方正楷体简体">
    <w:panose1 w:val="02000000000000000000"/>
    <w:charset w:val="86"/>
    <w:family w:val="auto"/>
    <w:pitch w:val="default"/>
    <w:sig w:usb0="00000000" w:usb1="00000000" w:usb2="00000000" w:usb3="00000000" w:csb0="00000000" w:csb1="00000000"/>
    <w:embedRegular r:id="rId6" w:fontKey="{ED22084E-AB28-4503-85F5-EE450066B6E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left="0" w:leftChars="0" w:firstLine="0" w:firstLineChars="0"/>
                            <w:jc w:val="left"/>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4"/>
                      <w:ind w:left="0" w:leftChars="0" w:firstLine="0" w:firstLineChars="0"/>
                      <w:jc w:val="left"/>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ind w:firstLine="0" w:firstLineChars="0"/>
      <w:jc w:val="center"/>
      <w:rPr>
        <w:rFonts w:hint="eastAsia" w:ascii="仿宋" w:hAnsi="仿宋" w:eastAsia="仿宋" w:cs="仿宋"/>
        <w:lang w:eastAsia="zh-CN"/>
      </w:rPr>
    </w:pPr>
    <w:r>
      <w:rPr>
        <w:rFonts w:hint="eastAsia" w:ascii="仿宋" w:hAnsi="仿宋" w:eastAsia="仿宋" w:cs="仿宋"/>
        <w:lang w:eastAsia="zh-CN"/>
      </w:rPr>
      <w:t>昌吉回族自治州天然林保护修复中长期实施方案（2021-2035年）</w:t>
    </w:r>
  </w:p>
  <w:p>
    <w:pPr>
      <w:pStyle w:val="5"/>
      <w:rPr>
        <w:rFonts w:hint="eastAsia" w:ascii="仿宋" w:hAnsi="仿宋" w:eastAsia="仿宋" w:cs="仿宋"/>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38A2993"/>
    <w:multiLevelType w:val="singleLevel"/>
    <w:tmpl w:val="B38A2993"/>
    <w:lvl w:ilvl="0" w:tentative="0">
      <w:start w:val="1"/>
      <w:numFmt w:val="chineseCounting"/>
      <w:suff w:val="nothing"/>
      <w:lvlText w:val="（%1）"/>
      <w:lvlJc w:val="left"/>
      <w:rPr>
        <w:rFonts w:hint="eastAsia"/>
      </w:rPr>
    </w:lvl>
  </w:abstractNum>
  <w:abstractNum w:abstractNumId="1">
    <w:nsid w:val="E9145350"/>
    <w:multiLevelType w:val="singleLevel"/>
    <w:tmpl w:val="E9145350"/>
    <w:lvl w:ilvl="0" w:tentative="0">
      <w:start w:val="1"/>
      <w:numFmt w:val="chineseCounting"/>
      <w:suff w:val="nothing"/>
      <w:lvlText w:val="（%1）"/>
      <w:lvlJc w:val="left"/>
      <w:rPr>
        <w:rFonts w:hint="eastAsia"/>
      </w:rPr>
    </w:lvl>
  </w:abstractNum>
  <w:abstractNum w:abstractNumId="2">
    <w:nsid w:val="0ACD3A9B"/>
    <w:multiLevelType w:val="singleLevel"/>
    <w:tmpl w:val="0ACD3A9B"/>
    <w:lvl w:ilvl="0" w:tentative="0">
      <w:start w:val="1"/>
      <w:numFmt w:val="chineseCounting"/>
      <w:suff w:val="nothing"/>
      <w:lvlText w:val="（%1）"/>
      <w:lvlJc w:val="left"/>
      <w:rPr>
        <w:rFonts w:hint="eastAsia"/>
      </w:rPr>
    </w:lvl>
  </w:abstractNum>
  <w:abstractNum w:abstractNumId="3">
    <w:nsid w:val="4A7A4989"/>
    <w:multiLevelType w:val="singleLevel"/>
    <w:tmpl w:val="4A7A4989"/>
    <w:lvl w:ilvl="0" w:tentative="0">
      <w:start w:val="1"/>
      <w:numFmt w:val="chineseCounting"/>
      <w:suff w:val="nothing"/>
      <w:lvlText w:val="（%1）"/>
      <w:lvlJc w:val="left"/>
      <w:rPr>
        <w:rFonts w:hint="eastAsia"/>
      </w:rPr>
    </w:lvl>
  </w:abstractNum>
  <w:abstractNum w:abstractNumId="4">
    <w:nsid w:val="5D264852"/>
    <w:multiLevelType w:val="singleLevel"/>
    <w:tmpl w:val="5D264852"/>
    <w:lvl w:ilvl="0" w:tentative="0">
      <w:start w:val="1"/>
      <w:numFmt w:val="chineseCounting"/>
      <w:suff w:val="nothing"/>
      <w:lvlText w:val="（%1）"/>
      <w:lvlJc w:val="left"/>
      <w:rPr>
        <w:rFonts w:hint="eastAsia"/>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TrueTypeFonts/>
  <w:saveSubsetFonts/>
  <w:bordersDoNotSurroundHeader w:val="1"/>
  <w:bordersDoNotSurroundFooter w:val="1"/>
  <w:documentProtection w:enforcement="0"/>
  <w:defaultTabStop w:val="420"/>
  <w:drawingGridHorizontalSpacing w:val="159"/>
  <w:drawingGridVerticalSpacing w:val="301"/>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B80D36"/>
    <w:rsid w:val="03B60854"/>
    <w:rsid w:val="085B1141"/>
    <w:rsid w:val="16560BB2"/>
    <w:rsid w:val="19377E5F"/>
    <w:rsid w:val="1F161D52"/>
    <w:rsid w:val="2E985568"/>
    <w:rsid w:val="307E4C18"/>
    <w:rsid w:val="3A352EFB"/>
    <w:rsid w:val="590A5C37"/>
    <w:rsid w:val="5BFE5E0F"/>
    <w:rsid w:val="69632177"/>
    <w:rsid w:val="6D5B2AAF"/>
    <w:rsid w:val="73CC2D27"/>
    <w:rsid w:val="76B80D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9">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qFormat/>
    <w:uiPriority w:val="0"/>
    <w:pPr>
      <w:wordWrap w:val="0"/>
      <w:overflowPunct w:val="0"/>
      <w:autoSpaceDE w:val="0"/>
      <w:autoSpaceDN w:val="0"/>
      <w:adjustRightInd w:val="0"/>
      <w:snapToGrid w:val="0"/>
      <w:spacing w:before="100" w:after="100" w:line="300" w:lineRule="auto"/>
      <w:ind w:firstLine="1044" w:firstLineChars="200"/>
      <w:textAlignment w:val="baseline"/>
    </w:pPr>
    <w:rPr>
      <w:rFonts w:ascii="Times New Roman" w:hAnsi="Times New Roman" w:eastAsia="宋体" w:cs="Times New Roman"/>
      <w:snapToGrid w:val="0"/>
      <w:color w:val="000000"/>
      <w:sz w:val="24"/>
      <w:szCs w:val="24"/>
    </w:rPr>
  </w:style>
  <w:style w:type="paragraph" w:styleId="3">
    <w:name w:val="toc 3"/>
    <w:basedOn w:val="1"/>
    <w:next w:val="1"/>
    <w:qFormat/>
    <w:uiPriority w:val="0"/>
    <w:pPr>
      <w:widowControl/>
      <w:wordWrap w:val="0"/>
      <w:overflowPunct w:val="0"/>
      <w:autoSpaceDE w:val="0"/>
      <w:autoSpaceDN w:val="0"/>
      <w:adjustRightInd w:val="0"/>
      <w:snapToGrid w:val="0"/>
      <w:spacing w:line="360" w:lineRule="auto"/>
      <w:ind w:left="840" w:leftChars="400" w:firstLine="956" w:firstLineChars="200"/>
      <w:textAlignment w:val="baseline"/>
    </w:pPr>
    <w:rPr>
      <w:rFonts w:ascii="Times New Roman" w:hAnsi="Times New Roman" w:eastAsia="仿宋" w:cs="Times New Roman"/>
      <w:snapToGrid w:val="0"/>
      <w:color w:val="000000"/>
      <w:kern w:val="0"/>
      <w:sz w:val="28"/>
      <w:szCs w:val="28"/>
      <w:lang w:eastAsia="en-US"/>
    </w:rPr>
  </w:style>
  <w:style w:type="paragraph" w:styleId="4">
    <w:name w:val="footer"/>
    <w:basedOn w:val="1"/>
    <w:qFormat/>
    <w:uiPriority w:val="99"/>
    <w:pPr>
      <w:widowControl/>
      <w:tabs>
        <w:tab w:val="center" w:pos="4153"/>
        <w:tab w:val="right" w:pos="8306"/>
      </w:tabs>
      <w:wordWrap w:val="0"/>
      <w:overflowPunct w:val="0"/>
      <w:autoSpaceDE w:val="0"/>
      <w:autoSpaceDN w:val="0"/>
      <w:adjustRightInd w:val="0"/>
      <w:snapToGrid w:val="0"/>
      <w:spacing w:line="360" w:lineRule="auto"/>
      <w:ind w:firstLine="956" w:firstLineChars="200"/>
      <w:textAlignment w:val="baseline"/>
    </w:pPr>
    <w:rPr>
      <w:rFonts w:ascii="Times New Roman" w:hAnsi="Times New Roman" w:eastAsia="仿宋" w:cs="Times New Roman"/>
      <w:snapToGrid w:val="0"/>
      <w:color w:val="000000"/>
      <w:kern w:val="0"/>
      <w:sz w:val="18"/>
      <w:szCs w:val="28"/>
      <w:lang w:eastAsia="en-US"/>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pPr>
      <w:widowControl/>
      <w:wordWrap w:val="0"/>
      <w:overflowPunct w:val="0"/>
      <w:autoSpaceDE w:val="0"/>
      <w:autoSpaceDN w:val="0"/>
      <w:adjustRightInd w:val="0"/>
      <w:snapToGrid w:val="0"/>
      <w:spacing w:line="360" w:lineRule="auto"/>
      <w:ind w:firstLine="956" w:firstLineChars="200"/>
      <w:textAlignment w:val="baseline"/>
    </w:pPr>
    <w:rPr>
      <w:rFonts w:ascii="Times New Roman" w:hAnsi="Times New Roman" w:eastAsia="仿宋" w:cs="Times New Roman"/>
      <w:snapToGrid w:val="0"/>
      <w:color w:val="000000"/>
      <w:kern w:val="0"/>
      <w:sz w:val="28"/>
      <w:szCs w:val="28"/>
      <w:lang w:eastAsia="en-U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9839</Words>
  <Characters>10475</Characters>
  <Lines>0</Lines>
  <Paragraphs>0</Paragraphs>
  <TotalTime>47</TotalTime>
  <ScaleCrop>false</ScaleCrop>
  <LinksUpToDate>false</LinksUpToDate>
  <CharactersWithSpaces>10592</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2026-10-13T09:48:00Z</dcterms:created>
  <dc:creator>工位风水大师</dc:creator>
  <cp:lastModifiedBy>Administrator</cp:lastModifiedBy>
  <dcterms:modified xsi:type="dcterms:W3CDTF">2026-10-27T10:55:39Z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0B9C4FDF5ED04964B2FF12D517D064DF_13</vt:lpwstr>
  </property>
  <property fmtid="{D5CDD505-2E9C-101B-9397-08002B2CF9AE}" pid="4" name="KSOTemplateDocerSaveRecord">
    <vt:lpwstr>eyJoZGlkIjoiN2Q5NDNlZGZjZmVjYTFhN2UzNjg4NzdmY2MwYTAzODEiLCJ1c2VySWQiOiI0NTE1NDI2NDMifQ==</vt:lpwstr>
  </property>
</Properties>
</file>