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9321F5">
      <w:pPr>
        <w:keepNext w:val="0"/>
        <w:keepLines w:val="0"/>
        <w:pageBreakBefore w:val="0"/>
        <w:kinsoku/>
        <w:wordWrap/>
        <w:overflowPunct/>
        <w:autoSpaceDE/>
        <w:bidi w:val="0"/>
        <w:adjustRightInd/>
        <w:spacing w:after="0" w:line="560" w:lineRule="exact"/>
        <w:jc w:val="center"/>
      </w:pPr>
      <w:bookmarkStart w:id="0" w:name="_GoBack"/>
      <w:bookmarkEnd w:id="0"/>
      <w:r>
        <w:rPr>
          <w:rFonts w:hint="eastAsia" w:ascii="Times New Roman" w:hAnsi="Times New Roman" w:eastAsia="方正小标宋简体"/>
          <w:b w:val="0"/>
          <w:sz w:val="44"/>
          <w:lang w:val="en-US" w:eastAsia="zh-CN"/>
        </w:rPr>
        <w:t>关于</w:t>
      </w:r>
      <w:r>
        <w:rPr>
          <w:rFonts w:ascii="Times New Roman" w:hAnsi="Times New Roman" w:eastAsia="方正小标宋简体"/>
          <w:b w:val="0"/>
          <w:sz w:val="44"/>
        </w:rPr>
        <w:t>《昌吉回族自治州重污染天气应对预案</w:t>
      </w:r>
    </w:p>
    <w:p w14:paraId="49C0FBAC">
      <w:pPr>
        <w:keepNext w:val="0"/>
        <w:keepLines w:val="0"/>
        <w:pageBreakBefore w:val="0"/>
        <w:kinsoku/>
        <w:wordWrap/>
        <w:overflowPunct/>
        <w:autoSpaceDE/>
        <w:bidi w:val="0"/>
        <w:adjustRightInd/>
        <w:spacing w:after="0" w:line="560" w:lineRule="exact"/>
        <w:jc w:val="center"/>
      </w:pPr>
      <w:r>
        <w:rPr>
          <w:rFonts w:ascii="Times New Roman" w:hAnsi="Times New Roman" w:eastAsia="方正小标宋简体"/>
          <w:b w:val="0"/>
          <w:sz w:val="44"/>
        </w:rPr>
        <w:t>（2026年修订）》起草说明</w:t>
      </w:r>
    </w:p>
    <w:p w14:paraId="1CD385B6">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ascii="Times New Roman" w:hAnsi="Times New Roman" w:eastAsia="仿宋_GB2312"/>
          <w:b w:val="0"/>
          <w:sz w:val="32"/>
        </w:rPr>
      </w:pPr>
    </w:p>
    <w:p w14:paraId="722C0CEA">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pPr>
      <w:r>
        <w:rPr>
          <w:rFonts w:ascii="Times New Roman" w:hAnsi="Times New Roman" w:eastAsia="仿宋_GB2312"/>
          <w:b w:val="0"/>
          <w:sz w:val="32"/>
        </w:rPr>
        <w:t>根据工作安排，现将《昌吉回族自治州重污染天气应对预案</w:t>
      </w:r>
      <w:r>
        <w:rPr>
          <w:rFonts w:ascii="Times New Roman" w:hAnsi="Times New Roman" w:eastAsia="仿宋_GB2312"/>
          <w:b w:val="0"/>
          <w:spacing w:val="-6"/>
          <w:sz w:val="32"/>
        </w:rPr>
        <w:t>（2026年修订）》（以下简称《应对预案》）起草情况报告如下：</w:t>
      </w:r>
    </w:p>
    <w:p w14:paraId="56CC00D0">
      <w:pPr>
        <w:keepNext w:val="0"/>
        <w:keepLines w:val="0"/>
        <w:pageBreakBefore w:val="0"/>
        <w:kinsoku/>
        <w:wordWrap/>
        <w:overflowPunct/>
        <w:autoSpaceDE/>
        <w:bidi w:val="0"/>
        <w:adjustRightInd/>
        <w:spacing w:after="0" w:line="560" w:lineRule="exact"/>
        <w:ind w:firstLine="640"/>
      </w:pPr>
      <w:r>
        <w:rPr>
          <w:rFonts w:ascii="Times New Roman" w:hAnsi="Times New Roman" w:eastAsia="黑体"/>
          <w:b w:val="0"/>
          <w:sz w:val="32"/>
        </w:rPr>
        <w:t>一、编制背景</w:t>
      </w:r>
    </w:p>
    <w:p w14:paraId="103C3303">
      <w:pPr>
        <w:keepNext w:val="0"/>
        <w:keepLines w:val="0"/>
        <w:pageBreakBefore w:val="0"/>
        <w:kinsoku/>
        <w:wordWrap/>
        <w:overflowPunct/>
        <w:autoSpaceDE/>
        <w:bidi w:val="0"/>
        <w:adjustRightInd/>
        <w:spacing w:after="0" w:line="560" w:lineRule="exact"/>
        <w:ind w:firstLine="640"/>
      </w:pPr>
      <w:r>
        <w:rPr>
          <w:rFonts w:ascii="Times New Roman" w:hAnsi="Times New Roman" w:eastAsia="仿宋_GB2312"/>
          <w:b w:val="0"/>
          <w:sz w:val="32"/>
        </w:rPr>
        <w:t>《昌吉回族自治州重污染天气应急预案（2023年修订）》（昌州政办发〔2023〕10号）自2023年4月印发实施以来，在健全全州重污染天气应急工作机制、有效应对重污染天气、保障公众健康等方面发挥了重要作用。随着上位法律法规、标准规范和自治区层面预案发生重大调整：一是《中华人民共和国生态环境法典》颁布施行，原《中华人民共和国大气污染防治法》相关制度整合入法典，对重污染天气监测预警、应对预案、绩效分级等提出新的要求；二是《环境空气质量标准》（GB3095-2026）、《环境空气质量指数（AQI）技术规定》（HJ633-2026）发布实施，重污染天气判定标准和技术规范同步更新；三是生态环境部先后印发《关于加强重污染天气应对夯实应急减排措施的指导意见》《关于推进重污染天气应急预案修订工作的指导意见》《关于进一步优化重污染天气应对机制的指导意见》以及生态环境部等3个部门《关于加强重点行业大气环境绩效分级管理的指导意见》等文件，对预警发布时限、绩效分级管理、应急减排清单编制等提出新的要求；四是自治区</w:t>
      </w:r>
      <w:r>
        <w:rPr>
          <w:rFonts w:hint="eastAsia" w:ascii="Times New Roman" w:hAnsi="Times New Roman" w:eastAsia="仿宋_GB2312"/>
          <w:b w:val="0"/>
          <w:sz w:val="32"/>
          <w:lang w:val="en-US" w:eastAsia="zh-CN"/>
        </w:rPr>
        <w:t>修订</w:t>
      </w:r>
      <w:r>
        <w:rPr>
          <w:rFonts w:ascii="Times New Roman" w:hAnsi="Times New Roman" w:eastAsia="仿宋_GB2312"/>
          <w:b w:val="0"/>
          <w:sz w:val="32"/>
        </w:rPr>
        <w:t>《新疆维吾尔自治区重污染天气应对预案（2026年修订版）》，要求各地及时修订本级预案并做好衔接。为深入贯彻落实《中共中央 国务院关于全面推进美丽中国建设的意见》《中共中央 国务院关于深入打好污染防治攻坚战的意见》，进一步规范自治州重污染天气应对响应工作，健全应对工作机制，强化区域应对联动，科学有效应对重污染天气，最大限度降低大气污染程度，降低重污染天气造成的危害，保护公众身体健康，对2023年版预案进行修订，形成本《应对预案》。</w:t>
      </w:r>
    </w:p>
    <w:p w14:paraId="41A6F889">
      <w:pPr>
        <w:keepNext w:val="0"/>
        <w:keepLines w:val="0"/>
        <w:pageBreakBefore w:val="0"/>
        <w:kinsoku/>
        <w:wordWrap/>
        <w:overflowPunct/>
        <w:autoSpaceDE/>
        <w:bidi w:val="0"/>
        <w:adjustRightInd/>
        <w:spacing w:after="0" w:line="560" w:lineRule="exact"/>
        <w:ind w:firstLine="640"/>
      </w:pPr>
      <w:r>
        <w:rPr>
          <w:rFonts w:ascii="Times New Roman" w:hAnsi="Times New Roman" w:eastAsia="黑体"/>
          <w:b w:val="0"/>
          <w:sz w:val="32"/>
        </w:rPr>
        <w:t>二、起草过程</w:t>
      </w:r>
    </w:p>
    <w:p w14:paraId="2CD01765">
      <w:pPr>
        <w:keepNext w:val="0"/>
        <w:keepLines w:val="0"/>
        <w:pageBreakBefore w:val="0"/>
        <w:kinsoku/>
        <w:wordWrap/>
        <w:overflowPunct/>
        <w:autoSpaceDE/>
        <w:bidi w:val="0"/>
        <w:adjustRightInd/>
        <w:spacing w:after="0" w:line="560" w:lineRule="exact"/>
        <w:ind w:firstLine="640"/>
      </w:pPr>
      <w:r>
        <w:rPr>
          <w:rFonts w:ascii="Times New Roman" w:hAnsi="Times New Roman" w:eastAsia="仿宋_GB2312"/>
          <w:b w:val="0"/>
          <w:sz w:val="32"/>
        </w:rPr>
        <w:t>2026年</w:t>
      </w:r>
      <w:r>
        <w:rPr>
          <w:rFonts w:hint="eastAsia" w:ascii="Times New Roman" w:hAnsi="Times New Roman" w:eastAsia="仿宋_GB2312"/>
          <w:b w:val="0"/>
          <w:sz w:val="32"/>
          <w:lang w:val="en-US" w:eastAsia="zh-CN"/>
        </w:rPr>
        <w:t>8</w:t>
      </w:r>
      <w:r>
        <w:rPr>
          <w:rFonts w:ascii="Times New Roman" w:hAnsi="Times New Roman" w:eastAsia="仿宋_GB2312"/>
          <w:b w:val="0"/>
          <w:sz w:val="32"/>
        </w:rPr>
        <w:t>月，州生态环境局启动《应对预案》修订工作，对照《中华人民共和国生态环境法典》《突发事件应急预案管理办法》（国办发〔2024〕5号）和《新疆维吾尔自治区重污染天气应对预案（2026年修订版）</w:t>
      </w:r>
      <w:r>
        <w:rPr>
          <w:rFonts w:hint="eastAsia" w:ascii="Times New Roman" w:hAnsi="Times New Roman" w:eastAsia="仿宋_GB2312"/>
          <w:b w:val="0"/>
          <w:sz w:val="32"/>
          <w:lang w:eastAsia="zh-CN"/>
        </w:rPr>
        <w:t>（送审稿）》</w:t>
      </w:r>
      <w:r>
        <w:rPr>
          <w:rFonts w:ascii="Times New Roman" w:hAnsi="Times New Roman" w:eastAsia="仿宋_GB2312"/>
          <w:b w:val="0"/>
          <w:sz w:val="32"/>
        </w:rPr>
        <w:t>，结合我州实际逐条梳理修改，形成《应对预案（征求意见稿）》。</w:t>
      </w:r>
      <w:r>
        <w:rPr>
          <w:rFonts w:hint="eastAsia" w:ascii="Times New Roman" w:hAnsi="Times New Roman" w:eastAsia="仿宋_GB2312"/>
          <w:b w:val="0"/>
          <w:sz w:val="32"/>
          <w:lang w:val="en-US" w:eastAsia="zh-CN"/>
        </w:rPr>
        <w:t>8</w:t>
      </w:r>
      <w:r>
        <w:rPr>
          <w:rFonts w:ascii="Times New Roman" w:hAnsi="Times New Roman" w:eastAsia="仿宋_GB2312"/>
          <w:b w:val="0"/>
          <w:sz w:val="32"/>
        </w:rPr>
        <w:t>月</w:t>
      </w:r>
      <w:r>
        <w:rPr>
          <w:rFonts w:hint="eastAsia" w:ascii="Times New Roman" w:hAnsi="Times New Roman" w:eastAsia="仿宋_GB2312"/>
          <w:b w:val="0"/>
          <w:sz w:val="32"/>
          <w:lang w:val="en-US" w:eastAsia="zh-CN"/>
        </w:rPr>
        <w:t>21</w:t>
      </w:r>
      <w:r>
        <w:rPr>
          <w:rFonts w:ascii="Times New Roman" w:hAnsi="Times New Roman" w:eastAsia="仿宋_GB2312"/>
          <w:b w:val="0"/>
          <w:sz w:val="32"/>
        </w:rPr>
        <w:t>日，书面征求各县市（园区）、州直各相关部门意见建议，共收到反馈意见</w:t>
      </w:r>
      <w:r>
        <w:rPr>
          <w:rFonts w:hint="eastAsia" w:ascii="Times New Roman" w:hAnsi="Times New Roman" w:eastAsia="仿宋_GB2312"/>
          <w:b w:val="0"/>
          <w:sz w:val="32"/>
          <w:lang w:val="en-US" w:eastAsia="zh-CN"/>
        </w:rPr>
        <w:t>7</w:t>
      </w:r>
      <w:r>
        <w:rPr>
          <w:rFonts w:ascii="Times New Roman" w:hAnsi="Times New Roman" w:eastAsia="仿宋_GB2312"/>
          <w:b w:val="0"/>
          <w:sz w:val="32"/>
        </w:rPr>
        <w:t>条，采纳</w:t>
      </w:r>
      <w:r>
        <w:rPr>
          <w:rFonts w:hint="eastAsia" w:ascii="Times New Roman" w:hAnsi="Times New Roman" w:eastAsia="仿宋_GB2312"/>
          <w:b w:val="0"/>
          <w:sz w:val="32"/>
          <w:lang w:eastAsia="zh-CN"/>
        </w:rPr>
        <w:t>3</w:t>
      </w:r>
      <w:r>
        <w:rPr>
          <w:rFonts w:ascii="Times New Roman" w:hAnsi="Times New Roman" w:eastAsia="仿宋_GB2312"/>
          <w:b w:val="0"/>
          <w:sz w:val="32"/>
        </w:rPr>
        <w:t>条，未采纳</w:t>
      </w:r>
      <w:r>
        <w:rPr>
          <w:rFonts w:hint="eastAsia" w:ascii="Times New Roman" w:hAnsi="Times New Roman" w:eastAsia="仿宋_GB2312"/>
          <w:b w:val="0"/>
          <w:sz w:val="32"/>
          <w:lang w:eastAsia="zh-CN"/>
        </w:rPr>
        <w:t>4</w:t>
      </w:r>
      <w:r>
        <w:rPr>
          <w:rFonts w:ascii="Times New Roman" w:hAnsi="Times New Roman" w:eastAsia="仿宋_GB2312"/>
          <w:b w:val="0"/>
          <w:sz w:val="32"/>
        </w:rPr>
        <w:t>条</w:t>
      </w:r>
      <w:r>
        <w:rPr>
          <w:rFonts w:hint="eastAsia" w:ascii="Times New Roman" w:hAnsi="Times New Roman" w:eastAsia="仿宋_GB2312"/>
          <w:b w:val="0"/>
          <w:sz w:val="32"/>
          <w:lang w:eastAsia="zh-CN"/>
        </w:rPr>
        <w:t>，</w:t>
      </w:r>
      <w:r>
        <w:rPr>
          <w:rFonts w:hint="default" w:ascii="Times New Roman" w:hAnsi="Times New Roman" w:eastAsia="仿宋_GB2312" w:cs="Times New Roman"/>
          <w:color w:val="auto"/>
          <w:sz w:val="32"/>
          <w:szCs w:val="32"/>
          <w:highlight w:val="none"/>
          <w:u w:val="none"/>
          <w:lang w:val="en-US" w:eastAsia="zh-CN"/>
        </w:rPr>
        <w:t>不采纳原因主要涉及职责分工以及自治区方案中的任务措施，根据职责清单和自治区相关要求，不予采纳</w:t>
      </w:r>
      <w:r>
        <w:rPr>
          <w:rFonts w:hint="eastAsia" w:ascii="Times New Roman" w:hAnsi="Times New Roman" w:eastAsia="仿宋_GB2312" w:cs="Times New Roman"/>
          <w:color w:val="auto"/>
          <w:sz w:val="32"/>
          <w:szCs w:val="32"/>
          <w:highlight w:val="none"/>
          <w:u w:val="none"/>
          <w:lang w:val="en-US" w:eastAsia="zh-CN"/>
        </w:rPr>
        <w:t>。</w:t>
      </w:r>
    </w:p>
    <w:p w14:paraId="7686C290">
      <w:pPr>
        <w:keepNext w:val="0"/>
        <w:keepLines w:val="0"/>
        <w:pageBreakBefore w:val="0"/>
        <w:kinsoku/>
        <w:wordWrap/>
        <w:overflowPunct/>
        <w:autoSpaceDE/>
        <w:bidi w:val="0"/>
        <w:adjustRightInd/>
        <w:spacing w:after="0" w:line="560" w:lineRule="exact"/>
        <w:ind w:firstLine="640"/>
      </w:pPr>
      <w:r>
        <w:rPr>
          <w:rFonts w:ascii="Times New Roman" w:hAnsi="Times New Roman" w:eastAsia="黑体"/>
          <w:b w:val="0"/>
          <w:sz w:val="32"/>
        </w:rPr>
        <w:t>三、主要内容</w:t>
      </w:r>
    </w:p>
    <w:p w14:paraId="06F71768">
      <w:pPr>
        <w:keepNext w:val="0"/>
        <w:keepLines w:val="0"/>
        <w:pageBreakBefore w:val="0"/>
        <w:kinsoku/>
        <w:wordWrap/>
        <w:overflowPunct/>
        <w:autoSpaceDE/>
        <w:bidi w:val="0"/>
        <w:adjustRightInd/>
        <w:spacing w:after="0" w:line="560" w:lineRule="exact"/>
        <w:ind w:firstLine="640"/>
      </w:pPr>
      <w:r>
        <w:rPr>
          <w:rFonts w:ascii="Times New Roman" w:hAnsi="Times New Roman" w:eastAsia="仿宋_GB2312"/>
          <w:b w:val="0"/>
          <w:sz w:val="32"/>
        </w:rPr>
        <w:t>《应对预案》共七章、三个附件，主要内容如下：</w:t>
      </w:r>
    </w:p>
    <w:p w14:paraId="7CB84D01">
      <w:pPr>
        <w:keepNext w:val="0"/>
        <w:keepLines w:val="0"/>
        <w:pageBreakBefore w:val="0"/>
        <w:kinsoku/>
        <w:wordWrap/>
        <w:overflowPunct/>
        <w:autoSpaceDE/>
        <w:bidi w:val="0"/>
        <w:adjustRightInd/>
        <w:spacing w:after="0" w:line="560" w:lineRule="exact"/>
        <w:ind w:firstLine="640"/>
      </w:pPr>
      <w:r>
        <w:rPr>
          <w:rFonts w:ascii="Times New Roman" w:hAnsi="Times New Roman" w:eastAsia="仿宋_GB2312"/>
          <w:b w:val="0"/>
          <w:sz w:val="32"/>
        </w:rPr>
        <w:t>（一）总则。明确编制目的、编制依据、适用范围、预案体系和工作原则。适用范围明确为全州行政区域内发生的重污染天气预警、控制和应对响应工作，因臭氧（O3）、沙尘污染造成的重污染天气不适用本预案；新增预案体系章节，明确自治州应对预案、部门专项应对预案、各县市应对预案、企事业单位应对预案和重大活动期间专项应对预案的层级关系。</w:t>
      </w:r>
    </w:p>
    <w:p w14:paraId="6AE43014">
      <w:pPr>
        <w:keepNext w:val="0"/>
        <w:keepLines w:val="0"/>
        <w:pageBreakBefore w:val="0"/>
        <w:kinsoku/>
        <w:wordWrap/>
        <w:overflowPunct/>
        <w:autoSpaceDE/>
        <w:bidi w:val="0"/>
        <w:adjustRightInd/>
        <w:spacing w:after="0" w:line="560" w:lineRule="exact"/>
        <w:ind w:firstLine="640"/>
      </w:pPr>
      <w:r>
        <w:rPr>
          <w:rFonts w:ascii="Times New Roman" w:hAnsi="Times New Roman" w:eastAsia="仿宋_GB2312"/>
          <w:b w:val="0"/>
          <w:sz w:val="32"/>
        </w:rPr>
        <w:t>（二）组织机构及职责。明确自治州人民政府在开展重污染天气应对工作时成立州重污染天气应对临时指挥部，应对工作结束后临时指挥部自行撤销；指挥部办公室设在州生态环境局，由州生态环境局大气科承担具体事务；成员单位增加昌吉州通信管理办公室；指挥部、办公室、成员单位及相关单位职责分工详见附件1。</w:t>
      </w:r>
    </w:p>
    <w:p w14:paraId="755FDCF1">
      <w:pPr>
        <w:keepNext w:val="0"/>
        <w:keepLines w:val="0"/>
        <w:pageBreakBefore w:val="0"/>
        <w:kinsoku/>
        <w:wordWrap/>
        <w:overflowPunct/>
        <w:autoSpaceDE/>
        <w:bidi w:val="0"/>
        <w:adjustRightInd/>
        <w:spacing w:after="0" w:line="560" w:lineRule="exact"/>
        <w:ind w:firstLine="640"/>
      </w:pPr>
      <w:r>
        <w:rPr>
          <w:rFonts w:ascii="Times New Roman" w:hAnsi="Times New Roman" w:eastAsia="仿宋_GB2312"/>
          <w:b w:val="0"/>
          <w:sz w:val="32"/>
        </w:rPr>
        <w:t>（三）监测、预报、会商与预警。新增预报能力要求，州本级、天山北坡城市群昌吉州四县市具备7—10天预报能力；会商频次由</w:t>
      </w:r>
      <w:r>
        <w:rPr>
          <w:rFonts w:hint="eastAsia" w:ascii="Times New Roman" w:hAnsi="Times New Roman" w:eastAsia="仿宋_GB2312"/>
          <w:b w:val="0"/>
          <w:sz w:val="32"/>
          <w:lang w:eastAsia="zh-CN"/>
        </w:rPr>
        <w:t>“</w:t>
      </w:r>
      <w:r>
        <w:rPr>
          <w:rFonts w:ascii="Times New Roman" w:hAnsi="Times New Roman" w:eastAsia="仿宋_GB2312"/>
          <w:b w:val="0"/>
          <w:sz w:val="32"/>
        </w:rPr>
        <w:t>非采暖期每月、采暖期每周</w:t>
      </w:r>
      <w:r>
        <w:rPr>
          <w:rFonts w:hint="eastAsia" w:ascii="Times New Roman" w:hAnsi="Times New Roman" w:eastAsia="仿宋_GB2312"/>
          <w:b w:val="0"/>
          <w:sz w:val="32"/>
          <w:lang w:eastAsia="zh-CN"/>
        </w:rPr>
        <w:t>”</w:t>
      </w:r>
      <w:r>
        <w:rPr>
          <w:rFonts w:ascii="Times New Roman" w:hAnsi="Times New Roman" w:eastAsia="仿宋_GB2312"/>
          <w:b w:val="0"/>
          <w:sz w:val="32"/>
        </w:rPr>
        <w:t>调整为</w:t>
      </w:r>
      <w:r>
        <w:rPr>
          <w:rFonts w:hint="eastAsia" w:ascii="Times New Roman" w:hAnsi="Times New Roman" w:eastAsia="仿宋_GB2312"/>
          <w:b w:val="0"/>
          <w:sz w:val="32"/>
          <w:lang w:eastAsia="zh-CN"/>
        </w:rPr>
        <w:t>“</w:t>
      </w:r>
      <w:r>
        <w:rPr>
          <w:rFonts w:ascii="Times New Roman" w:hAnsi="Times New Roman" w:eastAsia="仿宋_GB2312"/>
          <w:b w:val="0"/>
          <w:sz w:val="32"/>
        </w:rPr>
        <w:t>非采暖期每周会商、采暖期适时加密会商频次</w:t>
      </w:r>
      <w:r>
        <w:rPr>
          <w:rFonts w:hint="eastAsia" w:ascii="Times New Roman" w:hAnsi="Times New Roman" w:eastAsia="仿宋_GB2312"/>
          <w:b w:val="0"/>
          <w:sz w:val="32"/>
          <w:lang w:eastAsia="zh-CN"/>
        </w:rPr>
        <w:t>”</w:t>
      </w:r>
      <w:r>
        <w:rPr>
          <w:rFonts w:ascii="Times New Roman" w:hAnsi="Times New Roman" w:eastAsia="仿宋_GB2312"/>
          <w:b w:val="0"/>
          <w:sz w:val="32"/>
        </w:rPr>
        <w:t>；保留黄色、橙色、红色三级预警分级标准；将预警信息发布时限由</w:t>
      </w:r>
      <w:r>
        <w:rPr>
          <w:rFonts w:hint="eastAsia" w:ascii="Times New Roman" w:hAnsi="Times New Roman" w:eastAsia="仿宋_GB2312"/>
          <w:b w:val="0"/>
          <w:sz w:val="32"/>
          <w:lang w:eastAsia="zh-CN"/>
        </w:rPr>
        <w:t>“</w:t>
      </w:r>
      <w:r>
        <w:rPr>
          <w:rFonts w:ascii="Times New Roman" w:hAnsi="Times New Roman" w:eastAsia="仿宋_GB2312"/>
          <w:b w:val="0"/>
          <w:sz w:val="32"/>
        </w:rPr>
        <w:t>原则上至少提前24小时</w:t>
      </w:r>
      <w:r>
        <w:rPr>
          <w:rFonts w:hint="eastAsia" w:ascii="Times New Roman" w:hAnsi="Times New Roman" w:eastAsia="仿宋_GB2312"/>
          <w:b w:val="0"/>
          <w:sz w:val="32"/>
          <w:lang w:eastAsia="zh-CN"/>
        </w:rPr>
        <w:t>”</w:t>
      </w:r>
      <w:r>
        <w:rPr>
          <w:rFonts w:ascii="Times New Roman" w:hAnsi="Times New Roman" w:eastAsia="仿宋_GB2312"/>
          <w:b w:val="0"/>
          <w:sz w:val="32"/>
        </w:rPr>
        <w:t>调整为</w:t>
      </w:r>
      <w:r>
        <w:rPr>
          <w:rFonts w:hint="eastAsia" w:ascii="Times New Roman" w:hAnsi="Times New Roman" w:eastAsia="仿宋_GB2312"/>
          <w:b w:val="0"/>
          <w:sz w:val="32"/>
          <w:lang w:eastAsia="zh-CN"/>
        </w:rPr>
        <w:t>“</w:t>
      </w:r>
      <w:r>
        <w:rPr>
          <w:rFonts w:ascii="Times New Roman" w:hAnsi="Times New Roman" w:eastAsia="仿宋_GB2312"/>
          <w:b w:val="0"/>
          <w:sz w:val="32"/>
        </w:rPr>
        <w:t>原则上至少提前48小时，特殊情况下至少提前12小时</w:t>
      </w:r>
      <w:r>
        <w:rPr>
          <w:rFonts w:hint="eastAsia" w:ascii="Times New Roman" w:hAnsi="Times New Roman" w:eastAsia="仿宋_GB2312"/>
          <w:b w:val="0"/>
          <w:sz w:val="32"/>
          <w:lang w:eastAsia="zh-CN"/>
        </w:rPr>
        <w:t>”</w:t>
      </w:r>
      <w:r>
        <w:rPr>
          <w:rFonts w:ascii="Times New Roman" w:hAnsi="Times New Roman" w:eastAsia="仿宋_GB2312"/>
          <w:b w:val="0"/>
          <w:sz w:val="32"/>
        </w:rPr>
        <w:t>；明确预警调整、解除程序和预警信息公开要求。</w:t>
      </w:r>
    </w:p>
    <w:p w14:paraId="48B7D714">
      <w:pPr>
        <w:keepNext w:val="0"/>
        <w:keepLines w:val="0"/>
        <w:pageBreakBefore w:val="0"/>
        <w:kinsoku/>
        <w:wordWrap/>
        <w:overflowPunct/>
        <w:autoSpaceDE/>
        <w:bidi w:val="0"/>
        <w:adjustRightInd/>
        <w:spacing w:after="0" w:line="560" w:lineRule="exact"/>
        <w:ind w:firstLine="640"/>
      </w:pPr>
      <w:r>
        <w:rPr>
          <w:rFonts w:ascii="Times New Roman" w:hAnsi="Times New Roman" w:eastAsia="仿宋_GB2312"/>
          <w:b w:val="0"/>
          <w:sz w:val="32"/>
        </w:rPr>
        <w:t>（四）应对响应。明确绩效分级、应对响应分级、启动程序和应对响应措施，应对响应措施包括健康防护措施、倡议性减排措施和强制性减排措施；按固定源、移动源、扬尘源分类管控，明确Ⅲ级、Ⅱ级、Ⅰ级应对响应下二氧化硫、氮氧化物、颗粒物和挥发性有机物减排比例分别达到全社会总排放量的10%、20%、30%以上；新增区域预防性减排措施、采暖季错峰生产要求和应对响应终止条款。</w:t>
      </w:r>
    </w:p>
    <w:p w14:paraId="6A8ECF32">
      <w:pPr>
        <w:keepNext w:val="0"/>
        <w:keepLines w:val="0"/>
        <w:pageBreakBefore w:val="0"/>
        <w:kinsoku/>
        <w:wordWrap/>
        <w:overflowPunct/>
        <w:autoSpaceDE/>
        <w:bidi w:val="0"/>
        <w:adjustRightInd/>
        <w:spacing w:after="0" w:line="560" w:lineRule="exact"/>
        <w:ind w:firstLine="640"/>
      </w:pPr>
      <w:r>
        <w:rPr>
          <w:rFonts w:ascii="Times New Roman" w:hAnsi="Times New Roman" w:eastAsia="仿宋_GB2312"/>
          <w:b w:val="0"/>
          <w:sz w:val="32"/>
        </w:rPr>
        <w:t>（五）应对保障。明确人力资源、组织、监测与预警能力、经费、物资、制度、预报能力、信息联络和安全等九个方面保障措施，其中安全保障为新增章节。</w:t>
      </w:r>
    </w:p>
    <w:p w14:paraId="636DB8BD">
      <w:pPr>
        <w:keepNext w:val="0"/>
        <w:keepLines w:val="0"/>
        <w:pageBreakBefore w:val="0"/>
        <w:kinsoku/>
        <w:wordWrap/>
        <w:overflowPunct/>
        <w:autoSpaceDE/>
        <w:bidi w:val="0"/>
        <w:adjustRightInd/>
        <w:spacing w:after="0" w:line="560" w:lineRule="exact"/>
        <w:ind w:firstLine="640"/>
      </w:pPr>
      <w:r>
        <w:rPr>
          <w:rFonts w:ascii="Times New Roman" w:hAnsi="Times New Roman" w:eastAsia="仿宋_GB2312"/>
          <w:b w:val="0"/>
          <w:sz w:val="32"/>
        </w:rPr>
        <w:t>（六）预案管理。明确预案体系、监督问责、信息报送、总结评估、预案备案、应对减排措施清单上报机制、预案修订、宣传培训、预案演练和预案实施等要求。</w:t>
      </w:r>
    </w:p>
    <w:p w14:paraId="1CDD7C51">
      <w:pPr>
        <w:keepNext w:val="0"/>
        <w:keepLines w:val="0"/>
        <w:pageBreakBefore w:val="0"/>
        <w:kinsoku/>
        <w:wordWrap/>
        <w:overflowPunct/>
        <w:autoSpaceDE/>
        <w:bidi w:val="0"/>
        <w:adjustRightInd/>
        <w:spacing w:after="0" w:line="560" w:lineRule="exact"/>
        <w:ind w:firstLine="640"/>
        <w:rPr>
          <w:rFonts w:ascii="Times New Roman" w:hAnsi="Times New Roman" w:eastAsia="仿宋_GB2312"/>
          <w:b w:val="0"/>
          <w:sz w:val="32"/>
        </w:rPr>
      </w:pPr>
      <w:r>
        <w:rPr>
          <w:rFonts w:ascii="Times New Roman" w:hAnsi="Times New Roman" w:eastAsia="仿宋_GB2312"/>
          <w:b w:val="0"/>
          <w:sz w:val="32"/>
        </w:rPr>
        <w:t>（七）附则。明确预案解释权限和附件构成。附件包括：昌吉州重污染天气应对职责分工、昌吉州重污染天气应对流程图、主要法律依据条文摘录及名词解释。</w:t>
      </w:r>
    </w:p>
    <w:p w14:paraId="109F711A">
      <w:pPr>
        <w:keepNext w:val="0"/>
        <w:keepLines w:val="0"/>
        <w:pageBreakBefore w:val="0"/>
        <w:widowControl w:val="0"/>
        <w:numPr>
          <w:ilvl w:val="0"/>
          <w:numId w:val="0"/>
        </w:numPr>
        <w:pBdr>
          <w:top w:val="none" w:color="000000" w:sz="0" w:space="1"/>
          <w:left w:val="none" w:color="000000" w:sz="0" w:space="0"/>
          <w:bottom w:val="none" w:color="000000" w:sz="0" w:space="24"/>
          <w:right w:val="none" w:color="000000" w:sz="0" w:space="1"/>
        </w:pBdr>
        <w:kinsoku/>
        <w:wordWrap/>
        <w:overflowPunct/>
        <w:topLinePunct/>
        <w:autoSpaceDE/>
        <w:autoSpaceDN w:val="0"/>
        <w:bidi w:val="0"/>
        <w:adjustRightInd/>
        <w:snapToGrid w:val="0"/>
        <w:spacing w:after="0" w:line="560" w:lineRule="exact"/>
        <w:ind w:firstLine="640" w:firstLineChars="200"/>
        <w:jc w:val="both"/>
        <w:textAlignment w:val="top"/>
        <w:outlineLvl w:val="9"/>
        <w:rPr>
          <w:rFonts w:hint="default" w:ascii="Times New Roman" w:hAnsi="Times New Roman" w:eastAsia="黑体" w:cs="Times New Roman"/>
          <w:b w:val="0"/>
          <w:bCs w:val="0"/>
          <w:color w:val="auto"/>
          <w:sz w:val="32"/>
          <w:szCs w:val="32"/>
          <w:highlight w:val="none"/>
          <w:u w:val="none"/>
          <w:lang w:val="en-US" w:eastAsia="zh-CN"/>
        </w:rPr>
      </w:pPr>
      <w:r>
        <w:rPr>
          <w:rFonts w:hint="eastAsia" w:ascii="Times New Roman" w:hAnsi="Times New Roman" w:eastAsia="黑体" w:cs="Times New Roman"/>
          <w:b w:val="0"/>
          <w:bCs w:val="0"/>
          <w:color w:val="auto"/>
          <w:sz w:val="32"/>
          <w:szCs w:val="32"/>
          <w:highlight w:val="none"/>
          <w:u w:val="none"/>
          <w:lang w:val="en-US" w:eastAsia="zh-CN"/>
        </w:rPr>
        <w:t>四</w:t>
      </w:r>
      <w:r>
        <w:rPr>
          <w:rFonts w:hint="default" w:ascii="Times New Roman" w:hAnsi="Times New Roman" w:eastAsia="黑体" w:cs="Times New Roman"/>
          <w:b w:val="0"/>
          <w:bCs w:val="0"/>
          <w:color w:val="auto"/>
          <w:sz w:val="32"/>
          <w:szCs w:val="32"/>
          <w:highlight w:val="none"/>
          <w:u w:val="none"/>
          <w:lang w:val="en-US" w:eastAsia="zh-CN"/>
        </w:rPr>
        <w:t>、需要说明的事项</w:t>
      </w:r>
    </w:p>
    <w:p w14:paraId="5E034ECF">
      <w:pPr>
        <w:keepNext w:val="0"/>
        <w:keepLines w:val="0"/>
        <w:pageBreakBefore w:val="0"/>
        <w:widowControl w:val="0"/>
        <w:numPr>
          <w:ilvl w:val="0"/>
          <w:numId w:val="0"/>
        </w:numPr>
        <w:pBdr>
          <w:top w:val="none" w:color="000000" w:sz="0" w:space="1"/>
          <w:left w:val="none" w:color="000000" w:sz="0" w:space="0"/>
          <w:bottom w:val="none" w:color="000000" w:sz="0" w:space="24"/>
          <w:right w:val="none" w:color="000000" w:sz="0" w:space="1"/>
        </w:pBdr>
        <w:kinsoku/>
        <w:wordWrap/>
        <w:overflowPunct/>
        <w:topLinePunct/>
        <w:autoSpaceDE/>
        <w:autoSpaceDN w:val="0"/>
        <w:bidi w:val="0"/>
        <w:adjustRightInd/>
        <w:snapToGrid/>
        <w:spacing w:after="0" w:line="560" w:lineRule="exact"/>
        <w:ind w:left="0" w:leftChars="0" w:firstLine="640" w:firstLineChars="200"/>
        <w:jc w:val="both"/>
        <w:textAlignment w:val="top"/>
        <w:outlineLvl w:val="9"/>
      </w:pPr>
      <w:r>
        <w:rPr>
          <w:rFonts w:hint="eastAsia" w:ascii="Times New Roman" w:hAnsi="Times New Roman" w:eastAsia="仿宋_GB2312"/>
          <w:b w:val="0"/>
          <w:sz w:val="32"/>
          <w:lang w:val="en-US" w:eastAsia="zh-CN"/>
        </w:rPr>
        <w:t>与</w:t>
      </w:r>
      <w:r>
        <w:rPr>
          <w:rFonts w:ascii="Times New Roman" w:hAnsi="Times New Roman" w:eastAsia="仿宋_GB2312"/>
          <w:b w:val="0"/>
          <w:sz w:val="32"/>
        </w:rPr>
        <w:t>《新疆维吾尔自治区重污染天气应对预案（2026年修订版）</w:t>
      </w:r>
      <w:r>
        <w:rPr>
          <w:rFonts w:hint="eastAsia" w:ascii="Times New Roman" w:hAnsi="Times New Roman" w:eastAsia="仿宋_GB2312"/>
          <w:b w:val="0"/>
          <w:sz w:val="32"/>
          <w:lang w:eastAsia="zh-CN"/>
        </w:rPr>
        <w:t>（送审稿）》</w:t>
      </w:r>
      <w:r>
        <w:rPr>
          <w:rFonts w:hint="eastAsia" w:ascii="Times New Roman" w:hAnsi="Times New Roman" w:eastAsia="仿宋_GB2312" w:cs="Times New Roman"/>
          <w:color w:val="auto"/>
          <w:sz w:val="32"/>
          <w:szCs w:val="32"/>
          <w:highlight w:val="none"/>
          <w:lang w:val="en-US" w:eastAsia="zh-CN"/>
        </w:rPr>
        <w:t>相比较</w:t>
      </w:r>
      <w:r>
        <w:rPr>
          <w:rFonts w:hint="default" w:ascii="Times New Roman" w:hAnsi="Times New Roman" w:eastAsia="仿宋_GB2312" w:cs="Times New Roman"/>
          <w:color w:val="auto"/>
          <w:sz w:val="32"/>
          <w:szCs w:val="32"/>
          <w:highlight w:val="none"/>
          <w:lang w:val="en-US" w:eastAsia="zh-CN"/>
        </w:rPr>
        <w:t>，昌吉州</w:t>
      </w:r>
      <w:r>
        <w:rPr>
          <w:rFonts w:hint="eastAsia" w:ascii="Times New Roman" w:hAnsi="Times New Roman" w:eastAsia="仿宋_GB2312" w:cs="Times New Roman"/>
          <w:color w:val="auto"/>
          <w:sz w:val="32"/>
          <w:szCs w:val="32"/>
          <w:highlight w:val="none"/>
          <w:lang w:val="en-US" w:eastAsia="zh-CN"/>
        </w:rPr>
        <w:t>在应对措施上针对自身行业分布进行了进一步细化，如：在自治区基础上增加了针对石化行业、钢铁行业、焦化行业、煤制氮肥行业、电解铝行业、氧化铝行业等进行提出对应的应对措施</w:t>
      </w:r>
      <w:r>
        <w:rPr>
          <w:rFonts w:hint="default" w:ascii="Times New Roman" w:hAnsi="Times New Roman" w:eastAsia="仿宋_GB2312" w:cs="Times New Roman"/>
          <w:color w:val="auto"/>
          <w:sz w:val="32"/>
          <w:szCs w:val="32"/>
          <w:highlight w:val="none"/>
          <w:lang w:val="en-US" w:eastAsia="zh-CN"/>
        </w:rPr>
        <w:t>。</w:t>
      </w:r>
    </w:p>
    <w:sectPr>
      <w:footerReference r:id="rId5" w:type="default"/>
      <w:pgSz w:w="12240" w:h="15840"/>
      <w:pgMar w:top="2098" w:right="1474" w:bottom="1928" w:left="1587" w:header="720" w:footer="720" w:gutter="0"/>
      <w:pgNumType w:fmt="numberInDash"/>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方正小标宋简体">
    <w:altName w:val="方正舒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82AD5">
    <w:pPr>
      <w:pStyle w:val="24"/>
    </w:pPr>
    <w:r>
      <w:rPr>
        <w:sz w:val="2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476986">
                          <w:pPr>
                            <w:pStyle w:val="2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8476986">
                    <w:pPr>
                      <w:pStyle w:val="2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3CA2219"/>
    <w:rsid w:val="31707C28"/>
    <w:rsid w:val="57084041"/>
    <w:rsid w:val="60CA6402"/>
    <w:rsid w:val="6D98222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unhideWhenUsed="0" w:uiPriority="72" w:semiHidden="0" w:name="Colorful List Accent 5"/>
    <w:lsdException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unhideWhenUsed="0" w:uiPriority="71" w:semiHidden="0" w:name="Colorful Shading Accent 6"/>
    <w:lsdException w:qFormat="1"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4">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5">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2">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3">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4"/>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5"/>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2"/>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3"/>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4"/>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customXml/itemProps3.xml><?xml version="1.0" encoding="utf-8"?>
<ds:datastoreItem xmlns:ds="http://schemas.openxmlformats.org/officeDocument/2006/customXml" ds:itemID="{6db8c37a-9fc1-4513-9fcc-62fc8280c754}">
  <ds:schemaRefs/>
</ds:datastoreItem>
</file>

<file path=docProps/app.xml><?xml version="1.0" encoding="utf-8"?>
<Properties xmlns="http://schemas.openxmlformats.org/officeDocument/2006/extended-properties" xmlns:vt="http://schemas.openxmlformats.org/officeDocument/2006/docPropsVTypes">
  <Template>Normal.dotm</Template>
  <Pages>4</Pages>
  <Words>1134</Words>
  <Characters>1188</Characters>
  <Lines>0</Lines>
  <Paragraphs>0</Paragraphs>
  <TotalTime>20</TotalTime>
  <ScaleCrop>false</ScaleCrop>
  <LinksUpToDate>false</LinksUpToDate>
  <CharactersWithSpaces>1190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小麦啾</cp:lastModifiedBy>
  <cp:lastPrinted>2026-09-07T11:28:00Z</cp:lastPrinted>
  <dcterms:modified xsi:type="dcterms:W3CDTF">2026-09-14T03:21:26Z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eyJoZGlkIjoiODM0YzQzMGFjMjUzMGYwODMwZjhmZTEzMTA0N2U0NTciLCJ1c2VySWQiOiIzMjQ5NjUzODcifQ==</vt:lpwstr>
  </property>
  <property fmtid="{D5CDD505-2E9C-101B-9397-08002B2CF9AE}" pid="3" name="KSOProductBuildVer">
    <vt:lpwstr>2052-12.1.0.28505</vt:lpwstr>
  </property>
  <property fmtid="{D5CDD505-2E9C-101B-9397-08002B2CF9AE}" pid="4" name="ICV">
    <vt:lpwstr>EE33D7A09C364B61A4E96DA7DE39D5D2_13</vt:lpwstr>
  </property>
</Properties>
</file>