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1D6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</w:pPr>
      <w:bookmarkStart w:id="0" w:name="_Toc105841526"/>
      <w:bookmarkEnd w:id="0"/>
      <w:bookmarkStart w:id="1" w:name="_Toc105533239"/>
      <w:bookmarkEnd w:id="1"/>
      <w:bookmarkStart w:id="2" w:name="_Toc105839898"/>
      <w:bookmarkEnd w:id="2"/>
      <w:bookmarkStart w:id="3" w:name="_Toc105841323"/>
      <w:bookmarkEnd w:id="3"/>
      <w:bookmarkStart w:id="4" w:name="_Toc105841120"/>
      <w:bookmarkEnd w:id="4"/>
      <w:bookmarkStart w:id="5" w:name="_Toc105506753"/>
      <w:bookmarkEnd w:id="5"/>
      <w:bookmarkStart w:id="6" w:name="_Toc105538314"/>
      <w:bookmarkEnd w:id="6"/>
      <w:r>
        <w:rPr>
          <w:rFonts w:hint="eastAsia" w:ascii="Times New Roman" w:hAnsi="Times New Roman" w:eastAsia="黑体" w:cs="Times New Roman"/>
          <w:sz w:val="30"/>
          <w:szCs w:val="30"/>
          <w:lang w:val="en-US" w:eastAsia="zh-CN"/>
        </w:rPr>
        <w:t>附件1</w:t>
      </w:r>
    </w:p>
    <w:p w14:paraId="4E3E783C">
      <w:pPr>
        <w:pStyle w:val="2"/>
        <w:rPr>
          <w:rFonts w:hint="eastAsia"/>
          <w:lang w:val="en-US" w:eastAsia="zh-CN"/>
        </w:rPr>
      </w:pPr>
    </w:p>
    <w:p w14:paraId="61B335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关于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《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昌吉回族自治州人民政府关于划定</w:t>
      </w:r>
    </w:p>
    <w:p w14:paraId="3BF917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高污染燃料禁燃区的通告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（征求意见稿）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》</w:t>
      </w:r>
    </w:p>
    <w:p w14:paraId="09986A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起草说明</w:t>
      </w:r>
    </w:p>
    <w:p w14:paraId="5F9C174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42956BF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现将</w:t>
      </w: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昌吉回族自治州人民政府关于划定高污染燃料禁燃区的通告</w:t>
      </w:r>
      <w:r>
        <w:rPr>
          <w:rFonts w:hint="eastAsia" w:ascii="仿宋_GB2312" w:eastAsia="仿宋_GB2312"/>
          <w:sz w:val="32"/>
          <w:szCs w:val="32"/>
        </w:rPr>
        <w:t>》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（征求意见稿）</w:t>
      </w:r>
      <w:r>
        <w:rPr>
          <w:rFonts w:hint="eastAsia" w:ascii="仿宋_GB2312" w:eastAsia="仿宋_GB2312"/>
          <w:sz w:val="32"/>
          <w:szCs w:val="32"/>
        </w:rPr>
        <w:t>（以下简称《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通告</w:t>
      </w:r>
      <w:r>
        <w:rPr>
          <w:rFonts w:hint="eastAsia" w:ascii="仿宋_GB2312" w:eastAsia="仿宋_GB2312"/>
          <w:sz w:val="32"/>
          <w:szCs w:val="32"/>
        </w:rPr>
        <w:t>》）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说明如下：</w:t>
      </w:r>
    </w:p>
    <w:p w14:paraId="44FA324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hint="eastAsia" w:eastAsia="黑体" w:cs="Times New Roman"/>
          <w:sz w:val="32"/>
          <w:szCs w:val="32"/>
          <w:lang w:val="en-US" w:eastAsia="zh-CN"/>
        </w:rPr>
        <w:t>起草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背景</w:t>
      </w:r>
    </w:p>
    <w:p w14:paraId="3A5684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bidi w:val="0"/>
        <w:adjustRightInd/>
        <w:snapToGrid/>
        <w:spacing w:beforeLines="0" w:beforeAutospacing="0" w:afterLines="0" w:afterAutospacing="0" w:line="520" w:lineRule="exact"/>
        <w:ind w:left="0" w:leftChars="0" w:right="0" w:rightChars="0" w:firstLine="640" w:firstLineChars="200"/>
        <w:jc w:val="left"/>
        <w:outlineLvl w:val="9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昌吉州地处天山北坡城市群，属于“乌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昌</w:t>
      </w:r>
      <w:r>
        <w:rPr>
          <w:rFonts w:hint="eastAsia" w:eastAsia="仿宋_GB2312" w:cs="Times New Roman"/>
          <w:color w:val="auto"/>
          <w:spacing w:val="0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石”大气污染防治重点区域，秋冬季重污染天气多发频发，散煤燃烧是影响区域环境空气质量的重要因素之一。为持续巩固清洁取暖改造成果，削减大气污染物排放，强化重点区域大气污染管控，保障各族群众身体健康，规范全州高污染燃料禁燃区划定及监督管理工作，落实国家、自治区关于大气污染防治、蓝天保卫战相关工作部署，结合昌吉州各县市城市建成区、已完成煤改气、煤改电等清洁取暖改造村镇实际，组织起草本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通告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》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（征求意见稿）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>，对全州高污染燃料禁燃区范围、管控要求、部门职责、法律责任予以明确，指导各县市开展禁燃区管控工作。</w:t>
      </w:r>
    </w:p>
    <w:p w14:paraId="3A9CD8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bidi w:val="0"/>
        <w:adjustRightInd/>
        <w:snapToGrid/>
        <w:spacing w:beforeLines="0" w:beforeAutospacing="0" w:afterLines="0" w:afterAutospacing="0" w:line="520" w:lineRule="exact"/>
        <w:ind w:left="0" w:leftChars="0" w:right="0" w:rightChars="0" w:firstLine="640" w:firstLineChars="200"/>
        <w:jc w:val="left"/>
        <w:outlineLvl w:val="9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二、起草过程</w:t>
      </w:r>
    </w:p>
    <w:p w14:paraId="0BE85C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bidi w:val="0"/>
        <w:adjustRightInd/>
        <w:snapToGrid/>
        <w:spacing w:beforeLines="0" w:beforeAutospacing="0" w:afterLines="0" w:afterAutospacing="0" w:line="520" w:lineRule="exact"/>
        <w:ind w:left="0" w:leftChars="0" w:right="0" w:rightChars="0" w:firstLine="640" w:firstLineChars="200"/>
        <w:jc w:val="left"/>
        <w:outlineLvl w:val="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由昌吉州生态环境局牵头开展起草工作，组织各县市生态环境部门开展实地摸排，结合城市建成区边界、农村清洁取暖改造完成区域，梳理各县市禁燃区四至范围，同步编制各县市禁燃区范围示意图。</w:t>
      </w:r>
    </w:p>
    <w:p w14:paraId="146E95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bidi w:val="0"/>
        <w:adjustRightInd/>
        <w:snapToGrid/>
        <w:spacing w:beforeLines="0" w:beforeAutospacing="0" w:afterLines="0" w:afterAutospacing="0" w:line="520" w:lineRule="exact"/>
        <w:ind w:left="0" w:leftChars="0" w:right="0" w:rightChars="0" w:firstLine="640" w:firstLineChars="200"/>
        <w:jc w:val="left"/>
        <w:outlineLvl w:val="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初稿完成后，组织行业专家对禁燃区范围划定、管控标准、职责分工开展专题论证，充分吸纳各科室、专家反馈意见，对禁燃边界、管控燃料清单、部门监管职责、法律适用条款等内容修改完善。同时书面征求州发改委、工信局、住建局、市场监督管理局、公安局等州直相关部门以及各县市人民政府意见，形成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通告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》（征求意见稿），配套完成各县（市）高污染燃料禁燃区范围示意图。</w:t>
      </w:r>
    </w:p>
    <w:p w14:paraId="49EF3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主要内容</w:t>
      </w:r>
    </w:p>
    <w:p w14:paraId="7AEC6E59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1"/>
          <w:left w:val="none" w:color="000000" w:sz="0" w:space="0"/>
          <w:bottom w:val="none" w:color="000000" w:sz="0" w:space="24"/>
          <w:right w:val="none" w:color="000000" w:sz="0" w:space="1"/>
        </w:pBdr>
        <w:kinsoku/>
        <w:wordWrap/>
        <w:overflowPunct/>
        <w:topLinePunct/>
        <w:autoSpaceDE/>
        <w:autoSpaceDN w:val="0"/>
        <w:bidi w:val="0"/>
        <w:adjustRightInd/>
        <w:snapToGrid/>
        <w:spacing w:beforeLines="0" w:afterLines="0" w:line="520" w:lineRule="exact"/>
        <w:ind w:firstLine="640" w:firstLineChars="200"/>
        <w:jc w:val="both"/>
        <w:textAlignment w:val="top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》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（征求意见稿）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共有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zh-CN"/>
        </w:rPr>
        <w:t>个部分组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成。</w:t>
      </w:r>
    </w:p>
    <w:p w14:paraId="471E9512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1"/>
          <w:left w:val="none" w:color="000000" w:sz="0" w:space="0"/>
          <w:bottom w:val="none" w:color="000000" w:sz="0" w:space="24"/>
          <w:right w:val="none" w:color="000000" w:sz="0" w:space="1"/>
        </w:pBdr>
        <w:kinsoku/>
        <w:wordWrap/>
        <w:overflowPunct/>
        <w:topLinePunct/>
        <w:autoSpaceDE/>
        <w:autoSpaceDN w:val="0"/>
        <w:bidi w:val="0"/>
        <w:adjustRightInd/>
        <w:snapToGrid/>
        <w:spacing w:beforeLines="0" w:afterLines="0" w:line="520" w:lineRule="exact"/>
        <w:ind w:firstLine="643" w:firstLineChars="200"/>
        <w:jc w:val="both"/>
        <w:textAlignment w:val="top"/>
        <w:outlineLvl w:val="9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第一部分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为禁燃区划定范围。明确全州禁燃区覆盖各县市城市建成区、连片完成煤改气、煤改电清洁取暖改造村和社区，逐一列明昌吉市、阜康市、玛纳斯县、呼图壁县、吉木萨尔县、奇台县、木垒哈萨克自治县禁燃区闭合边界；明确精确边界以附件示意图为准，可结合城市发展规划、大气环境质量动态评估调整禁燃区域并向社会公告。</w:t>
      </w:r>
    </w:p>
    <w:p w14:paraId="50E8AD1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1"/>
          <w:left w:val="none" w:color="000000" w:sz="0" w:space="0"/>
          <w:bottom w:val="none" w:color="000000" w:sz="0" w:space="24"/>
          <w:right w:val="none" w:color="000000" w:sz="0" w:space="1"/>
        </w:pBdr>
        <w:kinsoku/>
        <w:wordWrap/>
        <w:overflowPunct/>
        <w:topLinePunct/>
        <w:autoSpaceDE/>
        <w:autoSpaceDN w:val="0"/>
        <w:bidi w:val="0"/>
        <w:adjustRightInd/>
        <w:snapToGrid/>
        <w:spacing w:beforeLines="0" w:afterLines="0" w:line="520" w:lineRule="exact"/>
        <w:ind w:firstLine="643" w:firstLineChars="200"/>
        <w:jc w:val="both"/>
        <w:textAlignment w:val="top"/>
        <w:outlineLvl w:val="9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第二部分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为禁燃管控高污染燃料种类。全州禁燃区统一执行《高污染燃料目录》Ⅲ类（严格）标准，列明禁止销售、燃用的煤炭及制品、石油焦类、不符合条件生物质成型燃料及其他高污染燃料；明确天然气、页岩气、液化石油气、电等为允许使用清洁能源。</w:t>
      </w:r>
    </w:p>
    <w:p w14:paraId="60EF07C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1"/>
          <w:left w:val="none" w:color="000000" w:sz="0" w:space="0"/>
          <w:bottom w:val="none" w:color="000000" w:sz="0" w:space="24"/>
          <w:right w:val="none" w:color="000000" w:sz="0" w:space="1"/>
        </w:pBdr>
        <w:kinsoku/>
        <w:wordWrap/>
        <w:overflowPunct/>
        <w:topLinePunct/>
        <w:autoSpaceDE/>
        <w:autoSpaceDN w:val="0"/>
        <w:bidi w:val="0"/>
        <w:adjustRightInd/>
        <w:snapToGrid/>
        <w:spacing w:beforeLines="0" w:afterLines="0" w:line="520" w:lineRule="exact"/>
        <w:ind w:firstLine="643" w:firstLineChars="200"/>
        <w:jc w:val="both"/>
        <w:textAlignment w:val="top"/>
        <w:outlineLvl w:val="9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第三部分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为禁燃区管理要求。对新建扩建燃高污染燃料设施审批、现有设施清洁能源改造或淘汰、煤炭经营网点关停、居民及经营户燃料使用、露天焚烧管控、特殊情形临时燃用备案等作出具体管理规定。</w:t>
      </w:r>
    </w:p>
    <w:p w14:paraId="10DA642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1"/>
          <w:left w:val="none" w:color="000000" w:sz="0" w:space="0"/>
          <w:bottom w:val="none" w:color="000000" w:sz="0" w:space="24"/>
          <w:right w:val="none" w:color="000000" w:sz="0" w:space="1"/>
        </w:pBdr>
        <w:kinsoku/>
        <w:wordWrap/>
        <w:overflowPunct/>
        <w:topLinePunct/>
        <w:autoSpaceDE/>
        <w:autoSpaceDN w:val="0"/>
        <w:bidi w:val="0"/>
        <w:adjustRightInd/>
        <w:snapToGrid/>
        <w:spacing w:beforeLines="0" w:afterLines="0" w:line="520" w:lineRule="exact"/>
        <w:ind w:firstLine="643" w:firstLineChars="200"/>
        <w:jc w:val="both"/>
        <w:textAlignment w:val="top"/>
        <w:outlineLvl w:val="9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第四部分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为职责分工与监督执法。压实各县（市）人民政府、园区管委会属地网格化监管责任，划分生态环境、市场监管、发改、工信、住建、公安等部门监管职责；明确公众举报渠道。</w:t>
      </w:r>
    </w:p>
    <w:p w14:paraId="3B75CA1E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1"/>
          <w:left w:val="none" w:color="000000" w:sz="0" w:space="0"/>
          <w:bottom w:val="none" w:color="000000" w:sz="0" w:space="24"/>
          <w:right w:val="none" w:color="000000" w:sz="0" w:space="1"/>
        </w:pBdr>
        <w:kinsoku/>
        <w:wordWrap/>
        <w:overflowPunct/>
        <w:topLinePunct/>
        <w:autoSpaceDE/>
        <w:autoSpaceDN w:val="0"/>
        <w:bidi w:val="0"/>
        <w:adjustRightInd/>
        <w:snapToGrid/>
        <w:spacing w:beforeLines="0" w:afterLines="0" w:line="520" w:lineRule="exact"/>
        <w:ind w:firstLine="643" w:firstLineChars="200"/>
        <w:jc w:val="both"/>
        <w:textAlignment w:val="top"/>
        <w:outlineLvl w:val="9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第五部分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为法律责任。依据《中华人民共和国生态环境法典》《中华人民共和国治安管理处罚法》等法条，对违规销售、燃用高污染燃料，露天焚烧秸秆落叶、阻挠执法等行为的处罚依据予以明确。</w:t>
      </w:r>
    </w:p>
    <w:p w14:paraId="3764882C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1"/>
          <w:left w:val="none" w:color="000000" w:sz="0" w:space="0"/>
          <w:bottom w:val="none" w:color="000000" w:sz="0" w:space="24"/>
          <w:right w:val="none" w:color="000000" w:sz="0" w:space="1"/>
        </w:pBdr>
        <w:kinsoku/>
        <w:wordWrap/>
        <w:overflowPunct/>
        <w:topLinePunct/>
        <w:autoSpaceDE/>
        <w:autoSpaceDN w:val="0"/>
        <w:bidi w:val="0"/>
        <w:adjustRightInd/>
        <w:snapToGrid/>
        <w:spacing w:beforeLines="0" w:afterLines="0" w:line="520" w:lineRule="exact"/>
        <w:ind w:firstLine="643" w:firstLineChars="200"/>
        <w:jc w:val="both"/>
        <w:textAlignment w:val="top"/>
        <w:outlineLvl w:val="9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第六部分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为其他事项。明确通告施行时间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，</w:t>
      </w:r>
      <w:bookmarkStart w:id="7" w:name="_GoBack"/>
      <w:bookmarkEnd w:id="7"/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  <w:t>新旧文件冲突处理原则以及文件解释单位。</w:t>
      </w:r>
    </w:p>
    <w:p w14:paraId="1A69CA0B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972C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692FF2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692FF2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14186"/>
    <w:rsid w:val="04377A82"/>
    <w:rsid w:val="04F10E02"/>
    <w:rsid w:val="0663796F"/>
    <w:rsid w:val="06AC7DC9"/>
    <w:rsid w:val="084B123E"/>
    <w:rsid w:val="1282542C"/>
    <w:rsid w:val="145A2EDB"/>
    <w:rsid w:val="146A2CD4"/>
    <w:rsid w:val="27315D1D"/>
    <w:rsid w:val="2AF92FF6"/>
    <w:rsid w:val="2D0253E0"/>
    <w:rsid w:val="2E9F3EB4"/>
    <w:rsid w:val="2F4F7689"/>
    <w:rsid w:val="2FE64BC4"/>
    <w:rsid w:val="306500C6"/>
    <w:rsid w:val="309B3C10"/>
    <w:rsid w:val="30AC4667"/>
    <w:rsid w:val="311770AF"/>
    <w:rsid w:val="360653F3"/>
    <w:rsid w:val="39F50E2C"/>
    <w:rsid w:val="3D136876"/>
    <w:rsid w:val="414F729C"/>
    <w:rsid w:val="425F79A8"/>
    <w:rsid w:val="45BD53AD"/>
    <w:rsid w:val="47473B4A"/>
    <w:rsid w:val="476542FE"/>
    <w:rsid w:val="486E3618"/>
    <w:rsid w:val="4A280DAA"/>
    <w:rsid w:val="4C510E59"/>
    <w:rsid w:val="4C5A6A5C"/>
    <w:rsid w:val="4CEA67EB"/>
    <w:rsid w:val="4E1B3015"/>
    <w:rsid w:val="4FE02EA1"/>
    <w:rsid w:val="4FE81398"/>
    <w:rsid w:val="52D90E94"/>
    <w:rsid w:val="533B3765"/>
    <w:rsid w:val="55843559"/>
    <w:rsid w:val="567567B7"/>
    <w:rsid w:val="57680E25"/>
    <w:rsid w:val="579D2DD8"/>
    <w:rsid w:val="59CD1026"/>
    <w:rsid w:val="6077114D"/>
    <w:rsid w:val="60BA67A8"/>
    <w:rsid w:val="66640750"/>
    <w:rsid w:val="69F240CE"/>
    <w:rsid w:val="6EC66318"/>
    <w:rsid w:val="7289033E"/>
    <w:rsid w:val="73914186"/>
    <w:rsid w:val="756E598B"/>
    <w:rsid w:val="7BB5176E"/>
    <w:rsid w:val="7CE613F7"/>
    <w:rsid w:val="7D31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widowControl/>
      <w:ind w:left="-113" w:right="-113"/>
      <w:jc w:val="center"/>
    </w:pPr>
    <w:rPr>
      <w:rFonts w:ascii="宋体" w:hAnsi="宋体" w:eastAsia="仿宋" w:cs="宋体"/>
      <w:kern w:val="0"/>
      <w:sz w:val="24"/>
      <w:szCs w:val="21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next w:val="1"/>
    <w:unhideWhenUsed/>
    <w:qFormat/>
    <w:uiPriority w:val="0"/>
    <w:pPr>
      <w:spacing w:beforeLines="0" w:after="120" w:afterLines="0"/>
    </w:pPr>
    <w:rPr>
      <w:rFonts w:hint="default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next w:val="3"/>
    <w:qFormat/>
    <w:uiPriority w:val="0"/>
    <w:pPr>
      <w:snapToGrid w:val="0"/>
      <w:jc w:val="left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4549</Words>
  <Characters>4628</Characters>
  <Lines>0</Lines>
  <Paragraphs>0</Paragraphs>
  <TotalTime>1</TotalTime>
  <ScaleCrop>false</ScaleCrop>
  <LinksUpToDate>false</LinksUpToDate>
  <CharactersWithSpaces>4637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2026-08-21T04:13:00Z</dcterms:created>
  <dc:creator>silence</dc:creator>
  <cp:lastModifiedBy>好先生</cp:lastModifiedBy>
  <cp:lastPrinted>2026-09-09T12:47:00Z</cp:lastPrinted>
  <dcterms:modified xsi:type="dcterms:W3CDTF">2026-09-10T02:36:17Z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AA6708D955A44D21967C9CB92C2D1CA9_13</vt:lpwstr>
  </property>
  <property fmtid="{D5CDD505-2E9C-101B-9397-08002B2CF9AE}" pid="4" name="KSOTemplateDocerSaveRecord">
    <vt:lpwstr>eyJoZGlkIjoiODYxOGVmNmZkZWI3OTNmODAyOWNiNWY4N2Q1ZjM0ZjMiLCJ1c2VySWQiOiIyNjgyNDg1ODYifQ==</vt:lpwstr>
  </property>
</Properties>
</file>