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_GBK" w:hAnsi="方正小标宋_GBK" w:eastAsia="方正小标宋_GBK" w:cs="方正小标宋_GBK"/>
          <w:sz w:val="44"/>
          <w:szCs w:val="44"/>
        </w:rPr>
      </w:pPr>
      <w:r>
        <w:rPr>
          <w:rFonts w:ascii="方正小标宋_GBK" w:hAnsi="方正小标宋_GBK" w:eastAsia="方正小标宋_GBK" w:cs="方正小标宋_GBK"/>
          <w:sz w:val="44"/>
          <w:szCs w:val="44"/>
        </w:rPr>
        <w:t>昌吉州美丽蓝天建设项目管理办法</w:t>
      </w:r>
    </w:p>
    <w:p>
      <w:pPr>
        <w:spacing w:line="56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（试行）（征求意见稿）</w:t>
      </w:r>
    </w:p>
    <w:p>
      <w:pPr>
        <w:spacing w:line="560" w:lineRule="exact"/>
        <w:ind w:firstLine="640" w:firstLineChars="200"/>
        <w:jc w:val="center"/>
        <w:rPr>
          <w:rFonts w:ascii="Times New Roman" w:hAnsi="Times New Roman" w:eastAsia="微软雅黑"/>
          <w:sz w:val="32"/>
          <w:szCs w:val="32"/>
        </w:rPr>
      </w:pPr>
    </w:p>
    <w:p>
      <w:pPr>
        <w:spacing w:line="560" w:lineRule="exact"/>
        <w:jc w:val="center"/>
        <w:rPr>
          <w:rFonts w:hint="eastAsia" w:ascii="黑体" w:hAnsi="黑体" w:eastAsia="黑体" w:cs="黑体"/>
          <w:sz w:val="32"/>
          <w:szCs w:val="32"/>
        </w:rPr>
      </w:pPr>
      <w:r>
        <w:rPr>
          <w:rFonts w:ascii="黑体" w:hAnsi="黑体" w:eastAsia="黑体" w:cs="黑体"/>
          <w:sz w:val="32"/>
          <w:szCs w:val="32"/>
        </w:rPr>
        <w:t>第一章 总  则</w:t>
      </w:r>
    </w:p>
    <w:p>
      <w:pPr>
        <w:spacing w:line="56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 xml:space="preserve">第一条 </w:t>
      </w:r>
      <w:r>
        <w:rPr>
          <w:rFonts w:ascii="Times New Roman" w:hAnsi="Times New Roman" w:eastAsia="仿宋_GB2312"/>
          <w:sz w:val="32"/>
          <w:szCs w:val="32"/>
        </w:rPr>
        <w:t>为加强昌吉州美丽蓝天建设项目</w:t>
      </w:r>
      <w:r>
        <w:rPr>
          <w:rFonts w:hint="eastAsia" w:ascii="Times New Roman" w:hAnsi="Times New Roman" w:eastAsia="仿宋_GB2312"/>
          <w:sz w:val="32"/>
          <w:szCs w:val="32"/>
        </w:rPr>
        <w:t>全过程</w:t>
      </w:r>
      <w:r>
        <w:rPr>
          <w:rFonts w:ascii="Times New Roman" w:hAnsi="Times New Roman" w:eastAsia="仿宋_GB2312"/>
          <w:sz w:val="32"/>
          <w:szCs w:val="32"/>
        </w:rPr>
        <w:t>管理，规范项目实施，</w:t>
      </w:r>
      <w:r>
        <w:rPr>
          <w:rFonts w:hint="eastAsia" w:ascii="Times New Roman" w:hAnsi="Times New Roman" w:eastAsia="仿宋_GB2312"/>
          <w:sz w:val="32"/>
          <w:szCs w:val="32"/>
        </w:rPr>
        <w:t>根据《大气污染防治资金管理办法》（财资环〔2025〕155号）、《关于组织申报2026年中央财政美丽蓝天建设项目的通知》（环办科财函〔202</w:t>
      </w:r>
      <w:r>
        <w:rPr>
          <w:rFonts w:ascii="Times New Roman" w:hAnsi="Times New Roman" w:eastAsia="仿宋_GB2312"/>
          <w:sz w:val="32"/>
          <w:szCs w:val="32"/>
        </w:rPr>
        <w:t>6</w:t>
      </w:r>
      <w:r>
        <w:rPr>
          <w:rFonts w:hint="eastAsia" w:ascii="Times New Roman" w:hAnsi="Times New Roman" w:eastAsia="仿宋_GB2312"/>
          <w:sz w:val="32"/>
          <w:szCs w:val="32"/>
        </w:rPr>
        <w:t>〕</w:t>
      </w:r>
      <w:r>
        <w:rPr>
          <w:rFonts w:ascii="Times New Roman" w:hAnsi="Times New Roman" w:eastAsia="仿宋_GB2312"/>
          <w:sz w:val="32"/>
          <w:szCs w:val="32"/>
        </w:rPr>
        <w:t>45</w:t>
      </w:r>
      <w:r>
        <w:rPr>
          <w:rFonts w:hint="eastAsia" w:ascii="Times New Roman" w:hAnsi="Times New Roman" w:eastAsia="仿宋_GB2312"/>
          <w:sz w:val="32"/>
          <w:szCs w:val="32"/>
        </w:rPr>
        <w:t>号）及</w:t>
      </w:r>
      <w:r>
        <w:rPr>
          <w:rFonts w:ascii="Times New Roman" w:hAnsi="Times New Roman" w:eastAsia="仿宋_GB2312"/>
          <w:sz w:val="32"/>
          <w:szCs w:val="32"/>
        </w:rPr>
        <w:t>《昌吉回族自治州美丽蓝天建设项目实施方案》等有关规定，制定本办法。</w:t>
      </w:r>
    </w:p>
    <w:p>
      <w:pPr>
        <w:spacing w:line="560" w:lineRule="exact"/>
        <w:ind w:firstLine="643" w:firstLineChars="200"/>
        <w:rPr>
          <w:rFonts w:ascii="Times New Roman" w:hAnsi="Times New Roman" w:eastAsia="仿宋_GB2312"/>
          <w:snapToGrid w:val="0"/>
          <w:sz w:val="32"/>
          <w:szCs w:val="32"/>
        </w:rPr>
      </w:pPr>
      <w:r>
        <w:rPr>
          <w:rFonts w:ascii="Times New Roman" w:hAnsi="Times New Roman" w:eastAsia="仿宋_GB2312"/>
          <w:b/>
          <w:bCs/>
          <w:snapToGrid w:val="0"/>
          <w:sz w:val="32"/>
          <w:szCs w:val="32"/>
        </w:rPr>
        <w:t xml:space="preserve">第二条 </w:t>
      </w:r>
      <w:r>
        <w:rPr>
          <w:rFonts w:ascii="Times New Roman" w:hAnsi="Times New Roman" w:eastAsia="仿宋_GB2312"/>
          <w:snapToGrid w:val="0"/>
          <w:sz w:val="32"/>
          <w:szCs w:val="32"/>
        </w:rPr>
        <w:t>本办法适用于昌吉州美丽蓝天建设项目的</w:t>
      </w:r>
      <w:r>
        <w:rPr>
          <w:rFonts w:hint="eastAsia" w:ascii="Times New Roman" w:hAnsi="Times New Roman" w:eastAsia="仿宋_GB2312"/>
          <w:snapToGrid w:val="0"/>
          <w:sz w:val="32"/>
          <w:szCs w:val="32"/>
        </w:rPr>
        <w:t>申报</w:t>
      </w:r>
      <w:r>
        <w:rPr>
          <w:rFonts w:ascii="Times New Roman" w:hAnsi="Times New Roman" w:eastAsia="仿宋_GB2312"/>
          <w:snapToGrid w:val="0"/>
          <w:sz w:val="32"/>
          <w:szCs w:val="32"/>
        </w:rPr>
        <w:t>、</w:t>
      </w:r>
      <w:r>
        <w:rPr>
          <w:rFonts w:hint="eastAsia" w:ascii="Times New Roman" w:hAnsi="Times New Roman" w:eastAsia="仿宋_GB2312"/>
          <w:snapToGrid w:val="0"/>
          <w:sz w:val="32"/>
          <w:szCs w:val="32"/>
        </w:rPr>
        <w:t>审核、实施</w:t>
      </w:r>
      <w:r>
        <w:rPr>
          <w:rFonts w:ascii="Times New Roman" w:hAnsi="Times New Roman" w:eastAsia="仿宋_GB2312"/>
          <w:snapToGrid w:val="0"/>
          <w:sz w:val="32"/>
          <w:szCs w:val="32"/>
        </w:rPr>
        <w:t>、监</w:t>
      </w:r>
      <w:r>
        <w:rPr>
          <w:rFonts w:hint="eastAsia" w:ascii="Times New Roman" w:hAnsi="Times New Roman" w:eastAsia="仿宋_GB2312"/>
          <w:snapToGrid w:val="0"/>
          <w:sz w:val="32"/>
          <w:szCs w:val="32"/>
        </w:rPr>
        <w:t>管</w:t>
      </w:r>
      <w:r>
        <w:rPr>
          <w:rFonts w:ascii="Times New Roman" w:hAnsi="Times New Roman" w:eastAsia="仿宋_GB2312"/>
          <w:snapToGrid w:val="0"/>
          <w:sz w:val="32"/>
          <w:szCs w:val="32"/>
        </w:rPr>
        <w:t>、验收等全流程管理。</w:t>
      </w:r>
      <w:bookmarkStart w:id="0" w:name="OLE_LINK2"/>
    </w:p>
    <w:p>
      <w:pPr>
        <w:spacing w:line="560" w:lineRule="exact"/>
        <w:ind w:firstLine="640" w:firstLineChars="200"/>
        <w:rPr>
          <w:rFonts w:ascii="Times New Roman" w:hAnsi="Times New Roman" w:eastAsia="仿宋_GB2312"/>
          <w:snapToGrid w:val="0"/>
          <w:sz w:val="32"/>
          <w:szCs w:val="32"/>
        </w:rPr>
      </w:pPr>
      <w:r>
        <w:rPr>
          <w:rFonts w:hint="eastAsia" w:ascii="Times New Roman" w:hAnsi="Times New Roman" w:eastAsia="仿宋_GB2312"/>
          <w:snapToGrid w:val="0"/>
          <w:sz w:val="32"/>
          <w:szCs w:val="32"/>
        </w:rPr>
        <w:t>本办法所称子</w:t>
      </w:r>
      <w:r>
        <w:rPr>
          <w:rFonts w:ascii="Times New Roman" w:hAnsi="Times New Roman" w:eastAsia="仿宋_GB2312"/>
          <w:snapToGrid w:val="0"/>
          <w:sz w:val="32"/>
          <w:szCs w:val="32"/>
        </w:rPr>
        <w:t>项目</w:t>
      </w:r>
      <w:r>
        <w:rPr>
          <w:rFonts w:hint="eastAsia" w:ascii="Times New Roman" w:hAnsi="Times New Roman" w:eastAsia="仿宋_GB2312"/>
          <w:snapToGrid w:val="0"/>
          <w:sz w:val="32"/>
          <w:szCs w:val="32"/>
        </w:rPr>
        <w:t>，是指所有纳入昌吉州美丽蓝天建设项目清单的具体项目</w:t>
      </w:r>
      <w:r>
        <w:rPr>
          <w:rFonts w:ascii="Times New Roman" w:hAnsi="Times New Roman" w:eastAsia="仿宋_GB2312"/>
          <w:snapToGrid w:val="0"/>
          <w:sz w:val="32"/>
          <w:szCs w:val="32"/>
        </w:rPr>
        <w:t>。</w:t>
      </w:r>
      <w:bookmarkEnd w:id="0"/>
      <w:r>
        <w:rPr>
          <w:rFonts w:hint="eastAsia" w:ascii="仿宋_GB2312" w:hAnsi="宋体" w:eastAsia="仿宋_GB2312" w:cs="仿宋_GB2312"/>
          <w:color w:val="000000"/>
          <w:kern w:val="0"/>
          <w:sz w:val="31"/>
          <w:szCs w:val="31"/>
          <w:lang w:bidi="ar"/>
        </w:rPr>
        <w:t>子项目实施单位或个人为子项目实施与资金使用的责任主体。</w:t>
      </w:r>
      <w:r>
        <w:rPr>
          <w:rFonts w:hint="eastAsia" w:ascii="Times New Roman" w:hAnsi="Times New Roman" w:eastAsia="仿宋_GB2312"/>
          <w:sz w:val="32"/>
          <w:szCs w:val="32"/>
        </w:rPr>
        <w:t>项目监管部门</w:t>
      </w:r>
      <w:r>
        <w:rPr>
          <w:rFonts w:hint="eastAsia" w:ascii="仿宋_GB2312" w:hAnsi="宋体" w:eastAsia="仿宋_GB2312" w:cs="仿宋_GB2312"/>
          <w:color w:val="000000"/>
          <w:kern w:val="0"/>
          <w:sz w:val="31"/>
          <w:szCs w:val="31"/>
          <w:lang w:bidi="ar"/>
        </w:rPr>
        <w:t>为子项目实施单位的行业监管部门。</w:t>
      </w:r>
    </w:p>
    <w:p>
      <w:pPr>
        <w:spacing w:line="560" w:lineRule="exact"/>
        <w:ind w:firstLine="643" w:firstLineChars="200"/>
        <w:rPr>
          <w:rFonts w:ascii="Times New Roman" w:hAnsi="Times New Roman" w:eastAsia="仿宋_GB2312"/>
          <w:snapToGrid w:val="0"/>
          <w:sz w:val="32"/>
          <w:szCs w:val="32"/>
        </w:rPr>
      </w:pPr>
      <w:r>
        <w:rPr>
          <w:rFonts w:ascii="Times New Roman" w:hAnsi="Times New Roman" w:eastAsia="仿宋_GB2312"/>
          <w:b/>
          <w:bCs/>
          <w:snapToGrid w:val="0"/>
          <w:sz w:val="32"/>
          <w:szCs w:val="32"/>
        </w:rPr>
        <w:t xml:space="preserve">第三条 </w:t>
      </w:r>
      <w:r>
        <w:rPr>
          <w:rFonts w:ascii="Times New Roman" w:hAnsi="Times New Roman" w:eastAsia="仿宋_GB2312"/>
          <w:snapToGrid w:val="0"/>
          <w:sz w:val="32"/>
          <w:szCs w:val="32"/>
        </w:rPr>
        <w:t>项目全流程管理遵循</w:t>
      </w:r>
      <w:r>
        <w:rPr>
          <w:rFonts w:hint="eastAsia" w:ascii="Times New Roman" w:hAnsi="Times New Roman" w:eastAsia="仿宋_GB2312"/>
          <w:snapToGrid w:val="0"/>
          <w:sz w:val="32"/>
          <w:szCs w:val="32"/>
        </w:rPr>
        <w:t>依法依规</w:t>
      </w:r>
      <w:r>
        <w:rPr>
          <w:rFonts w:ascii="Times New Roman" w:hAnsi="Times New Roman" w:eastAsia="仿宋_GB2312"/>
          <w:snapToGrid w:val="0"/>
          <w:sz w:val="32"/>
          <w:szCs w:val="32"/>
        </w:rPr>
        <w:t>、</w:t>
      </w:r>
      <w:r>
        <w:rPr>
          <w:rFonts w:hint="eastAsia" w:ascii="Times New Roman" w:hAnsi="Times New Roman" w:eastAsia="仿宋_GB2312"/>
          <w:snapToGrid w:val="0"/>
          <w:sz w:val="32"/>
          <w:szCs w:val="32"/>
        </w:rPr>
        <w:t>规范管理</w:t>
      </w:r>
      <w:r>
        <w:rPr>
          <w:rFonts w:ascii="Times New Roman" w:hAnsi="Times New Roman" w:eastAsia="仿宋_GB2312"/>
          <w:snapToGrid w:val="0"/>
          <w:sz w:val="32"/>
          <w:szCs w:val="32"/>
        </w:rPr>
        <w:t>、</w:t>
      </w:r>
      <w:r>
        <w:rPr>
          <w:rFonts w:hint="eastAsia" w:ascii="Times New Roman" w:hAnsi="Times New Roman" w:eastAsia="仿宋_GB2312"/>
          <w:snapToGrid w:val="0"/>
          <w:sz w:val="32"/>
          <w:szCs w:val="32"/>
        </w:rPr>
        <w:t>公开透明</w:t>
      </w:r>
      <w:r>
        <w:rPr>
          <w:rFonts w:ascii="Times New Roman" w:hAnsi="Times New Roman" w:eastAsia="仿宋_GB2312"/>
          <w:snapToGrid w:val="0"/>
          <w:sz w:val="32"/>
          <w:szCs w:val="32"/>
        </w:rPr>
        <w:t>、</w:t>
      </w:r>
      <w:r>
        <w:rPr>
          <w:rFonts w:hint="eastAsia" w:ascii="Times New Roman" w:hAnsi="Times New Roman" w:eastAsia="仿宋_GB2312"/>
          <w:snapToGrid w:val="0"/>
          <w:sz w:val="32"/>
          <w:szCs w:val="32"/>
        </w:rPr>
        <w:t>务实高效的</w:t>
      </w:r>
      <w:r>
        <w:rPr>
          <w:rFonts w:ascii="Times New Roman" w:hAnsi="Times New Roman" w:eastAsia="仿宋_GB2312"/>
          <w:snapToGrid w:val="0"/>
          <w:sz w:val="32"/>
          <w:szCs w:val="32"/>
        </w:rPr>
        <w:t>原则。</w:t>
      </w:r>
      <w:bookmarkStart w:id="1" w:name="OLE_LINK1"/>
    </w:p>
    <w:p>
      <w:pPr>
        <w:spacing w:line="560" w:lineRule="exact"/>
        <w:ind w:firstLine="643" w:firstLineChars="200"/>
        <w:rPr>
          <w:rFonts w:ascii="Times New Roman" w:hAnsi="Times New Roman" w:eastAsia="仿宋_GB2312"/>
          <w:snapToGrid w:val="0"/>
          <w:sz w:val="32"/>
          <w:szCs w:val="32"/>
        </w:rPr>
      </w:pPr>
      <w:r>
        <w:rPr>
          <w:rFonts w:hint="eastAsia" w:ascii="Times New Roman" w:hAnsi="Times New Roman" w:eastAsia="仿宋_GB2312"/>
          <w:b/>
          <w:bCs/>
          <w:snapToGrid w:val="0"/>
          <w:sz w:val="32"/>
          <w:szCs w:val="32"/>
        </w:rPr>
        <w:t>第四条</w:t>
      </w:r>
      <w:r>
        <w:rPr>
          <w:rFonts w:hint="eastAsia" w:ascii="Times New Roman" w:hAnsi="Times New Roman" w:eastAsia="仿宋_GB2312"/>
          <w:snapToGrid w:val="0"/>
          <w:sz w:val="32"/>
          <w:szCs w:val="32"/>
        </w:rPr>
        <w:t xml:space="preserve"> 昌吉州美丽蓝天建设项目以空气质量改善为核心，以细颗粒物与臭氧协同控制为主线，力争达到《昌吉州美丽蓝天建设项目实施方案》承诺的改善目标。</w:t>
      </w:r>
    </w:p>
    <w:bookmarkEnd w:id="1"/>
    <w:p>
      <w:pPr>
        <w:widowControl/>
        <w:spacing w:line="560" w:lineRule="exact"/>
        <w:jc w:val="center"/>
      </w:pPr>
      <w:r>
        <w:rPr>
          <w:rFonts w:ascii="方正黑体_GBK" w:hAnsi="方正黑体_GBK" w:eastAsia="方正黑体_GBK" w:cs="方正黑体_GBK"/>
          <w:color w:val="000000"/>
          <w:kern w:val="0"/>
          <w:sz w:val="31"/>
          <w:szCs w:val="31"/>
          <w:lang w:bidi="ar"/>
        </w:rPr>
        <w:t>第二章 职责分工</w:t>
      </w:r>
    </w:p>
    <w:p>
      <w:pPr>
        <w:spacing w:line="560" w:lineRule="exact"/>
        <w:ind w:firstLine="643" w:firstLineChars="200"/>
        <w:rPr>
          <w:rFonts w:hint="eastAsia" w:ascii="仿宋_GB2312" w:hAnsi="仿宋_GB2312" w:eastAsia="仿宋_GB2312" w:cs="仿宋_GB2312"/>
          <w:sz w:val="32"/>
          <w:szCs w:val="32"/>
        </w:rPr>
      </w:pPr>
      <w:r>
        <w:rPr>
          <w:rFonts w:ascii="Times New Roman" w:hAnsi="Times New Roman" w:eastAsia="仿宋_GB2312"/>
          <w:b/>
          <w:bCs/>
          <w:snapToGrid w:val="0"/>
          <w:sz w:val="32"/>
          <w:szCs w:val="32"/>
        </w:rPr>
        <w:t>第</w:t>
      </w:r>
      <w:r>
        <w:rPr>
          <w:rFonts w:hint="eastAsia" w:ascii="Times New Roman" w:hAnsi="Times New Roman" w:eastAsia="仿宋_GB2312"/>
          <w:b/>
          <w:bCs/>
          <w:snapToGrid w:val="0"/>
          <w:sz w:val="32"/>
          <w:szCs w:val="32"/>
        </w:rPr>
        <w:t>五</w:t>
      </w:r>
      <w:r>
        <w:rPr>
          <w:rFonts w:ascii="Times New Roman" w:hAnsi="Times New Roman" w:eastAsia="仿宋_GB2312"/>
          <w:b/>
          <w:bCs/>
          <w:snapToGrid w:val="0"/>
          <w:sz w:val="32"/>
          <w:szCs w:val="32"/>
        </w:rPr>
        <w:t xml:space="preserve">条 </w:t>
      </w:r>
      <w:r>
        <w:rPr>
          <w:rFonts w:hint="eastAsia" w:ascii="仿宋_GB2312" w:hAnsi="仿宋_GB2312" w:eastAsia="仿宋_GB2312" w:cs="仿宋_GB2312"/>
          <w:sz w:val="32"/>
          <w:szCs w:val="32"/>
        </w:rPr>
        <w:t>在州政府领导下，昌吉州生态环境局具体负责昌吉州美丽蓝天建设项目总体统筹推进，督促各项任务按期落实，跟踪调度美丽蓝天建设项目治理工程实施进展，确保各项工程按进度计划稳步推进。州生态环境局、发改委、财政局、住建局、工信局、农业农村局、审计局等部门按照责任分工承担相应子项目及事项的推进、跟踪管理，以及负责对县市（园区）上报的子项目验收审核进行复验，各相关部门具体职责如下：</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hint="eastAsia" w:ascii="仿宋_GB2312" w:hAnsi="宋体" w:eastAsia="仿宋_GB2312" w:cs="仿宋_GB2312"/>
          <w:color w:val="000000"/>
          <w:kern w:val="0"/>
          <w:sz w:val="31"/>
          <w:szCs w:val="31"/>
          <w:lang w:bidi="ar"/>
        </w:rPr>
        <w:t>州生态环境局：</w:t>
      </w:r>
      <w:r>
        <w:rPr>
          <w:rFonts w:hint="eastAsia" w:ascii="仿宋_GB2312" w:hAnsi="仿宋_GB2312" w:eastAsia="仿宋_GB2312" w:cs="仿宋_GB2312"/>
          <w:sz w:val="32"/>
          <w:szCs w:val="32"/>
        </w:rPr>
        <w:t>负责组织项目申报受理、审核评审、信息公开、项目验收、监督管理与绩效管理等工作。</w:t>
      </w:r>
      <w:r>
        <w:rPr>
          <w:rFonts w:hint="eastAsia" w:ascii="仿宋_GB2312" w:hAnsi="宋体" w:eastAsia="仿宋_GB2312" w:cs="仿宋_GB2312"/>
          <w:color w:val="000000"/>
          <w:kern w:val="0"/>
          <w:sz w:val="31"/>
          <w:szCs w:val="31"/>
          <w:lang w:bidi="ar"/>
        </w:rPr>
        <w:t>负责督促指导县市锅炉淘汰替代、企业治理设施升级改造、环保绩效提级、非营运老旧货车淘汰更新工程顺利实施。</w:t>
      </w:r>
    </w:p>
    <w:p>
      <w:pPr>
        <w:widowControl/>
        <w:spacing w:line="560" w:lineRule="exact"/>
        <w:ind w:firstLine="640" w:firstLineChars="200"/>
        <w:jc w:val="left"/>
        <w:rPr>
          <w:rFonts w:hint="eastAsia"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（二）</w:t>
      </w:r>
      <w:r>
        <w:rPr>
          <w:rFonts w:ascii="仿宋_GB2312" w:hAnsi="宋体" w:eastAsia="仿宋_GB2312" w:cs="仿宋_GB2312"/>
          <w:color w:val="000000"/>
          <w:kern w:val="0"/>
          <w:sz w:val="32"/>
          <w:szCs w:val="32"/>
          <w:lang w:bidi="ar"/>
        </w:rPr>
        <w:t>州发改委：</w:t>
      </w:r>
      <w:r>
        <w:rPr>
          <w:rFonts w:hint="eastAsia" w:ascii="仿宋_GB2312" w:hAnsi="宋体" w:eastAsia="仿宋_GB2312" w:cs="仿宋_GB2312"/>
          <w:color w:val="000000"/>
          <w:kern w:val="0"/>
          <w:sz w:val="32"/>
          <w:szCs w:val="32"/>
          <w:lang w:bidi="ar"/>
        </w:rPr>
        <w:t>负责推进粮站清洁能源替代。</w:t>
      </w:r>
    </w:p>
    <w:p>
      <w:pPr>
        <w:widowControl/>
        <w:spacing w:line="560" w:lineRule="exact"/>
        <w:ind w:firstLine="640" w:firstLineChars="200"/>
        <w:jc w:val="left"/>
        <w:rPr>
          <w:rFonts w:hint="eastAsia"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（三）州工信局：负责推进传统产业改造提升与工业重点行</w:t>
      </w:r>
      <w:r>
        <w:rPr>
          <w:rFonts w:hint="eastAsia" w:ascii="仿宋_GB2312" w:hAnsi="宋体" w:eastAsia="仿宋_GB2312" w:cs="仿宋_GB2312"/>
          <w:color w:val="000000"/>
          <w:spacing w:val="-8"/>
          <w:kern w:val="0"/>
          <w:sz w:val="32"/>
          <w:szCs w:val="32"/>
          <w:lang w:bidi="ar"/>
        </w:rPr>
        <w:t>业淘汰落后产能；配合行业主管部门做好工业炉窑清洁能源替代、工业园区企业综合治理。</w:t>
      </w:r>
    </w:p>
    <w:p>
      <w:pPr>
        <w:widowControl/>
        <w:spacing w:line="560" w:lineRule="exact"/>
        <w:ind w:firstLine="640" w:firstLineChars="200"/>
        <w:jc w:val="left"/>
        <w:rPr>
          <w:rFonts w:hint="eastAsia"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（四）州商务局：配合州生态环境局、交通运输局、住建局、市场监督管理局做好货车及叉车淘汰工作。</w:t>
      </w:r>
    </w:p>
    <w:p>
      <w:pPr>
        <w:widowControl/>
        <w:spacing w:line="560" w:lineRule="exact"/>
        <w:ind w:firstLine="620" w:firstLineChars="200"/>
        <w:jc w:val="left"/>
        <w:rPr>
          <w:rFonts w:hint="eastAsia" w:ascii="仿宋_GB2312" w:hAnsi="宋体" w:eastAsia="仿宋_GB2312" w:cs="仿宋_GB2312"/>
          <w:color w:val="000000"/>
          <w:kern w:val="0"/>
          <w:sz w:val="31"/>
          <w:szCs w:val="31"/>
          <w:lang w:bidi="ar"/>
        </w:rPr>
      </w:pPr>
      <w:r>
        <w:rPr>
          <w:rFonts w:hint="eastAsia" w:ascii="仿宋_GB2312" w:hAnsi="宋体" w:eastAsia="仿宋_GB2312" w:cs="仿宋_GB2312"/>
          <w:color w:val="000000"/>
          <w:kern w:val="0"/>
          <w:sz w:val="31"/>
          <w:szCs w:val="31"/>
          <w:lang w:bidi="ar"/>
        </w:rPr>
        <w:t>（五）州交通局：负责推进交通领域重点任务落实。</w:t>
      </w:r>
    </w:p>
    <w:p>
      <w:pPr>
        <w:widowControl/>
        <w:spacing w:line="560" w:lineRule="exact"/>
        <w:ind w:firstLine="620" w:firstLineChars="200"/>
        <w:jc w:val="left"/>
        <w:rPr>
          <w:rFonts w:hint="eastAsia" w:ascii="仿宋_GB2312" w:hAnsi="宋体" w:eastAsia="仿宋_GB2312" w:cs="仿宋_GB2312"/>
          <w:color w:val="000000"/>
          <w:kern w:val="0"/>
          <w:sz w:val="31"/>
          <w:szCs w:val="31"/>
          <w:lang w:bidi="ar"/>
        </w:rPr>
      </w:pPr>
      <w:r>
        <w:rPr>
          <w:rFonts w:hint="eastAsia" w:ascii="仿宋_GB2312" w:hAnsi="宋体" w:eastAsia="仿宋_GB2312" w:cs="仿宋_GB2312"/>
          <w:color w:val="000000"/>
          <w:kern w:val="0"/>
          <w:sz w:val="31"/>
          <w:szCs w:val="31"/>
          <w:lang w:bidi="ar"/>
        </w:rPr>
        <w:t>（六）州公安局：负责推进强制报废车辆淘汰工作，并配合州生态环境局、交通局、住建局做好老旧货车淘汰工作。</w:t>
      </w:r>
    </w:p>
    <w:p>
      <w:pPr>
        <w:widowControl/>
        <w:spacing w:line="560" w:lineRule="exact"/>
        <w:ind w:firstLine="620" w:firstLineChars="200"/>
        <w:jc w:val="left"/>
        <w:rPr>
          <w:rFonts w:hint="eastAsia" w:ascii="仿宋_GB2312" w:hAnsi="宋体" w:eastAsia="仿宋_GB2312" w:cs="仿宋_GB2312"/>
          <w:color w:val="000000"/>
          <w:kern w:val="0"/>
          <w:sz w:val="31"/>
          <w:szCs w:val="31"/>
          <w:lang w:bidi="ar"/>
        </w:rPr>
      </w:pPr>
      <w:r>
        <w:rPr>
          <w:rFonts w:hint="eastAsia" w:ascii="仿宋_GB2312" w:hAnsi="宋体" w:eastAsia="仿宋_GB2312" w:cs="仿宋_GB2312"/>
          <w:color w:val="000000"/>
          <w:kern w:val="0"/>
          <w:sz w:val="31"/>
          <w:szCs w:val="31"/>
          <w:lang w:bidi="ar"/>
        </w:rPr>
        <w:t>（七）州住建局：负责推进农村清洁取暖替代工程建设，老旧环卫货车淘汰和新能源替代。</w:t>
      </w:r>
    </w:p>
    <w:p>
      <w:pPr>
        <w:widowControl/>
        <w:spacing w:line="560" w:lineRule="exact"/>
        <w:ind w:firstLine="620" w:firstLineChars="200"/>
        <w:jc w:val="left"/>
        <w:rPr>
          <w:rFonts w:hint="eastAsia" w:ascii="仿宋_GB2312" w:hAnsi="宋体" w:eastAsia="仿宋_GB2312" w:cs="仿宋_GB2312"/>
          <w:color w:val="000000"/>
          <w:kern w:val="0"/>
          <w:sz w:val="31"/>
          <w:szCs w:val="31"/>
          <w:lang w:bidi="ar"/>
        </w:rPr>
      </w:pPr>
      <w:r>
        <w:rPr>
          <w:rFonts w:hint="eastAsia" w:ascii="仿宋_GB2312" w:hAnsi="宋体" w:eastAsia="仿宋_GB2312" w:cs="仿宋_GB2312"/>
          <w:color w:val="000000"/>
          <w:kern w:val="0"/>
          <w:sz w:val="31"/>
          <w:szCs w:val="31"/>
          <w:lang w:bidi="ar"/>
        </w:rPr>
        <w:t>（八）州</w:t>
      </w:r>
      <w:r>
        <w:rPr>
          <w:rFonts w:ascii="Times New Roman" w:hAnsi="Times New Roman" w:eastAsia="仿宋_GB2312"/>
          <w:sz w:val="32"/>
          <w:szCs w:val="32"/>
        </w:rPr>
        <w:t>市场监督管理局</w:t>
      </w:r>
      <w:r>
        <w:rPr>
          <w:rFonts w:hint="eastAsia" w:ascii="仿宋_GB2312" w:hAnsi="宋体" w:eastAsia="仿宋_GB2312" w:cs="仿宋_GB2312"/>
          <w:color w:val="000000"/>
          <w:kern w:val="0"/>
          <w:sz w:val="31"/>
          <w:szCs w:val="31"/>
          <w:lang w:bidi="ar"/>
        </w:rPr>
        <w:t>：负责推进餐饮油烟集中治理工程</w:t>
      </w:r>
      <w:r>
        <w:rPr>
          <w:rFonts w:hint="eastAsia" w:ascii="仿宋_GB2312" w:hAnsi="宋体" w:eastAsia="仿宋_GB2312" w:cs="仿宋_GB2312"/>
          <w:color w:val="000000"/>
          <w:spacing w:val="-8"/>
          <w:kern w:val="0"/>
          <w:sz w:val="31"/>
          <w:szCs w:val="31"/>
          <w:lang w:bidi="ar"/>
        </w:rPr>
        <w:t>项目和各县市厂内老旧非道路移动机械</w:t>
      </w:r>
      <w:r>
        <w:rPr>
          <w:rFonts w:hint="eastAsia" w:ascii="Times New Roman" w:hAnsi="Times New Roman"/>
          <w:color w:val="000000"/>
          <w:spacing w:val="-8"/>
          <w:kern w:val="0"/>
          <w:sz w:val="31"/>
          <w:szCs w:val="31"/>
          <w:lang w:bidi="ar"/>
        </w:rPr>
        <w:t>（</w:t>
      </w:r>
      <w:r>
        <w:rPr>
          <w:rFonts w:hint="eastAsia" w:ascii="仿宋_GB2312" w:hAnsi="宋体" w:eastAsia="仿宋_GB2312" w:cs="仿宋_GB2312"/>
          <w:color w:val="000000"/>
          <w:spacing w:val="-8"/>
          <w:kern w:val="0"/>
          <w:sz w:val="31"/>
          <w:szCs w:val="31"/>
          <w:lang w:bidi="ar"/>
        </w:rPr>
        <w:t>叉车</w:t>
      </w:r>
      <w:r>
        <w:rPr>
          <w:rFonts w:hint="eastAsia" w:ascii="Times New Roman" w:hAnsi="Times New Roman"/>
          <w:color w:val="000000"/>
          <w:spacing w:val="-8"/>
          <w:kern w:val="0"/>
          <w:sz w:val="31"/>
          <w:szCs w:val="31"/>
          <w:lang w:bidi="ar"/>
        </w:rPr>
        <w:t>）</w:t>
      </w:r>
      <w:r>
        <w:rPr>
          <w:rFonts w:hint="eastAsia" w:ascii="仿宋_GB2312" w:hAnsi="宋体" w:eastAsia="仿宋_GB2312" w:cs="仿宋_GB2312"/>
          <w:color w:val="000000"/>
          <w:spacing w:val="-8"/>
          <w:kern w:val="0"/>
          <w:sz w:val="31"/>
          <w:szCs w:val="31"/>
          <w:lang w:bidi="ar"/>
        </w:rPr>
        <w:t>淘汰更新工程项目。</w:t>
      </w:r>
    </w:p>
    <w:p>
      <w:pPr>
        <w:widowControl/>
        <w:spacing w:line="560" w:lineRule="exact"/>
        <w:ind w:firstLine="620" w:firstLineChars="200"/>
        <w:jc w:val="left"/>
        <w:rPr>
          <w:rFonts w:hint="eastAsia" w:ascii="仿宋_GB2312" w:hAnsi="宋体" w:eastAsia="仿宋_GB2312" w:cs="仿宋_GB2312"/>
          <w:color w:val="000000"/>
          <w:kern w:val="0"/>
          <w:sz w:val="31"/>
          <w:szCs w:val="31"/>
          <w:lang w:bidi="ar"/>
        </w:rPr>
      </w:pPr>
      <w:r>
        <w:rPr>
          <w:rFonts w:hint="eastAsia" w:ascii="仿宋_GB2312" w:hAnsi="宋体" w:eastAsia="仿宋_GB2312" w:cs="仿宋_GB2312"/>
          <w:color w:val="000000"/>
          <w:kern w:val="0"/>
          <w:sz w:val="31"/>
          <w:szCs w:val="31"/>
          <w:lang w:bidi="ar"/>
        </w:rPr>
        <w:t>（九）州农业农村局：负责推进县市涉农燃煤设施清洁能源</w:t>
      </w:r>
      <w:r>
        <w:rPr>
          <w:rFonts w:hint="eastAsia" w:ascii="仿宋_GB2312" w:hAnsi="宋体" w:eastAsia="仿宋_GB2312" w:cs="仿宋_GB2312"/>
          <w:color w:val="000000"/>
          <w:spacing w:val="-8"/>
          <w:kern w:val="0"/>
          <w:sz w:val="31"/>
          <w:szCs w:val="31"/>
          <w:lang w:bidi="ar"/>
        </w:rPr>
        <w:t>改造项目和挖掘机、装载机等老旧非道路移动机械淘汰更新工程。</w:t>
      </w:r>
    </w:p>
    <w:p>
      <w:pPr>
        <w:widowControl/>
        <w:spacing w:line="560" w:lineRule="exact"/>
        <w:ind w:firstLine="620" w:firstLineChars="200"/>
        <w:jc w:val="left"/>
        <w:rPr>
          <w:rFonts w:hint="eastAsia" w:ascii="仿宋_GB2312" w:hAnsi="宋体" w:eastAsia="仿宋_GB2312" w:cs="仿宋_GB2312"/>
          <w:color w:val="000000"/>
          <w:kern w:val="0"/>
          <w:sz w:val="31"/>
          <w:szCs w:val="31"/>
          <w:lang w:bidi="ar"/>
        </w:rPr>
      </w:pPr>
      <w:r>
        <w:rPr>
          <w:rFonts w:hint="eastAsia" w:ascii="仿宋_GB2312" w:hAnsi="宋体" w:eastAsia="仿宋_GB2312" w:cs="仿宋_GB2312"/>
          <w:color w:val="000000"/>
          <w:kern w:val="0"/>
          <w:sz w:val="31"/>
          <w:szCs w:val="31"/>
          <w:lang w:bidi="ar"/>
        </w:rPr>
        <w:t>（十）州财政局：</w:t>
      </w:r>
      <w:r>
        <w:rPr>
          <w:rFonts w:hint="eastAsia" w:ascii="仿宋_GB2312" w:hAnsi="仿宋_GB2312" w:eastAsia="仿宋_GB2312" w:cs="仿宋_GB2312"/>
          <w:sz w:val="32"/>
          <w:szCs w:val="32"/>
        </w:rPr>
        <w:t>根据资金分配情况按程序拨付资金，统筹安排地方配套资金，督促主管部门对资金使用情况开展监督和绩效管理。</w:t>
      </w:r>
    </w:p>
    <w:p>
      <w:pPr>
        <w:spacing w:line="560" w:lineRule="exact"/>
        <w:ind w:firstLine="620" w:firstLineChars="200"/>
        <w:rPr>
          <w:rFonts w:hint="eastAsia" w:ascii="仿宋_GB2312" w:hAnsi="仿宋_GB2312" w:eastAsia="仿宋_GB2312" w:cs="仿宋_GB2312"/>
          <w:sz w:val="32"/>
          <w:szCs w:val="32"/>
        </w:rPr>
      </w:pPr>
      <w:r>
        <w:rPr>
          <w:rFonts w:hint="eastAsia" w:ascii="仿宋_GB2312" w:hAnsi="宋体" w:eastAsia="仿宋_GB2312" w:cs="仿宋_GB2312"/>
          <w:color w:val="000000"/>
          <w:kern w:val="0"/>
          <w:sz w:val="31"/>
          <w:szCs w:val="31"/>
          <w:lang w:bidi="ar"/>
        </w:rPr>
        <w:t>（十一）州审计局：</w:t>
      </w:r>
      <w:r>
        <w:rPr>
          <w:rFonts w:hint="eastAsia" w:ascii="仿宋_GB2312" w:hAnsi="仿宋_GB2312" w:eastAsia="仿宋_GB2312" w:cs="仿宋_GB2312"/>
          <w:sz w:val="32"/>
          <w:szCs w:val="32"/>
        </w:rPr>
        <w:t>负责组织实施对美丽蓝天建设项目资金的审计监督。</w:t>
      </w:r>
    </w:p>
    <w:p>
      <w:pPr>
        <w:widowControl/>
        <w:spacing w:line="560" w:lineRule="exact"/>
        <w:ind w:firstLine="640" w:firstLineChars="200"/>
        <w:jc w:val="left"/>
        <w:rPr>
          <w:rFonts w:hint="eastAsia" w:ascii="仿宋_GB2312" w:hAnsi="宋体" w:eastAsia="仿宋_GB2312" w:cs="仿宋_GB2312"/>
          <w:color w:val="000000"/>
          <w:kern w:val="0"/>
          <w:sz w:val="31"/>
          <w:szCs w:val="31"/>
          <w:lang w:bidi="ar"/>
        </w:rPr>
      </w:pPr>
      <w:r>
        <w:rPr>
          <w:rFonts w:hint="eastAsia" w:ascii="仿宋_GB2312" w:hAnsi="仿宋_GB2312" w:eastAsia="仿宋_GB2312" w:cs="仿宋_GB2312"/>
          <w:sz w:val="32"/>
          <w:szCs w:val="32"/>
        </w:rPr>
        <w:t>（十二）</w:t>
      </w:r>
      <w:r>
        <w:rPr>
          <w:rFonts w:hint="eastAsia" w:ascii="仿宋_GB2312" w:hAnsi="宋体" w:eastAsia="仿宋_GB2312" w:cs="仿宋_GB2312"/>
          <w:color w:val="000000"/>
          <w:kern w:val="0"/>
          <w:sz w:val="31"/>
          <w:szCs w:val="31"/>
          <w:lang w:bidi="ar"/>
        </w:rPr>
        <w:t>各县市（园区）人民政府（管委会）：负责组织实施本辖区内昌吉州美丽蓝天建设项目，落实县市（园区）级配套资金，开展项目摸排、组织申报、项目初审、资金拨付、监督管理、竣工验收审核、绩效管理等工作。</w:t>
      </w:r>
    </w:p>
    <w:p>
      <w:pPr>
        <w:widowControl/>
        <w:spacing w:line="560" w:lineRule="exact"/>
        <w:ind w:firstLine="643" w:firstLineChars="200"/>
        <w:jc w:val="left"/>
        <w:rPr>
          <w:rFonts w:hint="eastAsia" w:ascii="仿宋_GB2312" w:hAnsi="宋体" w:eastAsia="仿宋_GB2312" w:cs="仿宋_GB2312"/>
          <w:color w:val="000000"/>
          <w:kern w:val="0"/>
          <w:sz w:val="31"/>
          <w:szCs w:val="31"/>
          <w:lang w:bidi="ar"/>
        </w:rPr>
      </w:pPr>
      <w:r>
        <w:rPr>
          <w:rFonts w:ascii="Times New Roman" w:hAnsi="Times New Roman" w:eastAsia="仿宋_GB2312"/>
          <w:b/>
          <w:bCs/>
          <w:snapToGrid w:val="0"/>
          <w:sz w:val="32"/>
          <w:szCs w:val="32"/>
        </w:rPr>
        <w:t>第</w:t>
      </w:r>
      <w:r>
        <w:rPr>
          <w:rFonts w:hint="eastAsia" w:ascii="Times New Roman" w:hAnsi="Times New Roman" w:eastAsia="仿宋_GB2312"/>
          <w:b/>
          <w:bCs/>
          <w:snapToGrid w:val="0"/>
          <w:sz w:val="32"/>
          <w:szCs w:val="32"/>
        </w:rPr>
        <w:t>六</w:t>
      </w:r>
      <w:r>
        <w:rPr>
          <w:rFonts w:ascii="Times New Roman" w:hAnsi="Times New Roman" w:eastAsia="仿宋_GB2312"/>
          <w:b/>
          <w:bCs/>
          <w:snapToGrid w:val="0"/>
          <w:sz w:val="32"/>
          <w:szCs w:val="32"/>
        </w:rPr>
        <w:t>条</w:t>
      </w:r>
      <w:r>
        <w:rPr>
          <w:rFonts w:ascii="方正黑体_GBK" w:hAnsi="方正黑体_GBK" w:eastAsia="方正黑体_GBK" w:cs="方正黑体_GBK"/>
          <w:color w:val="000000"/>
          <w:kern w:val="0"/>
          <w:sz w:val="31"/>
          <w:szCs w:val="31"/>
          <w:lang w:bidi="ar"/>
        </w:rPr>
        <w:t xml:space="preserve"> </w:t>
      </w:r>
      <w:r>
        <w:rPr>
          <w:rFonts w:hint="eastAsia" w:ascii="仿宋_GB2312" w:hAnsi="宋体" w:eastAsia="仿宋_GB2312" w:cs="仿宋_GB2312"/>
          <w:color w:val="000000"/>
          <w:kern w:val="0"/>
          <w:sz w:val="31"/>
          <w:szCs w:val="31"/>
          <w:lang w:bidi="ar"/>
        </w:rPr>
        <w:t>子项目实施单位或个人对项目真实性、完整性、合法性、规范性负责，具体负责编制申报材料、筹措配套资金、组织项目实施、规范资金使用、开展绩效管理、按期验收并配合监督检查等工作，保障设施长效安全稳定运行；对项目建设质量、进度、资金合规使用及绩效目标完成情况承担直接责任。其中以个人为主体的只能申报“移动源污染治理”类项目。</w:t>
      </w:r>
    </w:p>
    <w:p>
      <w:pPr>
        <w:spacing w:line="560" w:lineRule="exact"/>
        <w:jc w:val="center"/>
        <w:rPr>
          <w:rFonts w:hint="eastAsia" w:ascii="黑体" w:hAnsi="黑体" w:eastAsia="黑体" w:cs="黑体"/>
          <w:sz w:val="32"/>
          <w:szCs w:val="32"/>
        </w:rPr>
      </w:pPr>
      <w:r>
        <w:rPr>
          <w:rFonts w:ascii="黑体" w:hAnsi="黑体" w:eastAsia="黑体" w:cs="黑体"/>
          <w:sz w:val="32"/>
          <w:szCs w:val="32"/>
        </w:rPr>
        <w:t>第</w:t>
      </w:r>
      <w:r>
        <w:rPr>
          <w:rFonts w:hint="eastAsia" w:ascii="黑体" w:hAnsi="黑体" w:eastAsia="黑体" w:cs="黑体"/>
          <w:sz w:val="32"/>
          <w:szCs w:val="32"/>
        </w:rPr>
        <w:t>三</w:t>
      </w:r>
      <w:r>
        <w:rPr>
          <w:rFonts w:ascii="黑体" w:hAnsi="黑体" w:eastAsia="黑体" w:cs="黑体"/>
          <w:sz w:val="32"/>
          <w:szCs w:val="32"/>
        </w:rPr>
        <w:t xml:space="preserve">章 </w:t>
      </w:r>
      <w:r>
        <w:rPr>
          <w:rFonts w:hint="eastAsia" w:ascii="黑体" w:hAnsi="黑体" w:eastAsia="黑体" w:cs="黑体"/>
          <w:sz w:val="32"/>
          <w:szCs w:val="32"/>
        </w:rPr>
        <w:t>申报和审核</w:t>
      </w:r>
    </w:p>
    <w:p>
      <w:pPr>
        <w:overflowPunct w:val="0"/>
        <w:spacing w:line="560" w:lineRule="exact"/>
        <w:ind w:firstLine="643" w:firstLineChars="200"/>
        <w:rPr>
          <w:rFonts w:ascii="Times New Roman" w:hAnsi="Times New Roman" w:eastAsia="仿宋_GB2312"/>
          <w:snapToGrid w:val="0"/>
          <w:sz w:val="32"/>
          <w:szCs w:val="32"/>
        </w:rPr>
      </w:pPr>
      <w:r>
        <w:rPr>
          <w:rFonts w:ascii="Times New Roman" w:hAnsi="Times New Roman" w:eastAsia="仿宋_GB2312"/>
          <w:b/>
          <w:bCs/>
          <w:sz w:val="32"/>
          <w:szCs w:val="32"/>
        </w:rPr>
        <w:t>第</w:t>
      </w:r>
      <w:r>
        <w:rPr>
          <w:rFonts w:hint="eastAsia" w:ascii="Times New Roman" w:hAnsi="Times New Roman" w:eastAsia="仿宋_GB2312"/>
          <w:b/>
          <w:bCs/>
          <w:sz w:val="32"/>
          <w:szCs w:val="32"/>
        </w:rPr>
        <w:t>七</w:t>
      </w:r>
      <w:r>
        <w:rPr>
          <w:rFonts w:ascii="Times New Roman" w:hAnsi="Times New Roman" w:eastAsia="仿宋_GB2312"/>
          <w:b/>
          <w:bCs/>
          <w:sz w:val="32"/>
          <w:szCs w:val="32"/>
        </w:rPr>
        <w:t>条</w:t>
      </w:r>
      <w:r>
        <w:rPr>
          <w:rFonts w:hint="eastAsia" w:ascii="Times New Roman" w:hAnsi="Times New Roman" w:eastAsia="仿宋_GB2312"/>
          <w:snapToGrid w:val="0"/>
          <w:sz w:val="32"/>
          <w:szCs w:val="32"/>
        </w:rPr>
        <w:t xml:space="preserve"> </w:t>
      </w:r>
      <w:r>
        <w:rPr>
          <w:rFonts w:ascii="Times New Roman" w:hAnsi="Times New Roman" w:eastAsia="仿宋_GB2312"/>
          <w:snapToGrid w:val="0"/>
          <w:sz w:val="32"/>
          <w:szCs w:val="32"/>
        </w:rPr>
        <w:t>项目申报</w:t>
      </w:r>
      <w:r>
        <w:rPr>
          <w:rFonts w:hint="eastAsia" w:ascii="Times New Roman" w:hAnsi="Times New Roman" w:eastAsia="仿宋_GB2312"/>
          <w:snapToGrid w:val="0"/>
          <w:sz w:val="32"/>
          <w:szCs w:val="32"/>
        </w:rPr>
        <w:t>和</w:t>
      </w:r>
      <w:r>
        <w:rPr>
          <w:rFonts w:ascii="Times New Roman" w:hAnsi="Times New Roman" w:eastAsia="仿宋_GB2312"/>
          <w:snapToGrid w:val="0"/>
          <w:sz w:val="32"/>
          <w:szCs w:val="32"/>
        </w:rPr>
        <w:t>审核流程</w:t>
      </w:r>
    </w:p>
    <w:p>
      <w:pPr>
        <w:overflowPunct w:val="0"/>
        <w:spacing w:line="560" w:lineRule="exact"/>
        <w:ind w:firstLine="640" w:firstLineChars="200"/>
        <w:rPr>
          <w:rFonts w:ascii="Times New Roman" w:hAnsi="Times New Roman" w:eastAsia="仿宋_GB2312"/>
          <w:snapToGrid w:val="0"/>
          <w:sz w:val="32"/>
          <w:szCs w:val="32"/>
        </w:rPr>
      </w:pPr>
      <w:r>
        <w:rPr>
          <w:rFonts w:hint="eastAsia" w:ascii="Times New Roman" w:hAnsi="Times New Roman" w:eastAsia="仿宋_GB2312"/>
          <w:snapToGrid w:val="0"/>
          <w:sz w:val="32"/>
          <w:szCs w:val="32"/>
        </w:rPr>
        <w:t>（一）支持范围：</w:t>
      </w:r>
    </w:p>
    <w:p>
      <w:pPr>
        <w:overflowPunct w:val="0"/>
        <w:spacing w:line="560" w:lineRule="exact"/>
        <w:ind w:firstLine="640" w:firstLineChars="200"/>
        <w:rPr>
          <w:rFonts w:ascii="Times New Roman" w:hAnsi="Times New Roman" w:eastAsia="仿宋_GB2312"/>
          <w:snapToGrid w:val="0"/>
          <w:sz w:val="32"/>
          <w:szCs w:val="32"/>
        </w:rPr>
      </w:pPr>
      <w:r>
        <w:rPr>
          <w:rFonts w:hint="eastAsia" w:ascii="Times New Roman" w:hAnsi="Times New Roman" w:eastAsia="仿宋_GB2312"/>
          <w:snapToGrid w:val="0"/>
          <w:sz w:val="32"/>
          <w:szCs w:val="32"/>
        </w:rPr>
        <w:t>1.</w:t>
      </w:r>
      <w:r>
        <w:rPr>
          <w:rFonts w:ascii="Times New Roman" w:hAnsi="Times New Roman" w:eastAsia="仿宋_GB2312"/>
          <w:snapToGrid w:val="0"/>
          <w:sz w:val="32"/>
          <w:szCs w:val="32"/>
        </w:rPr>
        <w:t>低效产能与设施淘汰退出。工艺落后、能耗高、大气污染物排放强度大的生产能力和装备等淘汰退出。</w:t>
      </w:r>
    </w:p>
    <w:p>
      <w:pPr>
        <w:overflowPunct w:val="0"/>
        <w:spacing w:line="560" w:lineRule="exact"/>
        <w:ind w:firstLine="640" w:firstLineChars="200"/>
        <w:rPr>
          <w:rFonts w:ascii="Times New Roman" w:hAnsi="Times New Roman" w:eastAsia="仿宋_GB2312"/>
          <w:snapToGrid w:val="0"/>
          <w:sz w:val="32"/>
          <w:szCs w:val="32"/>
        </w:rPr>
      </w:pPr>
      <w:r>
        <w:rPr>
          <w:rFonts w:hint="eastAsia" w:ascii="Times New Roman" w:hAnsi="Times New Roman" w:eastAsia="仿宋_GB2312"/>
          <w:snapToGrid w:val="0"/>
          <w:sz w:val="32"/>
          <w:szCs w:val="32"/>
        </w:rPr>
        <w:t>2.</w:t>
      </w:r>
      <w:r>
        <w:rPr>
          <w:rFonts w:ascii="Times New Roman" w:hAnsi="Times New Roman" w:eastAsia="仿宋_GB2312"/>
          <w:snapToGrid w:val="0"/>
          <w:sz w:val="32"/>
          <w:szCs w:val="32"/>
        </w:rPr>
        <w:t>锅炉炉窑清洁能源替代。燃煤、燃油锅炉淘汰或清洁能源替代，燃气锅炉淘汰或改电，生物质锅炉整合替代、工业炉窑清洁能源替代等。</w:t>
      </w:r>
    </w:p>
    <w:p>
      <w:pPr>
        <w:overflowPunct w:val="0"/>
        <w:spacing w:line="560" w:lineRule="exact"/>
        <w:ind w:firstLine="640" w:firstLineChars="200"/>
        <w:rPr>
          <w:rFonts w:ascii="Times New Roman" w:hAnsi="Times New Roman" w:eastAsia="仿宋_GB2312"/>
          <w:snapToGrid w:val="0"/>
          <w:sz w:val="32"/>
          <w:szCs w:val="32"/>
        </w:rPr>
      </w:pPr>
      <w:r>
        <w:rPr>
          <w:rFonts w:hint="eastAsia" w:ascii="Times New Roman" w:hAnsi="Times New Roman" w:eastAsia="仿宋_GB2312"/>
          <w:snapToGrid w:val="0"/>
          <w:sz w:val="32"/>
          <w:szCs w:val="32"/>
        </w:rPr>
        <w:t>3.</w:t>
      </w:r>
      <w:r>
        <w:rPr>
          <w:rFonts w:ascii="Times New Roman" w:hAnsi="Times New Roman" w:eastAsia="仿宋_GB2312"/>
          <w:snapToGrid w:val="0"/>
          <w:sz w:val="32"/>
          <w:szCs w:val="32"/>
        </w:rPr>
        <w:t>重点行业污染防治。燃煤锅炉全流程超低排放改造、燃气锅炉低氮改造、生物质锅炉深度治理、生活垃圾焚烧发电锅炉深度治理、工业炉窑综合治理、挥发性有机物（VOCs）综合治理（包括源头替代、末端治理、无组织排放治理、“绿岛”项目建设等）、重点行业全流程超低排放改造、重点行业环保绩效等级提升、产业集群综合整治等。</w:t>
      </w:r>
    </w:p>
    <w:p>
      <w:pPr>
        <w:overflowPunct w:val="0"/>
        <w:spacing w:line="560" w:lineRule="exact"/>
        <w:ind w:firstLine="640" w:firstLineChars="200"/>
        <w:rPr>
          <w:rFonts w:ascii="Times New Roman" w:hAnsi="Times New Roman" w:eastAsia="仿宋_GB2312"/>
          <w:snapToGrid w:val="0"/>
          <w:sz w:val="32"/>
          <w:szCs w:val="32"/>
        </w:rPr>
      </w:pPr>
      <w:r>
        <w:rPr>
          <w:rFonts w:hint="eastAsia" w:ascii="Times New Roman" w:hAnsi="Times New Roman" w:eastAsia="仿宋_GB2312"/>
          <w:snapToGrid w:val="0"/>
          <w:sz w:val="32"/>
          <w:szCs w:val="32"/>
        </w:rPr>
        <w:t>4.</w:t>
      </w:r>
      <w:r>
        <w:rPr>
          <w:rFonts w:ascii="Times New Roman" w:hAnsi="Times New Roman" w:eastAsia="仿宋_GB2312"/>
          <w:snapToGrid w:val="0"/>
          <w:sz w:val="32"/>
          <w:szCs w:val="32"/>
        </w:rPr>
        <w:t>移动源污染治理。老旧非道路移动机械淘汰、新能源替代或改造，老旧货车淘汰、新能源替代。后处理装置维修治理、远程在线监控和定位装置安装等。</w:t>
      </w:r>
    </w:p>
    <w:p>
      <w:pPr>
        <w:overflowPunct w:val="0"/>
        <w:spacing w:line="560" w:lineRule="exact"/>
        <w:ind w:firstLine="640" w:firstLineChars="200"/>
        <w:rPr>
          <w:rFonts w:ascii="Times New Roman" w:hAnsi="Times New Roman" w:eastAsia="仿宋_GB2312"/>
          <w:snapToGrid w:val="0"/>
          <w:sz w:val="32"/>
          <w:szCs w:val="32"/>
        </w:rPr>
      </w:pPr>
      <w:r>
        <w:rPr>
          <w:rFonts w:hint="eastAsia" w:ascii="Times New Roman" w:hAnsi="Times New Roman" w:eastAsia="仿宋_GB2312"/>
          <w:snapToGrid w:val="0"/>
          <w:sz w:val="32"/>
          <w:szCs w:val="32"/>
        </w:rPr>
        <w:t>5.</w:t>
      </w:r>
      <w:r>
        <w:rPr>
          <w:rFonts w:ascii="Times New Roman" w:hAnsi="Times New Roman" w:eastAsia="仿宋_GB2312"/>
          <w:snapToGrid w:val="0"/>
          <w:sz w:val="32"/>
          <w:szCs w:val="32"/>
        </w:rPr>
        <w:t>面源污染控制。散煤治理（包括取暖、生活等民用散煤，餐饮、洗浴等商业经营性炉灶散煤，以及种植业、养殖业、农副产品加工业等农业散煤）、餐饮油烟集中治理示范工程、恶臭异味深度治理、大气氨排放治理等。</w:t>
      </w:r>
    </w:p>
    <w:p>
      <w:pPr>
        <w:overflowPunct w:val="0"/>
        <w:spacing w:line="560" w:lineRule="exact"/>
        <w:ind w:firstLine="640" w:firstLineChars="200"/>
        <w:rPr>
          <w:rFonts w:ascii="Times New Roman" w:hAnsi="Times New Roman" w:eastAsia="仿宋_GB2312"/>
          <w:snapToGrid w:val="0"/>
          <w:sz w:val="32"/>
          <w:szCs w:val="32"/>
        </w:rPr>
      </w:pPr>
      <w:r>
        <w:rPr>
          <w:rFonts w:hint="eastAsia" w:ascii="Times New Roman" w:hAnsi="Times New Roman" w:eastAsia="仿宋_GB2312"/>
          <w:snapToGrid w:val="0"/>
          <w:sz w:val="32"/>
          <w:szCs w:val="32"/>
        </w:rPr>
        <w:t>（二）项目申请：子项目实施单位或个人按项目类型完成项目成熟度材料，包括</w:t>
      </w:r>
      <w:r>
        <w:rPr>
          <w:rFonts w:hint="eastAsia" w:ascii="Times New Roman" w:hAnsi="Times New Roman" w:eastAsia="仿宋_GB2312"/>
          <w:sz w:val="32"/>
          <w:szCs w:val="32"/>
        </w:rPr>
        <w:t>绩效目标申报表、项目</w:t>
      </w:r>
      <w:r>
        <w:rPr>
          <w:rFonts w:ascii="Times New Roman" w:hAnsi="Times New Roman" w:eastAsia="仿宋_GB2312"/>
          <w:sz w:val="32"/>
          <w:szCs w:val="32"/>
        </w:rPr>
        <w:t>可行性</w:t>
      </w:r>
      <w:r>
        <w:rPr>
          <w:rFonts w:hint="eastAsia" w:ascii="Times New Roman" w:hAnsi="Times New Roman" w:eastAsia="仿宋_GB2312"/>
          <w:sz w:val="32"/>
          <w:szCs w:val="32"/>
        </w:rPr>
        <w:t>研究报告及投资备案证</w:t>
      </w:r>
      <w:r>
        <w:rPr>
          <w:rFonts w:ascii="Times New Roman" w:hAnsi="Times New Roman" w:eastAsia="仿宋_GB2312"/>
          <w:sz w:val="32"/>
          <w:szCs w:val="32"/>
        </w:rPr>
        <w:t>或</w:t>
      </w:r>
      <w:r>
        <w:rPr>
          <w:rFonts w:hint="eastAsia" w:ascii="Times New Roman" w:hAnsi="Times New Roman" w:eastAsia="仿宋_GB2312"/>
          <w:sz w:val="32"/>
          <w:szCs w:val="32"/>
        </w:rPr>
        <w:t>项目</w:t>
      </w:r>
      <w:r>
        <w:rPr>
          <w:rFonts w:ascii="Times New Roman" w:hAnsi="Times New Roman" w:eastAsia="仿宋_GB2312"/>
          <w:sz w:val="32"/>
          <w:szCs w:val="32"/>
        </w:rPr>
        <w:t>实施方案</w:t>
      </w:r>
      <w:r>
        <w:rPr>
          <w:rFonts w:hint="eastAsia" w:ascii="Times New Roman" w:hAnsi="Times New Roman" w:eastAsia="仿宋_GB2312"/>
          <w:sz w:val="32"/>
          <w:szCs w:val="32"/>
        </w:rPr>
        <w:t>及批复</w:t>
      </w:r>
      <w:r>
        <w:rPr>
          <w:rFonts w:hint="eastAsia" w:ascii="Times New Roman" w:hAnsi="Times New Roman" w:eastAsia="仿宋_GB2312"/>
          <w:snapToGrid w:val="0"/>
          <w:sz w:val="32"/>
          <w:szCs w:val="32"/>
        </w:rPr>
        <w:t>（清单见附件1）</w:t>
      </w:r>
      <w:r>
        <w:rPr>
          <w:rFonts w:hint="eastAsia" w:ascii="Times New Roman" w:hAnsi="Times New Roman" w:eastAsia="仿宋_GB2312"/>
          <w:sz w:val="32"/>
          <w:szCs w:val="32"/>
        </w:rPr>
        <w:t>，并报送属地生态环境部门</w:t>
      </w:r>
      <w:r>
        <w:rPr>
          <w:rFonts w:hint="eastAsia" w:ascii="Times New Roman" w:hAnsi="Times New Roman" w:eastAsia="仿宋_GB2312"/>
          <w:snapToGrid w:val="0"/>
          <w:sz w:val="32"/>
          <w:szCs w:val="32"/>
        </w:rPr>
        <w:t>。</w:t>
      </w:r>
    </w:p>
    <w:p>
      <w:pPr>
        <w:overflowPunct w:val="0"/>
        <w:spacing w:line="560" w:lineRule="exact"/>
        <w:ind w:firstLine="640" w:firstLineChars="200"/>
        <w:rPr>
          <w:rFonts w:ascii="Times New Roman" w:hAnsi="Times New Roman" w:eastAsia="仿宋_GB2312"/>
          <w:snapToGrid w:val="0"/>
          <w:sz w:val="32"/>
          <w:szCs w:val="32"/>
        </w:rPr>
      </w:pPr>
      <w:r>
        <w:rPr>
          <w:rFonts w:ascii="Times New Roman" w:hAnsi="Times New Roman" w:eastAsia="仿宋_GB2312"/>
          <w:snapToGrid w:val="0"/>
          <w:sz w:val="32"/>
          <w:szCs w:val="32"/>
        </w:rPr>
        <w:t>（</w:t>
      </w:r>
      <w:r>
        <w:rPr>
          <w:rFonts w:hint="eastAsia" w:ascii="Times New Roman" w:hAnsi="Times New Roman" w:eastAsia="仿宋_GB2312"/>
          <w:snapToGrid w:val="0"/>
          <w:sz w:val="32"/>
          <w:szCs w:val="32"/>
        </w:rPr>
        <w:t>三</w:t>
      </w:r>
      <w:r>
        <w:rPr>
          <w:rFonts w:ascii="Times New Roman" w:hAnsi="Times New Roman" w:eastAsia="仿宋_GB2312"/>
          <w:snapToGrid w:val="0"/>
          <w:sz w:val="32"/>
          <w:szCs w:val="32"/>
        </w:rPr>
        <w:t>）</w:t>
      </w:r>
      <w:r>
        <w:rPr>
          <w:rFonts w:hint="eastAsia" w:ascii="Times New Roman" w:hAnsi="Times New Roman" w:eastAsia="仿宋_GB2312"/>
          <w:snapToGrid w:val="0"/>
          <w:sz w:val="32"/>
          <w:szCs w:val="32"/>
        </w:rPr>
        <w:t>县</w:t>
      </w:r>
      <w:r>
        <w:rPr>
          <w:rFonts w:ascii="Times New Roman" w:hAnsi="Times New Roman" w:eastAsia="仿宋_GB2312"/>
          <w:snapToGrid w:val="0"/>
          <w:sz w:val="32"/>
          <w:szCs w:val="32"/>
        </w:rPr>
        <w:t>级初审：</w:t>
      </w:r>
      <w:r>
        <w:rPr>
          <w:rFonts w:hint="eastAsia" w:ascii="Times New Roman" w:hAnsi="Times New Roman" w:eastAsia="仿宋_GB2312"/>
          <w:snapToGrid w:val="0"/>
          <w:sz w:val="32"/>
          <w:szCs w:val="32"/>
        </w:rPr>
        <w:t>县市（园区）人民政府（管委会）组织相关部门对子</w:t>
      </w:r>
      <w:r>
        <w:rPr>
          <w:rFonts w:ascii="Times New Roman" w:hAnsi="Times New Roman" w:eastAsia="仿宋_GB2312"/>
          <w:snapToGrid w:val="0"/>
          <w:sz w:val="32"/>
          <w:szCs w:val="32"/>
        </w:rPr>
        <w:t>项目申报</w:t>
      </w:r>
      <w:r>
        <w:rPr>
          <w:rFonts w:hint="eastAsia" w:ascii="Times New Roman" w:hAnsi="Times New Roman" w:eastAsia="仿宋_GB2312"/>
          <w:snapToGrid w:val="0"/>
          <w:sz w:val="32"/>
          <w:szCs w:val="32"/>
        </w:rPr>
        <w:t>的成熟度材料</w:t>
      </w:r>
      <w:r>
        <w:rPr>
          <w:rFonts w:ascii="Times New Roman" w:hAnsi="Times New Roman" w:eastAsia="仿宋_GB2312"/>
          <w:snapToGrid w:val="0"/>
          <w:sz w:val="32"/>
          <w:szCs w:val="32"/>
        </w:rPr>
        <w:t>开展初审，</w:t>
      </w:r>
      <w:r>
        <w:rPr>
          <w:rFonts w:hint="eastAsia" w:ascii="Times New Roman" w:hAnsi="Times New Roman" w:eastAsia="仿宋_GB2312"/>
          <w:snapToGrid w:val="0"/>
          <w:sz w:val="32"/>
          <w:szCs w:val="32"/>
        </w:rPr>
        <w:t>审核通过后统一报送至州生态环境局。</w:t>
      </w:r>
    </w:p>
    <w:p>
      <w:pPr>
        <w:overflowPunct w:val="0"/>
        <w:spacing w:line="560" w:lineRule="exact"/>
        <w:ind w:firstLine="640" w:firstLineChars="200"/>
        <w:rPr>
          <w:rFonts w:ascii="Times New Roman" w:hAnsi="Times New Roman" w:eastAsia="仿宋_GB2312"/>
          <w:snapToGrid w:val="0"/>
          <w:sz w:val="32"/>
          <w:szCs w:val="32"/>
        </w:rPr>
      </w:pPr>
      <w:r>
        <w:rPr>
          <w:rFonts w:ascii="Times New Roman" w:hAnsi="Times New Roman" w:eastAsia="仿宋_GB2312"/>
          <w:snapToGrid w:val="0"/>
          <w:sz w:val="32"/>
          <w:szCs w:val="32"/>
        </w:rPr>
        <w:t>（</w:t>
      </w:r>
      <w:r>
        <w:rPr>
          <w:rFonts w:hint="eastAsia" w:ascii="Times New Roman" w:hAnsi="Times New Roman" w:eastAsia="仿宋_GB2312"/>
          <w:snapToGrid w:val="0"/>
          <w:sz w:val="32"/>
          <w:szCs w:val="32"/>
        </w:rPr>
        <w:t>四</w:t>
      </w:r>
      <w:r>
        <w:rPr>
          <w:rFonts w:ascii="Times New Roman" w:hAnsi="Times New Roman" w:eastAsia="仿宋_GB2312"/>
          <w:snapToGrid w:val="0"/>
          <w:sz w:val="32"/>
          <w:szCs w:val="32"/>
        </w:rPr>
        <w:t>）</w:t>
      </w:r>
      <w:r>
        <w:rPr>
          <w:rFonts w:hint="eastAsia" w:ascii="Times New Roman" w:hAnsi="Times New Roman" w:eastAsia="仿宋_GB2312"/>
          <w:snapToGrid w:val="0"/>
          <w:sz w:val="32"/>
          <w:szCs w:val="32"/>
        </w:rPr>
        <w:t>州</w:t>
      </w:r>
      <w:r>
        <w:rPr>
          <w:rFonts w:ascii="Times New Roman" w:hAnsi="Times New Roman" w:eastAsia="仿宋_GB2312"/>
          <w:snapToGrid w:val="0"/>
          <w:sz w:val="32"/>
          <w:szCs w:val="32"/>
        </w:rPr>
        <w:t>级复核：</w:t>
      </w:r>
      <w:r>
        <w:rPr>
          <w:rFonts w:hint="eastAsia" w:ascii="Times New Roman" w:hAnsi="Times New Roman" w:eastAsia="仿宋_GB2312"/>
          <w:snapToGrid w:val="0"/>
          <w:sz w:val="32"/>
          <w:szCs w:val="32"/>
        </w:rPr>
        <w:t>州</w:t>
      </w:r>
      <w:r>
        <w:rPr>
          <w:rFonts w:ascii="Times New Roman" w:hAnsi="Times New Roman" w:eastAsia="仿宋_GB2312"/>
          <w:snapToGrid w:val="0"/>
          <w:sz w:val="32"/>
          <w:szCs w:val="32"/>
        </w:rPr>
        <w:t>生态环境</w:t>
      </w:r>
      <w:r>
        <w:rPr>
          <w:rFonts w:hint="eastAsia" w:ascii="Times New Roman" w:hAnsi="Times New Roman" w:eastAsia="仿宋_GB2312"/>
          <w:snapToGrid w:val="0"/>
          <w:sz w:val="32"/>
          <w:szCs w:val="32"/>
        </w:rPr>
        <w:t>局组织相关部门对项目的成熟度材料</w:t>
      </w:r>
      <w:r>
        <w:rPr>
          <w:rFonts w:ascii="Times New Roman" w:hAnsi="Times New Roman" w:eastAsia="仿宋_GB2312"/>
          <w:snapToGrid w:val="0"/>
          <w:sz w:val="32"/>
          <w:szCs w:val="32"/>
        </w:rPr>
        <w:t>进行</w:t>
      </w:r>
      <w:r>
        <w:rPr>
          <w:rFonts w:hint="eastAsia" w:ascii="Times New Roman" w:hAnsi="Times New Roman" w:eastAsia="仿宋_GB2312"/>
          <w:snapToGrid w:val="0"/>
          <w:sz w:val="32"/>
          <w:szCs w:val="32"/>
        </w:rPr>
        <w:t>复</w:t>
      </w:r>
      <w:r>
        <w:rPr>
          <w:rFonts w:ascii="Times New Roman" w:hAnsi="Times New Roman" w:eastAsia="仿宋_GB2312"/>
          <w:snapToGrid w:val="0"/>
          <w:sz w:val="32"/>
          <w:szCs w:val="32"/>
        </w:rPr>
        <w:t>核</w:t>
      </w:r>
      <w:r>
        <w:rPr>
          <w:rFonts w:hint="eastAsia" w:ascii="Times New Roman" w:hAnsi="Times New Roman" w:eastAsia="仿宋_GB2312"/>
          <w:snapToGrid w:val="0"/>
          <w:sz w:val="32"/>
          <w:szCs w:val="32"/>
        </w:rPr>
        <w:t>，复核通过后按照相关程序进行申报。</w:t>
      </w:r>
    </w:p>
    <w:p>
      <w:pPr>
        <w:spacing w:line="560" w:lineRule="exact"/>
        <w:jc w:val="center"/>
        <w:rPr>
          <w:rFonts w:hint="eastAsia" w:ascii="黑体" w:hAnsi="黑体" w:eastAsia="黑体" w:cs="黑体"/>
          <w:sz w:val="32"/>
          <w:szCs w:val="32"/>
        </w:rPr>
      </w:pPr>
      <w:r>
        <w:rPr>
          <w:rFonts w:ascii="黑体" w:hAnsi="黑体" w:eastAsia="黑体" w:cs="黑体"/>
          <w:sz w:val="32"/>
          <w:szCs w:val="32"/>
        </w:rPr>
        <w:t>第</w:t>
      </w:r>
      <w:r>
        <w:rPr>
          <w:rFonts w:hint="eastAsia" w:ascii="黑体" w:hAnsi="黑体" w:eastAsia="黑体" w:cs="黑体"/>
          <w:sz w:val="32"/>
          <w:szCs w:val="32"/>
        </w:rPr>
        <w:t>四</w:t>
      </w:r>
      <w:r>
        <w:rPr>
          <w:rFonts w:ascii="黑体" w:hAnsi="黑体" w:eastAsia="黑体" w:cs="黑体"/>
          <w:sz w:val="32"/>
          <w:szCs w:val="32"/>
        </w:rPr>
        <w:t xml:space="preserve">章 </w:t>
      </w:r>
      <w:r>
        <w:rPr>
          <w:rFonts w:hint="eastAsia" w:ascii="黑体" w:hAnsi="黑体" w:eastAsia="黑体" w:cs="黑体"/>
          <w:sz w:val="32"/>
          <w:szCs w:val="32"/>
        </w:rPr>
        <w:t>实施管理</w:t>
      </w:r>
    </w:p>
    <w:p>
      <w:pPr>
        <w:widowControl/>
        <w:kinsoku w:val="0"/>
        <w:adjustRightInd w:val="0"/>
        <w:snapToGrid w:val="0"/>
        <w:spacing w:line="560" w:lineRule="exact"/>
        <w:ind w:firstLine="643" w:firstLineChars="200"/>
        <w:jc w:val="left"/>
        <w:textAlignment w:val="baseline"/>
        <w:rPr>
          <w:rFonts w:ascii="Times New Roman" w:hAnsi="Times New Roman" w:eastAsia="仿宋_GB2312"/>
          <w:spacing w:val="-4"/>
          <w:sz w:val="32"/>
          <w:szCs w:val="32"/>
        </w:rPr>
      </w:pPr>
      <w:r>
        <w:rPr>
          <w:rFonts w:hint="eastAsia" w:ascii="Times New Roman" w:hAnsi="Times New Roman" w:eastAsia="仿宋_GB2312"/>
          <w:b/>
          <w:bCs/>
          <w:snapToGrid w:val="0"/>
          <w:sz w:val="32"/>
          <w:szCs w:val="32"/>
        </w:rPr>
        <w:t xml:space="preserve">第八条 </w:t>
      </w:r>
      <w:r>
        <w:rPr>
          <w:rFonts w:ascii="Times New Roman" w:hAnsi="Times New Roman" w:eastAsia="仿宋_GB2312"/>
          <w:sz w:val="32"/>
          <w:szCs w:val="32"/>
        </w:rPr>
        <w:t>项目建设须按照国家工程建设的相关规定</w:t>
      </w:r>
      <w:r>
        <w:rPr>
          <w:rFonts w:hint="eastAsia" w:ascii="Times New Roman" w:hAnsi="Times New Roman" w:eastAsia="仿宋_GB2312"/>
          <w:sz w:val="32"/>
          <w:szCs w:val="32"/>
        </w:rPr>
        <w:t>，</w:t>
      </w:r>
      <w:r>
        <w:rPr>
          <w:rFonts w:ascii="Times New Roman" w:hAnsi="Times New Roman" w:eastAsia="仿宋_GB2312"/>
          <w:sz w:val="32"/>
          <w:szCs w:val="32"/>
        </w:rPr>
        <w:t>严格执行招投标</w:t>
      </w:r>
      <w:r>
        <w:rPr>
          <w:rFonts w:hint="eastAsia" w:ascii="Times New Roman" w:hAnsi="Times New Roman" w:eastAsia="仿宋_GB2312"/>
          <w:sz w:val="32"/>
          <w:szCs w:val="32"/>
        </w:rPr>
        <w:t>（不属于大型基建、公用事业类项目可采用三方比价或邀请招标方式）</w:t>
      </w:r>
      <w:r>
        <w:rPr>
          <w:rFonts w:ascii="Times New Roman" w:hAnsi="Times New Roman" w:eastAsia="仿宋_GB2312"/>
          <w:sz w:val="32"/>
          <w:szCs w:val="32"/>
        </w:rPr>
        <w:t>、工程监理、合同管理及竣工验收等制度。</w:t>
      </w:r>
      <w:r>
        <w:rPr>
          <w:rFonts w:ascii="Times New Roman" w:hAnsi="Times New Roman" w:eastAsia="仿宋_GB2312"/>
          <w:spacing w:val="-8"/>
          <w:sz w:val="32"/>
          <w:szCs w:val="32"/>
        </w:rPr>
        <w:t>属于政府采购管理范围的项目，应当按照政府采购有关规定执行。</w:t>
      </w:r>
    </w:p>
    <w:p>
      <w:pPr>
        <w:spacing w:line="560" w:lineRule="exact"/>
        <w:ind w:firstLine="643" w:firstLineChars="200"/>
        <w:rPr>
          <w:rFonts w:ascii="Times New Roman" w:hAnsi="Times New Roman" w:eastAsia="仿宋_GB2312"/>
          <w:sz w:val="32"/>
          <w:szCs w:val="32"/>
        </w:rPr>
      </w:pPr>
      <w:r>
        <w:rPr>
          <w:rFonts w:hint="eastAsia" w:ascii="Times New Roman" w:hAnsi="Times New Roman" w:eastAsia="仿宋_GB2312"/>
          <w:b/>
          <w:bCs/>
          <w:sz w:val="32"/>
          <w:szCs w:val="32"/>
        </w:rPr>
        <w:t>第九条</w:t>
      </w:r>
      <w:r>
        <w:rPr>
          <w:rFonts w:ascii="Times New Roman" w:hAnsi="Times New Roman" w:eastAsia="仿宋_GB2312"/>
          <w:b/>
          <w:bCs/>
          <w:sz w:val="32"/>
          <w:szCs w:val="32"/>
        </w:rPr>
        <w:t xml:space="preserve"> </w:t>
      </w:r>
      <w:r>
        <w:rPr>
          <w:rFonts w:hint="eastAsia" w:ascii="Times New Roman" w:hAnsi="Times New Roman" w:eastAsia="仿宋_GB2312"/>
          <w:snapToGrid w:val="0"/>
          <w:sz w:val="32"/>
          <w:szCs w:val="32"/>
        </w:rPr>
        <w:t>子项目实施单位</w:t>
      </w:r>
      <w:r>
        <w:rPr>
          <w:rFonts w:ascii="Times New Roman" w:hAnsi="Times New Roman" w:eastAsia="仿宋_GB2312"/>
          <w:sz w:val="32"/>
          <w:szCs w:val="32"/>
        </w:rPr>
        <w:t>应当严格执行</w:t>
      </w:r>
      <w:r>
        <w:rPr>
          <w:rFonts w:hint="eastAsia" w:ascii="Times New Roman" w:hAnsi="Times New Roman" w:eastAsia="仿宋_GB2312"/>
          <w:sz w:val="32"/>
          <w:szCs w:val="32"/>
        </w:rPr>
        <w:t>美丽蓝天项目</w:t>
      </w:r>
      <w:r>
        <w:rPr>
          <w:rFonts w:ascii="Times New Roman" w:hAnsi="Times New Roman" w:eastAsia="仿宋_GB2312"/>
          <w:sz w:val="32"/>
          <w:szCs w:val="32"/>
        </w:rPr>
        <w:t>建设</w:t>
      </w:r>
      <w:r>
        <w:rPr>
          <w:rFonts w:hint="eastAsia" w:ascii="Times New Roman" w:hAnsi="Times New Roman" w:eastAsia="仿宋_GB2312"/>
          <w:sz w:val="32"/>
          <w:szCs w:val="32"/>
        </w:rPr>
        <w:t>有关规定</w:t>
      </w:r>
      <w:r>
        <w:rPr>
          <w:rFonts w:ascii="Times New Roman" w:hAnsi="Times New Roman" w:eastAsia="仿宋_GB2312"/>
          <w:sz w:val="32"/>
          <w:szCs w:val="32"/>
        </w:rPr>
        <w:t>，根据批复的可行性研究报告</w:t>
      </w:r>
      <w:r>
        <w:rPr>
          <w:rFonts w:hint="eastAsia" w:ascii="Times New Roman" w:hAnsi="Times New Roman" w:eastAsia="仿宋_GB2312"/>
          <w:sz w:val="32"/>
          <w:szCs w:val="32"/>
        </w:rPr>
        <w:t>、</w:t>
      </w:r>
      <w:r>
        <w:rPr>
          <w:rFonts w:ascii="Times New Roman" w:hAnsi="Times New Roman" w:eastAsia="仿宋_GB2312"/>
          <w:sz w:val="32"/>
          <w:szCs w:val="32"/>
        </w:rPr>
        <w:t>初步设计，抓好项目建设，保质保量按时完成建设任务，不得擅自改变主要实施内容、实施周期等，要确保项目落地见效。</w:t>
      </w:r>
    </w:p>
    <w:p>
      <w:pPr>
        <w:spacing w:line="560" w:lineRule="exact"/>
        <w:ind w:firstLine="643" w:firstLineChars="200"/>
        <w:rPr>
          <w:rFonts w:ascii="Times New Roman" w:hAnsi="Times New Roman" w:eastAsia="仿宋_GB2312"/>
          <w:sz w:val="32"/>
          <w:szCs w:val="32"/>
        </w:rPr>
      </w:pPr>
      <w:r>
        <w:rPr>
          <w:rFonts w:hint="eastAsia" w:ascii="Times New Roman" w:hAnsi="Times New Roman" w:eastAsia="仿宋_GB2312"/>
          <w:b/>
          <w:bCs/>
          <w:sz w:val="32"/>
          <w:szCs w:val="32"/>
        </w:rPr>
        <w:t>第十条</w:t>
      </w:r>
      <w:r>
        <w:rPr>
          <w:rFonts w:ascii="Times New Roman" w:hAnsi="Times New Roman" w:eastAsia="仿宋_GB2312"/>
          <w:sz w:val="32"/>
          <w:szCs w:val="32"/>
        </w:rPr>
        <w:t xml:space="preserve"> </w:t>
      </w:r>
      <w:r>
        <w:rPr>
          <w:rFonts w:hint="eastAsia" w:ascii="Times New Roman" w:hAnsi="Times New Roman" w:eastAsia="仿宋_GB2312"/>
          <w:snapToGrid w:val="0"/>
          <w:sz w:val="32"/>
          <w:szCs w:val="32"/>
        </w:rPr>
        <w:t>子项目实施单位</w:t>
      </w:r>
      <w:r>
        <w:rPr>
          <w:rFonts w:ascii="Times New Roman" w:hAnsi="Times New Roman" w:eastAsia="仿宋_GB2312"/>
          <w:sz w:val="32"/>
          <w:szCs w:val="32"/>
        </w:rPr>
        <w:t>应当根据</w:t>
      </w:r>
      <w:r>
        <w:rPr>
          <w:rFonts w:hint="eastAsia" w:ascii="Times New Roman" w:hAnsi="Times New Roman" w:eastAsia="仿宋_GB2312"/>
          <w:sz w:val="32"/>
          <w:szCs w:val="32"/>
        </w:rPr>
        <w:t>州生态环境局</w:t>
      </w:r>
      <w:r>
        <w:rPr>
          <w:rFonts w:ascii="Times New Roman" w:hAnsi="Times New Roman" w:eastAsia="仿宋_GB2312"/>
          <w:sz w:val="32"/>
          <w:szCs w:val="32"/>
        </w:rPr>
        <w:t>的有关要求，及时如实报送</w:t>
      </w:r>
      <w:r>
        <w:rPr>
          <w:rFonts w:ascii="Times New Roman" w:hAnsi="Times New Roman" w:eastAsia="仿宋_GB2312"/>
          <w:snapToGrid w:val="0"/>
          <w:sz w:val="32"/>
          <w:szCs w:val="32"/>
        </w:rPr>
        <w:t>项目</w:t>
      </w:r>
      <w:r>
        <w:rPr>
          <w:rFonts w:ascii="Times New Roman" w:hAnsi="Times New Roman" w:eastAsia="仿宋_GB2312"/>
          <w:sz w:val="32"/>
          <w:szCs w:val="32"/>
        </w:rPr>
        <w:t>的下列实施情况，并附具必要的佐证材料：</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（一）项目实际开竣工时间；</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（二）项目资金到位、支付和投资完成情况；</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（三）项目工程具体进度；</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（四）存在的问题。</w:t>
      </w:r>
    </w:p>
    <w:p>
      <w:pPr>
        <w:spacing w:line="560" w:lineRule="exact"/>
        <w:ind w:firstLine="643" w:firstLineChars="200"/>
        <w:rPr>
          <w:rFonts w:ascii="Times New Roman" w:hAnsi="Times New Roman" w:eastAsia="仿宋_GB2312"/>
          <w:sz w:val="32"/>
          <w:szCs w:val="32"/>
        </w:rPr>
      </w:pPr>
      <w:r>
        <w:rPr>
          <w:rFonts w:hint="eastAsia" w:ascii="Times New Roman" w:hAnsi="Times New Roman" w:eastAsia="仿宋_GB2312"/>
          <w:b/>
          <w:bCs/>
          <w:sz w:val="32"/>
          <w:szCs w:val="32"/>
        </w:rPr>
        <w:t xml:space="preserve">第十一条 </w:t>
      </w:r>
      <w:r>
        <w:rPr>
          <w:rFonts w:ascii="Times New Roman" w:hAnsi="Times New Roman" w:eastAsia="仿宋_GB2312"/>
          <w:sz w:val="32"/>
          <w:szCs w:val="32"/>
        </w:rPr>
        <w:t>各子项目严格实行全过程预算绩效管理，项目实施前须规范编制项目绩效目标表，明确绩效指标、预期效益及考核标准，实现绩效目标与预算编制同步申报、同步审核、同步下达。</w:t>
      </w:r>
      <w:r>
        <w:rPr>
          <w:rFonts w:hint="eastAsia" w:ascii="Times New Roman" w:hAnsi="Times New Roman" w:eastAsia="仿宋_GB2312"/>
          <w:sz w:val="32"/>
          <w:szCs w:val="32"/>
        </w:rPr>
        <w:t>州生态环境局各县市分局和园区环保部门</w:t>
      </w:r>
      <w:r>
        <w:rPr>
          <w:rFonts w:ascii="Times New Roman" w:hAnsi="Times New Roman" w:eastAsia="仿宋_GB2312"/>
          <w:sz w:val="32"/>
          <w:szCs w:val="32"/>
        </w:rPr>
        <w:t>切实履行属地绩效管理责任</w:t>
      </w:r>
      <w:r>
        <w:rPr>
          <w:rFonts w:hint="eastAsia" w:ascii="Times New Roman" w:hAnsi="Times New Roman" w:eastAsia="仿宋_GB2312"/>
          <w:sz w:val="32"/>
          <w:szCs w:val="32"/>
        </w:rPr>
        <w:t>，</w:t>
      </w:r>
      <w:r>
        <w:rPr>
          <w:rFonts w:ascii="Times New Roman" w:hAnsi="Times New Roman" w:eastAsia="仿宋_GB2312"/>
          <w:sz w:val="32"/>
          <w:szCs w:val="32"/>
        </w:rPr>
        <w:t>常态化做好项目绩效运行监控工作，每年组织开展子项目专项绩效评价，全面核查</w:t>
      </w:r>
      <w:r>
        <w:rPr>
          <w:rFonts w:hint="eastAsia" w:ascii="Times New Roman" w:hAnsi="Times New Roman" w:eastAsia="仿宋_GB2312"/>
          <w:sz w:val="32"/>
          <w:szCs w:val="32"/>
        </w:rPr>
        <w:t>子</w:t>
      </w:r>
      <w:r>
        <w:rPr>
          <w:rFonts w:ascii="Times New Roman" w:hAnsi="Times New Roman" w:eastAsia="仿宋_GB2312"/>
          <w:sz w:val="32"/>
          <w:szCs w:val="32"/>
        </w:rPr>
        <w:t>项目资金使用、任务推进及绩效达成情况，建立问题台账</w:t>
      </w:r>
      <w:r>
        <w:rPr>
          <w:rFonts w:hint="eastAsia" w:ascii="Times New Roman" w:hAnsi="Times New Roman" w:eastAsia="仿宋_GB2312"/>
          <w:sz w:val="32"/>
          <w:szCs w:val="32"/>
        </w:rPr>
        <w:t>，</w:t>
      </w:r>
      <w:r>
        <w:rPr>
          <w:rFonts w:ascii="Times New Roman" w:hAnsi="Times New Roman" w:eastAsia="仿宋_GB2312"/>
          <w:sz w:val="32"/>
          <w:szCs w:val="32"/>
        </w:rPr>
        <w:t>压实整改责任、限期闭环整改。</w:t>
      </w:r>
    </w:p>
    <w:p>
      <w:pPr>
        <w:spacing w:line="560" w:lineRule="exact"/>
        <w:ind w:firstLine="643" w:firstLineChars="200"/>
        <w:rPr>
          <w:rFonts w:ascii="Times New Roman" w:hAnsi="Times New Roman" w:eastAsia="仿宋_GB2312"/>
          <w:sz w:val="32"/>
          <w:szCs w:val="32"/>
        </w:rPr>
      </w:pPr>
      <w:r>
        <w:rPr>
          <w:rFonts w:hint="eastAsia" w:ascii="Times New Roman" w:hAnsi="Times New Roman" w:eastAsia="仿宋_GB2312"/>
          <w:b/>
          <w:bCs/>
          <w:sz w:val="32"/>
          <w:szCs w:val="32"/>
        </w:rPr>
        <w:t>第十二条</w:t>
      </w:r>
      <w:r>
        <w:rPr>
          <w:rFonts w:ascii="Times New Roman" w:hAnsi="Times New Roman" w:eastAsia="仿宋_GB2312"/>
          <w:sz w:val="32"/>
          <w:szCs w:val="32"/>
        </w:rPr>
        <w:t xml:space="preserve"> </w:t>
      </w:r>
      <w:r>
        <w:rPr>
          <w:rFonts w:hint="eastAsia" w:ascii="Times New Roman" w:hAnsi="Times New Roman" w:eastAsia="仿宋_GB2312"/>
          <w:sz w:val="32"/>
          <w:szCs w:val="32"/>
        </w:rPr>
        <w:t>州生态环境局各县市分局和园区环保部门</w:t>
      </w:r>
      <w:r>
        <w:rPr>
          <w:rFonts w:ascii="Times New Roman" w:hAnsi="Times New Roman" w:eastAsia="仿宋_GB2312"/>
          <w:sz w:val="32"/>
          <w:szCs w:val="32"/>
        </w:rPr>
        <w:t>应当定期组织调度</w:t>
      </w:r>
      <w:r>
        <w:rPr>
          <w:rFonts w:hint="eastAsia" w:ascii="Times New Roman" w:hAnsi="Times New Roman" w:eastAsia="仿宋_GB2312"/>
          <w:sz w:val="32"/>
          <w:szCs w:val="32"/>
        </w:rPr>
        <w:t>子</w:t>
      </w:r>
      <w:r>
        <w:rPr>
          <w:rFonts w:ascii="Times New Roman" w:hAnsi="Times New Roman" w:eastAsia="仿宋_GB2312"/>
          <w:snapToGrid w:val="0"/>
          <w:sz w:val="32"/>
          <w:szCs w:val="32"/>
        </w:rPr>
        <w:t>项目</w:t>
      </w:r>
      <w:r>
        <w:rPr>
          <w:rFonts w:ascii="Times New Roman" w:hAnsi="Times New Roman" w:eastAsia="仿宋_GB2312"/>
          <w:sz w:val="32"/>
          <w:szCs w:val="32"/>
        </w:rPr>
        <w:t>的实施情况，督促子项目实施单位加快推进项目建设并规范报送项目实施情况</w:t>
      </w:r>
      <w:r>
        <w:rPr>
          <w:rFonts w:hint="eastAsia" w:ascii="Times New Roman" w:hAnsi="Times New Roman" w:eastAsia="仿宋_GB2312"/>
          <w:sz w:val="32"/>
          <w:szCs w:val="32"/>
        </w:rPr>
        <w:t>。根据项目实施进度，</w:t>
      </w:r>
      <w:r>
        <w:rPr>
          <w:rFonts w:ascii="Times New Roman" w:hAnsi="Times New Roman" w:eastAsia="仿宋_GB2312"/>
          <w:sz w:val="32"/>
          <w:szCs w:val="32"/>
        </w:rPr>
        <w:t>积极协调解决项目建设中存在的困难和问题，推动项目</w:t>
      </w:r>
      <w:r>
        <w:rPr>
          <w:rFonts w:hint="eastAsia" w:ascii="Times New Roman" w:hAnsi="Times New Roman" w:eastAsia="仿宋_GB2312"/>
          <w:sz w:val="32"/>
          <w:szCs w:val="32"/>
        </w:rPr>
        <w:t>顺利</w:t>
      </w:r>
      <w:r>
        <w:rPr>
          <w:rFonts w:ascii="Times New Roman" w:hAnsi="Times New Roman" w:eastAsia="仿宋_GB2312"/>
          <w:sz w:val="32"/>
          <w:szCs w:val="32"/>
        </w:rPr>
        <w:t>实施。</w:t>
      </w:r>
    </w:p>
    <w:p>
      <w:pPr>
        <w:widowControl/>
        <w:kinsoku w:val="0"/>
        <w:adjustRightInd w:val="0"/>
        <w:snapToGrid w:val="0"/>
        <w:spacing w:line="560" w:lineRule="exact"/>
        <w:ind w:firstLine="643" w:firstLineChars="200"/>
        <w:jc w:val="left"/>
        <w:textAlignment w:val="baseline"/>
        <w:rPr>
          <w:rFonts w:ascii="Times New Roman" w:hAnsi="Times New Roman" w:eastAsia="仿宋_GB2312"/>
          <w:sz w:val="32"/>
          <w:szCs w:val="32"/>
        </w:rPr>
      </w:pPr>
      <w:r>
        <w:rPr>
          <w:rFonts w:hint="eastAsia" w:ascii="Times New Roman" w:hAnsi="Times New Roman" w:eastAsia="仿宋_GB2312"/>
          <w:b/>
          <w:bCs/>
          <w:snapToGrid w:val="0"/>
          <w:sz w:val="32"/>
          <w:szCs w:val="32"/>
        </w:rPr>
        <w:t>第十三条</w:t>
      </w:r>
      <w:r>
        <w:rPr>
          <w:rFonts w:hint="eastAsia" w:ascii="Times New Roman" w:hAnsi="Times New Roman" w:eastAsia="仿宋_GB2312"/>
          <w:sz w:val="32"/>
          <w:szCs w:val="32"/>
        </w:rPr>
        <w:t xml:space="preserve"> 各</w:t>
      </w:r>
      <w:r>
        <w:rPr>
          <w:rFonts w:hint="eastAsia" w:ascii="Times New Roman" w:hAnsi="Times New Roman" w:eastAsia="仿宋_GB2312"/>
          <w:snapToGrid w:val="0"/>
          <w:sz w:val="32"/>
          <w:szCs w:val="32"/>
        </w:rPr>
        <w:t>县市</w:t>
      </w:r>
      <w:r>
        <w:rPr>
          <w:rFonts w:ascii="Times New Roman" w:hAnsi="Times New Roman" w:eastAsia="仿宋_GB2312"/>
          <w:sz w:val="32"/>
          <w:szCs w:val="32"/>
        </w:rPr>
        <w:t>（园区）</w:t>
      </w:r>
      <w:r>
        <w:rPr>
          <w:rFonts w:hint="eastAsia" w:ascii="Times New Roman" w:hAnsi="Times New Roman" w:eastAsia="仿宋_GB2312"/>
          <w:sz w:val="32"/>
          <w:szCs w:val="32"/>
        </w:rPr>
        <w:t>项目监管部门</w:t>
      </w:r>
      <w:r>
        <w:rPr>
          <w:rFonts w:hint="eastAsia" w:ascii="Times New Roman" w:hAnsi="Times New Roman" w:eastAsia="仿宋_GB2312"/>
          <w:sz w:val="32"/>
          <w:szCs w:val="24"/>
        </w:rPr>
        <w:t>负责对</w:t>
      </w:r>
      <w:r>
        <w:rPr>
          <w:rFonts w:hint="eastAsia" w:ascii="Times New Roman" w:hAnsi="Times New Roman" w:eastAsia="仿宋_GB2312"/>
          <w:snapToGrid w:val="0"/>
          <w:sz w:val="32"/>
          <w:szCs w:val="32"/>
        </w:rPr>
        <w:t>子</w:t>
      </w:r>
      <w:r>
        <w:rPr>
          <w:rFonts w:hint="eastAsia" w:ascii="Times New Roman" w:hAnsi="Times New Roman" w:eastAsia="仿宋_GB2312"/>
          <w:sz w:val="32"/>
          <w:szCs w:val="24"/>
        </w:rPr>
        <w:t>项目实施</w:t>
      </w:r>
      <w:r>
        <w:rPr>
          <w:rFonts w:ascii="Times New Roman" w:hAnsi="Times New Roman" w:eastAsia="仿宋_GB2312"/>
          <w:sz w:val="32"/>
          <w:szCs w:val="24"/>
        </w:rPr>
        <w:t>推进</w:t>
      </w:r>
      <w:r>
        <w:rPr>
          <w:rFonts w:hint="eastAsia" w:ascii="Times New Roman" w:hAnsi="Times New Roman" w:eastAsia="仿宋_GB2312"/>
          <w:sz w:val="32"/>
          <w:szCs w:val="24"/>
        </w:rPr>
        <w:t>、建设管理、计划执行、资金拨付与使用、项目资料完整度等重点环节的日常监督管理，督促子项目实施单位规范项目管理和资金使用，在</w:t>
      </w:r>
      <w:r>
        <w:rPr>
          <w:rFonts w:hint="eastAsia" w:ascii="Times New Roman" w:hAnsi="Times New Roman" w:eastAsia="仿宋_GB2312"/>
          <w:snapToGrid w:val="0"/>
          <w:sz w:val="32"/>
          <w:szCs w:val="32"/>
        </w:rPr>
        <w:t>县市</w:t>
      </w:r>
      <w:r>
        <w:rPr>
          <w:rFonts w:ascii="Times New Roman" w:hAnsi="Times New Roman" w:eastAsia="仿宋_GB2312"/>
          <w:sz w:val="32"/>
          <w:szCs w:val="32"/>
        </w:rPr>
        <w:t>（园区）</w:t>
      </w:r>
      <w:r>
        <w:rPr>
          <w:rFonts w:hint="eastAsia" w:ascii="Times New Roman" w:hAnsi="Times New Roman" w:eastAsia="仿宋_GB2312"/>
          <w:sz w:val="32"/>
          <w:szCs w:val="32"/>
        </w:rPr>
        <w:t>人民政府（管委会）的领导下，对子项目开展初验，</w:t>
      </w:r>
      <w:r>
        <w:rPr>
          <w:rFonts w:hint="eastAsia" w:ascii="Times New Roman" w:hAnsi="Times New Roman" w:eastAsia="仿宋_GB2312"/>
          <w:sz w:val="32"/>
          <w:szCs w:val="24"/>
        </w:rPr>
        <w:t>确保建设质量和投资效益。</w:t>
      </w:r>
    </w:p>
    <w:p>
      <w:pPr>
        <w:widowControl/>
        <w:kinsoku w:val="0"/>
        <w:adjustRightInd w:val="0"/>
        <w:snapToGrid w:val="0"/>
        <w:spacing w:line="560" w:lineRule="exact"/>
        <w:ind w:firstLine="643" w:firstLineChars="200"/>
        <w:jc w:val="left"/>
        <w:textAlignment w:val="baseline"/>
        <w:rPr>
          <w:rFonts w:ascii="Times New Roman" w:hAnsi="Times New Roman" w:eastAsia="仿宋_GB2312"/>
          <w:sz w:val="32"/>
          <w:szCs w:val="32"/>
        </w:rPr>
      </w:pPr>
      <w:r>
        <w:rPr>
          <w:rFonts w:hint="eastAsia" w:ascii="Times New Roman" w:hAnsi="Times New Roman" w:eastAsia="仿宋_GB2312"/>
          <w:b/>
          <w:bCs/>
          <w:sz w:val="32"/>
          <w:szCs w:val="32"/>
        </w:rPr>
        <w:t>第十四条</w:t>
      </w:r>
      <w:r>
        <w:rPr>
          <w:rFonts w:hint="eastAsia" w:ascii="Times New Roman" w:hAnsi="Times New Roman" w:eastAsia="仿宋_GB2312"/>
          <w:sz w:val="32"/>
          <w:szCs w:val="32"/>
        </w:rPr>
        <w:t xml:space="preserve"> </w:t>
      </w:r>
      <w:r>
        <w:rPr>
          <w:rFonts w:ascii="Times New Roman" w:hAnsi="Times New Roman" w:eastAsia="仿宋_GB2312"/>
          <w:sz w:val="32"/>
          <w:szCs w:val="32"/>
        </w:rPr>
        <w:t>州生态环境局指导</w:t>
      </w:r>
      <w:r>
        <w:rPr>
          <w:rFonts w:hint="eastAsia" w:ascii="Times New Roman" w:hAnsi="Times New Roman" w:eastAsia="仿宋_GB2312"/>
          <w:sz w:val="32"/>
          <w:szCs w:val="32"/>
        </w:rPr>
        <w:t>州级项目监管部门及</w:t>
      </w:r>
      <w:r>
        <w:rPr>
          <w:rFonts w:ascii="Times New Roman" w:hAnsi="Times New Roman" w:eastAsia="仿宋_GB2312"/>
          <w:sz w:val="32"/>
          <w:szCs w:val="32"/>
        </w:rPr>
        <w:t>各</w:t>
      </w:r>
      <w:r>
        <w:rPr>
          <w:rFonts w:hint="eastAsia" w:ascii="Times New Roman" w:hAnsi="Times New Roman" w:eastAsia="仿宋_GB2312"/>
          <w:snapToGrid w:val="0"/>
          <w:sz w:val="32"/>
          <w:szCs w:val="32"/>
        </w:rPr>
        <w:t>县市</w:t>
      </w:r>
      <w:r>
        <w:rPr>
          <w:rFonts w:ascii="Times New Roman" w:hAnsi="Times New Roman" w:eastAsia="仿宋_GB2312"/>
          <w:sz w:val="32"/>
          <w:szCs w:val="32"/>
        </w:rPr>
        <w:t>（园区）对</w:t>
      </w:r>
      <w:r>
        <w:rPr>
          <w:rFonts w:hint="eastAsia" w:ascii="Times New Roman" w:hAnsi="Times New Roman" w:eastAsia="仿宋_GB2312"/>
          <w:snapToGrid w:val="0"/>
          <w:sz w:val="32"/>
          <w:szCs w:val="32"/>
        </w:rPr>
        <w:t>子</w:t>
      </w:r>
      <w:r>
        <w:rPr>
          <w:rFonts w:ascii="Times New Roman" w:hAnsi="Times New Roman" w:eastAsia="仿宋_GB2312"/>
          <w:sz w:val="32"/>
          <w:szCs w:val="32"/>
        </w:rPr>
        <w:t>项目开展全流程跟踪管理，按季度对预算执行、项目进展和绩效目标完成情况进行调度，</w:t>
      </w:r>
      <w:r>
        <w:rPr>
          <w:rFonts w:hint="eastAsia" w:ascii="Times New Roman" w:hAnsi="Times New Roman" w:eastAsia="仿宋_GB2312"/>
          <w:sz w:val="32"/>
          <w:szCs w:val="32"/>
        </w:rPr>
        <w:t>会同州财政局</w:t>
      </w:r>
      <w:r>
        <w:rPr>
          <w:rFonts w:ascii="Times New Roman" w:hAnsi="Times New Roman" w:eastAsia="仿宋_GB2312"/>
          <w:sz w:val="32"/>
          <w:szCs w:val="32"/>
        </w:rPr>
        <w:t>指导、督促各</w:t>
      </w:r>
      <w:r>
        <w:rPr>
          <w:rFonts w:hint="eastAsia" w:ascii="Times New Roman" w:hAnsi="Times New Roman" w:eastAsia="仿宋_GB2312"/>
          <w:snapToGrid w:val="0"/>
          <w:sz w:val="32"/>
          <w:szCs w:val="32"/>
        </w:rPr>
        <w:t>县市</w:t>
      </w:r>
      <w:r>
        <w:rPr>
          <w:rFonts w:ascii="Times New Roman" w:hAnsi="Times New Roman" w:eastAsia="仿宋_GB2312"/>
          <w:sz w:val="32"/>
          <w:szCs w:val="32"/>
        </w:rPr>
        <w:t>（园区）加快</w:t>
      </w:r>
      <w:r>
        <w:rPr>
          <w:rFonts w:hint="eastAsia" w:ascii="Times New Roman" w:hAnsi="Times New Roman" w:eastAsia="仿宋_GB2312"/>
          <w:sz w:val="32"/>
          <w:szCs w:val="32"/>
        </w:rPr>
        <w:t>推进子项目</w:t>
      </w:r>
      <w:r>
        <w:rPr>
          <w:rFonts w:ascii="Times New Roman" w:hAnsi="Times New Roman" w:eastAsia="仿宋_GB2312"/>
          <w:sz w:val="32"/>
          <w:szCs w:val="32"/>
        </w:rPr>
        <w:t>预算执行和项目实施</w:t>
      </w:r>
      <w:r>
        <w:rPr>
          <w:rFonts w:hint="eastAsia" w:ascii="Times New Roman" w:hAnsi="Times New Roman" w:eastAsia="仿宋_GB2312"/>
          <w:sz w:val="32"/>
          <w:szCs w:val="32"/>
        </w:rPr>
        <w:t>；</w:t>
      </w:r>
      <w:r>
        <w:rPr>
          <w:rFonts w:ascii="Times New Roman" w:hAnsi="Times New Roman" w:eastAsia="仿宋_GB2312"/>
          <w:sz w:val="32"/>
          <w:szCs w:val="32"/>
        </w:rPr>
        <w:t>每年形成年度</w:t>
      </w:r>
      <w:r>
        <w:rPr>
          <w:rFonts w:hint="eastAsia" w:ascii="Times New Roman" w:hAnsi="Times New Roman" w:eastAsia="仿宋_GB2312"/>
          <w:sz w:val="32"/>
          <w:szCs w:val="32"/>
        </w:rPr>
        <w:t>项目总结</w:t>
      </w:r>
      <w:r>
        <w:rPr>
          <w:rFonts w:ascii="Times New Roman" w:hAnsi="Times New Roman" w:eastAsia="仿宋_GB2312"/>
          <w:sz w:val="32"/>
          <w:szCs w:val="32"/>
        </w:rPr>
        <w:t>，报州人民政府审核，审核通过后上报自治区生态环境厅</w:t>
      </w:r>
      <w:r>
        <w:rPr>
          <w:rFonts w:hint="eastAsia" w:ascii="Times New Roman" w:hAnsi="Times New Roman" w:eastAsia="仿宋_GB2312"/>
          <w:sz w:val="32"/>
          <w:szCs w:val="32"/>
        </w:rPr>
        <w:t>。</w:t>
      </w:r>
    </w:p>
    <w:p>
      <w:pPr>
        <w:spacing w:line="560" w:lineRule="exact"/>
        <w:ind w:firstLine="643" w:firstLineChars="200"/>
        <w:rPr>
          <w:rFonts w:ascii="Times New Roman" w:hAnsi="Times New Roman" w:eastAsia="仿宋_GB2312"/>
          <w:sz w:val="32"/>
          <w:szCs w:val="32"/>
        </w:rPr>
      </w:pPr>
      <w:r>
        <w:rPr>
          <w:rFonts w:hint="eastAsia" w:ascii="Times New Roman" w:hAnsi="Times New Roman" w:eastAsia="仿宋_GB2312"/>
          <w:b/>
          <w:bCs/>
          <w:sz w:val="32"/>
          <w:szCs w:val="32"/>
        </w:rPr>
        <w:t>第十五条</w:t>
      </w:r>
      <w:r>
        <w:rPr>
          <w:rFonts w:ascii="Times New Roman" w:hAnsi="Times New Roman" w:eastAsia="仿宋_GB2312"/>
          <w:sz w:val="32"/>
          <w:szCs w:val="32"/>
        </w:rPr>
        <w:t xml:space="preserve"> 子项目受实施环境、条件影响不能按期开工，或是建设规模、内容、标准、总投资确需调整变更的，子项目实施单位应于项目预计完工前</w:t>
      </w:r>
      <w:r>
        <w:rPr>
          <w:rFonts w:hint="eastAsia" w:ascii="Times New Roman" w:hAnsi="Times New Roman" w:eastAsia="仿宋_GB2312"/>
          <w:sz w:val="32"/>
          <w:szCs w:val="32"/>
        </w:rPr>
        <w:t>，</w:t>
      </w:r>
      <w:r>
        <w:rPr>
          <w:rFonts w:ascii="Times New Roman" w:hAnsi="Times New Roman" w:eastAsia="仿宋_GB2312"/>
          <w:sz w:val="32"/>
          <w:szCs w:val="32"/>
        </w:rPr>
        <w:t>向所在</w:t>
      </w:r>
      <w:r>
        <w:rPr>
          <w:rFonts w:hint="eastAsia" w:ascii="Times New Roman" w:hAnsi="Times New Roman" w:eastAsia="仿宋_GB2312"/>
          <w:sz w:val="32"/>
          <w:szCs w:val="32"/>
        </w:rPr>
        <w:t>州生态环境局各县市分局和园区环保部门</w:t>
      </w:r>
      <w:r>
        <w:rPr>
          <w:rFonts w:ascii="Times New Roman" w:hAnsi="Times New Roman" w:eastAsia="仿宋_GB2312"/>
          <w:sz w:val="32"/>
          <w:szCs w:val="32"/>
        </w:rPr>
        <w:t>提交变更申请（模板参照附件</w:t>
      </w:r>
      <w:r>
        <w:rPr>
          <w:rFonts w:hint="eastAsia" w:ascii="Times New Roman" w:hAnsi="Times New Roman" w:eastAsia="仿宋_GB2312"/>
          <w:sz w:val="32"/>
          <w:szCs w:val="32"/>
        </w:rPr>
        <w:t>2</w:t>
      </w:r>
      <w:r>
        <w:rPr>
          <w:rFonts w:ascii="Times New Roman" w:hAnsi="Times New Roman" w:eastAsia="仿宋_GB2312"/>
          <w:sz w:val="32"/>
          <w:szCs w:val="32"/>
        </w:rPr>
        <w:t>）</w:t>
      </w:r>
      <w:r>
        <w:rPr>
          <w:rFonts w:hint="eastAsia" w:ascii="Times New Roman" w:hAnsi="Times New Roman" w:eastAsia="仿宋_GB2312"/>
          <w:sz w:val="32"/>
          <w:szCs w:val="32"/>
        </w:rPr>
        <w:t>。经</w:t>
      </w:r>
      <w:r>
        <w:rPr>
          <w:rFonts w:ascii="Times New Roman" w:hAnsi="Times New Roman" w:eastAsia="仿宋_GB2312"/>
          <w:sz w:val="32"/>
          <w:szCs w:val="32"/>
        </w:rPr>
        <w:t>县市（园区）人民政府（管委会）</w:t>
      </w:r>
      <w:r>
        <w:rPr>
          <w:rFonts w:hint="eastAsia" w:ascii="Times New Roman" w:hAnsi="Times New Roman" w:eastAsia="仿宋_GB2312"/>
          <w:sz w:val="32"/>
          <w:szCs w:val="32"/>
        </w:rPr>
        <w:t>初审通过</w:t>
      </w:r>
      <w:r>
        <w:rPr>
          <w:rFonts w:ascii="Times New Roman" w:hAnsi="Times New Roman" w:eastAsia="仿宋_GB2312"/>
          <w:sz w:val="32"/>
          <w:szCs w:val="32"/>
        </w:rPr>
        <w:t>后报送州生态环境局</w:t>
      </w:r>
      <w:r>
        <w:rPr>
          <w:rFonts w:hint="eastAsia" w:ascii="Times New Roman" w:hAnsi="Times New Roman" w:eastAsia="仿宋_GB2312"/>
          <w:sz w:val="32"/>
          <w:szCs w:val="32"/>
        </w:rPr>
        <w:t>，州生态环境局按照国家和自治区相关规定办理。</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重大变更事项指因技术路线、建设内容重大变动造成环保投资额</w:t>
      </w:r>
      <w:r>
        <w:rPr>
          <w:rFonts w:hint="eastAsia" w:ascii="Times New Roman" w:hAnsi="Times New Roman" w:eastAsia="仿宋_GB2312"/>
          <w:sz w:val="32"/>
          <w:szCs w:val="32"/>
        </w:rPr>
        <w:t>变更</w:t>
      </w:r>
      <w:r>
        <w:rPr>
          <w:rFonts w:ascii="Times New Roman" w:hAnsi="Times New Roman" w:eastAsia="仿宋_GB2312"/>
          <w:sz w:val="32"/>
          <w:szCs w:val="32"/>
        </w:rPr>
        <w:t>、绩效目标变更、工期延期半年以上等</w:t>
      </w:r>
      <w:r>
        <w:rPr>
          <w:rFonts w:hint="eastAsia" w:ascii="Times New Roman" w:hAnsi="Times New Roman" w:eastAsia="仿宋_GB2312"/>
          <w:sz w:val="32"/>
          <w:szCs w:val="32"/>
        </w:rPr>
        <w:t>情况</w:t>
      </w:r>
      <w:r>
        <w:rPr>
          <w:rFonts w:ascii="Times New Roman" w:hAnsi="Times New Roman" w:eastAsia="仿宋_GB2312"/>
          <w:sz w:val="32"/>
          <w:szCs w:val="32"/>
        </w:rPr>
        <w:t>，由州生态环境局按中央及自治区有关规定程序</w:t>
      </w:r>
      <w:r>
        <w:rPr>
          <w:rFonts w:hint="eastAsia" w:ascii="Times New Roman" w:hAnsi="Times New Roman" w:eastAsia="仿宋_GB2312"/>
          <w:sz w:val="32"/>
          <w:szCs w:val="32"/>
        </w:rPr>
        <w:t>提出</w:t>
      </w:r>
      <w:r>
        <w:rPr>
          <w:rFonts w:ascii="Times New Roman" w:hAnsi="Times New Roman" w:eastAsia="仿宋_GB2312"/>
          <w:sz w:val="32"/>
          <w:szCs w:val="32"/>
        </w:rPr>
        <w:t>变更意见</w:t>
      </w:r>
      <w:r>
        <w:rPr>
          <w:rFonts w:hint="eastAsia" w:ascii="Times New Roman" w:hAnsi="Times New Roman" w:eastAsia="仿宋_GB2312"/>
          <w:sz w:val="32"/>
          <w:szCs w:val="32"/>
        </w:rPr>
        <w:t>建议</w:t>
      </w:r>
      <w:r>
        <w:rPr>
          <w:rFonts w:ascii="Times New Roman" w:hAnsi="Times New Roman" w:eastAsia="仿宋_GB2312"/>
          <w:sz w:val="32"/>
          <w:szCs w:val="32"/>
        </w:rPr>
        <w:t>，</w:t>
      </w:r>
      <w:r>
        <w:rPr>
          <w:rFonts w:hint="eastAsia" w:ascii="Times New Roman" w:hAnsi="Times New Roman" w:eastAsia="仿宋_GB2312"/>
          <w:sz w:val="32"/>
          <w:szCs w:val="32"/>
        </w:rPr>
        <w:t>经</w:t>
      </w:r>
      <w:r>
        <w:rPr>
          <w:rFonts w:ascii="Times New Roman" w:hAnsi="Times New Roman" w:eastAsia="仿宋_GB2312"/>
          <w:sz w:val="32"/>
          <w:szCs w:val="32"/>
        </w:rPr>
        <w:t>州人民政府同意后</w:t>
      </w:r>
      <w:r>
        <w:rPr>
          <w:rFonts w:hint="eastAsia" w:ascii="Times New Roman" w:hAnsi="Times New Roman" w:eastAsia="仿宋_GB2312"/>
          <w:sz w:val="32"/>
          <w:szCs w:val="32"/>
        </w:rPr>
        <w:t>，</w:t>
      </w:r>
      <w:r>
        <w:rPr>
          <w:rFonts w:ascii="Times New Roman" w:hAnsi="Times New Roman" w:eastAsia="仿宋_GB2312"/>
          <w:sz w:val="32"/>
          <w:szCs w:val="32"/>
        </w:rPr>
        <w:t>上报自治区生态环境厅</w:t>
      </w:r>
      <w:r>
        <w:rPr>
          <w:rFonts w:hint="eastAsia" w:ascii="Times New Roman" w:hAnsi="Times New Roman" w:eastAsia="仿宋_GB2312"/>
          <w:sz w:val="32"/>
          <w:szCs w:val="32"/>
        </w:rPr>
        <w:t>。</w:t>
      </w:r>
      <w:r>
        <w:rPr>
          <w:rFonts w:ascii="Times New Roman" w:hAnsi="Times New Roman" w:eastAsia="仿宋_GB2312"/>
          <w:sz w:val="32"/>
          <w:szCs w:val="32"/>
        </w:rPr>
        <w:t>环保投资额增加、完工延期半年以内等非重大事项，</w:t>
      </w:r>
      <w:r>
        <w:rPr>
          <w:rFonts w:hint="eastAsia" w:ascii="Times New Roman" w:hAnsi="Times New Roman" w:eastAsia="仿宋_GB2312"/>
          <w:sz w:val="32"/>
          <w:szCs w:val="32"/>
        </w:rPr>
        <w:t>子</w:t>
      </w:r>
      <w:r>
        <w:rPr>
          <w:rFonts w:ascii="Times New Roman" w:hAnsi="Times New Roman" w:eastAsia="仿宋_GB2312"/>
          <w:sz w:val="32"/>
          <w:szCs w:val="32"/>
        </w:rPr>
        <w:t>项目实施单位向属地生态环境部门报备。</w:t>
      </w:r>
    </w:p>
    <w:p>
      <w:pPr>
        <w:spacing w:line="560" w:lineRule="exact"/>
        <w:jc w:val="center"/>
        <w:rPr>
          <w:rFonts w:hint="eastAsia" w:ascii="黑体" w:hAnsi="黑体" w:eastAsia="黑体" w:cs="黑体"/>
          <w:sz w:val="32"/>
          <w:szCs w:val="32"/>
        </w:rPr>
      </w:pPr>
      <w:r>
        <w:rPr>
          <w:rFonts w:ascii="黑体" w:hAnsi="黑体" w:eastAsia="黑体" w:cs="黑体"/>
          <w:sz w:val="32"/>
          <w:szCs w:val="32"/>
        </w:rPr>
        <w:t>第</w:t>
      </w:r>
      <w:r>
        <w:rPr>
          <w:rFonts w:hint="eastAsia" w:ascii="黑体" w:hAnsi="黑体" w:eastAsia="黑体" w:cs="黑体"/>
          <w:sz w:val="32"/>
          <w:szCs w:val="32"/>
        </w:rPr>
        <w:t>五</w:t>
      </w:r>
      <w:r>
        <w:rPr>
          <w:rFonts w:ascii="黑体" w:hAnsi="黑体" w:eastAsia="黑体" w:cs="黑体"/>
          <w:sz w:val="32"/>
          <w:szCs w:val="32"/>
        </w:rPr>
        <w:t xml:space="preserve">章 </w:t>
      </w:r>
      <w:r>
        <w:rPr>
          <w:rFonts w:hint="eastAsia" w:ascii="黑体" w:hAnsi="黑体" w:eastAsia="黑体" w:cs="黑体"/>
          <w:sz w:val="32"/>
          <w:szCs w:val="32"/>
        </w:rPr>
        <w:t>监督检查</w:t>
      </w:r>
    </w:p>
    <w:p>
      <w:pPr>
        <w:spacing w:line="560" w:lineRule="exact"/>
        <w:ind w:firstLine="643" w:firstLineChars="200"/>
        <w:rPr>
          <w:rFonts w:ascii="Times New Roman" w:hAnsi="Times New Roman" w:eastAsia="仿宋_GB2312"/>
          <w:sz w:val="32"/>
          <w:szCs w:val="32"/>
        </w:rPr>
      </w:pPr>
      <w:r>
        <w:rPr>
          <w:rFonts w:hint="eastAsia" w:ascii="Times New Roman" w:hAnsi="Times New Roman" w:eastAsia="仿宋_GB2312"/>
          <w:b/>
          <w:bCs/>
          <w:snapToGrid w:val="0"/>
          <w:sz w:val="32"/>
          <w:szCs w:val="32"/>
        </w:rPr>
        <w:t>第十六条</w:t>
      </w:r>
      <w:r>
        <w:rPr>
          <w:rFonts w:hint="eastAsia" w:ascii="仿宋_GB2312" w:hAnsi="仿宋_GB2312" w:eastAsia="仿宋_GB2312" w:cs="仿宋_GB2312"/>
          <w:sz w:val="32"/>
          <w:szCs w:val="32"/>
        </w:rPr>
        <w:t xml:space="preserve"> </w:t>
      </w:r>
      <w:r>
        <w:rPr>
          <w:rFonts w:hint="eastAsia" w:ascii="Times New Roman" w:hAnsi="Times New Roman" w:eastAsia="仿宋_GB2312"/>
          <w:sz w:val="32"/>
          <w:szCs w:val="32"/>
        </w:rPr>
        <w:t>各</w:t>
      </w:r>
      <w:r>
        <w:rPr>
          <w:rFonts w:hint="eastAsia" w:ascii="Times New Roman" w:hAnsi="Times New Roman" w:eastAsia="仿宋_GB2312"/>
          <w:snapToGrid w:val="0"/>
          <w:sz w:val="32"/>
          <w:szCs w:val="32"/>
        </w:rPr>
        <w:t>县市</w:t>
      </w:r>
      <w:r>
        <w:rPr>
          <w:rFonts w:ascii="Times New Roman" w:hAnsi="Times New Roman" w:eastAsia="仿宋_GB2312"/>
          <w:sz w:val="32"/>
          <w:szCs w:val="32"/>
        </w:rPr>
        <w:t>（园区）</w:t>
      </w:r>
      <w:r>
        <w:rPr>
          <w:rFonts w:hint="eastAsia" w:ascii="Times New Roman" w:hAnsi="Times New Roman" w:eastAsia="仿宋_GB2312"/>
          <w:sz w:val="32"/>
          <w:szCs w:val="32"/>
        </w:rPr>
        <w:t>项目监管部门</w:t>
      </w:r>
      <w:r>
        <w:rPr>
          <w:rFonts w:hint="eastAsia" w:ascii="仿宋_GB2312" w:hAnsi="仿宋_GB2312" w:eastAsia="仿宋_GB2312" w:cs="仿宋_GB2312"/>
          <w:color w:val="333333"/>
          <w:kern w:val="0"/>
          <w:sz w:val="32"/>
          <w:szCs w:val="32"/>
          <w:shd w:val="clear" w:color="auto" w:fill="FFFFFF"/>
          <w:lang w:bidi="ar"/>
          <w14:ligatures w14:val="standardContextual"/>
        </w:rPr>
        <w:t>采取督促自查、实地调研</w:t>
      </w:r>
      <w:r>
        <w:rPr>
          <w:rFonts w:hint="eastAsia" w:ascii="仿宋_GB2312" w:hAnsi="仿宋_GB2312" w:eastAsia="仿宋_GB2312" w:cs="仿宋_GB2312"/>
          <w:sz w:val="32"/>
          <w:szCs w:val="32"/>
        </w:rPr>
        <w:t>抽查</w:t>
      </w:r>
      <w:r>
        <w:rPr>
          <w:rFonts w:hint="eastAsia" w:ascii="仿宋_GB2312" w:hAnsi="仿宋_GB2312" w:eastAsia="仿宋_GB2312" w:cs="仿宋_GB2312"/>
          <w:color w:val="333333"/>
          <w:kern w:val="0"/>
          <w:sz w:val="32"/>
          <w:szCs w:val="32"/>
          <w:shd w:val="clear" w:color="auto" w:fill="FFFFFF"/>
          <w:lang w:bidi="ar"/>
          <w14:ligatures w14:val="standardContextual"/>
        </w:rPr>
        <w:t>、联合检查等多种方式开展项目监管，强化现场检查。对于</w:t>
      </w:r>
      <w:r>
        <w:rPr>
          <w:rFonts w:hint="eastAsia" w:ascii="仿宋_GB2312" w:hAnsi="仿宋_GB2312" w:eastAsia="仿宋_GB2312" w:cs="仿宋_GB2312"/>
          <w:sz w:val="32"/>
          <w:szCs w:val="32"/>
        </w:rPr>
        <w:t>检查</w:t>
      </w:r>
      <w:r>
        <w:rPr>
          <w:rFonts w:hint="eastAsia" w:ascii="仿宋_GB2312" w:hAnsi="仿宋_GB2312" w:eastAsia="仿宋_GB2312" w:cs="仿宋_GB2312"/>
          <w:color w:val="333333"/>
          <w:kern w:val="0"/>
          <w:sz w:val="32"/>
          <w:szCs w:val="32"/>
          <w:shd w:val="clear" w:color="auto" w:fill="FFFFFF"/>
          <w:lang w:bidi="ar"/>
          <w14:ligatures w14:val="standardContextual"/>
        </w:rPr>
        <w:t>和调度</w:t>
      </w:r>
      <w:r>
        <w:rPr>
          <w:rFonts w:hint="eastAsia" w:ascii="仿宋_GB2312" w:hAnsi="仿宋_GB2312" w:eastAsia="仿宋_GB2312" w:cs="仿宋_GB2312"/>
          <w:sz w:val="32"/>
          <w:szCs w:val="32"/>
        </w:rPr>
        <w:t>等</w:t>
      </w:r>
      <w:r>
        <w:rPr>
          <w:rFonts w:hint="eastAsia" w:ascii="仿宋_GB2312" w:hAnsi="仿宋_GB2312" w:eastAsia="仿宋_GB2312" w:cs="仿宋_GB2312"/>
          <w:color w:val="333333"/>
          <w:kern w:val="0"/>
          <w:sz w:val="32"/>
          <w:szCs w:val="32"/>
          <w:shd w:val="clear" w:color="auto" w:fill="FFFFFF"/>
          <w:lang w:bidi="ar"/>
          <w14:ligatures w14:val="standardContextual"/>
        </w:rPr>
        <w:t>发现的问题，</w:t>
      </w:r>
      <w:r>
        <w:rPr>
          <w:rFonts w:hint="eastAsia" w:ascii="Times New Roman" w:hAnsi="Times New Roman" w:eastAsia="仿宋_GB2312"/>
          <w:sz w:val="32"/>
          <w:szCs w:val="32"/>
        </w:rPr>
        <w:t>督促子项目实施单位立查立改</w:t>
      </w:r>
      <w:r>
        <w:rPr>
          <w:rFonts w:ascii="Times New Roman" w:hAnsi="Times New Roman" w:eastAsia="仿宋_GB2312"/>
          <w:sz w:val="32"/>
          <w:szCs w:val="32"/>
        </w:rPr>
        <w:t>；</w:t>
      </w:r>
      <w:r>
        <w:rPr>
          <w:rFonts w:hint="eastAsia" w:ascii="仿宋_GB2312" w:hAnsi="仿宋_GB2312" w:eastAsia="仿宋_GB2312" w:cs="仿宋_GB2312"/>
          <w:color w:val="333333"/>
          <w:kern w:val="0"/>
          <w:sz w:val="32"/>
          <w:szCs w:val="32"/>
          <w:shd w:val="clear" w:color="auto" w:fill="FFFFFF"/>
          <w:lang w:bidi="ar"/>
          <w14:ligatures w14:val="standardContextual"/>
        </w:rPr>
        <w:t>属于重大问题的，应以县市（园区）人民政府（管委会）名义及时报告州生态环境局，由其汇总后报州人民政府。</w:t>
      </w:r>
    </w:p>
    <w:p>
      <w:pPr>
        <w:spacing w:line="56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第</w:t>
      </w:r>
      <w:r>
        <w:rPr>
          <w:rFonts w:hint="eastAsia" w:ascii="Times New Roman" w:hAnsi="Times New Roman" w:eastAsia="仿宋_GB2312"/>
          <w:b/>
          <w:bCs/>
          <w:sz w:val="32"/>
          <w:szCs w:val="32"/>
        </w:rPr>
        <w:t>十七</w:t>
      </w:r>
      <w:r>
        <w:rPr>
          <w:rFonts w:ascii="Times New Roman" w:hAnsi="Times New Roman" w:eastAsia="仿宋_GB2312"/>
          <w:b/>
          <w:bCs/>
          <w:sz w:val="32"/>
          <w:szCs w:val="32"/>
        </w:rPr>
        <w:t>条</w:t>
      </w:r>
      <w:r>
        <w:rPr>
          <w:rFonts w:hint="eastAsia" w:ascii="Times New Roman" w:hAnsi="Times New Roman" w:eastAsia="仿宋_GB2312"/>
          <w:b/>
          <w:bCs/>
          <w:sz w:val="32"/>
          <w:szCs w:val="32"/>
        </w:rPr>
        <w:t xml:space="preserve"> </w:t>
      </w:r>
      <w:r>
        <w:rPr>
          <w:rFonts w:ascii="Times New Roman" w:hAnsi="Times New Roman" w:eastAsia="仿宋_GB2312"/>
          <w:sz w:val="32"/>
          <w:szCs w:val="32"/>
        </w:rPr>
        <w:t>州</w:t>
      </w:r>
      <w:r>
        <w:rPr>
          <w:rFonts w:hint="eastAsia" w:ascii="Times New Roman" w:hAnsi="Times New Roman" w:eastAsia="仿宋_GB2312"/>
          <w:sz w:val="32"/>
          <w:szCs w:val="32"/>
        </w:rPr>
        <w:t>级项目监管部门</w:t>
      </w:r>
      <w:r>
        <w:rPr>
          <w:rFonts w:ascii="Times New Roman" w:hAnsi="Times New Roman" w:eastAsia="仿宋_GB2312"/>
          <w:sz w:val="32"/>
          <w:szCs w:val="32"/>
        </w:rPr>
        <w:t>实施项目抽查，针对抽查过程中发现问题的项目，</w:t>
      </w:r>
      <w:r>
        <w:rPr>
          <w:rFonts w:hint="eastAsia" w:ascii="Times New Roman" w:hAnsi="Times New Roman" w:eastAsia="仿宋_GB2312"/>
          <w:sz w:val="32"/>
          <w:szCs w:val="32"/>
        </w:rPr>
        <w:t>及时</w:t>
      </w:r>
      <w:r>
        <w:rPr>
          <w:rFonts w:ascii="Times New Roman" w:hAnsi="Times New Roman" w:eastAsia="仿宋_GB2312"/>
          <w:sz w:val="32"/>
          <w:szCs w:val="32"/>
        </w:rPr>
        <w:t>反馈</w:t>
      </w:r>
      <w:r>
        <w:rPr>
          <w:rFonts w:hint="eastAsia" w:ascii="Times New Roman" w:hAnsi="Times New Roman" w:eastAsia="仿宋_GB2312"/>
          <w:sz w:val="32"/>
          <w:szCs w:val="32"/>
        </w:rPr>
        <w:t>给所在</w:t>
      </w:r>
      <w:r>
        <w:rPr>
          <w:rFonts w:ascii="Times New Roman" w:hAnsi="Times New Roman" w:eastAsia="仿宋_GB2312"/>
          <w:sz w:val="32"/>
          <w:szCs w:val="32"/>
        </w:rPr>
        <w:t>县市（园区），督促属地落实整改工作</w:t>
      </w:r>
      <w:r>
        <w:rPr>
          <w:rFonts w:hint="eastAsia" w:ascii="Times New Roman" w:hAnsi="Times New Roman" w:eastAsia="仿宋_GB2312"/>
          <w:sz w:val="32"/>
          <w:szCs w:val="32"/>
        </w:rPr>
        <w:t>；将抽查结果报州生态环境局汇总，重大问题经州人民政府审核通过后上报</w:t>
      </w:r>
      <w:r>
        <w:rPr>
          <w:rFonts w:ascii="Times New Roman" w:hAnsi="Times New Roman" w:eastAsia="仿宋_GB2312"/>
          <w:sz w:val="32"/>
          <w:szCs w:val="32"/>
        </w:rPr>
        <w:t>自治区生态环境厅</w:t>
      </w:r>
      <w:r>
        <w:rPr>
          <w:rFonts w:hint="eastAsia" w:ascii="Times New Roman" w:hAnsi="Times New Roman" w:eastAsia="仿宋_GB2312"/>
          <w:sz w:val="32"/>
          <w:szCs w:val="32"/>
        </w:rPr>
        <w:t>。</w:t>
      </w:r>
    </w:p>
    <w:p>
      <w:pPr>
        <w:widowControl/>
        <w:kinsoku w:val="0"/>
        <w:adjustRightInd w:val="0"/>
        <w:snapToGrid w:val="0"/>
        <w:spacing w:line="560" w:lineRule="exact"/>
        <w:ind w:firstLine="643" w:firstLineChars="200"/>
        <w:jc w:val="left"/>
        <w:textAlignment w:val="baseline"/>
        <w:rPr>
          <w:rFonts w:ascii="Times New Roman" w:hAnsi="Times New Roman" w:eastAsia="仿宋_GB2312"/>
          <w:b/>
          <w:bCs/>
          <w:snapToGrid w:val="0"/>
          <w:sz w:val="32"/>
          <w:szCs w:val="32"/>
        </w:rPr>
      </w:pPr>
      <w:r>
        <w:rPr>
          <w:rFonts w:ascii="Times New Roman" w:hAnsi="Times New Roman" w:eastAsia="仿宋_GB2312"/>
          <w:b/>
          <w:bCs/>
          <w:snapToGrid w:val="0"/>
          <w:sz w:val="32"/>
          <w:szCs w:val="32"/>
        </w:rPr>
        <w:t>第</w:t>
      </w:r>
      <w:r>
        <w:rPr>
          <w:rFonts w:hint="eastAsia" w:ascii="Times New Roman" w:hAnsi="Times New Roman" w:eastAsia="仿宋_GB2312"/>
          <w:b/>
          <w:bCs/>
          <w:snapToGrid w:val="0"/>
          <w:sz w:val="32"/>
          <w:szCs w:val="32"/>
        </w:rPr>
        <w:t>十八</w:t>
      </w:r>
      <w:r>
        <w:rPr>
          <w:rFonts w:ascii="Times New Roman" w:hAnsi="Times New Roman" w:eastAsia="仿宋_GB2312"/>
          <w:b/>
          <w:bCs/>
          <w:snapToGrid w:val="0"/>
          <w:sz w:val="32"/>
          <w:szCs w:val="32"/>
        </w:rPr>
        <w:t>条</w:t>
      </w:r>
      <w:r>
        <w:rPr>
          <w:rFonts w:hint="eastAsia" w:ascii="Times New Roman" w:hAnsi="Times New Roman" w:eastAsia="仿宋_GB2312"/>
          <w:b/>
          <w:bCs/>
          <w:snapToGrid w:val="0"/>
          <w:sz w:val="32"/>
          <w:szCs w:val="32"/>
        </w:rPr>
        <w:t xml:space="preserve"> </w:t>
      </w:r>
      <w:r>
        <w:rPr>
          <w:rFonts w:hint="eastAsia" w:ascii="Times New Roman" w:hAnsi="Times New Roman" w:eastAsia="仿宋_GB2312"/>
          <w:sz w:val="32"/>
          <w:szCs w:val="32"/>
        </w:rPr>
        <w:t>州、</w:t>
      </w:r>
      <w:r>
        <w:rPr>
          <w:rFonts w:hint="eastAsia" w:ascii="Times New Roman" w:hAnsi="Times New Roman" w:eastAsia="仿宋_GB2312"/>
          <w:snapToGrid w:val="0"/>
          <w:sz w:val="32"/>
          <w:szCs w:val="32"/>
        </w:rPr>
        <w:t>县市</w:t>
      </w:r>
      <w:r>
        <w:rPr>
          <w:rFonts w:ascii="Times New Roman" w:hAnsi="Times New Roman" w:eastAsia="仿宋_GB2312"/>
          <w:sz w:val="32"/>
          <w:szCs w:val="32"/>
        </w:rPr>
        <w:t>（园区）</w:t>
      </w:r>
      <w:r>
        <w:rPr>
          <w:rFonts w:hint="eastAsia" w:ascii="Times New Roman" w:hAnsi="Times New Roman" w:eastAsia="仿宋_GB2312"/>
          <w:sz w:val="32"/>
          <w:szCs w:val="32"/>
        </w:rPr>
        <w:t>项目监管部门</w:t>
      </w:r>
      <w:r>
        <w:rPr>
          <w:rFonts w:ascii="Times New Roman" w:hAnsi="Times New Roman" w:eastAsia="仿宋_GB2312"/>
          <w:sz w:val="32"/>
          <w:szCs w:val="32"/>
        </w:rPr>
        <w:t>接</w:t>
      </w:r>
      <w:r>
        <w:rPr>
          <w:rFonts w:hint="eastAsia" w:ascii="Times New Roman" w:hAnsi="Times New Roman" w:eastAsia="仿宋_GB2312"/>
          <w:sz w:val="32"/>
          <w:szCs w:val="32"/>
        </w:rPr>
        <w:t>收</w:t>
      </w:r>
      <w:r>
        <w:rPr>
          <w:rFonts w:ascii="Times New Roman" w:hAnsi="Times New Roman" w:eastAsia="仿宋_GB2312"/>
          <w:sz w:val="32"/>
          <w:szCs w:val="32"/>
        </w:rPr>
        <w:t>单位、个人对项目审批、资金安排、建设过程中违法违规行为的举报，按照有关规定办理。</w:t>
      </w:r>
    </w:p>
    <w:p>
      <w:pPr>
        <w:widowControl/>
        <w:kinsoku w:val="0"/>
        <w:adjustRightInd w:val="0"/>
        <w:snapToGrid w:val="0"/>
        <w:spacing w:line="560" w:lineRule="exact"/>
        <w:ind w:firstLine="643" w:firstLineChars="200"/>
        <w:jc w:val="left"/>
        <w:textAlignment w:val="baseline"/>
        <w:rPr>
          <w:rFonts w:ascii="Times New Roman" w:hAnsi="Times New Roman" w:eastAsia="仿宋_GB2312"/>
          <w:b/>
          <w:bCs/>
          <w:snapToGrid w:val="0"/>
          <w:sz w:val="32"/>
          <w:szCs w:val="32"/>
        </w:rPr>
      </w:pPr>
      <w:r>
        <w:rPr>
          <w:rFonts w:ascii="Times New Roman" w:hAnsi="Times New Roman" w:eastAsia="仿宋_GB2312"/>
          <w:b/>
          <w:bCs/>
          <w:snapToGrid w:val="0"/>
          <w:sz w:val="32"/>
          <w:szCs w:val="32"/>
        </w:rPr>
        <w:t>第十</w:t>
      </w:r>
      <w:r>
        <w:rPr>
          <w:rFonts w:hint="eastAsia" w:ascii="Times New Roman" w:hAnsi="Times New Roman" w:eastAsia="仿宋_GB2312"/>
          <w:b/>
          <w:bCs/>
          <w:snapToGrid w:val="0"/>
          <w:sz w:val="32"/>
          <w:szCs w:val="32"/>
        </w:rPr>
        <w:t>九</w:t>
      </w:r>
      <w:r>
        <w:rPr>
          <w:rFonts w:ascii="Times New Roman" w:hAnsi="Times New Roman" w:eastAsia="仿宋_GB2312"/>
          <w:b/>
          <w:bCs/>
          <w:snapToGrid w:val="0"/>
          <w:sz w:val="32"/>
          <w:szCs w:val="32"/>
        </w:rPr>
        <w:t>条</w:t>
      </w:r>
      <w:r>
        <w:rPr>
          <w:rFonts w:hint="eastAsia" w:ascii="Times New Roman" w:hAnsi="Times New Roman" w:eastAsia="仿宋_GB2312"/>
          <w:b/>
          <w:bCs/>
          <w:snapToGrid w:val="0"/>
          <w:sz w:val="32"/>
          <w:szCs w:val="32"/>
        </w:rPr>
        <w:t xml:space="preserve"> </w:t>
      </w:r>
      <w:r>
        <w:rPr>
          <w:rFonts w:ascii="Times New Roman" w:hAnsi="Times New Roman" w:eastAsia="仿宋_GB2312"/>
          <w:sz w:val="32"/>
          <w:szCs w:val="32"/>
        </w:rPr>
        <w:t>州生态环境局应当强化项目全过程监督管理，对子项目实施单位存在下列行为之一的，责令县市</w:t>
      </w:r>
      <w:r>
        <w:rPr>
          <w:rFonts w:hint="eastAsia" w:ascii="Times New Roman" w:hAnsi="Times New Roman" w:eastAsia="仿宋_GB2312"/>
          <w:sz w:val="32"/>
          <w:szCs w:val="32"/>
        </w:rPr>
        <w:t>（</w:t>
      </w:r>
      <w:r>
        <w:rPr>
          <w:rFonts w:ascii="Times New Roman" w:hAnsi="Times New Roman" w:eastAsia="仿宋_GB2312"/>
          <w:sz w:val="32"/>
          <w:szCs w:val="32"/>
        </w:rPr>
        <w:t>园区</w:t>
      </w:r>
      <w:r>
        <w:rPr>
          <w:rFonts w:hint="eastAsia" w:ascii="Times New Roman" w:hAnsi="Times New Roman" w:eastAsia="仿宋_GB2312"/>
          <w:sz w:val="32"/>
          <w:szCs w:val="32"/>
        </w:rPr>
        <w:t>）</w:t>
      </w:r>
      <w:r>
        <w:rPr>
          <w:rFonts w:ascii="Times New Roman" w:hAnsi="Times New Roman" w:eastAsia="仿宋_GB2312"/>
          <w:sz w:val="32"/>
          <w:szCs w:val="32"/>
        </w:rPr>
        <w:t>人民政府（管委会）督促</w:t>
      </w:r>
      <w:r>
        <w:rPr>
          <w:rFonts w:hint="eastAsia" w:ascii="Times New Roman" w:hAnsi="Times New Roman" w:eastAsia="仿宋_GB2312"/>
          <w:sz w:val="32"/>
          <w:szCs w:val="32"/>
        </w:rPr>
        <w:t>子</w:t>
      </w:r>
      <w:r>
        <w:rPr>
          <w:rFonts w:ascii="Times New Roman" w:hAnsi="Times New Roman" w:eastAsia="仿宋_GB2312"/>
          <w:sz w:val="32"/>
          <w:szCs w:val="32"/>
        </w:rPr>
        <w:t>项目</w:t>
      </w:r>
      <w:r>
        <w:rPr>
          <w:rFonts w:hint="eastAsia" w:ascii="Times New Roman" w:hAnsi="Times New Roman" w:eastAsia="仿宋_GB2312"/>
          <w:sz w:val="32"/>
          <w:szCs w:val="32"/>
        </w:rPr>
        <w:t>实施</w:t>
      </w:r>
      <w:r>
        <w:rPr>
          <w:rFonts w:ascii="Times New Roman" w:hAnsi="Times New Roman" w:eastAsia="仿宋_GB2312"/>
          <w:sz w:val="32"/>
          <w:szCs w:val="32"/>
        </w:rPr>
        <w:t>单位限期整改；拒不整改或者整改后仍达不到要求的，</w:t>
      </w:r>
      <w:r>
        <w:rPr>
          <w:rFonts w:hint="eastAsia" w:ascii="Times New Roman" w:hAnsi="Times New Roman" w:eastAsia="仿宋_GB2312"/>
          <w:sz w:val="32"/>
          <w:szCs w:val="32"/>
        </w:rPr>
        <w:t>按程序</w:t>
      </w:r>
      <w:r>
        <w:rPr>
          <w:rFonts w:ascii="Times New Roman" w:hAnsi="Times New Roman" w:eastAsia="仿宋_GB2312"/>
          <w:sz w:val="32"/>
          <w:szCs w:val="32"/>
        </w:rPr>
        <w:t>采取停止拨付</w:t>
      </w:r>
      <w:r>
        <w:rPr>
          <w:rFonts w:hint="eastAsia" w:ascii="Times New Roman" w:hAnsi="Times New Roman" w:eastAsia="仿宋_GB2312"/>
          <w:sz w:val="32"/>
          <w:szCs w:val="32"/>
        </w:rPr>
        <w:t>或收回</w:t>
      </w:r>
      <w:r>
        <w:rPr>
          <w:rFonts w:ascii="Times New Roman" w:hAnsi="Times New Roman" w:eastAsia="仿宋_GB2312"/>
          <w:sz w:val="32"/>
          <w:szCs w:val="32"/>
        </w:rPr>
        <w:t>补助资金等措施，涉嫌违纪违法的，移交有关机关依法追究相关责任人行政或法律责任</w:t>
      </w:r>
      <w:r>
        <w:rPr>
          <w:rFonts w:hint="eastAsia" w:ascii="Times New Roman" w:hAnsi="Times New Roman" w:eastAsia="仿宋_GB2312"/>
          <w:sz w:val="32"/>
          <w:szCs w:val="32"/>
        </w:rPr>
        <w:t>。</w:t>
      </w:r>
    </w:p>
    <w:p>
      <w:pPr>
        <w:overflowPunct w:val="0"/>
        <w:spacing w:line="560" w:lineRule="exact"/>
        <w:ind w:firstLine="640" w:firstLineChars="200"/>
        <w:rPr>
          <w:rFonts w:ascii="Times New Roman" w:hAnsi="Times New Roman" w:eastAsia="仿宋_GB2312"/>
          <w:sz w:val="32"/>
          <w:szCs w:val="32"/>
        </w:rPr>
      </w:pPr>
      <w:r>
        <w:rPr>
          <w:rFonts w:hint="eastAsia" w:ascii="仿宋_GB2312" w:hAnsi="Times New Roman" w:eastAsia="仿宋_GB2312"/>
          <w:sz w:val="32"/>
          <w:szCs w:val="32"/>
        </w:rPr>
        <w:t>（一）</w:t>
      </w:r>
      <w:r>
        <w:rPr>
          <w:rFonts w:ascii="Times New Roman" w:hAnsi="Times New Roman" w:eastAsia="仿宋_GB2312"/>
          <w:sz w:val="32"/>
          <w:szCs w:val="32"/>
        </w:rPr>
        <w:t>项目逾期一年以上未开工，或逾期一年以上仍未完工</w:t>
      </w:r>
      <w:r>
        <w:rPr>
          <w:rFonts w:hint="eastAsia" w:ascii="Times New Roman" w:hAnsi="Times New Roman" w:eastAsia="仿宋_GB2312"/>
          <w:sz w:val="32"/>
          <w:szCs w:val="32"/>
        </w:rPr>
        <w:t>，</w:t>
      </w:r>
      <w:r>
        <w:rPr>
          <w:rFonts w:ascii="Times New Roman" w:hAnsi="Times New Roman" w:eastAsia="仿宋_GB2312"/>
          <w:sz w:val="32"/>
          <w:szCs w:val="32"/>
        </w:rPr>
        <w:t>无正当理由拖延实施且拒不整改；</w:t>
      </w:r>
    </w:p>
    <w:p>
      <w:pPr>
        <w:overflowPunct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（二）项目未达成既定绩效目标</w:t>
      </w:r>
      <w:r>
        <w:rPr>
          <w:rFonts w:hint="eastAsia" w:ascii="Times New Roman" w:hAnsi="Times New Roman" w:eastAsia="仿宋_GB2312"/>
          <w:sz w:val="32"/>
          <w:szCs w:val="32"/>
        </w:rPr>
        <w:t>且</w:t>
      </w:r>
      <w:r>
        <w:rPr>
          <w:rFonts w:ascii="Times New Roman" w:hAnsi="Times New Roman" w:eastAsia="仿宋_GB2312"/>
          <w:sz w:val="32"/>
          <w:szCs w:val="32"/>
        </w:rPr>
        <w:t>拒不整改，或因实施单位管理不力引发重大问题，造成项目无法实施、难以实现绩效目标；</w:t>
      </w:r>
    </w:p>
    <w:p>
      <w:pPr>
        <w:overflowPunct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（三）报送虚假无效材料、谎报瞒报信息骗取专项资金，以及转移、侵占、挪用项目补助资金；</w:t>
      </w:r>
    </w:p>
    <w:p>
      <w:pPr>
        <w:overflowPunct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（四）擅自变更项目主要建设内容、建设标准，或是项目建设规模、内容、标准发生较大变动未按规定履行变更报备手续；</w:t>
      </w:r>
    </w:p>
    <w:p>
      <w:pPr>
        <w:overflowPunct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（五）拒不接受依法开展的监督检查、未按要求报送项目实施相关信息；</w:t>
      </w:r>
    </w:p>
    <w:p>
      <w:pPr>
        <w:overflowPunct w:val="0"/>
        <w:spacing w:line="560" w:lineRule="exact"/>
        <w:ind w:firstLine="640" w:firstLineChars="200"/>
        <w:rPr>
          <w:rFonts w:ascii="Times New Roman" w:hAnsi="Times New Roman" w:eastAsia="仿宋_GB2312"/>
          <w:b/>
          <w:bCs/>
          <w:sz w:val="32"/>
          <w:szCs w:val="32"/>
        </w:rPr>
      </w:pPr>
      <w:r>
        <w:rPr>
          <w:rFonts w:ascii="Times New Roman" w:hAnsi="Times New Roman" w:eastAsia="仿宋_GB2312"/>
          <w:sz w:val="32"/>
          <w:szCs w:val="32"/>
        </w:rPr>
        <w:t>（六）其他违反国家法律法规及本办法相关规定的行为。</w:t>
      </w:r>
    </w:p>
    <w:p>
      <w:pPr>
        <w:spacing w:line="560" w:lineRule="exact"/>
        <w:ind w:firstLine="200"/>
        <w:jc w:val="center"/>
        <w:rPr>
          <w:rFonts w:hint="eastAsia" w:ascii="黑体" w:hAnsi="黑体" w:eastAsia="黑体" w:cs="黑体"/>
          <w:sz w:val="32"/>
          <w:szCs w:val="32"/>
        </w:rPr>
      </w:pPr>
      <w:r>
        <w:rPr>
          <w:rFonts w:ascii="黑体" w:hAnsi="黑体" w:eastAsia="黑体" w:cs="黑体"/>
          <w:sz w:val="32"/>
          <w:szCs w:val="32"/>
        </w:rPr>
        <w:t>第</w:t>
      </w:r>
      <w:r>
        <w:rPr>
          <w:rFonts w:hint="eastAsia" w:ascii="黑体" w:hAnsi="黑体" w:eastAsia="黑体" w:cs="黑体"/>
          <w:sz w:val="32"/>
          <w:szCs w:val="32"/>
        </w:rPr>
        <w:t>六</w:t>
      </w:r>
      <w:r>
        <w:rPr>
          <w:rFonts w:ascii="黑体" w:hAnsi="黑体" w:eastAsia="黑体" w:cs="黑体"/>
          <w:sz w:val="32"/>
          <w:szCs w:val="32"/>
        </w:rPr>
        <w:t xml:space="preserve">章 </w:t>
      </w:r>
      <w:r>
        <w:rPr>
          <w:rFonts w:hint="eastAsia" w:ascii="黑体" w:hAnsi="黑体" w:eastAsia="黑体" w:cs="黑体"/>
          <w:sz w:val="32"/>
          <w:szCs w:val="32"/>
        </w:rPr>
        <w:t>项目验收</w:t>
      </w:r>
    </w:p>
    <w:p>
      <w:pPr>
        <w:spacing w:line="560" w:lineRule="exact"/>
        <w:ind w:firstLine="643" w:firstLineChars="200"/>
        <w:rPr>
          <w:rFonts w:ascii="Times New Roman" w:hAnsi="Times New Roman" w:eastAsia="仿宋_GB2312"/>
          <w:sz w:val="32"/>
          <w:szCs w:val="32"/>
        </w:rPr>
      </w:pPr>
      <w:r>
        <w:rPr>
          <w:rFonts w:hint="eastAsia" w:ascii="Times New Roman" w:hAnsi="Times New Roman" w:eastAsia="仿宋_GB2312"/>
          <w:b/>
          <w:bCs/>
          <w:sz w:val="32"/>
          <w:szCs w:val="32"/>
        </w:rPr>
        <w:t>第二十条</w:t>
      </w:r>
      <w:r>
        <w:rPr>
          <w:rFonts w:ascii="Times New Roman" w:hAnsi="Times New Roman" w:eastAsia="仿宋_GB2312"/>
          <w:sz w:val="32"/>
          <w:szCs w:val="32"/>
        </w:rPr>
        <w:t xml:space="preserve"> </w:t>
      </w:r>
      <w:r>
        <w:rPr>
          <w:rFonts w:hint="eastAsia" w:ascii="仿宋_GB2312" w:eastAsia="仿宋_GB2312"/>
          <w:sz w:val="32"/>
          <w:szCs w:val="32"/>
        </w:rPr>
        <w:t>项目验收包括子项目验收和项目整体验收</w:t>
      </w:r>
      <w:r>
        <w:rPr>
          <w:rFonts w:hint="eastAsia" w:ascii="Times New Roman" w:hAnsi="Times New Roman" w:eastAsia="仿宋_GB2312"/>
          <w:sz w:val="32"/>
          <w:szCs w:val="32"/>
        </w:rPr>
        <w:t>。</w:t>
      </w:r>
      <w:r>
        <w:rPr>
          <w:rFonts w:hint="eastAsia" w:ascii="Times New Roman" w:hAnsi="Times New Roman" w:eastAsia="仿宋_GB2312"/>
          <w:snapToGrid w:val="0"/>
          <w:sz w:val="32"/>
          <w:szCs w:val="32"/>
        </w:rPr>
        <w:t>子</w:t>
      </w:r>
      <w:r>
        <w:rPr>
          <w:rFonts w:ascii="Times New Roman" w:hAnsi="Times New Roman" w:eastAsia="仿宋_GB2312"/>
          <w:sz w:val="32"/>
          <w:szCs w:val="32"/>
        </w:rPr>
        <w:t>项目竣工</w:t>
      </w:r>
      <w:r>
        <w:rPr>
          <w:rFonts w:hint="eastAsia" w:ascii="Times New Roman" w:hAnsi="Times New Roman" w:eastAsia="仿宋_GB2312"/>
          <w:sz w:val="32"/>
          <w:szCs w:val="32"/>
        </w:rPr>
        <w:t>后3</w:t>
      </w:r>
      <w:r>
        <w:rPr>
          <w:rFonts w:ascii="Times New Roman" w:hAnsi="Times New Roman" w:eastAsia="仿宋_GB2312"/>
          <w:sz w:val="32"/>
          <w:szCs w:val="32"/>
        </w:rPr>
        <w:t>个月内完成竣工财务决算，并于完成财务决算后1个月内提交项目竣工验收相关资料（</w:t>
      </w:r>
      <w:r>
        <w:rPr>
          <w:rFonts w:hint="eastAsia" w:ascii="Times New Roman" w:hAnsi="Times New Roman" w:eastAsia="仿宋_GB2312"/>
          <w:sz w:val="32"/>
          <w:szCs w:val="32"/>
        </w:rPr>
        <w:t>详</w:t>
      </w:r>
      <w:r>
        <w:rPr>
          <w:rFonts w:ascii="Times New Roman" w:hAnsi="Times New Roman" w:eastAsia="仿宋_GB2312"/>
          <w:sz w:val="32"/>
          <w:szCs w:val="32"/>
        </w:rPr>
        <w:t>见附件</w:t>
      </w:r>
      <w:r>
        <w:rPr>
          <w:rFonts w:hint="eastAsia" w:ascii="Times New Roman" w:hAnsi="Times New Roman" w:eastAsia="仿宋_GB2312"/>
          <w:sz w:val="32"/>
          <w:szCs w:val="32"/>
        </w:rPr>
        <w:t>3</w:t>
      </w:r>
      <w:r>
        <w:rPr>
          <w:rFonts w:ascii="Times New Roman" w:hAnsi="Times New Roman" w:eastAsia="仿宋_GB2312"/>
          <w:sz w:val="32"/>
          <w:szCs w:val="32"/>
        </w:rPr>
        <w:t>），验收细则详见附件</w:t>
      </w:r>
      <w:r>
        <w:rPr>
          <w:rFonts w:hint="eastAsia" w:ascii="Times New Roman" w:hAnsi="Times New Roman" w:eastAsia="仿宋_GB2312"/>
          <w:sz w:val="32"/>
          <w:szCs w:val="32"/>
        </w:rPr>
        <w:t>4。</w:t>
      </w:r>
    </w:p>
    <w:p>
      <w:pPr>
        <w:spacing w:line="560" w:lineRule="exact"/>
        <w:ind w:firstLine="643" w:firstLineChars="200"/>
        <w:rPr>
          <w:rFonts w:ascii="Times New Roman" w:hAnsi="Times New Roman" w:eastAsia="仿宋_GB2312"/>
          <w:sz w:val="32"/>
          <w:szCs w:val="32"/>
        </w:rPr>
      </w:pPr>
      <w:r>
        <w:rPr>
          <w:rFonts w:hint="eastAsia" w:ascii="Times New Roman" w:hAnsi="Times New Roman" w:eastAsia="仿宋_GB2312"/>
          <w:b/>
          <w:bCs/>
          <w:sz w:val="32"/>
          <w:szCs w:val="32"/>
        </w:rPr>
        <w:t xml:space="preserve">第二十一条 </w:t>
      </w:r>
      <w:r>
        <w:rPr>
          <w:rFonts w:hint="eastAsia" w:ascii="Times New Roman" w:hAnsi="Times New Roman" w:eastAsia="仿宋_GB2312"/>
          <w:sz w:val="32"/>
          <w:szCs w:val="32"/>
        </w:rPr>
        <w:t>子项目验收。按照“谁监管、谁验收”原则，依据子项目可行性研究报告或初步设计，对标项目绩效目标表，规范开展项目验收工作。由子项目实施单位完成财务决算，形成项目竣工验收报告后提请县市</w:t>
      </w:r>
      <w:r>
        <w:rPr>
          <w:rFonts w:ascii="Times New Roman" w:hAnsi="Times New Roman" w:eastAsia="仿宋_GB2312"/>
          <w:sz w:val="32"/>
          <w:szCs w:val="32"/>
        </w:rPr>
        <w:t>（园区）</w:t>
      </w:r>
      <w:r>
        <w:rPr>
          <w:rFonts w:hint="eastAsia" w:ascii="Times New Roman" w:hAnsi="Times New Roman" w:eastAsia="仿宋_GB2312"/>
          <w:sz w:val="32"/>
          <w:szCs w:val="32"/>
        </w:rPr>
        <w:t>监管部门进行初步验收。县市</w:t>
      </w:r>
      <w:r>
        <w:rPr>
          <w:rFonts w:ascii="Times New Roman" w:hAnsi="Times New Roman" w:eastAsia="仿宋_GB2312"/>
          <w:sz w:val="32"/>
          <w:szCs w:val="32"/>
        </w:rPr>
        <w:t>（园区）</w:t>
      </w:r>
      <w:r>
        <w:rPr>
          <w:rFonts w:hint="eastAsia" w:ascii="Times New Roman" w:hAnsi="Times New Roman" w:eastAsia="仿宋_GB2312"/>
          <w:sz w:val="32"/>
          <w:szCs w:val="32"/>
        </w:rPr>
        <w:t>监管部门完成初验后报相应州级监管部门，州级监管部门会同相关部门开展复验，并出具复验意见，县市</w:t>
      </w:r>
      <w:r>
        <w:rPr>
          <w:rFonts w:ascii="Times New Roman" w:hAnsi="Times New Roman" w:eastAsia="仿宋_GB2312"/>
          <w:sz w:val="32"/>
          <w:szCs w:val="32"/>
        </w:rPr>
        <w:t>（园区）</w:t>
      </w:r>
      <w:r>
        <w:rPr>
          <w:rFonts w:hint="eastAsia" w:ascii="Times New Roman" w:hAnsi="Times New Roman" w:eastAsia="仿宋_GB2312"/>
          <w:sz w:val="32"/>
          <w:szCs w:val="32"/>
        </w:rPr>
        <w:t>监管部门依据复验意见，办理子项目清算拨付工作。</w:t>
      </w:r>
    </w:p>
    <w:p>
      <w:pPr>
        <w:overflowPunct w:val="0"/>
        <w:spacing w:line="560" w:lineRule="exact"/>
        <w:ind w:firstLine="643" w:firstLineChars="200"/>
        <w:rPr>
          <w:rFonts w:ascii="Times New Roman" w:hAnsi="Times New Roman" w:eastAsia="仿宋_GB2312"/>
          <w:sz w:val="32"/>
          <w:szCs w:val="32"/>
        </w:rPr>
      </w:pPr>
      <w:r>
        <w:rPr>
          <w:rFonts w:hint="eastAsia" w:ascii="Times New Roman" w:hAnsi="Times New Roman" w:eastAsia="仿宋_GB2312"/>
          <w:b/>
          <w:bCs/>
          <w:sz w:val="32"/>
          <w:szCs w:val="32"/>
        </w:rPr>
        <w:t>第二十二条</w:t>
      </w:r>
      <w:r>
        <w:rPr>
          <w:rFonts w:hint="eastAsia" w:ascii="Times New Roman" w:hAnsi="Times New Roman" w:eastAsia="仿宋_GB2312"/>
          <w:sz w:val="32"/>
          <w:szCs w:val="32"/>
        </w:rPr>
        <w:t xml:space="preserve"> 整体项目验收。</w:t>
      </w:r>
      <w:r>
        <w:rPr>
          <w:rFonts w:ascii="Times New Roman" w:hAnsi="Times New Roman" w:eastAsia="仿宋_GB2312"/>
          <w:sz w:val="32"/>
          <w:szCs w:val="32"/>
        </w:rPr>
        <w:t>全部</w:t>
      </w:r>
      <w:r>
        <w:rPr>
          <w:rFonts w:hint="eastAsia" w:ascii="Times New Roman" w:hAnsi="Times New Roman" w:eastAsia="仿宋_GB2312"/>
          <w:sz w:val="32"/>
          <w:szCs w:val="32"/>
        </w:rPr>
        <w:t>建设</w:t>
      </w:r>
      <w:r>
        <w:rPr>
          <w:rFonts w:ascii="Times New Roman" w:hAnsi="Times New Roman" w:eastAsia="仿宋_GB2312"/>
          <w:sz w:val="32"/>
          <w:szCs w:val="32"/>
        </w:rPr>
        <w:t>项目完工后</w:t>
      </w:r>
      <w:r>
        <w:rPr>
          <w:rFonts w:hint="eastAsia" w:ascii="Times New Roman" w:hAnsi="Times New Roman" w:eastAsia="仿宋_GB2312"/>
          <w:sz w:val="32"/>
          <w:szCs w:val="32"/>
        </w:rPr>
        <w:t>6个月</w:t>
      </w:r>
      <w:r>
        <w:rPr>
          <w:rFonts w:ascii="Times New Roman" w:hAnsi="Times New Roman" w:eastAsia="仿宋_GB2312"/>
          <w:sz w:val="32"/>
          <w:szCs w:val="32"/>
        </w:rPr>
        <w:t>内完成州级总体验收</w:t>
      </w:r>
      <w:r>
        <w:rPr>
          <w:rFonts w:hint="eastAsia" w:ascii="Times New Roman" w:hAnsi="Times New Roman" w:eastAsia="仿宋_GB2312"/>
          <w:sz w:val="32"/>
          <w:szCs w:val="32"/>
        </w:rPr>
        <w:t>，由州生态环境局牵头组织州级监管部门成立昌吉州验收小组，统筹协调组织对昌吉州美丽蓝天整体项目开展验收工作，项目验收细则详见附件4。</w:t>
      </w:r>
    </w:p>
    <w:p>
      <w:pPr>
        <w:overflowPunct w:val="0"/>
        <w:spacing w:line="560" w:lineRule="exact"/>
        <w:ind w:firstLine="643" w:firstLineChars="200"/>
        <w:rPr>
          <w:rFonts w:ascii="Times New Roman" w:hAnsi="Times New Roman" w:eastAsia="仿宋_GB2312"/>
          <w:sz w:val="32"/>
          <w:szCs w:val="32"/>
        </w:rPr>
      </w:pPr>
      <w:r>
        <w:rPr>
          <w:rFonts w:ascii="Times New Roman" w:hAnsi="Times New Roman" w:eastAsia="仿宋_GB2312"/>
          <w:b/>
          <w:bCs/>
          <w:snapToGrid w:val="0"/>
          <w:sz w:val="32"/>
          <w:szCs w:val="32"/>
        </w:rPr>
        <w:t>第</w:t>
      </w:r>
      <w:r>
        <w:rPr>
          <w:rFonts w:hint="eastAsia" w:ascii="Times New Roman" w:hAnsi="Times New Roman" w:eastAsia="仿宋_GB2312"/>
          <w:b/>
          <w:bCs/>
          <w:snapToGrid w:val="0"/>
          <w:sz w:val="32"/>
          <w:szCs w:val="32"/>
        </w:rPr>
        <w:t>二十三</w:t>
      </w:r>
      <w:r>
        <w:rPr>
          <w:rFonts w:ascii="Times New Roman" w:hAnsi="Times New Roman" w:eastAsia="仿宋_GB2312"/>
          <w:b/>
          <w:bCs/>
          <w:snapToGrid w:val="0"/>
          <w:sz w:val="32"/>
          <w:szCs w:val="32"/>
        </w:rPr>
        <w:t>条</w:t>
      </w:r>
      <w:r>
        <w:rPr>
          <w:rFonts w:hint="eastAsia" w:ascii="Times New Roman" w:hAnsi="Times New Roman" w:eastAsia="仿宋_GB2312"/>
          <w:b/>
          <w:bCs/>
          <w:snapToGrid w:val="0"/>
          <w:sz w:val="32"/>
          <w:szCs w:val="32"/>
        </w:rPr>
        <w:t xml:space="preserve"> </w:t>
      </w:r>
      <w:r>
        <w:rPr>
          <w:rFonts w:hint="eastAsia" w:ascii="Times New Roman" w:hAnsi="Times New Roman" w:eastAsia="仿宋_GB2312"/>
          <w:sz w:val="32"/>
          <w:szCs w:val="32"/>
        </w:rPr>
        <w:t>子</w:t>
      </w:r>
      <w:r>
        <w:rPr>
          <w:rFonts w:ascii="Times New Roman" w:hAnsi="Times New Roman" w:eastAsia="仿宋_GB2312"/>
          <w:sz w:val="32"/>
          <w:szCs w:val="32"/>
        </w:rPr>
        <w:t>项目</w:t>
      </w:r>
      <w:r>
        <w:rPr>
          <w:rFonts w:hint="eastAsia" w:ascii="Times New Roman" w:hAnsi="Times New Roman" w:eastAsia="仿宋_GB2312"/>
          <w:sz w:val="32"/>
          <w:szCs w:val="32"/>
        </w:rPr>
        <w:t>实施</w:t>
      </w:r>
      <w:r>
        <w:rPr>
          <w:rFonts w:ascii="Times New Roman" w:hAnsi="Times New Roman" w:eastAsia="仿宋_GB2312"/>
          <w:sz w:val="32"/>
          <w:szCs w:val="32"/>
        </w:rPr>
        <w:t>单位应依据中央及自治区有关规定做好项目档案管理，对可行性研究报告、绩效目标表、投资估算表等申报及实施资料存档备查，项目资料</w:t>
      </w:r>
      <w:r>
        <w:rPr>
          <w:rFonts w:hint="eastAsia" w:ascii="Times New Roman" w:hAnsi="Times New Roman" w:eastAsia="仿宋_GB2312"/>
          <w:sz w:val="32"/>
          <w:szCs w:val="32"/>
        </w:rPr>
        <w:t>及时完善</w:t>
      </w:r>
      <w:r>
        <w:rPr>
          <w:rFonts w:ascii="Times New Roman" w:hAnsi="Times New Roman" w:eastAsia="仿宋_GB2312"/>
          <w:sz w:val="32"/>
          <w:szCs w:val="32"/>
        </w:rPr>
        <w:t>归档。</w:t>
      </w:r>
      <w:r>
        <w:rPr>
          <w:rFonts w:hint="eastAsia" w:ascii="Times New Roman" w:hAnsi="Times New Roman" w:eastAsia="仿宋_GB2312"/>
          <w:sz w:val="32"/>
          <w:szCs w:val="32"/>
        </w:rPr>
        <w:t>州生态环境局各县市分局和园区环保部门按照档案管理相关规定，在属地进行存档</w:t>
      </w:r>
      <w:r>
        <w:rPr>
          <w:rFonts w:ascii="Times New Roman" w:hAnsi="Times New Roman" w:eastAsia="仿宋_GB2312"/>
          <w:sz w:val="32"/>
          <w:szCs w:val="32"/>
        </w:rPr>
        <w:t>。</w:t>
      </w:r>
    </w:p>
    <w:p>
      <w:pPr>
        <w:spacing w:line="560" w:lineRule="exact"/>
        <w:ind w:firstLine="643" w:firstLineChars="200"/>
        <w:rPr>
          <w:rFonts w:ascii="Times New Roman" w:hAnsi="Times New Roman" w:eastAsia="仿宋_GB2312"/>
          <w:sz w:val="32"/>
          <w:szCs w:val="32"/>
        </w:rPr>
      </w:pPr>
      <w:r>
        <w:rPr>
          <w:rFonts w:hint="eastAsia" w:ascii="Times New Roman" w:hAnsi="Times New Roman" w:eastAsia="仿宋_GB2312"/>
          <w:b/>
          <w:bCs/>
          <w:sz w:val="32"/>
          <w:szCs w:val="32"/>
        </w:rPr>
        <w:t>第二十四条</w:t>
      </w:r>
      <w:r>
        <w:rPr>
          <w:rFonts w:hint="eastAsia" w:ascii="Times New Roman" w:hAnsi="Times New Roman" w:eastAsia="仿宋_GB2312"/>
          <w:sz w:val="32"/>
          <w:szCs w:val="32"/>
        </w:rPr>
        <w:t xml:space="preserve"> 项目验收后，子项目实施单位应落实后期管护责任，足额保障运维资金，加强设施日常运行维护，保障设施长期安全稳定运行，持续发挥减排效益。</w:t>
      </w:r>
    </w:p>
    <w:p>
      <w:pPr>
        <w:overflowPunct w:val="0"/>
        <w:spacing w:line="560" w:lineRule="exact"/>
        <w:ind w:firstLine="643" w:firstLineChars="200"/>
        <w:rPr>
          <w:rFonts w:ascii="Times New Roman" w:hAnsi="Times New Roman" w:eastAsia="仿宋_GB2312"/>
          <w:sz w:val="32"/>
          <w:szCs w:val="32"/>
        </w:rPr>
      </w:pPr>
      <w:r>
        <w:rPr>
          <w:rFonts w:hint="eastAsia" w:ascii="Times New Roman" w:hAnsi="Times New Roman" w:eastAsia="仿宋_GB2312"/>
          <w:b/>
          <w:bCs/>
          <w:sz w:val="32"/>
          <w:szCs w:val="32"/>
        </w:rPr>
        <w:t xml:space="preserve">第二十五条 </w:t>
      </w:r>
      <w:r>
        <w:rPr>
          <w:rFonts w:ascii="Times New Roman" w:hAnsi="Times New Roman" w:eastAsia="仿宋_GB2312"/>
          <w:sz w:val="32"/>
          <w:szCs w:val="32"/>
        </w:rPr>
        <w:t>州生态环境局委托第三方专业机构配合开展项</w:t>
      </w:r>
      <w:r>
        <w:rPr>
          <w:rFonts w:ascii="Times New Roman" w:hAnsi="Times New Roman" w:eastAsia="仿宋_GB2312"/>
          <w:spacing w:val="-6"/>
          <w:sz w:val="32"/>
          <w:szCs w:val="32"/>
        </w:rPr>
        <w:t>目设计、项目跟踪管理、资金使用和审计、绩效评价等专业性工</w:t>
      </w:r>
      <w:r>
        <w:rPr>
          <w:rFonts w:ascii="Times New Roman" w:hAnsi="Times New Roman" w:eastAsia="仿宋_GB2312"/>
          <w:sz w:val="32"/>
          <w:szCs w:val="32"/>
        </w:rPr>
        <w:t>作。</w:t>
      </w:r>
    </w:p>
    <w:p>
      <w:pPr>
        <w:spacing w:line="560" w:lineRule="exact"/>
        <w:jc w:val="center"/>
        <w:rPr>
          <w:rFonts w:hint="eastAsia" w:ascii="黑体" w:hAnsi="黑体" w:eastAsia="黑体" w:cs="黑体"/>
          <w:sz w:val="32"/>
          <w:szCs w:val="32"/>
        </w:rPr>
      </w:pPr>
      <w:r>
        <w:rPr>
          <w:rFonts w:ascii="黑体" w:hAnsi="黑体" w:eastAsia="黑体" w:cs="黑体"/>
          <w:sz w:val="32"/>
          <w:szCs w:val="32"/>
        </w:rPr>
        <w:t>第</w:t>
      </w:r>
      <w:r>
        <w:rPr>
          <w:rFonts w:hint="eastAsia" w:ascii="黑体" w:hAnsi="黑体" w:eastAsia="黑体" w:cs="黑体"/>
          <w:sz w:val="32"/>
          <w:szCs w:val="32"/>
        </w:rPr>
        <w:t>七</w:t>
      </w:r>
      <w:r>
        <w:rPr>
          <w:rFonts w:ascii="黑体" w:hAnsi="黑体" w:eastAsia="黑体" w:cs="黑体"/>
          <w:sz w:val="32"/>
          <w:szCs w:val="32"/>
        </w:rPr>
        <w:t>章 附  则</w:t>
      </w:r>
    </w:p>
    <w:p>
      <w:pPr>
        <w:spacing w:line="56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第</w:t>
      </w:r>
      <w:r>
        <w:rPr>
          <w:rFonts w:hint="eastAsia" w:ascii="Times New Roman" w:hAnsi="Times New Roman" w:eastAsia="仿宋_GB2312"/>
          <w:b/>
          <w:bCs/>
          <w:sz w:val="32"/>
          <w:szCs w:val="32"/>
        </w:rPr>
        <w:t>二十六</w:t>
      </w:r>
      <w:r>
        <w:rPr>
          <w:rFonts w:ascii="Times New Roman" w:hAnsi="Times New Roman" w:eastAsia="仿宋_GB2312"/>
          <w:b/>
          <w:bCs/>
          <w:sz w:val="32"/>
          <w:szCs w:val="32"/>
        </w:rPr>
        <w:t>条</w:t>
      </w:r>
      <w:r>
        <w:rPr>
          <w:rFonts w:ascii="Times New Roman" w:hAnsi="Times New Roman" w:eastAsia="仿宋_GB2312"/>
          <w:sz w:val="32"/>
          <w:szCs w:val="32"/>
        </w:rPr>
        <w:t xml:space="preserve"> 本办法自发布之日起施行，有效期五年。</w:t>
      </w:r>
    </w:p>
    <w:p>
      <w:pPr>
        <w:spacing w:line="56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第</w:t>
      </w:r>
      <w:r>
        <w:rPr>
          <w:rFonts w:hint="eastAsia" w:ascii="Times New Roman" w:hAnsi="Times New Roman" w:eastAsia="仿宋_GB2312"/>
          <w:b/>
          <w:bCs/>
          <w:sz w:val="32"/>
          <w:szCs w:val="32"/>
        </w:rPr>
        <w:t>二十七</w:t>
      </w:r>
      <w:r>
        <w:rPr>
          <w:rFonts w:ascii="Times New Roman" w:hAnsi="Times New Roman" w:eastAsia="仿宋_GB2312"/>
          <w:b/>
          <w:bCs/>
          <w:sz w:val="32"/>
          <w:szCs w:val="32"/>
        </w:rPr>
        <w:t>条</w:t>
      </w:r>
      <w:r>
        <w:rPr>
          <w:rFonts w:ascii="Times New Roman" w:hAnsi="Times New Roman" w:eastAsia="仿宋_GB2312"/>
          <w:sz w:val="32"/>
          <w:szCs w:val="32"/>
        </w:rPr>
        <w:t xml:space="preserve"> 本办法由州生态环境局负责解</w:t>
      </w:r>
      <w:r>
        <w:rPr>
          <w:rFonts w:ascii="Times New Roman" w:hAnsi="Times New Roman" w:eastAsia="仿宋_GB2312"/>
          <w:color w:val="000000"/>
          <w:sz w:val="32"/>
          <w:szCs w:val="32"/>
        </w:rPr>
        <w:t>释</w:t>
      </w:r>
      <w:r>
        <w:rPr>
          <w:rFonts w:hint="eastAsia" w:ascii="Times New Roman" w:hAnsi="Times New Roman" w:eastAsia="仿宋_GB2312"/>
          <w:color w:val="000000"/>
          <w:sz w:val="32"/>
          <w:szCs w:val="32"/>
        </w:rPr>
        <w:t>，</w:t>
      </w:r>
      <w:r>
        <w:rPr>
          <w:rFonts w:hint="eastAsia" w:ascii="Times New Roman" w:hAnsi="Times New Roman" w:eastAsia="仿宋_GB2312"/>
          <w:sz w:val="32"/>
          <w:szCs w:val="32"/>
        </w:rPr>
        <w:t>未尽事宜由州生态环境局牵头会同相关部门研究明确，</w:t>
      </w:r>
      <w:r>
        <w:rPr>
          <w:rFonts w:hint="eastAsia" w:ascii="仿宋_GB2312" w:eastAsia="仿宋_GB2312"/>
          <w:color w:val="000000" w:themeColor="text1"/>
          <w:sz w:val="32"/>
          <w:szCs w:val="32"/>
          <w14:textFill>
            <w14:solidFill>
              <w14:schemeClr w14:val="tx1"/>
            </w14:solidFill>
          </w14:textFill>
        </w:rPr>
        <w:t>在符合国家及自治区政策导向前提下进行调整</w:t>
      </w:r>
      <w:r>
        <w:rPr>
          <w:rFonts w:ascii="Times New Roman" w:hAnsi="Times New Roman" w:eastAsia="仿宋_GB2312"/>
          <w:color w:val="000000"/>
          <w:sz w:val="32"/>
          <w:szCs w:val="32"/>
        </w:rPr>
        <w:t>。</w:t>
      </w:r>
      <w:r>
        <w:rPr>
          <w:rFonts w:ascii="Times New Roman" w:hAnsi="Times New Roman" w:eastAsia="仿宋_GB2312"/>
          <w:sz w:val="30"/>
          <w:szCs w:val="24"/>
        </w:rPr>
        <w:br w:type="page"/>
      </w:r>
    </w:p>
    <w:p>
      <w:pPr>
        <w:overflowPunct w:val="0"/>
        <w:outlineLvl w:val="0"/>
        <w:rPr>
          <w:rFonts w:eastAsia="方正黑体_GBK"/>
          <w:color w:val="000000" w:themeColor="text1"/>
          <w:sz w:val="32"/>
          <w:szCs w:val="32"/>
          <w14:textFill>
            <w14:solidFill>
              <w14:schemeClr w14:val="tx1"/>
            </w14:solidFill>
          </w14:textFill>
        </w:rPr>
      </w:pPr>
      <w:r>
        <w:rPr>
          <w:rFonts w:ascii="Times New Roman" w:hAnsi="Times New Roman" w:eastAsia="方正黑体_GBK"/>
          <w:color w:val="000000" w:themeColor="text1"/>
          <w:sz w:val="32"/>
          <w:szCs w:val="32"/>
          <w14:textFill>
            <w14:solidFill>
              <w14:schemeClr w14:val="tx1"/>
            </w14:solidFill>
          </w14:textFill>
        </w:rPr>
        <w:t>附件</w:t>
      </w:r>
      <w:r>
        <w:rPr>
          <w:rFonts w:hint="eastAsia" w:eastAsia="方正黑体_GBK"/>
          <w:color w:val="000000" w:themeColor="text1"/>
          <w:sz w:val="32"/>
          <w:szCs w:val="32"/>
          <w14:textFill>
            <w14:solidFill>
              <w14:schemeClr w14:val="tx1"/>
            </w14:solidFill>
          </w14:textFill>
        </w:rPr>
        <w:t>1</w:t>
      </w:r>
    </w:p>
    <w:p>
      <w:pPr>
        <w:overflowPunct w:val="0"/>
        <w:spacing w:line="560" w:lineRule="exact"/>
        <w:jc w:val="center"/>
        <w:rPr>
          <w:rFonts w:hint="eastAsia" w:ascii="方正小标宋_GBK" w:hAnsi="方正小标宋_GBK" w:eastAsia="方正小标宋_GBK" w:cs="方正小标宋_GBK"/>
          <w:color w:val="000000" w:themeColor="text1"/>
          <w:sz w:val="44"/>
          <w:szCs w:val="44"/>
          <w14:textFill>
            <w14:solidFill>
              <w14:schemeClr w14:val="tx1"/>
            </w14:solidFill>
          </w14:textFill>
        </w:rPr>
      </w:pPr>
      <w:r>
        <w:rPr>
          <w:rFonts w:hint="eastAsia" w:ascii="方正小标宋_GBK" w:hAnsi="方正小标宋_GBK" w:eastAsia="方正小标宋_GBK" w:cs="方正小标宋_GBK"/>
          <w:color w:val="000000" w:themeColor="text1"/>
          <w:sz w:val="44"/>
          <w:szCs w:val="44"/>
          <w14:textFill>
            <w14:solidFill>
              <w14:schemeClr w14:val="tx1"/>
            </w14:solidFill>
          </w14:textFill>
        </w:rPr>
        <w:t>美丽蓝天建设项</w:t>
      </w:r>
      <w:bookmarkStart w:id="2" w:name="_GoBack"/>
      <w:bookmarkEnd w:id="2"/>
      <w:r>
        <w:rPr>
          <w:rFonts w:hint="eastAsia" w:ascii="方正小标宋_GBK" w:hAnsi="方正小标宋_GBK" w:eastAsia="方正小标宋_GBK" w:cs="方正小标宋_GBK"/>
          <w:color w:val="000000" w:themeColor="text1"/>
          <w:sz w:val="44"/>
          <w:szCs w:val="44"/>
          <w14:textFill>
            <w14:solidFill>
              <w14:schemeClr w14:val="tx1"/>
            </w14:solidFill>
          </w14:textFill>
        </w:rPr>
        <w:t>目申报材料清单</w:t>
      </w:r>
    </w:p>
    <w:p>
      <w:pPr>
        <w:overflowPunct w:val="0"/>
        <w:spacing w:line="560" w:lineRule="exact"/>
        <w:jc w:val="center"/>
        <w:rPr>
          <w:rFonts w:hint="eastAsia"/>
          <w:color w:val="000000" w:themeColor="text1"/>
          <w14:textFill>
            <w14:solidFill>
              <w14:schemeClr w14:val="tx1"/>
            </w14:solidFill>
          </w14:textFill>
        </w:rPr>
      </w:pPr>
    </w:p>
    <w:p>
      <w:pPr>
        <w:overflowPunct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1.项目申请表；</w:t>
      </w:r>
    </w:p>
    <w:p>
      <w:pPr>
        <w:overflowPunct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2.项目绩效目标申报表（参考格式见附件1-2）；</w:t>
      </w:r>
    </w:p>
    <w:p>
      <w:pPr>
        <w:overflowPunct w:val="0"/>
        <w:spacing w:line="560" w:lineRule="exact"/>
        <w:ind w:firstLine="608" w:firstLineChars="200"/>
        <w:rPr>
          <w:rFonts w:ascii="Times New Roman" w:hAnsi="Times New Roman" w:eastAsia="仿宋_GB2312"/>
          <w:spacing w:val="-8"/>
          <w:sz w:val="32"/>
          <w:szCs w:val="32"/>
        </w:rPr>
      </w:pPr>
      <w:r>
        <w:rPr>
          <w:rFonts w:hint="eastAsia" w:ascii="Times New Roman" w:hAnsi="Times New Roman" w:eastAsia="仿宋_GB2312"/>
          <w:spacing w:val="-8"/>
          <w:sz w:val="32"/>
          <w:szCs w:val="32"/>
        </w:rPr>
        <w:t>3.项目</w:t>
      </w:r>
      <w:r>
        <w:rPr>
          <w:rFonts w:ascii="Times New Roman" w:hAnsi="Times New Roman" w:eastAsia="仿宋_GB2312"/>
          <w:spacing w:val="-8"/>
          <w:sz w:val="32"/>
          <w:szCs w:val="32"/>
        </w:rPr>
        <w:t>可行性</w:t>
      </w:r>
      <w:r>
        <w:rPr>
          <w:rFonts w:hint="eastAsia" w:ascii="Times New Roman" w:hAnsi="Times New Roman" w:eastAsia="仿宋_GB2312"/>
          <w:spacing w:val="-8"/>
          <w:sz w:val="32"/>
          <w:szCs w:val="32"/>
        </w:rPr>
        <w:t>研究报告及投资备案证</w:t>
      </w:r>
      <w:r>
        <w:rPr>
          <w:rFonts w:ascii="Times New Roman" w:hAnsi="Times New Roman" w:eastAsia="仿宋_GB2312"/>
          <w:spacing w:val="-8"/>
          <w:sz w:val="32"/>
          <w:szCs w:val="32"/>
        </w:rPr>
        <w:t>或</w:t>
      </w:r>
      <w:r>
        <w:rPr>
          <w:rFonts w:hint="eastAsia" w:ascii="Times New Roman" w:hAnsi="Times New Roman" w:eastAsia="仿宋_GB2312"/>
          <w:spacing w:val="-8"/>
          <w:sz w:val="32"/>
          <w:szCs w:val="32"/>
        </w:rPr>
        <w:t>项目</w:t>
      </w:r>
      <w:r>
        <w:rPr>
          <w:rFonts w:ascii="Times New Roman" w:hAnsi="Times New Roman" w:eastAsia="仿宋_GB2312"/>
          <w:spacing w:val="-8"/>
          <w:sz w:val="32"/>
          <w:szCs w:val="32"/>
        </w:rPr>
        <w:t>实施方案</w:t>
      </w:r>
      <w:r>
        <w:rPr>
          <w:rFonts w:hint="eastAsia" w:ascii="Times New Roman" w:hAnsi="Times New Roman" w:eastAsia="仿宋_GB2312"/>
          <w:spacing w:val="-8"/>
          <w:sz w:val="32"/>
          <w:szCs w:val="32"/>
        </w:rPr>
        <w:t>及批复；</w:t>
      </w:r>
    </w:p>
    <w:p>
      <w:pPr>
        <w:overflowPunct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4.申报信用承诺书；</w:t>
      </w:r>
    </w:p>
    <w:p>
      <w:pPr>
        <w:overflowPunct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5.无在办的严重环保失信和严重环境违法案例证明。</w:t>
      </w:r>
    </w:p>
    <w:p>
      <w:pPr>
        <w:overflowPunct w:val="0"/>
        <w:spacing w:line="560" w:lineRule="exact"/>
        <w:rPr>
          <w:rFonts w:hint="eastAsia" w:ascii="黑体" w:hAnsi="黑体" w:eastAsia="黑体"/>
          <w:color w:val="000000" w:themeColor="text1"/>
          <w:sz w:val="32"/>
          <w:szCs w:val="32"/>
          <w14:textFill>
            <w14:solidFill>
              <w14:schemeClr w14:val="tx1"/>
            </w14:solidFill>
          </w14:textFill>
        </w:rPr>
      </w:pPr>
      <w:r>
        <w:rPr>
          <w:rFonts w:hint="eastAsia" w:ascii="Times New Roman" w:hAnsi="Times New Roman"/>
          <w:color w:val="000000" w:themeColor="text1"/>
          <w:sz w:val="32"/>
          <w:szCs w:val="32"/>
          <w14:textFill>
            <w14:solidFill>
              <w14:schemeClr w14:val="tx1"/>
            </w14:solidFill>
          </w14:textFill>
        </w:rPr>
        <w:br w:type="page"/>
      </w:r>
      <w:r>
        <w:rPr>
          <w:rFonts w:hint="eastAsia" w:ascii="黑体" w:hAnsi="黑体" w:eastAsia="黑体"/>
          <w:color w:val="000000" w:themeColor="text1"/>
          <w:sz w:val="32"/>
          <w:szCs w:val="32"/>
          <w14:textFill>
            <w14:solidFill>
              <w14:schemeClr w14:val="tx1"/>
            </w14:solidFill>
          </w14:textFill>
        </w:rPr>
        <w:t>附件1-2</w:t>
      </w:r>
    </w:p>
    <w:p>
      <w:pPr>
        <w:overflowPunct w:val="0"/>
        <w:spacing w:line="560" w:lineRule="exact"/>
        <w:jc w:val="center"/>
        <w:rPr>
          <w:color w:val="000000" w:themeColor="text1"/>
          <w:sz w:val="44"/>
          <w:szCs w:val="44"/>
          <w14:textFill>
            <w14:solidFill>
              <w14:schemeClr w14:val="tx1"/>
            </w14:solidFill>
          </w14:textFill>
        </w:rPr>
      </w:pPr>
      <w:r>
        <w:rPr>
          <w:rFonts w:hint="eastAsia" w:ascii="方正小标宋_GBK" w:hAnsi="方正小标宋_GBK" w:eastAsia="方正小标宋_GBK" w:cs="方正小标宋_GBK"/>
          <w:color w:val="000000" w:themeColor="text1"/>
          <w:sz w:val="44"/>
          <w:szCs w:val="44"/>
          <w14:textFill>
            <w14:solidFill>
              <w14:schemeClr w14:val="tx1"/>
            </w14:solidFill>
          </w14:textFill>
        </w:rPr>
        <w:t>绩效目标申报表</w:t>
      </w:r>
    </w:p>
    <w:tbl>
      <w:tblPr>
        <w:tblStyle w:val="3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1"/>
        <w:gridCol w:w="786"/>
        <w:gridCol w:w="806"/>
        <w:gridCol w:w="2020"/>
        <w:gridCol w:w="2182"/>
        <w:gridCol w:w="101"/>
        <w:gridCol w:w="22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1365" w:type="pct"/>
            <w:gridSpan w:val="3"/>
            <w:vAlign w:val="center"/>
          </w:tcPr>
          <w:p>
            <w:pPr>
              <w:overflowPunct w:val="0"/>
              <w:spacing w:line="240" w:lineRule="exact"/>
              <w:jc w:val="center"/>
              <w:textAlignment w:val="center"/>
              <w:rPr>
                <w:color w:val="000000" w:themeColor="text1"/>
                <w:szCs w:val="21"/>
                <w14:textFill>
                  <w14:solidFill>
                    <w14:schemeClr w14:val="tx1"/>
                  </w14:solidFill>
                </w14:textFill>
              </w:rPr>
            </w:pPr>
            <w:r>
              <w:rPr>
                <w:rFonts w:ascii="Times New Roman" w:hAnsi="Times New Roman" w:eastAsia="方正仿宋_GBK"/>
                <w:color w:val="000000" w:themeColor="text1"/>
                <w:kern w:val="0"/>
                <w:szCs w:val="21"/>
                <w:lang w:bidi="ar"/>
                <w14:textFill>
                  <w14:solidFill>
                    <w14:schemeClr w14:val="tx1"/>
                  </w14:solidFill>
                </w14:textFill>
              </w:rPr>
              <w:t>项目名称</w:t>
            </w:r>
          </w:p>
        </w:tc>
        <w:tc>
          <w:tcPr>
            <w:tcW w:w="3635" w:type="pct"/>
            <w:gridSpan w:val="4"/>
            <w:vAlign w:val="center"/>
          </w:tcPr>
          <w:p>
            <w:pPr>
              <w:overflowPunct w:val="0"/>
              <w:spacing w:line="240" w:lineRule="exact"/>
              <w:jc w:val="center"/>
              <w:textAlignment w:val="cente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1365" w:type="pct"/>
            <w:gridSpan w:val="3"/>
            <w:vAlign w:val="center"/>
          </w:tcPr>
          <w:p>
            <w:pPr>
              <w:overflowPunct w:val="0"/>
              <w:spacing w:line="240" w:lineRule="exact"/>
              <w:jc w:val="center"/>
              <w:textAlignment w:val="center"/>
              <w:rPr>
                <w:color w:val="000000" w:themeColor="text1"/>
                <w:szCs w:val="21"/>
                <w14:textFill>
                  <w14:solidFill>
                    <w14:schemeClr w14:val="tx1"/>
                  </w14:solidFill>
                </w14:textFill>
              </w:rPr>
            </w:pPr>
            <w:r>
              <w:rPr>
                <w:rFonts w:ascii="Times New Roman" w:hAnsi="Times New Roman" w:eastAsia="方正仿宋_GBK"/>
                <w:color w:val="000000" w:themeColor="text1"/>
                <w:kern w:val="0"/>
                <w:szCs w:val="21"/>
                <w:lang w:bidi="ar"/>
                <w14:textFill>
                  <w14:solidFill>
                    <w14:schemeClr w14:val="tx1"/>
                  </w14:solidFill>
                </w14:textFill>
              </w:rPr>
              <w:t>专项</w:t>
            </w:r>
            <w:r>
              <w:rPr>
                <w:rFonts w:hint="eastAsia" w:ascii="Times New Roman" w:hAnsi="Times New Roman" w:eastAsia="方正仿宋_GBK"/>
                <w:color w:val="000000" w:themeColor="text1"/>
                <w:kern w:val="0"/>
                <w:szCs w:val="21"/>
                <w:lang w:bidi="ar"/>
                <w14:textFill>
                  <w14:solidFill>
                    <w14:schemeClr w14:val="tx1"/>
                  </w14:solidFill>
                </w14:textFill>
              </w:rPr>
              <w:t>名称</w:t>
            </w:r>
          </w:p>
        </w:tc>
        <w:tc>
          <w:tcPr>
            <w:tcW w:w="3635" w:type="pct"/>
            <w:gridSpan w:val="4"/>
            <w:vAlign w:val="center"/>
          </w:tcPr>
          <w:p>
            <w:pPr>
              <w:overflowPunct w:val="0"/>
              <w:spacing w:line="240" w:lineRule="exact"/>
              <w:jc w:val="center"/>
              <w:textAlignment w:val="cente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1365" w:type="pct"/>
            <w:gridSpan w:val="3"/>
            <w:vAlign w:val="center"/>
          </w:tcPr>
          <w:p>
            <w:pPr>
              <w:overflowPunct w:val="0"/>
              <w:spacing w:line="240" w:lineRule="exact"/>
              <w:jc w:val="center"/>
              <w:textAlignment w:val="center"/>
              <w:rPr>
                <w:color w:val="000000" w:themeColor="text1"/>
                <w:szCs w:val="21"/>
                <w14:textFill>
                  <w14:solidFill>
                    <w14:schemeClr w14:val="tx1"/>
                  </w14:solidFill>
                </w14:textFill>
              </w:rPr>
            </w:pPr>
            <w:r>
              <w:rPr>
                <w:rFonts w:ascii="Times New Roman" w:hAnsi="Times New Roman" w:eastAsia="方正仿宋_GBK"/>
                <w:color w:val="000000" w:themeColor="text1"/>
                <w:kern w:val="0"/>
                <w:szCs w:val="21"/>
                <w:lang w:bidi="ar"/>
                <w14:textFill>
                  <w14:solidFill>
                    <w14:schemeClr w14:val="tx1"/>
                  </w14:solidFill>
                </w14:textFill>
              </w:rPr>
              <w:t>中央主管部门</w:t>
            </w:r>
          </w:p>
        </w:tc>
        <w:tc>
          <w:tcPr>
            <w:tcW w:w="3635" w:type="pct"/>
            <w:gridSpan w:val="4"/>
            <w:vAlign w:val="center"/>
          </w:tcPr>
          <w:p>
            <w:pPr>
              <w:overflowPunct w:val="0"/>
              <w:spacing w:line="240" w:lineRule="exact"/>
              <w:jc w:val="center"/>
              <w:textAlignment w:val="cente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1365" w:type="pct"/>
            <w:gridSpan w:val="3"/>
            <w:vAlign w:val="center"/>
          </w:tcPr>
          <w:p>
            <w:pPr>
              <w:overflowPunct w:val="0"/>
              <w:spacing w:line="240" w:lineRule="exact"/>
              <w:jc w:val="center"/>
              <w:textAlignment w:val="center"/>
              <w:rPr>
                <w:color w:val="000000" w:themeColor="text1"/>
                <w:szCs w:val="21"/>
                <w14:textFill>
                  <w14:solidFill>
                    <w14:schemeClr w14:val="tx1"/>
                  </w14:solidFill>
                </w14:textFill>
              </w:rPr>
            </w:pPr>
            <w:r>
              <w:rPr>
                <w:rFonts w:hint="eastAsia" w:ascii="Times New Roman" w:hAnsi="Times New Roman" w:eastAsia="方正仿宋_GBK"/>
                <w:color w:val="000000" w:themeColor="text1"/>
                <w:kern w:val="0"/>
                <w:szCs w:val="21"/>
                <w:lang w:bidi="ar"/>
                <w14:textFill>
                  <w14:solidFill>
                    <w14:schemeClr w14:val="tx1"/>
                  </w14:solidFill>
                </w14:textFill>
              </w:rPr>
              <w:t>省级财政部门</w:t>
            </w:r>
          </w:p>
        </w:tc>
        <w:tc>
          <w:tcPr>
            <w:tcW w:w="1115" w:type="pct"/>
            <w:vAlign w:val="center"/>
          </w:tcPr>
          <w:p>
            <w:pPr>
              <w:overflowPunct w:val="0"/>
              <w:spacing w:line="240" w:lineRule="exact"/>
              <w:jc w:val="center"/>
              <w:textAlignment w:val="center"/>
              <w:rPr>
                <w:color w:val="000000" w:themeColor="text1"/>
                <w:szCs w:val="21"/>
                <w14:textFill>
                  <w14:solidFill>
                    <w14:schemeClr w14:val="tx1"/>
                  </w14:solidFill>
                </w14:textFill>
              </w:rPr>
            </w:pPr>
          </w:p>
        </w:tc>
        <w:tc>
          <w:tcPr>
            <w:tcW w:w="1260" w:type="pct"/>
            <w:gridSpan w:val="2"/>
            <w:vAlign w:val="center"/>
          </w:tcPr>
          <w:p>
            <w:pPr>
              <w:overflowPunct w:val="0"/>
              <w:spacing w:line="240" w:lineRule="exact"/>
              <w:jc w:val="center"/>
              <w:textAlignment w:val="center"/>
              <w:rPr>
                <w:color w:val="000000" w:themeColor="text1"/>
                <w:szCs w:val="21"/>
                <w14:textFill>
                  <w14:solidFill>
                    <w14:schemeClr w14:val="tx1"/>
                  </w14:solidFill>
                </w14:textFill>
              </w:rPr>
            </w:pPr>
            <w:r>
              <w:rPr>
                <w:rFonts w:ascii="Times New Roman" w:hAnsi="Times New Roman" w:eastAsia="方正仿宋_GBK"/>
                <w:color w:val="000000" w:themeColor="text1"/>
                <w:kern w:val="0"/>
                <w:szCs w:val="21"/>
                <w:lang w:bidi="ar"/>
                <w14:textFill>
                  <w14:solidFill>
                    <w14:schemeClr w14:val="tx1"/>
                  </w14:solidFill>
                </w14:textFill>
              </w:rPr>
              <w:t>省级主管部门</w:t>
            </w:r>
          </w:p>
        </w:tc>
        <w:tc>
          <w:tcPr>
            <w:tcW w:w="1260" w:type="pct"/>
            <w:shd w:val="clear" w:color="auto" w:fill="FFFFFF"/>
            <w:vAlign w:val="center"/>
          </w:tcPr>
          <w:p>
            <w:pPr>
              <w:overflowPunct w:val="0"/>
              <w:spacing w:line="240" w:lineRule="exact"/>
              <w:jc w:val="center"/>
              <w:textAlignment w:val="cente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1365" w:type="pct"/>
            <w:gridSpan w:val="3"/>
            <w:vAlign w:val="center"/>
          </w:tcPr>
          <w:p>
            <w:pPr>
              <w:overflowPunct w:val="0"/>
              <w:spacing w:line="240" w:lineRule="exact"/>
              <w:jc w:val="center"/>
              <w:textAlignment w:val="center"/>
              <w:rPr>
                <w:rFonts w:ascii="Times New Roman" w:hAnsi="Times New Roman" w:eastAsia="方正仿宋_GBK"/>
                <w:color w:val="000000" w:themeColor="text1"/>
                <w:kern w:val="0"/>
                <w:szCs w:val="21"/>
                <w:lang w:bidi="ar"/>
                <w14:textFill>
                  <w14:solidFill>
                    <w14:schemeClr w14:val="tx1"/>
                  </w14:solidFill>
                </w14:textFill>
              </w:rPr>
            </w:pPr>
            <w:r>
              <w:rPr>
                <w:rFonts w:hint="eastAsia" w:ascii="Times New Roman" w:hAnsi="Times New Roman" w:eastAsia="方正仿宋_GBK"/>
                <w:color w:val="000000" w:themeColor="text1"/>
                <w:kern w:val="0"/>
                <w:szCs w:val="21"/>
                <w:lang w:bidi="ar"/>
                <w14:textFill>
                  <w14:solidFill>
                    <w14:schemeClr w14:val="tx1"/>
                  </w14:solidFill>
                </w14:textFill>
              </w:rPr>
              <w:t>地方财政部门</w:t>
            </w:r>
          </w:p>
        </w:tc>
        <w:tc>
          <w:tcPr>
            <w:tcW w:w="1115" w:type="pct"/>
            <w:vAlign w:val="center"/>
          </w:tcPr>
          <w:p>
            <w:pPr>
              <w:overflowPunct w:val="0"/>
              <w:spacing w:line="240" w:lineRule="exact"/>
              <w:jc w:val="center"/>
              <w:textAlignment w:val="center"/>
              <w:rPr>
                <w:color w:val="000000" w:themeColor="text1"/>
                <w:szCs w:val="21"/>
                <w14:textFill>
                  <w14:solidFill>
                    <w14:schemeClr w14:val="tx1"/>
                  </w14:solidFill>
                </w14:textFill>
              </w:rPr>
            </w:pPr>
          </w:p>
        </w:tc>
        <w:tc>
          <w:tcPr>
            <w:tcW w:w="1260" w:type="pct"/>
            <w:gridSpan w:val="2"/>
            <w:vAlign w:val="center"/>
          </w:tcPr>
          <w:p>
            <w:pPr>
              <w:overflowPunct w:val="0"/>
              <w:spacing w:line="240" w:lineRule="exact"/>
              <w:jc w:val="center"/>
              <w:textAlignment w:val="center"/>
              <w:rPr>
                <w:rFonts w:ascii="Times New Roman" w:hAnsi="Times New Roman" w:eastAsia="方正仿宋_GBK"/>
                <w:color w:val="000000" w:themeColor="text1"/>
                <w:kern w:val="0"/>
                <w:szCs w:val="21"/>
                <w:lang w:bidi="ar"/>
                <w14:textFill>
                  <w14:solidFill>
                    <w14:schemeClr w14:val="tx1"/>
                  </w14:solidFill>
                </w14:textFill>
              </w:rPr>
            </w:pPr>
            <w:r>
              <w:rPr>
                <w:rFonts w:hint="eastAsia" w:ascii="Times New Roman" w:hAnsi="Times New Roman" w:eastAsia="方正仿宋_GBK"/>
                <w:color w:val="000000" w:themeColor="text1"/>
                <w:kern w:val="0"/>
                <w:szCs w:val="21"/>
                <w:lang w:bidi="ar"/>
                <w14:textFill>
                  <w14:solidFill>
                    <w14:schemeClr w14:val="tx1"/>
                  </w14:solidFill>
                </w14:textFill>
              </w:rPr>
              <w:t>地方</w:t>
            </w:r>
            <w:r>
              <w:rPr>
                <w:rFonts w:ascii="Times New Roman" w:hAnsi="Times New Roman" w:eastAsia="方正仿宋_GBK"/>
                <w:color w:val="000000" w:themeColor="text1"/>
                <w:kern w:val="0"/>
                <w:szCs w:val="21"/>
                <w:lang w:bidi="ar"/>
                <w14:textFill>
                  <w14:solidFill>
                    <w14:schemeClr w14:val="tx1"/>
                  </w14:solidFill>
                </w14:textFill>
              </w:rPr>
              <w:t>主管部门</w:t>
            </w:r>
          </w:p>
        </w:tc>
        <w:tc>
          <w:tcPr>
            <w:tcW w:w="1260" w:type="pct"/>
            <w:shd w:val="clear" w:color="auto" w:fill="FFFFFF"/>
            <w:vAlign w:val="center"/>
          </w:tcPr>
          <w:p>
            <w:pPr>
              <w:overflowPunct w:val="0"/>
              <w:spacing w:line="240" w:lineRule="exact"/>
              <w:jc w:val="center"/>
              <w:textAlignment w:val="cente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1365" w:type="pct"/>
            <w:gridSpan w:val="3"/>
            <w:vAlign w:val="center"/>
          </w:tcPr>
          <w:p>
            <w:pPr>
              <w:overflowPunct w:val="0"/>
              <w:spacing w:line="240" w:lineRule="exact"/>
              <w:jc w:val="center"/>
              <w:textAlignment w:val="center"/>
              <w:rPr>
                <w:rFonts w:ascii="Times New Roman" w:hAnsi="Times New Roman" w:eastAsia="方正仿宋_GBK"/>
                <w:color w:val="000000" w:themeColor="text1"/>
                <w:kern w:val="0"/>
                <w:szCs w:val="21"/>
                <w:lang w:bidi="ar"/>
                <w14:textFill>
                  <w14:solidFill>
                    <w14:schemeClr w14:val="tx1"/>
                  </w14:solidFill>
                </w14:textFill>
              </w:rPr>
            </w:pPr>
            <w:r>
              <w:rPr>
                <w:rFonts w:hint="eastAsia" w:ascii="Times New Roman" w:hAnsi="Times New Roman" w:eastAsia="方正仿宋_GBK"/>
                <w:color w:val="000000" w:themeColor="text1"/>
                <w:kern w:val="0"/>
                <w:szCs w:val="21"/>
                <w:lang w:bidi="ar"/>
                <w14:textFill>
                  <w14:solidFill>
                    <w14:schemeClr w14:val="tx1"/>
                  </w14:solidFill>
                </w14:textFill>
              </w:rPr>
              <w:t>项目</w:t>
            </w:r>
            <w:r>
              <w:rPr>
                <w:rFonts w:ascii="Times New Roman" w:hAnsi="Times New Roman" w:eastAsia="方正仿宋_GBK"/>
                <w:color w:val="000000" w:themeColor="text1"/>
                <w:kern w:val="0"/>
                <w:szCs w:val="21"/>
                <w:lang w:bidi="ar"/>
                <w14:textFill>
                  <w14:solidFill>
                    <w14:schemeClr w14:val="tx1"/>
                  </w14:solidFill>
                </w14:textFill>
              </w:rPr>
              <w:t>实施单位</w:t>
            </w:r>
          </w:p>
        </w:tc>
        <w:tc>
          <w:tcPr>
            <w:tcW w:w="3635" w:type="pct"/>
            <w:gridSpan w:val="4"/>
            <w:vAlign w:val="center"/>
          </w:tcPr>
          <w:p>
            <w:pPr>
              <w:overflowPunct w:val="0"/>
              <w:spacing w:line="240" w:lineRule="exact"/>
              <w:jc w:val="center"/>
              <w:textAlignment w:val="cente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6" w:hRule="atLeast"/>
        </w:trPr>
        <w:tc>
          <w:tcPr>
            <w:tcW w:w="1365" w:type="pct"/>
            <w:gridSpan w:val="3"/>
            <w:vMerge w:val="restart"/>
            <w:vAlign w:val="center"/>
          </w:tcPr>
          <w:p>
            <w:pPr>
              <w:overflowPunct w:val="0"/>
              <w:spacing w:line="240" w:lineRule="exact"/>
              <w:jc w:val="center"/>
              <w:textAlignment w:val="center"/>
              <w:rPr>
                <w:rFonts w:ascii="Times New Roman" w:hAnsi="Times New Roman" w:eastAsia="方正仿宋_GBK"/>
                <w:color w:val="000000" w:themeColor="text1"/>
                <w:kern w:val="0"/>
                <w:szCs w:val="21"/>
                <w:lang w:bidi="ar"/>
                <w14:textFill>
                  <w14:solidFill>
                    <w14:schemeClr w14:val="tx1"/>
                  </w14:solidFill>
                </w14:textFill>
              </w:rPr>
            </w:pPr>
            <w:r>
              <w:rPr>
                <w:rFonts w:ascii="Times New Roman" w:hAnsi="Times New Roman" w:eastAsia="方正仿宋_GBK"/>
                <w:color w:val="000000" w:themeColor="text1"/>
                <w:kern w:val="0"/>
                <w:szCs w:val="21"/>
                <w:lang w:bidi="ar"/>
                <w14:textFill>
                  <w14:solidFill>
                    <w14:schemeClr w14:val="tx1"/>
                  </w14:solidFill>
                </w14:textFill>
              </w:rPr>
              <w:t>资金情况</w:t>
            </w:r>
          </w:p>
          <w:p>
            <w:pPr>
              <w:overflowPunct w:val="0"/>
              <w:spacing w:line="240" w:lineRule="exact"/>
              <w:jc w:val="center"/>
              <w:textAlignment w:val="center"/>
              <w:rPr>
                <w:rFonts w:ascii="Times New Roman" w:hAnsi="Times New Roman" w:eastAsia="方正仿宋_GBK"/>
                <w:color w:val="000000" w:themeColor="text1"/>
                <w:kern w:val="0"/>
                <w:szCs w:val="21"/>
                <w:lang w:bidi="ar"/>
                <w14:textFill>
                  <w14:solidFill>
                    <w14:schemeClr w14:val="tx1"/>
                  </w14:solidFill>
                </w14:textFill>
              </w:rPr>
            </w:pPr>
            <w:r>
              <w:rPr>
                <w:rFonts w:ascii="Times New Roman" w:hAnsi="Times New Roman" w:eastAsia="方正仿宋_GBK"/>
                <w:color w:val="000000" w:themeColor="text1"/>
                <w:kern w:val="0"/>
                <w:szCs w:val="21"/>
                <w:lang w:bidi="ar"/>
                <w14:textFill>
                  <w14:solidFill>
                    <w14:schemeClr w14:val="tx1"/>
                  </w14:solidFill>
                </w14:textFill>
              </w:rPr>
              <w:t>（万元）</w:t>
            </w:r>
          </w:p>
        </w:tc>
        <w:tc>
          <w:tcPr>
            <w:tcW w:w="1115" w:type="pct"/>
            <w:vAlign w:val="center"/>
          </w:tcPr>
          <w:p>
            <w:pPr>
              <w:overflowPunct w:val="0"/>
              <w:spacing w:line="240" w:lineRule="exact"/>
              <w:jc w:val="center"/>
              <w:textAlignment w:val="center"/>
              <w:rPr>
                <w:color w:val="000000" w:themeColor="text1"/>
                <w:szCs w:val="21"/>
                <w14:textFill>
                  <w14:solidFill>
                    <w14:schemeClr w14:val="tx1"/>
                  </w14:solidFill>
                </w14:textFill>
              </w:rPr>
            </w:pPr>
            <w:r>
              <w:rPr>
                <w:rFonts w:ascii="Times New Roman" w:hAnsi="Times New Roman" w:eastAsia="方正仿宋_GBK"/>
                <w:color w:val="000000" w:themeColor="text1"/>
                <w:kern w:val="0"/>
                <w:szCs w:val="21"/>
                <w:lang w:bidi="ar"/>
                <w14:textFill>
                  <w14:solidFill>
                    <w14:schemeClr w14:val="tx1"/>
                  </w14:solidFill>
                </w14:textFill>
              </w:rPr>
              <w:t>总投资</w:t>
            </w:r>
          </w:p>
        </w:tc>
        <w:tc>
          <w:tcPr>
            <w:tcW w:w="2520" w:type="pct"/>
            <w:gridSpan w:val="3"/>
            <w:vAlign w:val="center"/>
          </w:tcPr>
          <w:p>
            <w:pPr>
              <w:overflowPunct w:val="0"/>
              <w:spacing w:line="240" w:lineRule="exact"/>
              <w:jc w:val="center"/>
              <w:textAlignment w:val="cente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6" w:hRule="atLeast"/>
        </w:trPr>
        <w:tc>
          <w:tcPr>
            <w:tcW w:w="1365" w:type="pct"/>
            <w:gridSpan w:val="3"/>
            <w:vMerge w:val="continue"/>
            <w:vAlign w:val="center"/>
          </w:tcPr>
          <w:p>
            <w:pPr>
              <w:overflowPunct w:val="0"/>
              <w:spacing w:line="240" w:lineRule="exact"/>
              <w:jc w:val="center"/>
              <w:rPr>
                <w:color w:val="000000" w:themeColor="text1"/>
                <w:szCs w:val="21"/>
                <w14:textFill>
                  <w14:solidFill>
                    <w14:schemeClr w14:val="tx1"/>
                  </w14:solidFill>
                </w14:textFill>
              </w:rPr>
            </w:pPr>
          </w:p>
        </w:tc>
        <w:tc>
          <w:tcPr>
            <w:tcW w:w="1115" w:type="pct"/>
            <w:vAlign w:val="center"/>
          </w:tcPr>
          <w:p>
            <w:pPr>
              <w:overflowPunct w:val="0"/>
              <w:spacing w:line="240" w:lineRule="exact"/>
              <w:jc w:val="center"/>
              <w:textAlignment w:val="center"/>
              <w:rPr>
                <w:color w:val="000000" w:themeColor="text1"/>
                <w:szCs w:val="21"/>
                <w14:textFill>
                  <w14:solidFill>
                    <w14:schemeClr w14:val="tx1"/>
                  </w14:solidFill>
                </w14:textFill>
              </w:rPr>
            </w:pPr>
            <w:r>
              <w:rPr>
                <w:rFonts w:hint="eastAsia" w:ascii="Times New Roman" w:hAnsi="Times New Roman" w:eastAsia="方正仿宋_GBK"/>
                <w:color w:val="000000" w:themeColor="text1"/>
                <w:kern w:val="0"/>
                <w:szCs w:val="21"/>
                <w:lang w:bidi="ar"/>
                <w14:textFill>
                  <w14:solidFill>
                    <w14:schemeClr w14:val="tx1"/>
                  </w14:solidFill>
                </w14:textFill>
              </w:rPr>
              <w:t>其中：</w:t>
            </w:r>
            <w:r>
              <w:rPr>
                <w:rFonts w:ascii="Times New Roman" w:hAnsi="Times New Roman" w:eastAsia="方正仿宋_GBK"/>
                <w:color w:val="000000" w:themeColor="text1"/>
                <w:kern w:val="0"/>
                <w:szCs w:val="21"/>
                <w:lang w:bidi="ar"/>
                <w14:textFill>
                  <w14:solidFill>
                    <w14:schemeClr w14:val="tx1"/>
                  </w14:solidFill>
                </w14:textFill>
              </w:rPr>
              <w:t>中央资金</w:t>
            </w:r>
          </w:p>
        </w:tc>
        <w:tc>
          <w:tcPr>
            <w:tcW w:w="2520" w:type="pct"/>
            <w:gridSpan w:val="3"/>
            <w:vAlign w:val="center"/>
          </w:tcPr>
          <w:p>
            <w:pPr>
              <w:overflowPunct w:val="0"/>
              <w:spacing w:line="240" w:lineRule="exact"/>
              <w:jc w:val="center"/>
              <w:textAlignment w:val="cente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1365" w:type="pct"/>
            <w:gridSpan w:val="3"/>
            <w:vMerge w:val="continue"/>
            <w:vAlign w:val="center"/>
          </w:tcPr>
          <w:p>
            <w:pPr>
              <w:overflowPunct w:val="0"/>
              <w:spacing w:line="240" w:lineRule="exact"/>
              <w:jc w:val="center"/>
              <w:rPr>
                <w:color w:val="000000" w:themeColor="text1"/>
                <w:szCs w:val="21"/>
                <w14:textFill>
                  <w14:solidFill>
                    <w14:schemeClr w14:val="tx1"/>
                  </w14:solidFill>
                </w14:textFill>
              </w:rPr>
            </w:pPr>
          </w:p>
        </w:tc>
        <w:tc>
          <w:tcPr>
            <w:tcW w:w="1115" w:type="pct"/>
            <w:vAlign w:val="center"/>
          </w:tcPr>
          <w:p>
            <w:pPr>
              <w:overflowPunct w:val="0"/>
              <w:spacing w:line="240" w:lineRule="exact"/>
              <w:jc w:val="center"/>
              <w:textAlignment w:val="center"/>
              <w:rPr>
                <w:color w:val="000000" w:themeColor="text1"/>
                <w:szCs w:val="21"/>
                <w14:textFill>
                  <w14:solidFill>
                    <w14:schemeClr w14:val="tx1"/>
                  </w14:solidFill>
                </w14:textFill>
              </w:rPr>
            </w:pPr>
            <w:r>
              <w:rPr>
                <w:rFonts w:ascii="Times New Roman" w:hAnsi="Times New Roman" w:eastAsia="方正仿宋_GBK"/>
                <w:color w:val="000000" w:themeColor="text1"/>
                <w:kern w:val="0"/>
                <w:szCs w:val="21"/>
                <w:lang w:bidi="ar"/>
                <w14:textFill>
                  <w14:solidFill>
                    <w14:schemeClr w14:val="tx1"/>
                  </w14:solidFill>
                </w14:textFill>
              </w:rPr>
              <w:t>地方财政资金</w:t>
            </w:r>
          </w:p>
        </w:tc>
        <w:tc>
          <w:tcPr>
            <w:tcW w:w="2520" w:type="pct"/>
            <w:gridSpan w:val="3"/>
            <w:vAlign w:val="center"/>
          </w:tcPr>
          <w:p>
            <w:pPr>
              <w:overflowPunct w:val="0"/>
              <w:spacing w:line="240" w:lineRule="exact"/>
              <w:jc w:val="center"/>
              <w:textAlignment w:val="cente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6" w:hRule="atLeast"/>
        </w:trPr>
        <w:tc>
          <w:tcPr>
            <w:tcW w:w="1365" w:type="pct"/>
            <w:gridSpan w:val="3"/>
            <w:vMerge w:val="continue"/>
            <w:vAlign w:val="center"/>
          </w:tcPr>
          <w:p>
            <w:pPr>
              <w:overflowPunct w:val="0"/>
              <w:spacing w:line="240" w:lineRule="exact"/>
              <w:jc w:val="center"/>
              <w:rPr>
                <w:color w:val="000000" w:themeColor="text1"/>
                <w:szCs w:val="21"/>
                <w14:textFill>
                  <w14:solidFill>
                    <w14:schemeClr w14:val="tx1"/>
                  </w14:solidFill>
                </w14:textFill>
              </w:rPr>
            </w:pPr>
          </w:p>
        </w:tc>
        <w:tc>
          <w:tcPr>
            <w:tcW w:w="1115" w:type="pct"/>
            <w:vAlign w:val="center"/>
          </w:tcPr>
          <w:p>
            <w:pPr>
              <w:overflowPunct w:val="0"/>
              <w:spacing w:line="240" w:lineRule="exact"/>
              <w:jc w:val="center"/>
              <w:textAlignment w:val="center"/>
              <w:rPr>
                <w:color w:val="000000" w:themeColor="text1"/>
                <w:szCs w:val="21"/>
                <w14:textFill>
                  <w14:solidFill>
                    <w14:schemeClr w14:val="tx1"/>
                  </w14:solidFill>
                </w14:textFill>
              </w:rPr>
            </w:pPr>
            <w:r>
              <w:rPr>
                <w:rFonts w:hint="eastAsia" w:ascii="Times New Roman" w:hAnsi="Times New Roman" w:eastAsia="方正仿宋_GBK"/>
                <w:color w:val="000000" w:themeColor="text1"/>
                <w:szCs w:val="21"/>
                <w:lang w:bidi="ar"/>
                <w14:textFill>
                  <w14:solidFill>
                    <w14:schemeClr w14:val="tx1"/>
                  </w14:solidFill>
                </w14:textFill>
              </w:rPr>
              <w:t>社会</w:t>
            </w:r>
            <w:r>
              <w:rPr>
                <w:rFonts w:ascii="Times New Roman" w:hAnsi="Times New Roman" w:eastAsia="方正仿宋_GBK"/>
                <w:color w:val="000000" w:themeColor="text1"/>
                <w:szCs w:val="21"/>
                <w:lang w:bidi="ar"/>
                <w14:textFill>
                  <w14:solidFill>
                    <w14:schemeClr w14:val="tx1"/>
                  </w14:solidFill>
                </w14:textFill>
              </w:rPr>
              <w:t>资金</w:t>
            </w:r>
          </w:p>
        </w:tc>
        <w:tc>
          <w:tcPr>
            <w:tcW w:w="2520" w:type="pct"/>
            <w:gridSpan w:val="3"/>
            <w:vAlign w:val="center"/>
          </w:tcPr>
          <w:p>
            <w:pPr>
              <w:overflowPunct w:val="0"/>
              <w:spacing w:line="240" w:lineRule="exact"/>
              <w:jc w:val="center"/>
              <w:textAlignment w:val="cente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3" w:hRule="atLeast"/>
        </w:trPr>
        <w:tc>
          <w:tcPr>
            <w:tcW w:w="486" w:type="pct"/>
            <w:vAlign w:val="center"/>
          </w:tcPr>
          <w:p>
            <w:pPr>
              <w:overflowPunct w:val="0"/>
              <w:spacing w:line="240" w:lineRule="exact"/>
              <w:jc w:val="center"/>
              <w:textAlignment w:val="center"/>
              <w:rPr>
                <w:color w:val="000000" w:themeColor="text1"/>
                <w:kern w:val="0"/>
                <w:szCs w:val="21"/>
                <w:lang w:bidi="ar"/>
                <w14:textFill>
                  <w14:solidFill>
                    <w14:schemeClr w14:val="tx1"/>
                  </w14:solidFill>
                </w14:textFill>
              </w:rPr>
            </w:pPr>
            <w:r>
              <w:rPr>
                <w:rFonts w:ascii="Times New Roman" w:hAnsi="Times New Roman" w:eastAsia="方正仿宋_GBK"/>
                <w:color w:val="000000" w:themeColor="text1"/>
                <w:kern w:val="0"/>
                <w:szCs w:val="21"/>
                <w:lang w:bidi="ar"/>
                <w14:textFill>
                  <w14:solidFill>
                    <w14:schemeClr w14:val="tx1"/>
                  </w14:solidFill>
                </w14:textFill>
              </w:rPr>
              <w:t>总</w:t>
            </w:r>
          </w:p>
          <w:p>
            <w:pPr>
              <w:overflowPunct w:val="0"/>
              <w:spacing w:line="240" w:lineRule="exact"/>
              <w:jc w:val="center"/>
              <w:textAlignment w:val="center"/>
              <w:rPr>
                <w:color w:val="000000" w:themeColor="text1"/>
                <w:kern w:val="0"/>
                <w:szCs w:val="21"/>
                <w:lang w:bidi="ar"/>
                <w14:textFill>
                  <w14:solidFill>
                    <w14:schemeClr w14:val="tx1"/>
                  </w14:solidFill>
                </w14:textFill>
              </w:rPr>
            </w:pPr>
            <w:r>
              <w:rPr>
                <w:rFonts w:ascii="Times New Roman" w:hAnsi="Times New Roman" w:eastAsia="方正仿宋_GBK"/>
                <w:color w:val="000000" w:themeColor="text1"/>
                <w:kern w:val="0"/>
                <w:szCs w:val="21"/>
                <w:lang w:bidi="ar"/>
                <w14:textFill>
                  <w14:solidFill>
                    <w14:schemeClr w14:val="tx1"/>
                  </w14:solidFill>
                </w14:textFill>
              </w:rPr>
              <w:t>体</w:t>
            </w:r>
          </w:p>
          <w:p>
            <w:pPr>
              <w:overflowPunct w:val="0"/>
              <w:spacing w:line="240" w:lineRule="exact"/>
              <w:jc w:val="center"/>
              <w:textAlignment w:val="center"/>
              <w:rPr>
                <w:color w:val="000000" w:themeColor="text1"/>
                <w:kern w:val="0"/>
                <w:szCs w:val="21"/>
                <w:lang w:bidi="ar"/>
                <w14:textFill>
                  <w14:solidFill>
                    <w14:schemeClr w14:val="tx1"/>
                  </w14:solidFill>
                </w14:textFill>
              </w:rPr>
            </w:pPr>
            <w:r>
              <w:rPr>
                <w:rFonts w:ascii="Times New Roman" w:hAnsi="Times New Roman" w:eastAsia="方正仿宋_GBK"/>
                <w:color w:val="000000" w:themeColor="text1"/>
                <w:kern w:val="0"/>
                <w:szCs w:val="21"/>
                <w:lang w:bidi="ar"/>
                <w14:textFill>
                  <w14:solidFill>
                    <w14:schemeClr w14:val="tx1"/>
                  </w14:solidFill>
                </w14:textFill>
              </w:rPr>
              <w:t>目</w:t>
            </w:r>
          </w:p>
          <w:p>
            <w:pPr>
              <w:overflowPunct w:val="0"/>
              <w:spacing w:line="240" w:lineRule="exact"/>
              <w:jc w:val="center"/>
              <w:textAlignment w:val="center"/>
              <w:rPr>
                <w:color w:val="000000" w:themeColor="text1"/>
                <w:szCs w:val="21"/>
                <w14:textFill>
                  <w14:solidFill>
                    <w14:schemeClr w14:val="tx1"/>
                  </w14:solidFill>
                </w14:textFill>
              </w:rPr>
            </w:pPr>
            <w:r>
              <w:rPr>
                <w:rFonts w:ascii="Times New Roman" w:hAnsi="Times New Roman" w:eastAsia="方正仿宋_GBK"/>
                <w:color w:val="000000" w:themeColor="text1"/>
                <w:kern w:val="0"/>
                <w:szCs w:val="21"/>
                <w:lang w:bidi="ar"/>
                <w14:textFill>
                  <w14:solidFill>
                    <w14:schemeClr w14:val="tx1"/>
                  </w14:solidFill>
                </w14:textFill>
              </w:rPr>
              <w:t>标</w:t>
            </w:r>
          </w:p>
        </w:tc>
        <w:tc>
          <w:tcPr>
            <w:tcW w:w="4514" w:type="pct"/>
            <w:gridSpan w:val="6"/>
            <w:vAlign w:val="center"/>
          </w:tcPr>
          <w:p>
            <w:pPr>
              <w:overflowPunct w:val="0"/>
              <w:spacing w:line="240" w:lineRule="exact"/>
              <w:jc w:val="left"/>
              <w:textAlignment w:val="center"/>
              <w:rPr>
                <w:color w:val="000000" w:themeColor="text1"/>
                <w:kern w:val="0"/>
                <w:szCs w:val="21"/>
                <w:lang w:bidi="ar"/>
                <w14:textFill>
                  <w14:solidFill>
                    <w14:schemeClr w14:val="tx1"/>
                  </w14:solidFill>
                </w14:textFill>
              </w:rPr>
            </w:pPr>
            <w:r>
              <w:rPr>
                <w:rFonts w:ascii="Times New Roman" w:hAnsi="Times New Roman" w:eastAsia="方正仿宋_GBK"/>
                <w:color w:val="000000" w:themeColor="text1"/>
                <w:kern w:val="0"/>
                <w:szCs w:val="21"/>
                <w:lang w:bidi="ar"/>
                <w14:textFill>
                  <w14:solidFill>
                    <w14:schemeClr w14:val="tx1"/>
                  </w14:solidFill>
                </w14:textFill>
              </w:rPr>
              <w:t>目标1：</w:t>
            </w:r>
          </w:p>
          <w:p>
            <w:pPr>
              <w:overflowPunct w:val="0"/>
              <w:spacing w:line="240" w:lineRule="exact"/>
              <w:jc w:val="left"/>
              <w:textAlignment w:val="center"/>
              <w:rPr>
                <w:color w:val="000000" w:themeColor="text1"/>
                <w:kern w:val="0"/>
                <w:szCs w:val="21"/>
                <w:lang w:bidi="ar"/>
                <w14:textFill>
                  <w14:solidFill>
                    <w14:schemeClr w14:val="tx1"/>
                  </w14:solidFill>
                </w14:textFill>
              </w:rPr>
            </w:pPr>
            <w:r>
              <w:rPr>
                <w:rFonts w:ascii="Times New Roman" w:hAnsi="Times New Roman" w:eastAsia="方正仿宋_GBK"/>
                <w:color w:val="000000" w:themeColor="text1"/>
                <w:kern w:val="0"/>
                <w:szCs w:val="21"/>
                <w:lang w:bidi="ar"/>
                <w14:textFill>
                  <w14:solidFill>
                    <w14:schemeClr w14:val="tx1"/>
                  </w14:solidFill>
                </w14:textFill>
              </w:rPr>
              <w:t>目标2：</w:t>
            </w:r>
          </w:p>
          <w:p>
            <w:pPr>
              <w:overflowPunct w:val="0"/>
              <w:spacing w:line="240" w:lineRule="exact"/>
              <w:jc w:val="left"/>
              <w:textAlignment w:val="center"/>
              <w:rPr>
                <w:color w:val="000000" w:themeColor="text1"/>
                <w:kern w:val="0"/>
                <w:szCs w:val="21"/>
                <w:lang w:bidi="ar"/>
                <w14:textFill>
                  <w14:solidFill>
                    <w14:schemeClr w14:val="tx1"/>
                  </w14:solidFill>
                </w14:textFill>
              </w:rPr>
            </w:pPr>
            <w:r>
              <w:rPr>
                <w:rFonts w:ascii="Times New Roman" w:hAnsi="Times New Roman" w:eastAsia="方正仿宋_GBK"/>
                <w:color w:val="000000" w:themeColor="text1"/>
                <w:kern w:val="0"/>
                <w:szCs w:val="21"/>
                <w:lang w:bidi="ar"/>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486" w:type="pct"/>
            <w:vMerge w:val="restart"/>
            <w:textDirection w:val="tbRlV"/>
            <w:vAlign w:val="center"/>
          </w:tcPr>
          <w:p>
            <w:pPr>
              <w:overflowPunct w:val="0"/>
              <w:spacing w:line="240" w:lineRule="exact"/>
              <w:jc w:val="center"/>
              <w:textAlignment w:val="center"/>
              <w:rPr>
                <w:color w:val="000000" w:themeColor="text1"/>
                <w:szCs w:val="21"/>
                <w14:textFill>
                  <w14:solidFill>
                    <w14:schemeClr w14:val="tx1"/>
                  </w14:solidFill>
                </w14:textFill>
              </w:rPr>
            </w:pPr>
            <w:r>
              <w:rPr>
                <w:rFonts w:ascii="Times New Roman" w:hAnsi="Times New Roman" w:eastAsia="方正仿宋_GBK"/>
                <w:color w:val="000000" w:themeColor="text1"/>
                <w:szCs w:val="21"/>
                <w14:textFill>
                  <w14:solidFill>
                    <w14:schemeClr w14:val="tx1"/>
                  </w14:solidFill>
                </w14:textFill>
              </w:rPr>
              <w:t>绩效指标</w:t>
            </w:r>
          </w:p>
        </w:tc>
        <w:tc>
          <w:tcPr>
            <w:tcW w:w="434" w:type="pct"/>
            <w:vAlign w:val="center"/>
          </w:tcPr>
          <w:p>
            <w:pPr>
              <w:overflowPunct w:val="0"/>
              <w:spacing w:line="240" w:lineRule="exact"/>
              <w:jc w:val="center"/>
              <w:textAlignment w:val="center"/>
              <w:rPr>
                <w:color w:val="000000" w:themeColor="text1"/>
                <w:szCs w:val="21"/>
                <w14:textFill>
                  <w14:solidFill>
                    <w14:schemeClr w14:val="tx1"/>
                  </w14:solidFill>
                </w14:textFill>
              </w:rPr>
            </w:pPr>
            <w:r>
              <w:rPr>
                <w:rFonts w:ascii="Times New Roman" w:hAnsi="Times New Roman" w:eastAsia="方正仿宋_GBK"/>
                <w:color w:val="000000" w:themeColor="text1"/>
                <w:kern w:val="0"/>
                <w:szCs w:val="21"/>
                <w:lang w:bidi="ar"/>
                <w14:textFill>
                  <w14:solidFill>
                    <w14:schemeClr w14:val="tx1"/>
                  </w14:solidFill>
                </w14:textFill>
              </w:rPr>
              <w:t>一级指标</w:t>
            </w:r>
          </w:p>
        </w:tc>
        <w:tc>
          <w:tcPr>
            <w:tcW w:w="445" w:type="pct"/>
            <w:vAlign w:val="center"/>
          </w:tcPr>
          <w:p>
            <w:pPr>
              <w:overflowPunct w:val="0"/>
              <w:spacing w:line="240" w:lineRule="exact"/>
              <w:jc w:val="center"/>
              <w:textAlignment w:val="center"/>
              <w:rPr>
                <w:color w:val="000000" w:themeColor="text1"/>
                <w:szCs w:val="21"/>
                <w14:textFill>
                  <w14:solidFill>
                    <w14:schemeClr w14:val="tx1"/>
                  </w14:solidFill>
                </w14:textFill>
              </w:rPr>
            </w:pPr>
            <w:r>
              <w:rPr>
                <w:rFonts w:ascii="Times New Roman" w:hAnsi="Times New Roman" w:eastAsia="方正仿宋_GBK"/>
                <w:color w:val="000000" w:themeColor="text1"/>
                <w:kern w:val="0"/>
                <w:szCs w:val="21"/>
                <w:lang w:bidi="ar"/>
                <w14:textFill>
                  <w14:solidFill>
                    <w14:schemeClr w14:val="tx1"/>
                  </w14:solidFill>
                </w14:textFill>
              </w:rPr>
              <w:t>二级指标</w:t>
            </w:r>
          </w:p>
        </w:tc>
        <w:tc>
          <w:tcPr>
            <w:tcW w:w="2319" w:type="pct"/>
            <w:gridSpan w:val="2"/>
            <w:vAlign w:val="center"/>
          </w:tcPr>
          <w:p>
            <w:pPr>
              <w:overflowPunct w:val="0"/>
              <w:spacing w:line="240" w:lineRule="exact"/>
              <w:jc w:val="center"/>
              <w:textAlignment w:val="center"/>
              <w:rPr>
                <w:color w:val="000000" w:themeColor="text1"/>
                <w:szCs w:val="21"/>
                <w14:textFill>
                  <w14:solidFill>
                    <w14:schemeClr w14:val="tx1"/>
                  </w14:solidFill>
                </w14:textFill>
              </w:rPr>
            </w:pPr>
            <w:r>
              <w:rPr>
                <w:rFonts w:ascii="Times New Roman" w:hAnsi="Times New Roman" w:eastAsia="方正仿宋_GBK"/>
                <w:color w:val="000000" w:themeColor="text1"/>
                <w:kern w:val="0"/>
                <w:szCs w:val="21"/>
                <w:lang w:bidi="ar"/>
                <w14:textFill>
                  <w14:solidFill>
                    <w14:schemeClr w14:val="tx1"/>
                  </w14:solidFill>
                </w14:textFill>
              </w:rPr>
              <w:t>三级指标</w:t>
            </w:r>
          </w:p>
        </w:tc>
        <w:tc>
          <w:tcPr>
            <w:tcW w:w="1316" w:type="pct"/>
            <w:gridSpan w:val="2"/>
            <w:vAlign w:val="center"/>
          </w:tcPr>
          <w:p>
            <w:pPr>
              <w:overflowPunct w:val="0"/>
              <w:spacing w:line="240" w:lineRule="exact"/>
              <w:jc w:val="center"/>
              <w:textAlignment w:val="center"/>
              <w:rPr>
                <w:color w:val="000000" w:themeColor="text1"/>
                <w:szCs w:val="21"/>
                <w14:textFill>
                  <w14:solidFill>
                    <w14:schemeClr w14:val="tx1"/>
                  </w14:solidFill>
                </w14:textFill>
              </w:rPr>
            </w:pPr>
            <w:r>
              <w:rPr>
                <w:rFonts w:ascii="Times New Roman" w:hAnsi="Times New Roman" w:eastAsia="方正仿宋_GBK"/>
                <w:color w:val="000000" w:themeColor="text1"/>
                <w:kern w:val="0"/>
                <w:szCs w:val="21"/>
                <w:lang w:bidi="ar"/>
                <w14:textFill>
                  <w14:solidFill>
                    <w14:schemeClr w14:val="tx1"/>
                  </w14:solidFill>
                </w14:textFill>
              </w:rPr>
              <w:t>指标值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486" w:type="pct"/>
            <w:vMerge w:val="continue"/>
            <w:textDirection w:val="tbRlV"/>
            <w:vAlign w:val="center"/>
          </w:tcPr>
          <w:p>
            <w:pPr>
              <w:overflowPunct w:val="0"/>
              <w:spacing w:line="240" w:lineRule="exact"/>
              <w:jc w:val="center"/>
              <w:rPr>
                <w:color w:val="000000" w:themeColor="text1"/>
                <w:szCs w:val="21"/>
                <w14:textFill>
                  <w14:solidFill>
                    <w14:schemeClr w14:val="tx1"/>
                  </w14:solidFill>
                </w14:textFill>
              </w:rPr>
            </w:pPr>
          </w:p>
        </w:tc>
        <w:tc>
          <w:tcPr>
            <w:tcW w:w="434" w:type="pct"/>
            <w:vMerge w:val="restart"/>
            <w:vAlign w:val="center"/>
          </w:tcPr>
          <w:p>
            <w:pPr>
              <w:overflowPunct w:val="0"/>
              <w:spacing w:line="240" w:lineRule="exact"/>
              <w:jc w:val="center"/>
              <w:textAlignment w:val="center"/>
              <w:rPr>
                <w:color w:val="000000" w:themeColor="text1"/>
                <w:szCs w:val="21"/>
                <w14:textFill>
                  <w14:solidFill>
                    <w14:schemeClr w14:val="tx1"/>
                  </w14:solidFill>
                </w14:textFill>
              </w:rPr>
            </w:pPr>
            <w:r>
              <w:rPr>
                <w:rFonts w:ascii="Times New Roman" w:hAnsi="Times New Roman" w:eastAsia="方正仿宋_GBK"/>
                <w:color w:val="000000" w:themeColor="text1"/>
                <w:kern w:val="0"/>
                <w:szCs w:val="21"/>
                <w:lang w:bidi="ar"/>
                <w14:textFill>
                  <w14:solidFill>
                    <w14:schemeClr w14:val="tx1"/>
                  </w14:solidFill>
                </w14:textFill>
              </w:rPr>
              <w:t>产出指标</w:t>
            </w:r>
          </w:p>
        </w:tc>
        <w:tc>
          <w:tcPr>
            <w:tcW w:w="445" w:type="pct"/>
            <w:vMerge w:val="restart"/>
            <w:vAlign w:val="center"/>
          </w:tcPr>
          <w:p>
            <w:pPr>
              <w:overflowPunct w:val="0"/>
              <w:spacing w:line="240" w:lineRule="exact"/>
              <w:jc w:val="center"/>
              <w:textAlignment w:val="center"/>
              <w:rPr>
                <w:color w:val="000000" w:themeColor="text1"/>
                <w:kern w:val="0"/>
                <w:szCs w:val="21"/>
                <w:lang w:bidi="ar"/>
                <w14:textFill>
                  <w14:solidFill>
                    <w14:schemeClr w14:val="tx1"/>
                  </w14:solidFill>
                </w14:textFill>
              </w:rPr>
            </w:pPr>
            <w:r>
              <w:rPr>
                <w:rFonts w:ascii="Times New Roman" w:hAnsi="Times New Roman" w:eastAsia="方正仿宋_GBK"/>
                <w:color w:val="000000" w:themeColor="text1"/>
                <w:kern w:val="0"/>
                <w:szCs w:val="21"/>
                <w:lang w:bidi="ar"/>
                <w14:textFill>
                  <w14:solidFill>
                    <w14:schemeClr w14:val="tx1"/>
                  </w14:solidFill>
                </w14:textFill>
              </w:rPr>
              <w:t>数量</w:t>
            </w:r>
          </w:p>
          <w:p>
            <w:pPr>
              <w:overflowPunct w:val="0"/>
              <w:spacing w:line="240" w:lineRule="exact"/>
              <w:jc w:val="center"/>
              <w:textAlignment w:val="center"/>
              <w:rPr>
                <w:color w:val="000000" w:themeColor="text1"/>
                <w:szCs w:val="21"/>
                <w14:textFill>
                  <w14:solidFill>
                    <w14:schemeClr w14:val="tx1"/>
                  </w14:solidFill>
                </w14:textFill>
              </w:rPr>
            </w:pPr>
            <w:r>
              <w:rPr>
                <w:rFonts w:ascii="Times New Roman" w:hAnsi="Times New Roman" w:eastAsia="方正仿宋_GBK"/>
                <w:color w:val="000000" w:themeColor="text1"/>
                <w:kern w:val="0"/>
                <w:szCs w:val="21"/>
                <w:lang w:bidi="ar"/>
                <w14:textFill>
                  <w14:solidFill>
                    <w14:schemeClr w14:val="tx1"/>
                  </w14:solidFill>
                </w14:textFill>
              </w:rPr>
              <w:t>指标</w:t>
            </w:r>
          </w:p>
        </w:tc>
        <w:tc>
          <w:tcPr>
            <w:tcW w:w="2319" w:type="pct"/>
            <w:gridSpan w:val="2"/>
            <w:vAlign w:val="center"/>
          </w:tcPr>
          <w:p>
            <w:pPr>
              <w:overflowPunct w:val="0"/>
              <w:spacing w:line="240" w:lineRule="exact"/>
              <w:jc w:val="left"/>
              <w:textAlignment w:val="center"/>
              <w:rPr>
                <w:color w:val="000000" w:themeColor="text1"/>
                <w:kern w:val="0"/>
                <w:szCs w:val="21"/>
                <w:lang w:bidi="ar"/>
                <w14:textFill>
                  <w14:solidFill>
                    <w14:schemeClr w14:val="tx1"/>
                  </w14:solidFill>
                </w14:textFill>
              </w:rPr>
            </w:pPr>
            <w:r>
              <w:rPr>
                <w:rFonts w:ascii="Times New Roman" w:hAnsi="Times New Roman" w:eastAsia="方正仿宋_GBK"/>
                <w:color w:val="000000" w:themeColor="text1"/>
                <w:kern w:val="0"/>
                <w:szCs w:val="21"/>
                <w:lang w:bidi="ar"/>
                <w14:textFill>
                  <w14:solidFill>
                    <w14:schemeClr w14:val="tx1"/>
                  </w14:solidFill>
                </w14:textFill>
              </w:rPr>
              <w:t>指标1：</w:t>
            </w:r>
          </w:p>
        </w:tc>
        <w:tc>
          <w:tcPr>
            <w:tcW w:w="1316" w:type="pct"/>
            <w:gridSpan w:val="2"/>
            <w:vAlign w:val="center"/>
          </w:tcPr>
          <w:p>
            <w:pPr>
              <w:overflowPunct w:val="0"/>
              <w:spacing w:line="240" w:lineRule="exact"/>
              <w:jc w:val="left"/>
              <w:textAlignment w:val="cente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8" w:hRule="atLeast"/>
        </w:trPr>
        <w:tc>
          <w:tcPr>
            <w:tcW w:w="486" w:type="pct"/>
            <w:vMerge w:val="continue"/>
            <w:textDirection w:val="tbRlV"/>
            <w:vAlign w:val="center"/>
          </w:tcPr>
          <w:p>
            <w:pPr>
              <w:overflowPunct w:val="0"/>
              <w:spacing w:line="240" w:lineRule="exact"/>
              <w:jc w:val="center"/>
              <w:rPr>
                <w:color w:val="000000" w:themeColor="text1"/>
                <w:szCs w:val="21"/>
                <w14:textFill>
                  <w14:solidFill>
                    <w14:schemeClr w14:val="tx1"/>
                  </w14:solidFill>
                </w14:textFill>
              </w:rPr>
            </w:pPr>
          </w:p>
        </w:tc>
        <w:tc>
          <w:tcPr>
            <w:tcW w:w="434" w:type="pct"/>
            <w:vMerge w:val="continue"/>
            <w:vAlign w:val="center"/>
          </w:tcPr>
          <w:p>
            <w:pPr>
              <w:overflowPunct w:val="0"/>
              <w:spacing w:line="240" w:lineRule="exact"/>
              <w:jc w:val="center"/>
              <w:rPr>
                <w:color w:val="000000" w:themeColor="text1"/>
                <w:kern w:val="0"/>
                <w:szCs w:val="21"/>
                <w:lang w:bidi="ar"/>
                <w14:textFill>
                  <w14:solidFill>
                    <w14:schemeClr w14:val="tx1"/>
                  </w14:solidFill>
                </w14:textFill>
              </w:rPr>
            </w:pPr>
          </w:p>
        </w:tc>
        <w:tc>
          <w:tcPr>
            <w:tcW w:w="445" w:type="pct"/>
            <w:vMerge w:val="continue"/>
            <w:vAlign w:val="center"/>
          </w:tcPr>
          <w:p>
            <w:pPr>
              <w:overflowPunct w:val="0"/>
              <w:spacing w:line="240" w:lineRule="exact"/>
              <w:jc w:val="center"/>
              <w:textAlignment w:val="center"/>
              <w:rPr>
                <w:color w:val="000000" w:themeColor="text1"/>
                <w:kern w:val="0"/>
                <w:szCs w:val="21"/>
                <w:lang w:bidi="ar"/>
                <w14:textFill>
                  <w14:solidFill>
                    <w14:schemeClr w14:val="tx1"/>
                  </w14:solidFill>
                </w14:textFill>
              </w:rPr>
            </w:pPr>
          </w:p>
        </w:tc>
        <w:tc>
          <w:tcPr>
            <w:tcW w:w="2319" w:type="pct"/>
            <w:gridSpan w:val="2"/>
            <w:vAlign w:val="center"/>
          </w:tcPr>
          <w:p>
            <w:pPr>
              <w:overflowPunct w:val="0"/>
              <w:spacing w:line="240" w:lineRule="exact"/>
              <w:jc w:val="left"/>
              <w:textAlignment w:val="center"/>
              <w:rPr>
                <w:color w:val="000000" w:themeColor="text1"/>
                <w:kern w:val="0"/>
                <w:szCs w:val="21"/>
                <w:lang w:bidi="ar"/>
                <w14:textFill>
                  <w14:solidFill>
                    <w14:schemeClr w14:val="tx1"/>
                  </w14:solidFill>
                </w14:textFill>
              </w:rPr>
            </w:pPr>
            <w:r>
              <w:rPr>
                <w:rFonts w:ascii="Times New Roman" w:hAnsi="Times New Roman" w:eastAsia="方正仿宋_GBK"/>
                <w:color w:val="000000" w:themeColor="text1"/>
                <w:kern w:val="0"/>
                <w:szCs w:val="21"/>
                <w:lang w:bidi="ar"/>
                <w14:textFill>
                  <w14:solidFill>
                    <w14:schemeClr w14:val="tx1"/>
                  </w14:solidFill>
                </w14:textFill>
              </w:rPr>
              <w:t>指标2：</w:t>
            </w:r>
          </w:p>
          <w:p>
            <w:pPr>
              <w:overflowPunct w:val="0"/>
              <w:spacing w:line="240" w:lineRule="exact"/>
              <w:jc w:val="left"/>
              <w:textAlignment w:val="center"/>
              <w:rPr>
                <w:color w:val="000000" w:themeColor="text1"/>
                <w:kern w:val="0"/>
                <w:szCs w:val="21"/>
                <w:lang w:bidi="ar"/>
                <w14:textFill>
                  <w14:solidFill>
                    <w14:schemeClr w14:val="tx1"/>
                  </w14:solidFill>
                </w14:textFill>
              </w:rPr>
            </w:pPr>
            <w:r>
              <w:rPr>
                <w:rFonts w:ascii="Times New Roman" w:hAnsi="Times New Roman" w:eastAsia="方正仿宋_GBK"/>
                <w:color w:val="000000" w:themeColor="text1"/>
                <w:kern w:val="0"/>
                <w:szCs w:val="21"/>
                <w:lang w:bidi="ar"/>
                <w14:textFill>
                  <w14:solidFill>
                    <w14:schemeClr w14:val="tx1"/>
                  </w14:solidFill>
                </w14:textFill>
              </w:rPr>
              <w:t>...</w:t>
            </w:r>
          </w:p>
        </w:tc>
        <w:tc>
          <w:tcPr>
            <w:tcW w:w="1316" w:type="pct"/>
            <w:gridSpan w:val="2"/>
            <w:vAlign w:val="center"/>
          </w:tcPr>
          <w:p>
            <w:pPr>
              <w:overflowPunct w:val="0"/>
              <w:spacing w:line="240" w:lineRule="exact"/>
              <w:jc w:val="left"/>
              <w:textAlignment w:val="cente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486" w:type="pct"/>
            <w:vMerge w:val="continue"/>
            <w:textDirection w:val="tbRlV"/>
            <w:vAlign w:val="center"/>
          </w:tcPr>
          <w:p>
            <w:pPr>
              <w:overflowPunct w:val="0"/>
              <w:spacing w:line="240" w:lineRule="exact"/>
              <w:jc w:val="center"/>
              <w:rPr>
                <w:color w:val="000000" w:themeColor="text1"/>
                <w:szCs w:val="21"/>
                <w14:textFill>
                  <w14:solidFill>
                    <w14:schemeClr w14:val="tx1"/>
                  </w14:solidFill>
                </w14:textFill>
              </w:rPr>
            </w:pPr>
          </w:p>
        </w:tc>
        <w:tc>
          <w:tcPr>
            <w:tcW w:w="434" w:type="pct"/>
            <w:vMerge w:val="continue"/>
            <w:vAlign w:val="center"/>
          </w:tcPr>
          <w:p>
            <w:pPr>
              <w:overflowPunct w:val="0"/>
              <w:spacing w:line="240" w:lineRule="exact"/>
              <w:jc w:val="center"/>
              <w:rPr>
                <w:color w:val="000000" w:themeColor="text1"/>
                <w:szCs w:val="21"/>
                <w14:textFill>
                  <w14:solidFill>
                    <w14:schemeClr w14:val="tx1"/>
                  </w14:solidFill>
                </w14:textFill>
              </w:rPr>
            </w:pPr>
          </w:p>
        </w:tc>
        <w:tc>
          <w:tcPr>
            <w:tcW w:w="445" w:type="pct"/>
            <w:vMerge w:val="restart"/>
            <w:vAlign w:val="center"/>
          </w:tcPr>
          <w:p>
            <w:pPr>
              <w:overflowPunct w:val="0"/>
              <w:spacing w:line="240" w:lineRule="exact"/>
              <w:jc w:val="center"/>
              <w:textAlignment w:val="center"/>
              <w:rPr>
                <w:color w:val="000000" w:themeColor="text1"/>
                <w:kern w:val="0"/>
                <w:szCs w:val="21"/>
                <w:lang w:bidi="ar"/>
                <w14:textFill>
                  <w14:solidFill>
                    <w14:schemeClr w14:val="tx1"/>
                  </w14:solidFill>
                </w14:textFill>
              </w:rPr>
            </w:pPr>
            <w:r>
              <w:rPr>
                <w:rFonts w:ascii="Times New Roman" w:hAnsi="Times New Roman" w:eastAsia="方正仿宋_GBK"/>
                <w:color w:val="000000" w:themeColor="text1"/>
                <w:kern w:val="0"/>
                <w:szCs w:val="21"/>
                <w:lang w:bidi="ar"/>
                <w14:textFill>
                  <w14:solidFill>
                    <w14:schemeClr w14:val="tx1"/>
                  </w14:solidFill>
                </w14:textFill>
              </w:rPr>
              <w:t>质量</w:t>
            </w:r>
          </w:p>
          <w:p>
            <w:pPr>
              <w:overflowPunct w:val="0"/>
              <w:spacing w:line="240" w:lineRule="exact"/>
              <w:jc w:val="center"/>
              <w:textAlignment w:val="center"/>
              <w:rPr>
                <w:color w:val="000000" w:themeColor="text1"/>
                <w:szCs w:val="21"/>
                <w14:textFill>
                  <w14:solidFill>
                    <w14:schemeClr w14:val="tx1"/>
                  </w14:solidFill>
                </w14:textFill>
              </w:rPr>
            </w:pPr>
            <w:r>
              <w:rPr>
                <w:rFonts w:ascii="Times New Roman" w:hAnsi="Times New Roman" w:eastAsia="方正仿宋_GBK"/>
                <w:color w:val="000000" w:themeColor="text1"/>
                <w:kern w:val="0"/>
                <w:szCs w:val="21"/>
                <w:lang w:bidi="ar"/>
                <w14:textFill>
                  <w14:solidFill>
                    <w14:schemeClr w14:val="tx1"/>
                  </w14:solidFill>
                </w14:textFill>
              </w:rPr>
              <w:t>指标</w:t>
            </w:r>
          </w:p>
        </w:tc>
        <w:tc>
          <w:tcPr>
            <w:tcW w:w="2319" w:type="pct"/>
            <w:gridSpan w:val="2"/>
            <w:vAlign w:val="center"/>
          </w:tcPr>
          <w:p>
            <w:pPr>
              <w:overflowPunct w:val="0"/>
              <w:spacing w:line="240" w:lineRule="exact"/>
              <w:jc w:val="left"/>
              <w:textAlignment w:val="center"/>
              <w:rPr>
                <w:color w:val="000000" w:themeColor="text1"/>
                <w:szCs w:val="21"/>
                <w14:textFill>
                  <w14:solidFill>
                    <w14:schemeClr w14:val="tx1"/>
                  </w14:solidFill>
                </w14:textFill>
              </w:rPr>
            </w:pPr>
            <w:r>
              <w:rPr>
                <w:rFonts w:ascii="Times New Roman" w:hAnsi="Times New Roman" w:eastAsia="方正仿宋_GBK"/>
                <w:color w:val="000000" w:themeColor="text1"/>
                <w:kern w:val="0"/>
                <w:szCs w:val="21"/>
                <w:lang w:bidi="ar"/>
                <w14:textFill>
                  <w14:solidFill>
                    <w14:schemeClr w14:val="tx1"/>
                  </w14:solidFill>
                </w14:textFill>
              </w:rPr>
              <w:t>指标1：</w:t>
            </w:r>
          </w:p>
        </w:tc>
        <w:tc>
          <w:tcPr>
            <w:tcW w:w="1316" w:type="pct"/>
            <w:gridSpan w:val="2"/>
            <w:vAlign w:val="center"/>
          </w:tcPr>
          <w:p>
            <w:pPr>
              <w:overflowPunct w:val="0"/>
              <w:spacing w:line="240" w:lineRule="exact"/>
              <w:jc w:val="left"/>
              <w:textAlignment w:val="cente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486" w:type="pct"/>
            <w:vMerge w:val="continue"/>
            <w:textDirection w:val="tbRlV"/>
            <w:vAlign w:val="center"/>
          </w:tcPr>
          <w:p>
            <w:pPr>
              <w:overflowPunct w:val="0"/>
              <w:spacing w:line="240" w:lineRule="exact"/>
              <w:jc w:val="center"/>
              <w:rPr>
                <w:color w:val="000000" w:themeColor="text1"/>
                <w:szCs w:val="21"/>
                <w14:textFill>
                  <w14:solidFill>
                    <w14:schemeClr w14:val="tx1"/>
                  </w14:solidFill>
                </w14:textFill>
              </w:rPr>
            </w:pPr>
          </w:p>
        </w:tc>
        <w:tc>
          <w:tcPr>
            <w:tcW w:w="434" w:type="pct"/>
            <w:vMerge w:val="continue"/>
            <w:vAlign w:val="center"/>
          </w:tcPr>
          <w:p>
            <w:pPr>
              <w:overflowPunct w:val="0"/>
              <w:spacing w:line="240" w:lineRule="exact"/>
              <w:jc w:val="center"/>
              <w:rPr>
                <w:color w:val="000000" w:themeColor="text1"/>
                <w:szCs w:val="21"/>
                <w14:textFill>
                  <w14:solidFill>
                    <w14:schemeClr w14:val="tx1"/>
                  </w14:solidFill>
                </w14:textFill>
              </w:rPr>
            </w:pPr>
          </w:p>
        </w:tc>
        <w:tc>
          <w:tcPr>
            <w:tcW w:w="445" w:type="pct"/>
            <w:vMerge w:val="continue"/>
            <w:vAlign w:val="center"/>
          </w:tcPr>
          <w:p>
            <w:pPr>
              <w:overflowPunct w:val="0"/>
              <w:spacing w:line="240" w:lineRule="exact"/>
              <w:jc w:val="center"/>
              <w:textAlignment w:val="center"/>
              <w:rPr>
                <w:color w:val="000000" w:themeColor="text1"/>
                <w:kern w:val="0"/>
                <w:szCs w:val="21"/>
                <w:lang w:bidi="ar"/>
                <w14:textFill>
                  <w14:solidFill>
                    <w14:schemeClr w14:val="tx1"/>
                  </w14:solidFill>
                </w14:textFill>
              </w:rPr>
            </w:pPr>
          </w:p>
        </w:tc>
        <w:tc>
          <w:tcPr>
            <w:tcW w:w="2319" w:type="pct"/>
            <w:gridSpan w:val="2"/>
            <w:vAlign w:val="center"/>
          </w:tcPr>
          <w:p>
            <w:pPr>
              <w:overflowPunct w:val="0"/>
              <w:spacing w:line="240" w:lineRule="exact"/>
              <w:jc w:val="left"/>
              <w:textAlignment w:val="center"/>
              <w:rPr>
                <w:color w:val="000000" w:themeColor="text1"/>
                <w:kern w:val="0"/>
                <w:szCs w:val="21"/>
                <w:lang w:bidi="ar"/>
                <w14:textFill>
                  <w14:solidFill>
                    <w14:schemeClr w14:val="tx1"/>
                  </w14:solidFill>
                </w14:textFill>
              </w:rPr>
            </w:pPr>
            <w:r>
              <w:rPr>
                <w:rFonts w:ascii="Times New Roman" w:hAnsi="Times New Roman" w:eastAsia="方正仿宋_GBK"/>
                <w:color w:val="000000" w:themeColor="text1"/>
                <w:kern w:val="0"/>
                <w:szCs w:val="21"/>
                <w:lang w:bidi="ar"/>
                <w14:textFill>
                  <w14:solidFill>
                    <w14:schemeClr w14:val="tx1"/>
                  </w14:solidFill>
                </w14:textFill>
              </w:rPr>
              <w:t>指标2：</w:t>
            </w:r>
          </w:p>
          <w:p>
            <w:pPr>
              <w:overflowPunct w:val="0"/>
              <w:spacing w:line="240" w:lineRule="exact"/>
              <w:jc w:val="left"/>
              <w:textAlignment w:val="center"/>
              <w:rPr>
                <w:color w:val="000000" w:themeColor="text1"/>
                <w:kern w:val="0"/>
                <w:szCs w:val="21"/>
                <w:lang w:bidi="ar"/>
                <w14:textFill>
                  <w14:solidFill>
                    <w14:schemeClr w14:val="tx1"/>
                  </w14:solidFill>
                </w14:textFill>
              </w:rPr>
            </w:pPr>
            <w:r>
              <w:rPr>
                <w:rFonts w:ascii="Times New Roman" w:hAnsi="Times New Roman" w:eastAsia="方正仿宋_GBK"/>
                <w:color w:val="000000" w:themeColor="text1"/>
                <w:kern w:val="0"/>
                <w:szCs w:val="21"/>
                <w:lang w:bidi="ar"/>
                <w14:textFill>
                  <w14:solidFill>
                    <w14:schemeClr w14:val="tx1"/>
                  </w14:solidFill>
                </w14:textFill>
              </w:rPr>
              <w:t>...</w:t>
            </w:r>
          </w:p>
        </w:tc>
        <w:tc>
          <w:tcPr>
            <w:tcW w:w="1316" w:type="pct"/>
            <w:gridSpan w:val="2"/>
            <w:vAlign w:val="center"/>
          </w:tcPr>
          <w:p>
            <w:pPr>
              <w:overflowPunct w:val="0"/>
              <w:spacing w:line="240" w:lineRule="exact"/>
              <w:jc w:val="left"/>
              <w:textAlignment w:val="cente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486" w:type="pct"/>
            <w:vMerge w:val="continue"/>
            <w:textDirection w:val="tbRlV"/>
            <w:vAlign w:val="center"/>
          </w:tcPr>
          <w:p>
            <w:pPr>
              <w:overflowPunct w:val="0"/>
              <w:spacing w:line="240" w:lineRule="exact"/>
              <w:jc w:val="center"/>
              <w:rPr>
                <w:color w:val="000000" w:themeColor="text1"/>
                <w:szCs w:val="21"/>
                <w14:textFill>
                  <w14:solidFill>
                    <w14:schemeClr w14:val="tx1"/>
                  </w14:solidFill>
                </w14:textFill>
              </w:rPr>
            </w:pPr>
          </w:p>
        </w:tc>
        <w:tc>
          <w:tcPr>
            <w:tcW w:w="434" w:type="pct"/>
            <w:vMerge w:val="continue"/>
            <w:vAlign w:val="center"/>
          </w:tcPr>
          <w:p>
            <w:pPr>
              <w:overflowPunct w:val="0"/>
              <w:spacing w:line="240" w:lineRule="exact"/>
              <w:jc w:val="center"/>
              <w:rPr>
                <w:color w:val="000000" w:themeColor="text1"/>
                <w:szCs w:val="21"/>
                <w14:textFill>
                  <w14:solidFill>
                    <w14:schemeClr w14:val="tx1"/>
                  </w14:solidFill>
                </w14:textFill>
              </w:rPr>
            </w:pPr>
          </w:p>
        </w:tc>
        <w:tc>
          <w:tcPr>
            <w:tcW w:w="445" w:type="pct"/>
            <w:vMerge w:val="restart"/>
            <w:vAlign w:val="center"/>
          </w:tcPr>
          <w:p>
            <w:pPr>
              <w:overflowPunct w:val="0"/>
              <w:spacing w:line="240" w:lineRule="exact"/>
              <w:jc w:val="center"/>
              <w:textAlignment w:val="center"/>
              <w:rPr>
                <w:color w:val="000000" w:themeColor="text1"/>
                <w:kern w:val="0"/>
                <w:szCs w:val="21"/>
                <w:lang w:bidi="ar"/>
                <w14:textFill>
                  <w14:solidFill>
                    <w14:schemeClr w14:val="tx1"/>
                  </w14:solidFill>
                </w14:textFill>
              </w:rPr>
            </w:pPr>
            <w:r>
              <w:rPr>
                <w:rFonts w:ascii="Times New Roman" w:hAnsi="Times New Roman" w:eastAsia="方正仿宋_GBK"/>
                <w:color w:val="000000" w:themeColor="text1"/>
                <w:kern w:val="0"/>
                <w:szCs w:val="21"/>
                <w:lang w:bidi="ar"/>
                <w14:textFill>
                  <w14:solidFill>
                    <w14:schemeClr w14:val="tx1"/>
                  </w14:solidFill>
                </w14:textFill>
              </w:rPr>
              <w:t>时效</w:t>
            </w:r>
          </w:p>
          <w:p>
            <w:pPr>
              <w:overflowPunct w:val="0"/>
              <w:spacing w:line="240" w:lineRule="exact"/>
              <w:jc w:val="center"/>
              <w:textAlignment w:val="center"/>
              <w:rPr>
                <w:color w:val="000000" w:themeColor="text1"/>
                <w:szCs w:val="21"/>
                <w14:textFill>
                  <w14:solidFill>
                    <w14:schemeClr w14:val="tx1"/>
                  </w14:solidFill>
                </w14:textFill>
              </w:rPr>
            </w:pPr>
            <w:r>
              <w:rPr>
                <w:rFonts w:ascii="Times New Roman" w:hAnsi="Times New Roman" w:eastAsia="方正仿宋_GBK"/>
                <w:color w:val="000000" w:themeColor="text1"/>
                <w:kern w:val="0"/>
                <w:szCs w:val="21"/>
                <w:lang w:bidi="ar"/>
                <w14:textFill>
                  <w14:solidFill>
                    <w14:schemeClr w14:val="tx1"/>
                  </w14:solidFill>
                </w14:textFill>
              </w:rPr>
              <w:t>指标</w:t>
            </w:r>
          </w:p>
        </w:tc>
        <w:tc>
          <w:tcPr>
            <w:tcW w:w="2319" w:type="pct"/>
            <w:gridSpan w:val="2"/>
            <w:vAlign w:val="center"/>
          </w:tcPr>
          <w:p>
            <w:pPr>
              <w:overflowPunct w:val="0"/>
              <w:spacing w:line="240" w:lineRule="exact"/>
              <w:jc w:val="left"/>
              <w:textAlignment w:val="center"/>
              <w:rPr>
                <w:color w:val="000000" w:themeColor="text1"/>
                <w:szCs w:val="21"/>
                <w14:textFill>
                  <w14:solidFill>
                    <w14:schemeClr w14:val="tx1"/>
                  </w14:solidFill>
                </w14:textFill>
              </w:rPr>
            </w:pPr>
            <w:r>
              <w:rPr>
                <w:rFonts w:ascii="Times New Roman" w:hAnsi="Times New Roman" w:eastAsia="方正仿宋_GBK"/>
                <w:color w:val="000000" w:themeColor="text1"/>
                <w:kern w:val="0"/>
                <w:szCs w:val="21"/>
                <w:lang w:bidi="ar"/>
                <w14:textFill>
                  <w14:solidFill>
                    <w14:schemeClr w14:val="tx1"/>
                  </w14:solidFill>
                </w14:textFill>
              </w:rPr>
              <w:t>指标1：</w:t>
            </w:r>
          </w:p>
        </w:tc>
        <w:tc>
          <w:tcPr>
            <w:tcW w:w="1316" w:type="pct"/>
            <w:gridSpan w:val="2"/>
            <w:vAlign w:val="center"/>
          </w:tcPr>
          <w:p>
            <w:pPr>
              <w:overflowPunct w:val="0"/>
              <w:spacing w:line="240" w:lineRule="exact"/>
              <w:jc w:val="left"/>
              <w:textAlignment w:val="cente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486" w:type="pct"/>
            <w:vMerge w:val="continue"/>
            <w:textDirection w:val="tbRlV"/>
            <w:vAlign w:val="center"/>
          </w:tcPr>
          <w:p>
            <w:pPr>
              <w:overflowPunct w:val="0"/>
              <w:spacing w:line="240" w:lineRule="exact"/>
              <w:jc w:val="center"/>
              <w:rPr>
                <w:color w:val="000000" w:themeColor="text1"/>
                <w:szCs w:val="21"/>
                <w14:textFill>
                  <w14:solidFill>
                    <w14:schemeClr w14:val="tx1"/>
                  </w14:solidFill>
                </w14:textFill>
              </w:rPr>
            </w:pPr>
          </w:p>
        </w:tc>
        <w:tc>
          <w:tcPr>
            <w:tcW w:w="434" w:type="pct"/>
            <w:vMerge w:val="continue"/>
            <w:vAlign w:val="center"/>
          </w:tcPr>
          <w:p>
            <w:pPr>
              <w:overflowPunct w:val="0"/>
              <w:spacing w:line="240" w:lineRule="exact"/>
              <w:jc w:val="center"/>
              <w:rPr>
                <w:color w:val="000000" w:themeColor="text1"/>
                <w:szCs w:val="21"/>
                <w14:textFill>
                  <w14:solidFill>
                    <w14:schemeClr w14:val="tx1"/>
                  </w14:solidFill>
                </w14:textFill>
              </w:rPr>
            </w:pPr>
          </w:p>
        </w:tc>
        <w:tc>
          <w:tcPr>
            <w:tcW w:w="445" w:type="pct"/>
            <w:vMerge w:val="continue"/>
            <w:vAlign w:val="center"/>
          </w:tcPr>
          <w:p>
            <w:pPr>
              <w:overflowPunct w:val="0"/>
              <w:spacing w:line="240" w:lineRule="exact"/>
              <w:jc w:val="center"/>
              <w:textAlignment w:val="center"/>
              <w:rPr>
                <w:color w:val="000000" w:themeColor="text1"/>
                <w:kern w:val="0"/>
                <w:szCs w:val="21"/>
                <w:lang w:bidi="ar"/>
                <w14:textFill>
                  <w14:solidFill>
                    <w14:schemeClr w14:val="tx1"/>
                  </w14:solidFill>
                </w14:textFill>
              </w:rPr>
            </w:pPr>
          </w:p>
        </w:tc>
        <w:tc>
          <w:tcPr>
            <w:tcW w:w="2319" w:type="pct"/>
            <w:gridSpan w:val="2"/>
            <w:vAlign w:val="center"/>
          </w:tcPr>
          <w:p>
            <w:pPr>
              <w:overflowPunct w:val="0"/>
              <w:spacing w:line="240" w:lineRule="exact"/>
              <w:jc w:val="left"/>
              <w:textAlignment w:val="center"/>
              <w:rPr>
                <w:color w:val="000000" w:themeColor="text1"/>
                <w:kern w:val="0"/>
                <w:szCs w:val="21"/>
                <w:lang w:bidi="ar"/>
                <w14:textFill>
                  <w14:solidFill>
                    <w14:schemeClr w14:val="tx1"/>
                  </w14:solidFill>
                </w14:textFill>
              </w:rPr>
            </w:pPr>
            <w:r>
              <w:rPr>
                <w:rFonts w:ascii="Times New Roman" w:hAnsi="Times New Roman" w:eastAsia="方正仿宋_GBK"/>
                <w:color w:val="000000" w:themeColor="text1"/>
                <w:kern w:val="0"/>
                <w:szCs w:val="21"/>
                <w:lang w:bidi="ar"/>
                <w14:textFill>
                  <w14:solidFill>
                    <w14:schemeClr w14:val="tx1"/>
                  </w14:solidFill>
                </w14:textFill>
              </w:rPr>
              <w:t>指标2：</w:t>
            </w:r>
          </w:p>
          <w:p>
            <w:pPr>
              <w:overflowPunct w:val="0"/>
              <w:spacing w:line="240" w:lineRule="exact"/>
              <w:jc w:val="left"/>
              <w:textAlignment w:val="center"/>
              <w:rPr>
                <w:color w:val="000000" w:themeColor="text1"/>
                <w:kern w:val="0"/>
                <w:szCs w:val="21"/>
                <w:lang w:bidi="ar"/>
                <w14:textFill>
                  <w14:solidFill>
                    <w14:schemeClr w14:val="tx1"/>
                  </w14:solidFill>
                </w14:textFill>
              </w:rPr>
            </w:pPr>
            <w:r>
              <w:rPr>
                <w:rFonts w:ascii="Times New Roman" w:hAnsi="Times New Roman" w:eastAsia="方正仿宋_GBK"/>
                <w:color w:val="000000" w:themeColor="text1"/>
                <w:kern w:val="0"/>
                <w:szCs w:val="21"/>
                <w:lang w:bidi="ar"/>
                <w14:textFill>
                  <w14:solidFill>
                    <w14:schemeClr w14:val="tx1"/>
                  </w14:solidFill>
                </w14:textFill>
              </w:rPr>
              <w:t>...</w:t>
            </w:r>
          </w:p>
        </w:tc>
        <w:tc>
          <w:tcPr>
            <w:tcW w:w="1316" w:type="pct"/>
            <w:gridSpan w:val="2"/>
            <w:vAlign w:val="center"/>
          </w:tcPr>
          <w:p>
            <w:pPr>
              <w:overflowPunct w:val="0"/>
              <w:spacing w:line="240" w:lineRule="exact"/>
              <w:jc w:val="left"/>
              <w:textAlignment w:val="cente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486" w:type="pct"/>
            <w:vMerge w:val="restart"/>
            <w:textDirection w:val="tbRlV"/>
            <w:vAlign w:val="center"/>
          </w:tcPr>
          <w:p>
            <w:pPr>
              <w:overflowPunct w:val="0"/>
              <w:spacing w:line="240" w:lineRule="exact"/>
              <w:jc w:val="center"/>
              <w:rPr>
                <w:color w:val="000000" w:themeColor="text1"/>
                <w:szCs w:val="21"/>
                <w14:textFill>
                  <w14:solidFill>
                    <w14:schemeClr w14:val="tx1"/>
                  </w14:solidFill>
                </w14:textFill>
              </w:rPr>
            </w:pPr>
            <w:r>
              <w:rPr>
                <w:rFonts w:ascii="Times New Roman" w:hAnsi="Times New Roman" w:eastAsia="方正仿宋_GBK"/>
                <w:color w:val="000000" w:themeColor="text1"/>
                <w:szCs w:val="21"/>
                <w14:textFill>
                  <w14:solidFill>
                    <w14:schemeClr w14:val="tx1"/>
                  </w14:solidFill>
                </w14:textFill>
              </w:rPr>
              <w:t>绩效指标</w:t>
            </w:r>
          </w:p>
        </w:tc>
        <w:tc>
          <w:tcPr>
            <w:tcW w:w="434" w:type="pct"/>
            <w:vMerge w:val="restart"/>
            <w:vAlign w:val="center"/>
          </w:tcPr>
          <w:p>
            <w:pPr>
              <w:overflowPunct w:val="0"/>
              <w:spacing w:line="240" w:lineRule="exact"/>
              <w:jc w:val="center"/>
              <w:textAlignment w:val="center"/>
              <w:rPr>
                <w:color w:val="000000" w:themeColor="text1"/>
                <w:szCs w:val="21"/>
                <w14:textFill>
                  <w14:solidFill>
                    <w14:schemeClr w14:val="tx1"/>
                  </w14:solidFill>
                </w14:textFill>
              </w:rPr>
            </w:pPr>
            <w:r>
              <w:rPr>
                <w:rFonts w:ascii="Times New Roman" w:hAnsi="Times New Roman" w:eastAsia="方正仿宋_GBK"/>
                <w:color w:val="000000" w:themeColor="text1"/>
                <w:kern w:val="0"/>
                <w:szCs w:val="21"/>
                <w:lang w:bidi="ar"/>
                <w14:textFill>
                  <w14:solidFill>
                    <w14:schemeClr w14:val="tx1"/>
                  </w14:solidFill>
                </w14:textFill>
              </w:rPr>
              <w:t>效益指标</w:t>
            </w:r>
          </w:p>
        </w:tc>
        <w:tc>
          <w:tcPr>
            <w:tcW w:w="445" w:type="pct"/>
            <w:vMerge w:val="restart"/>
            <w:vAlign w:val="center"/>
          </w:tcPr>
          <w:p>
            <w:pPr>
              <w:overflowPunct w:val="0"/>
              <w:spacing w:line="240" w:lineRule="exact"/>
              <w:jc w:val="center"/>
              <w:textAlignment w:val="center"/>
              <w:rPr>
                <w:color w:val="000000" w:themeColor="text1"/>
                <w:szCs w:val="21"/>
                <w14:textFill>
                  <w14:solidFill>
                    <w14:schemeClr w14:val="tx1"/>
                  </w14:solidFill>
                </w14:textFill>
              </w:rPr>
            </w:pPr>
            <w:r>
              <w:rPr>
                <w:rFonts w:hint="eastAsia" w:ascii="Times New Roman" w:hAnsi="Times New Roman" w:eastAsia="方正仿宋_GBK"/>
                <w:color w:val="000000" w:themeColor="text1"/>
                <w:kern w:val="0"/>
                <w:szCs w:val="21"/>
                <w:lang w:bidi="ar"/>
                <w14:textFill>
                  <w14:solidFill>
                    <w14:schemeClr w14:val="tx1"/>
                  </w14:solidFill>
                </w14:textFill>
              </w:rPr>
              <w:t>可持续影响</w:t>
            </w:r>
            <w:r>
              <w:rPr>
                <w:rFonts w:ascii="Times New Roman" w:hAnsi="Times New Roman" w:eastAsia="方正仿宋_GBK"/>
                <w:color w:val="000000" w:themeColor="text1"/>
                <w:kern w:val="0"/>
                <w:szCs w:val="21"/>
                <w:lang w:bidi="ar"/>
                <w14:textFill>
                  <w14:solidFill>
                    <w14:schemeClr w14:val="tx1"/>
                  </w14:solidFill>
                </w14:textFill>
              </w:rPr>
              <w:t>指标</w:t>
            </w:r>
          </w:p>
        </w:tc>
        <w:tc>
          <w:tcPr>
            <w:tcW w:w="2319" w:type="pct"/>
            <w:gridSpan w:val="2"/>
            <w:vAlign w:val="center"/>
          </w:tcPr>
          <w:p>
            <w:pPr>
              <w:overflowPunct w:val="0"/>
              <w:spacing w:line="240" w:lineRule="exact"/>
              <w:jc w:val="left"/>
              <w:textAlignment w:val="center"/>
              <w:rPr>
                <w:color w:val="000000" w:themeColor="text1"/>
                <w:szCs w:val="21"/>
                <w14:textFill>
                  <w14:solidFill>
                    <w14:schemeClr w14:val="tx1"/>
                  </w14:solidFill>
                </w14:textFill>
              </w:rPr>
            </w:pPr>
            <w:r>
              <w:rPr>
                <w:rFonts w:ascii="Times New Roman" w:hAnsi="Times New Roman" w:eastAsia="方正仿宋_GBK"/>
                <w:color w:val="000000" w:themeColor="text1"/>
                <w:kern w:val="0"/>
                <w:szCs w:val="21"/>
                <w:lang w:bidi="ar"/>
                <w14:textFill>
                  <w14:solidFill>
                    <w14:schemeClr w14:val="tx1"/>
                  </w14:solidFill>
                </w14:textFill>
              </w:rPr>
              <w:t>指标1：</w:t>
            </w:r>
          </w:p>
        </w:tc>
        <w:tc>
          <w:tcPr>
            <w:tcW w:w="1316" w:type="pct"/>
            <w:gridSpan w:val="2"/>
            <w:vAlign w:val="center"/>
          </w:tcPr>
          <w:p>
            <w:pPr>
              <w:overflowPunct w:val="0"/>
              <w:spacing w:line="240" w:lineRule="exact"/>
              <w:jc w:val="left"/>
              <w:textAlignment w:val="cente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486" w:type="pct"/>
            <w:vMerge w:val="continue"/>
            <w:textDirection w:val="tbRlV"/>
            <w:vAlign w:val="center"/>
          </w:tcPr>
          <w:p>
            <w:pPr>
              <w:overflowPunct w:val="0"/>
              <w:spacing w:line="240" w:lineRule="exact"/>
              <w:jc w:val="center"/>
              <w:rPr>
                <w:color w:val="000000" w:themeColor="text1"/>
                <w:szCs w:val="21"/>
                <w14:textFill>
                  <w14:solidFill>
                    <w14:schemeClr w14:val="tx1"/>
                  </w14:solidFill>
                </w14:textFill>
              </w:rPr>
            </w:pPr>
          </w:p>
        </w:tc>
        <w:tc>
          <w:tcPr>
            <w:tcW w:w="434" w:type="pct"/>
            <w:vMerge w:val="continue"/>
            <w:vAlign w:val="center"/>
          </w:tcPr>
          <w:p>
            <w:pPr>
              <w:overflowPunct w:val="0"/>
              <w:spacing w:line="240" w:lineRule="exact"/>
              <w:jc w:val="center"/>
              <w:textAlignment w:val="center"/>
              <w:rPr>
                <w:color w:val="000000" w:themeColor="text1"/>
                <w:kern w:val="0"/>
                <w:szCs w:val="21"/>
                <w:lang w:bidi="ar"/>
                <w14:textFill>
                  <w14:solidFill>
                    <w14:schemeClr w14:val="tx1"/>
                  </w14:solidFill>
                </w14:textFill>
              </w:rPr>
            </w:pPr>
          </w:p>
        </w:tc>
        <w:tc>
          <w:tcPr>
            <w:tcW w:w="445" w:type="pct"/>
            <w:vMerge w:val="continue"/>
            <w:vAlign w:val="center"/>
          </w:tcPr>
          <w:p>
            <w:pPr>
              <w:overflowPunct w:val="0"/>
              <w:spacing w:line="240" w:lineRule="exact"/>
              <w:jc w:val="center"/>
              <w:textAlignment w:val="center"/>
              <w:rPr>
                <w:color w:val="000000" w:themeColor="text1"/>
                <w:kern w:val="0"/>
                <w:szCs w:val="21"/>
                <w:lang w:bidi="ar"/>
                <w14:textFill>
                  <w14:solidFill>
                    <w14:schemeClr w14:val="tx1"/>
                  </w14:solidFill>
                </w14:textFill>
              </w:rPr>
            </w:pPr>
          </w:p>
        </w:tc>
        <w:tc>
          <w:tcPr>
            <w:tcW w:w="2319" w:type="pct"/>
            <w:gridSpan w:val="2"/>
            <w:vAlign w:val="center"/>
          </w:tcPr>
          <w:p>
            <w:pPr>
              <w:overflowPunct w:val="0"/>
              <w:spacing w:line="240" w:lineRule="exact"/>
              <w:jc w:val="left"/>
              <w:textAlignment w:val="center"/>
              <w:rPr>
                <w:color w:val="000000" w:themeColor="text1"/>
                <w:kern w:val="0"/>
                <w:szCs w:val="21"/>
                <w:lang w:bidi="ar"/>
                <w14:textFill>
                  <w14:solidFill>
                    <w14:schemeClr w14:val="tx1"/>
                  </w14:solidFill>
                </w14:textFill>
              </w:rPr>
            </w:pPr>
            <w:r>
              <w:rPr>
                <w:rFonts w:ascii="Times New Roman" w:hAnsi="Times New Roman" w:eastAsia="方正仿宋_GBK"/>
                <w:color w:val="000000" w:themeColor="text1"/>
                <w:kern w:val="0"/>
                <w:szCs w:val="21"/>
                <w:lang w:bidi="ar"/>
                <w14:textFill>
                  <w14:solidFill>
                    <w14:schemeClr w14:val="tx1"/>
                  </w14:solidFill>
                </w14:textFill>
              </w:rPr>
              <w:t>指标2：</w:t>
            </w:r>
          </w:p>
          <w:p>
            <w:pPr>
              <w:overflowPunct w:val="0"/>
              <w:spacing w:line="240" w:lineRule="exact"/>
              <w:jc w:val="left"/>
              <w:textAlignment w:val="center"/>
              <w:rPr>
                <w:color w:val="000000" w:themeColor="text1"/>
                <w:kern w:val="0"/>
                <w:szCs w:val="21"/>
                <w:lang w:bidi="ar"/>
                <w14:textFill>
                  <w14:solidFill>
                    <w14:schemeClr w14:val="tx1"/>
                  </w14:solidFill>
                </w14:textFill>
              </w:rPr>
            </w:pPr>
            <w:r>
              <w:rPr>
                <w:rFonts w:ascii="Times New Roman" w:hAnsi="Times New Roman" w:eastAsia="方正仿宋_GBK"/>
                <w:color w:val="000000" w:themeColor="text1"/>
                <w:kern w:val="0"/>
                <w:szCs w:val="21"/>
                <w:lang w:bidi="ar"/>
                <w14:textFill>
                  <w14:solidFill>
                    <w14:schemeClr w14:val="tx1"/>
                  </w14:solidFill>
                </w14:textFill>
              </w:rPr>
              <w:t>...</w:t>
            </w:r>
          </w:p>
        </w:tc>
        <w:tc>
          <w:tcPr>
            <w:tcW w:w="1316" w:type="pct"/>
            <w:gridSpan w:val="2"/>
            <w:vAlign w:val="center"/>
          </w:tcPr>
          <w:p>
            <w:pPr>
              <w:overflowPunct w:val="0"/>
              <w:spacing w:line="240" w:lineRule="exact"/>
              <w:jc w:val="left"/>
              <w:textAlignment w:val="cente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486" w:type="pct"/>
            <w:vMerge w:val="continue"/>
            <w:textDirection w:val="tbRlV"/>
            <w:vAlign w:val="center"/>
          </w:tcPr>
          <w:p>
            <w:pPr>
              <w:overflowPunct w:val="0"/>
              <w:spacing w:line="240" w:lineRule="exact"/>
              <w:jc w:val="center"/>
              <w:rPr>
                <w:color w:val="000000" w:themeColor="text1"/>
                <w:szCs w:val="21"/>
                <w14:textFill>
                  <w14:solidFill>
                    <w14:schemeClr w14:val="tx1"/>
                  </w14:solidFill>
                </w14:textFill>
              </w:rPr>
            </w:pPr>
          </w:p>
        </w:tc>
        <w:tc>
          <w:tcPr>
            <w:tcW w:w="434" w:type="pct"/>
            <w:vMerge w:val="continue"/>
            <w:vAlign w:val="center"/>
          </w:tcPr>
          <w:p>
            <w:pPr>
              <w:overflowPunct w:val="0"/>
              <w:spacing w:line="240" w:lineRule="exact"/>
              <w:jc w:val="center"/>
              <w:rPr>
                <w:color w:val="000000" w:themeColor="text1"/>
                <w:szCs w:val="21"/>
                <w14:textFill>
                  <w14:solidFill>
                    <w14:schemeClr w14:val="tx1"/>
                  </w14:solidFill>
                </w14:textFill>
              </w:rPr>
            </w:pPr>
          </w:p>
        </w:tc>
        <w:tc>
          <w:tcPr>
            <w:tcW w:w="445" w:type="pct"/>
            <w:vMerge w:val="restart"/>
            <w:vAlign w:val="center"/>
          </w:tcPr>
          <w:p>
            <w:pPr>
              <w:overflowPunct w:val="0"/>
              <w:spacing w:line="240" w:lineRule="exact"/>
              <w:jc w:val="center"/>
              <w:textAlignment w:val="center"/>
              <w:rPr>
                <w:color w:val="000000" w:themeColor="text1"/>
                <w:szCs w:val="21"/>
                <w14:textFill>
                  <w14:solidFill>
                    <w14:schemeClr w14:val="tx1"/>
                  </w14:solidFill>
                </w14:textFill>
              </w:rPr>
            </w:pPr>
            <w:r>
              <w:rPr>
                <w:rFonts w:ascii="Times New Roman" w:hAnsi="Times New Roman" w:eastAsia="方正仿宋_GBK"/>
                <w:color w:val="000000" w:themeColor="text1"/>
                <w:kern w:val="0"/>
                <w:szCs w:val="21"/>
                <w:lang w:bidi="ar"/>
                <w14:textFill>
                  <w14:solidFill>
                    <w14:schemeClr w14:val="tx1"/>
                  </w14:solidFill>
                </w14:textFill>
              </w:rPr>
              <w:t>生态效益指标</w:t>
            </w:r>
          </w:p>
        </w:tc>
        <w:tc>
          <w:tcPr>
            <w:tcW w:w="2319" w:type="pct"/>
            <w:gridSpan w:val="2"/>
            <w:vAlign w:val="center"/>
          </w:tcPr>
          <w:p>
            <w:pPr>
              <w:overflowPunct w:val="0"/>
              <w:spacing w:line="240" w:lineRule="exact"/>
              <w:jc w:val="left"/>
              <w:textAlignment w:val="center"/>
              <w:rPr>
                <w:color w:val="000000" w:themeColor="text1"/>
                <w:szCs w:val="21"/>
                <w14:textFill>
                  <w14:solidFill>
                    <w14:schemeClr w14:val="tx1"/>
                  </w14:solidFill>
                </w14:textFill>
              </w:rPr>
            </w:pPr>
            <w:r>
              <w:rPr>
                <w:rFonts w:ascii="Times New Roman" w:hAnsi="Times New Roman" w:eastAsia="方正仿宋_GBK"/>
                <w:color w:val="000000" w:themeColor="text1"/>
                <w:kern w:val="0"/>
                <w:szCs w:val="21"/>
                <w:lang w:bidi="ar"/>
                <w14:textFill>
                  <w14:solidFill>
                    <w14:schemeClr w14:val="tx1"/>
                  </w14:solidFill>
                </w14:textFill>
              </w:rPr>
              <w:t>指标1：</w:t>
            </w:r>
          </w:p>
        </w:tc>
        <w:tc>
          <w:tcPr>
            <w:tcW w:w="1316" w:type="pct"/>
            <w:gridSpan w:val="2"/>
            <w:vAlign w:val="center"/>
          </w:tcPr>
          <w:p>
            <w:pPr>
              <w:overflowPunct w:val="0"/>
              <w:spacing w:line="240" w:lineRule="exact"/>
              <w:jc w:val="left"/>
              <w:textAlignment w:val="cente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486" w:type="pct"/>
            <w:vMerge w:val="continue"/>
            <w:textDirection w:val="tbRlV"/>
            <w:vAlign w:val="center"/>
          </w:tcPr>
          <w:p>
            <w:pPr>
              <w:overflowPunct w:val="0"/>
              <w:spacing w:line="240" w:lineRule="exact"/>
              <w:jc w:val="center"/>
              <w:rPr>
                <w:color w:val="000000" w:themeColor="text1"/>
                <w:szCs w:val="21"/>
                <w14:textFill>
                  <w14:solidFill>
                    <w14:schemeClr w14:val="tx1"/>
                  </w14:solidFill>
                </w14:textFill>
              </w:rPr>
            </w:pPr>
          </w:p>
        </w:tc>
        <w:tc>
          <w:tcPr>
            <w:tcW w:w="434" w:type="pct"/>
            <w:vMerge w:val="continue"/>
            <w:vAlign w:val="center"/>
          </w:tcPr>
          <w:p>
            <w:pPr>
              <w:overflowPunct w:val="0"/>
              <w:spacing w:line="240" w:lineRule="exact"/>
              <w:jc w:val="center"/>
              <w:rPr>
                <w:color w:val="000000" w:themeColor="text1"/>
                <w:szCs w:val="21"/>
                <w14:textFill>
                  <w14:solidFill>
                    <w14:schemeClr w14:val="tx1"/>
                  </w14:solidFill>
                </w14:textFill>
              </w:rPr>
            </w:pPr>
          </w:p>
        </w:tc>
        <w:tc>
          <w:tcPr>
            <w:tcW w:w="445" w:type="pct"/>
            <w:vMerge w:val="continue"/>
            <w:vAlign w:val="center"/>
          </w:tcPr>
          <w:p>
            <w:pPr>
              <w:overflowPunct w:val="0"/>
              <w:spacing w:line="240" w:lineRule="exact"/>
              <w:jc w:val="center"/>
              <w:textAlignment w:val="center"/>
              <w:rPr>
                <w:color w:val="000000" w:themeColor="text1"/>
                <w:kern w:val="0"/>
                <w:szCs w:val="21"/>
                <w:lang w:bidi="ar"/>
                <w14:textFill>
                  <w14:solidFill>
                    <w14:schemeClr w14:val="tx1"/>
                  </w14:solidFill>
                </w14:textFill>
              </w:rPr>
            </w:pPr>
          </w:p>
        </w:tc>
        <w:tc>
          <w:tcPr>
            <w:tcW w:w="2319" w:type="pct"/>
            <w:gridSpan w:val="2"/>
            <w:vAlign w:val="center"/>
          </w:tcPr>
          <w:p>
            <w:pPr>
              <w:overflowPunct w:val="0"/>
              <w:spacing w:line="240" w:lineRule="exact"/>
              <w:jc w:val="left"/>
              <w:textAlignment w:val="center"/>
              <w:rPr>
                <w:color w:val="000000" w:themeColor="text1"/>
                <w:kern w:val="0"/>
                <w:szCs w:val="21"/>
                <w:lang w:bidi="ar"/>
                <w14:textFill>
                  <w14:solidFill>
                    <w14:schemeClr w14:val="tx1"/>
                  </w14:solidFill>
                </w14:textFill>
              </w:rPr>
            </w:pPr>
            <w:r>
              <w:rPr>
                <w:rFonts w:ascii="Times New Roman" w:hAnsi="Times New Roman" w:eastAsia="方正仿宋_GBK"/>
                <w:color w:val="000000" w:themeColor="text1"/>
                <w:kern w:val="0"/>
                <w:szCs w:val="21"/>
                <w:lang w:bidi="ar"/>
                <w14:textFill>
                  <w14:solidFill>
                    <w14:schemeClr w14:val="tx1"/>
                  </w14:solidFill>
                </w14:textFill>
              </w:rPr>
              <w:t>指标2：</w:t>
            </w:r>
          </w:p>
          <w:p>
            <w:pPr>
              <w:overflowPunct w:val="0"/>
              <w:spacing w:line="240" w:lineRule="exact"/>
              <w:jc w:val="left"/>
              <w:textAlignment w:val="center"/>
              <w:rPr>
                <w:color w:val="000000" w:themeColor="text1"/>
                <w:kern w:val="0"/>
                <w:szCs w:val="21"/>
                <w:lang w:bidi="ar"/>
                <w14:textFill>
                  <w14:solidFill>
                    <w14:schemeClr w14:val="tx1"/>
                  </w14:solidFill>
                </w14:textFill>
              </w:rPr>
            </w:pPr>
            <w:r>
              <w:rPr>
                <w:rFonts w:ascii="Times New Roman" w:hAnsi="Times New Roman" w:eastAsia="方正仿宋_GBK"/>
                <w:color w:val="000000" w:themeColor="text1"/>
                <w:kern w:val="0"/>
                <w:szCs w:val="21"/>
                <w:lang w:bidi="ar"/>
                <w14:textFill>
                  <w14:solidFill>
                    <w14:schemeClr w14:val="tx1"/>
                  </w14:solidFill>
                </w14:textFill>
              </w:rPr>
              <w:t>...</w:t>
            </w:r>
          </w:p>
        </w:tc>
        <w:tc>
          <w:tcPr>
            <w:tcW w:w="1316" w:type="pct"/>
            <w:gridSpan w:val="2"/>
            <w:vAlign w:val="center"/>
          </w:tcPr>
          <w:p>
            <w:pPr>
              <w:overflowPunct w:val="0"/>
              <w:spacing w:line="240" w:lineRule="exact"/>
              <w:jc w:val="left"/>
              <w:textAlignment w:val="cente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486" w:type="pct"/>
            <w:vMerge w:val="continue"/>
            <w:textDirection w:val="tbRlV"/>
            <w:vAlign w:val="center"/>
          </w:tcPr>
          <w:p>
            <w:pPr>
              <w:overflowPunct w:val="0"/>
              <w:spacing w:line="240" w:lineRule="exact"/>
              <w:jc w:val="center"/>
              <w:rPr>
                <w:color w:val="000000" w:themeColor="text1"/>
                <w:szCs w:val="21"/>
                <w14:textFill>
                  <w14:solidFill>
                    <w14:schemeClr w14:val="tx1"/>
                  </w14:solidFill>
                </w14:textFill>
              </w:rPr>
            </w:pPr>
          </w:p>
        </w:tc>
        <w:tc>
          <w:tcPr>
            <w:tcW w:w="434" w:type="pct"/>
            <w:vMerge w:val="restart"/>
            <w:vAlign w:val="center"/>
          </w:tcPr>
          <w:p>
            <w:pPr>
              <w:overflowPunct w:val="0"/>
              <w:spacing w:line="240" w:lineRule="exact"/>
              <w:jc w:val="center"/>
              <w:textAlignment w:val="center"/>
              <w:rPr>
                <w:color w:val="000000" w:themeColor="text1"/>
                <w:szCs w:val="21"/>
                <w14:textFill>
                  <w14:solidFill>
                    <w14:schemeClr w14:val="tx1"/>
                  </w14:solidFill>
                </w14:textFill>
              </w:rPr>
            </w:pPr>
            <w:r>
              <w:rPr>
                <w:rFonts w:ascii="Times New Roman" w:hAnsi="Times New Roman" w:eastAsia="方正仿宋_GBK"/>
                <w:color w:val="000000" w:themeColor="text1"/>
                <w:kern w:val="0"/>
                <w:szCs w:val="21"/>
                <w:lang w:bidi="ar"/>
                <w14:textFill>
                  <w14:solidFill>
                    <w14:schemeClr w14:val="tx1"/>
                  </w14:solidFill>
                </w14:textFill>
              </w:rPr>
              <w:t>满意度指标</w:t>
            </w:r>
          </w:p>
        </w:tc>
        <w:tc>
          <w:tcPr>
            <w:tcW w:w="445" w:type="pct"/>
            <w:vMerge w:val="restart"/>
            <w:vAlign w:val="center"/>
          </w:tcPr>
          <w:p>
            <w:pPr>
              <w:overflowPunct w:val="0"/>
              <w:spacing w:line="240" w:lineRule="exact"/>
              <w:jc w:val="center"/>
              <w:textAlignment w:val="center"/>
              <w:rPr>
                <w:color w:val="000000" w:themeColor="text1"/>
                <w:szCs w:val="21"/>
                <w14:textFill>
                  <w14:solidFill>
                    <w14:schemeClr w14:val="tx1"/>
                  </w14:solidFill>
                </w14:textFill>
              </w:rPr>
            </w:pPr>
            <w:r>
              <w:rPr>
                <w:rFonts w:ascii="Times New Roman" w:hAnsi="Times New Roman" w:eastAsia="方正仿宋_GBK"/>
                <w:color w:val="000000" w:themeColor="text1"/>
                <w:kern w:val="0"/>
                <w:szCs w:val="21"/>
                <w:lang w:bidi="ar"/>
                <w14:textFill>
                  <w14:solidFill>
                    <w14:schemeClr w14:val="tx1"/>
                  </w14:solidFill>
                </w14:textFill>
              </w:rPr>
              <w:t>服务对象满意度指标</w:t>
            </w:r>
          </w:p>
        </w:tc>
        <w:tc>
          <w:tcPr>
            <w:tcW w:w="2319" w:type="pct"/>
            <w:gridSpan w:val="2"/>
            <w:vAlign w:val="center"/>
          </w:tcPr>
          <w:p>
            <w:pPr>
              <w:overflowPunct w:val="0"/>
              <w:spacing w:line="240" w:lineRule="exact"/>
              <w:jc w:val="left"/>
              <w:textAlignment w:val="center"/>
              <w:rPr>
                <w:color w:val="000000" w:themeColor="text1"/>
                <w:szCs w:val="21"/>
                <w14:textFill>
                  <w14:solidFill>
                    <w14:schemeClr w14:val="tx1"/>
                  </w14:solidFill>
                </w14:textFill>
              </w:rPr>
            </w:pPr>
            <w:r>
              <w:rPr>
                <w:rFonts w:ascii="Times New Roman" w:hAnsi="Times New Roman" w:eastAsia="方正仿宋_GBK"/>
                <w:color w:val="000000" w:themeColor="text1"/>
                <w:kern w:val="0"/>
                <w:szCs w:val="21"/>
                <w:lang w:bidi="ar"/>
                <w14:textFill>
                  <w14:solidFill>
                    <w14:schemeClr w14:val="tx1"/>
                  </w14:solidFill>
                </w14:textFill>
              </w:rPr>
              <w:t>指标1：</w:t>
            </w:r>
          </w:p>
        </w:tc>
        <w:tc>
          <w:tcPr>
            <w:tcW w:w="1316" w:type="pct"/>
            <w:gridSpan w:val="2"/>
            <w:vAlign w:val="center"/>
          </w:tcPr>
          <w:p>
            <w:pPr>
              <w:overflowPunct w:val="0"/>
              <w:spacing w:line="240" w:lineRule="exact"/>
              <w:jc w:val="left"/>
              <w:textAlignment w:val="cente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pct"/>
            <w:vMerge w:val="continue"/>
            <w:textDirection w:val="tbRlV"/>
            <w:vAlign w:val="center"/>
          </w:tcPr>
          <w:p>
            <w:pPr>
              <w:overflowPunct w:val="0"/>
              <w:spacing w:line="240" w:lineRule="exact"/>
              <w:jc w:val="center"/>
              <w:rPr>
                <w:color w:val="000000" w:themeColor="text1"/>
                <w:szCs w:val="21"/>
                <w14:textFill>
                  <w14:solidFill>
                    <w14:schemeClr w14:val="tx1"/>
                  </w14:solidFill>
                </w14:textFill>
              </w:rPr>
            </w:pPr>
          </w:p>
        </w:tc>
        <w:tc>
          <w:tcPr>
            <w:tcW w:w="434" w:type="pct"/>
            <w:vMerge w:val="continue"/>
            <w:vAlign w:val="center"/>
          </w:tcPr>
          <w:p>
            <w:pPr>
              <w:overflowPunct w:val="0"/>
              <w:spacing w:line="240" w:lineRule="exact"/>
              <w:jc w:val="center"/>
              <w:textAlignment w:val="center"/>
              <w:rPr>
                <w:rFonts w:ascii="Times New Roman" w:hAnsi="Times New Roman" w:eastAsia="方正仿宋_GBK"/>
                <w:color w:val="000000" w:themeColor="text1"/>
                <w:kern w:val="0"/>
                <w:szCs w:val="21"/>
                <w:lang w:bidi="ar"/>
                <w14:textFill>
                  <w14:solidFill>
                    <w14:schemeClr w14:val="tx1"/>
                  </w14:solidFill>
                </w14:textFill>
              </w:rPr>
            </w:pPr>
          </w:p>
        </w:tc>
        <w:tc>
          <w:tcPr>
            <w:tcW w:w="445" w:type="pct"/>
            <w:vMerge w:val="continue"/>
            <w:vAlign w:val="center"/>
          </w:tcPr>
          <w:p>
            <w:pPr>
              <w:overflowPunct w:val="0"/>
              <w:spacing w:line="240" w:lineRule="exact"/>
              <w:jc w:val="center"/>
              <w:textAlignment w:val="center"/>
              <w:rPr>
                <w:rFonts w:ascii="Times New Roman" w:hAnsi="Times New Roman" w:eastAsia="方正仿宋_GBK"/>
                <w:color w:val="000000" w:themeColor="text1"/>
                <w:kern w:val="0"/>
                <w:szCs w:val="21"/>
                <w:lang w:bidi="ar"/>
                <w14:textFill>
                  <w14:solidFill>
                    <w14:schemeClr w14:val="tx1"/>
                  </w14:solidFill>
                </w14:textFill>
              </w:rPr>
            </w:pPr>
          </w:p>
        </w:tc>
        <w:tc>
          <w:tcPr>
            <w:tcW w:w="2319" w:type="pct"/>
            <w:gridSpan w:val="2"/>
            <w:vAlign w:val="center"/>
          </w:tcPr>
          <w:p>
            <w:pPr>
              <w:overflowPunct w:val="0"/>
              <w:spacing w:line="240" w:lineRule="exact"/>
              <w:jc w:val="left"/>
              <w:textAlignment w:val="center"/>
              <w:rPr>
                <w:color w:val="000000" w:themeColor="text1"/>
                <w:kern w:val="0"/>
                <w:szCs w:val="21"/>
                <w:lang w:bidi="ar"/>
                <w14:textFill>
                  <w14:solidFill>
                    <w14:schemeClr w14:val="tx1"/>
                  </w14:solidFill>
                </w14:textFill>
              </w:rPr>
            </w:pPr>
            <w:r>
              <w:rPr>
                <w:rFonts w:ascii="Times New Roman" w:hAnsi="Times New Roman" w:eastAsia="方正仿宋_GBK"/>
                <w:color w:val="000000" w:themeColor="text1"/>
                <w:kern w:val="0"/>
                <w:szCs w:val="21"/>
                <w:lang w:bidi="ar"/>
                <w14:textFill>
                  <w14:solidFill>
                    <w14:schemeClr w14:val="tx1"/>
                  </w14:solidFill>
                </w14:textFill>
              </w:rPr>
              <w:t>指标2：</w:t>
            </w:r>
          </w:p>
          <w:p>
            <w:pPr>
              <w:overflowPunct w:val="0"/>
              <w:spacing w:line="240" w:lineRule="exact"/>
              <w:jc w:val="left"/>
              <w:textAlignment w:val="center"/>
              <w:rPr>
                <w:rFonts w:ascii="Times New Roman" w:hAnsi="Times New Roman" w:eastAsia="方正仿宋_GBK"/>
                <w:color w:val="000000" w:themeColor="text1"/>
                <w:kern w:val="0"/>
                <w:szCs w:val="21"/>
                <w:lang w:bidi="ar"/>
                <w14:textFill>
                  <w14:solidFill>
                    <w14:schemeClr w14:val="tx1"/>
                  </w14:solidFill>
                </w14:textFill>
              </w:rPr>
            </w:pPr>
            <w:r>
              <w:rPr>
                <w:rFonts w:ascii="Times New Roman" w:hAnsi="Times New Roman" w:eastAsia="方正仿宋_GBK"/>
                <w:color w:val="000000" w:themeColor="text1"/>
                <w:kern w:val="0"/>
                <w:szCs w:val="21"/>
                <w:lang w:bidi="ar"/>
                <w14:textFill>
                  <w14:solidFill>
                    <w14:schemeClr w14:val="tx1"/>
                  </w14:solidFill>
                </w14:textFill>
              </w:rPr>
              <w:t>...</w:t>
            </w:r>
          </w:p>
        </w:tc>
        <w:tc>
          <w:tcPr>
            <w:tcW w:w="1316" w:type="pct"/>
            <w:gridSpan w:val="2"/>
            <w:vAlign w:val="center"/>
          </w:tcPr>
          <w:p>
            <w:pPr>
              <w:overflowPunct w:val="0"/>
              <w:spacing w:line="240" w:lineRule="exact"/>
              <w:jc w:val="left"/>
              <w:textAlignment w:val="center"/>
              <w:rPr>
                <w:color w:val="000000" w:themeColor="text1"/>
                <w:szCs w:val="21"/>
                <w14:textFill>
                  <w14:solidFill>
                    <w14:schemeClr w14:val="tx1"/>
                  </w14:solidFill>
                </w14:textFill>
              </w:rPr>
            </w:pPr>
          </w:p>
        </w:tc>
      </w:tr>
    </w:tbl>
    <w:p>
      <w:pPr>
        <w:overflowPunct w:val="0"/>
        <w:rPr>
          <w:color w:val="000000" w:themeColor="text1"/>
          <w:sz w:val="32"/>
          <w:szCs w:val="32"/>
          <w14:textFill>
            <w14:solidFill>
              <w14:schemeClr w14:val="tx1"/>
            </w14:solidFill>
          </w14:textFill>
        </w:rPr>
      </w:pPr>
      <w:r>
        <w:rPr>
          <w:rFonts w:hint="eastAsia" w:ascii="Times New Roman" w:hAnsi="Times New Roman"/>
          <w:color w:val="000000" w:themeColor="text1"/>
          <w:sz w:val="32"/>
          <w:szCs w:val="32"/>
          <w14:textFill>
            <w14:solidFill>
              <w14:schemeClr w14:val="tx1"/>
            </w14:solidFill>
          </w14:textFill>
        </w:rPr>
        <w:br w:type="page"/>
      </w:r>
      <w:r>
        <w:rPr>
          <w:rFonts w:hint="eastAsia" w:ascii="黑体" w:hAnsi="黑体" w:eastAsia="黑体"/>
          <w:color w:val="000000" w:themeColor="text1"/>
          <w:sz w:val="32"/>
          <w:szCs w:val="32"/>
          <w14:textFill>
            <w14:solidFill>
              <w14:schemeClr w14:val="tx1"/>
            </w14:solidFill>
          </w14:textFill>
        </w:rPr>
        <w:t>附件2</w:t>
      </w:r>
    </w:p>
    <w:p>
      <w:pPr>
        <w:overflowPunct w:val="0"/>
        <w:jc w:val="center"/>
        <w:rPr>
          <w:rFonts w:hint="eastAsia" w:ascii="方正小标宋_GBK" w:hAnsi="方正小标宋_GBK" w:eastAsia="方正小标宋_GBK" w:cs="方正小标宋_GBK"/>
          <w:color w:val="000000" w:themeColor="text1"/>
          <w:sz w:val="44"/>
          <w:szCs w:val="44"/>
          <w14:textFill>
            <w14:solidFill>
              <w14:schemeClr w14:val="tx1"/>
            </w14:solidFill>
          </w14:textFill>
        </w:rPr>
      </w:pPr>
    </w:p>
    <w:p>
      <w:pPr>
        <w:overflowPunct w:val="0"/>
        <w:jc w:val="center"/>
        <w:rPr>
          <w:color w:val="000000" w:themeColor="text1"/>
          <w:sz w:val="44"/>
          <w:szCs w:val="44"/>
          <w14:textFill>
            <w14:solidFill>
              <w14:schemeClr w14:val="tx1"/>
            </w14:solidFill>
          </w14:textFill>
        </w:rPr>
      </w:pPr>
      <w:r>
        <w:rPr>
          <w:rFonts w:hint="eastAsia" w:ascii="方正小标宋_GBK" w:hAnsi="方正小标宋_GBK" w:eastAsia="方正小标宋_GBK" w:cs="方正小标宋_GBK"/>
          <w:color w:val="000000" w:themeColor="text1"/>
          <w:sz w:val="44"/>
          <w:szCs w:val="44"/>
          <w14:textFill>
            <w14:solidFill>
              <w14:schemeClr w14:val="tx1"/>
            </w14:solidFill>
          </w14:textFill>
        </w:rPr>
        <w:t>昌吉州美丽蓝天建设项目重大事项变更申请</w:t>
      </w:r>
    </w:p>
    <w:p>
      <w:pPr>
        <w:overflowPunct w:val="0"/>
        <w:ind w:firstLine="640"/>
        <w:rPr>
          <w:color w:val="000000" w:themeColor="text1"/>
          <w:sz w:val="32"/>
          <w:szCs w:val="32"/>
          <w14:textFill>
            <w14:solidFill>
              <w14:schemeClr w14:val="tx1"/>
            </w14:solidFill>
          </w14:textFill>
        </w:rPr>
      </w:pPr>
    </w:p>
    <w:p>
      <w:pPr>
        <w:overflowPunct w:val="0"/>
        <w:spacing w:line="560" w:lineRule="exact"/>
        <w:rPr>
          <w:rFonts w:ascii="仿宋_GB2312" w:eastAsia="仿宋_GB2312"/>
          <w:color w:val="000000" w:themeColor="text1"/>
          <w:sz w:val="32"/>
          <w:szCs w:val="32"/>
          <w14:textFill>
            <w14:solidFill>
              <w14:schemeClr w14:val="tx1"/>
            </w14:solidFill>
          </w14:textFill>
        </w:rPr>
      </w:pPr>
      <w:r>
        <w:rPr>
          <w:rFonts w:hint="eastAsia" w:ascii="仿宋_GB2312" w:hAnsi="Times New Roman" w:eastAsia="仿宋_GB2312"/>
          <w:color w:val="000000" w:themeColor="text1"/>
          <w:sz w:val="32"/>
          <w:szCs w:val="32"/>
          <w14:textFill>
            <w14:solidFill>
              <w14:schemeClr w14:val="tx1"/>
            </w14:solidFill>
          </w14:textFill>
        </w:rPr>
        <w:t>XXX（所在区域生态环境部门）：</w:t>
      </w:r>
    </w:p>
    <w:p>
      <w:pPr>
        <w:overflowPunct w:val="0"/>
        <w:spacing w:line="560" w:lineRule="exact"/>
        <w:ind w:firstLine="640"/>
        <w:rPr>
          <w:rFonts w:ascii="仿宋_GB2312" w:eastAsia="仿宋_GB2312"/>
          <w:color w:val="000000" w:themeColor="text1"/>
          <w:sz w:val="32"/>
          <w:szCs w:val="32"/>
          <w14:textFill>
            <w14:solidFill>
              <w14:schemeClr w14:val="tx1"/>
            </w14:solidFill>
          </w14:textFill>
        </w:rPr>
      </w:pPr>
      <w:r>
        <w:rPr>
          <w:rFonts w:hint="eastAsia" w:ascii="仿宋_GB2312" w:hAnsi="Times New Roman" w:eastAsia="仿宋_GB2312"/>
          <w:color w:val="000000" w:themeColor="text1"/>
          <w:sz w:val="32"/>
          <w:szCs w:val="32"/>
          <w14:textFill>
            <w14:solidFill>
              <w14:schemeClr w14:val="tx1"/>
            </w14:solidFill>
          </w14:textFill>
        </w:rPr>
        <w:t>我单位承担的XX项目，获得XX年度昌吉州美丽蓝天建设项目中央大气污染防治资金支持XX万元，因客观原因，需对项目的XX项内容进行变更，具体情况如下：</w:t>
      </w:r>
    </w:p>
    <w:p>
      <w:pPr>
        <w:overflowPunct w:val="0"/>
        <w:spacing w:line="560" w:lineRule="exact"/>
        <w:ind w:firstLine="640"/>
        <w:rPr>
          <w:color w:val="000000" w:themeColor="text1"/>
          <w:sz w:val="32"/>
          <w:szCs w:val="32"/>
          <w14:textFill>
            <w14:solidFill>
              <w14:schemeClr w14:val="tx1"/>
            </w14:solidFill>
          </w14:textFill>
        </w:rPr>
      </w:pPr>
      <w:r>
        <w:rPr>
          <w:rFonts w:hint="eastAsia" w:ascii="仿宋_GB2312" w:hAnsi="Times New Roman" w:eastAsia="仿宋_GB2312"/>
          <w:color w:val="000000" w:themeColor="text1"/>
          <w:sz w:val="32"/>
          <w:szCs w:val="32"/>
          <w14:textFill>
            <w14:solidFill>
              <w14:schemeClr w14:val="tx1"/>
            </w14:solidFill>
          </w14:textFill>
        </w:rPr>
        <w:t>变更的事项及理由。</w:t>
      </w:r>
    </w:p>
    <w:p>
      <w:pPr>
        <w:overflowPunct w:val="0"/>
        <w:spacing w:line="560" w:lineRule="exact"/>
        <w:ind w:firstLine="64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w:t>
      </w:r>
    </w:p>
    <w:p>
      <w:pPr>
        <w:overflowPunct w:val="0"/>
        <w:ind w:firstLine="640"/>
        <w:rPr>
          <w:rFonts w:ascii="Times New Roman" w:hAnsi="Times New Roman" w:eastAsia="仿宋_GB2312"/>
          <w:color w:val="000000" w:themeColor="text1"/>
          <w:sz w:val="32"/>
          <w:szCs w:val="32"/>
          <w14:textFill>
            <w14:solidFill>
              <w14:schemeClr w14:val="tx1"/>
            </w14:solidFill>
          </w14:textFill>
        </w:rPr>
      </w:pPr>
    </w:p>
    <w:p>
      <w:pPr>
        <w:overflowPunct w:val="0"/>
        <w:ind w:firstLine="640"/>
        <w:rPr>
          <w:rFonts w:ascii="Times New Roman" w:hAnsi="Times New Roman" w:eastAsia="仿宋_GB2312"/>
          <w:color w:val="000000" w:themeColor="text1"/>
          <w:sz w:val="32"/>
          <w:szCs w:val="32"/>
          <w14:textFill>
            <w14:solidFill>
              <w14:schemeClr w14:val="tx1"/>
            </w14:solidFill>
          </w14:textFill>
        </w:rPr>
      </w:pPr>
    </w:p>
    <w:p>
      <w:pPr>
        <w:overflowPunct w:val="0"/>
        <w:ind w:firstLine="640"/>
        <w:rPr>
          <w:rFonts w:ascii="Times New Roman" w:hAnsi="Times New Roman" w:eastAsia="仿宋_GB2312"/>
          <w:color w:val="000000" w:themeColor="text1"/>
          <w:sz w:val="32"/>
          <w:szCs w:val="32"/>
          <w14:textFill>
            <w14:solidFill>
              <w14:schemeClr w14:val="tx1"/>
            </w14:solidFill>
          </w14:textFill>
        </w:rPr>
      </w:pPr>
    </w:p>
    <w:p>
      <w:pPr>
        <w:overflowPunct w:val="0"/>
        <w:ind w:firstLine="640"/>
        <w:rPr>
          <w:rFonts w:ascii="Times New Roman" w:hAnsi="Times New Roman" w:eastAsia="仿宋_GB2312"/>
          <w:color w:val="000000" w:themeColor="text1"/>
          <w:sz w:val="32"/>
          <w:szCs w:val="32"/>
          <w14:textFill>
            <w14:solidFill>
              <w14:schemeClr w14:val="tx1"/>
            </w14:solidFill>
          </w14:textFill>
        </w:rPr>
      </w:pPr>
    </w:p>
    <w:p>
      <w:pPr>
        <w:overflowPunct w:val="0"/>
        <w:ind w:firstLine="640"/>
        <w:rPr>
          <w:rFonts w:ascii="Times New Roman" w:hAnsi="Times New Roman" w:eastAsia="仿宋_GB2312"/>
          <w:color w:val="000000" w:themeColor="text1"/>
          <w:sz w:val="32"/>
          <w:szCs w:val="32"/>
          <w14:textFill>
            <w14:solidFill>
              <w14:schemeClr w14:val="tx1"/>
            </w14:solidFill>
          </w14:textFill>
        </w:rPr>
      </w:pPr>
    </w:p>
    <w:p>
      <w:pPr>
        <w:overflowPunct w:val="0"/>
        <w:ind w:firstLine="640"/>
        <w:jc w:val="right"/>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项目实施单位（盖章）：</w:t>
      </w:r>
    </w:p>
    <w:p>
      <w:pPr>
        <w:overflowPunct w:val="0"/>
        <w:ind w:firstLine="640"/>
        <w:jc w:val="right"/>
        <w:rPr>
          <w:rFonts w:ascii="Times New Roman" w:hAnsi="Times New Roman" w:eastAsia="仿宋_GB2312"/>
          <w:color w:val="000000" w:themeColor="text1"/>
          <w:sz w:val="32"/>
          <w:szCs w:val="32"/>
          <w14:textFill>
            <w14:solidFill>
              <w14:schemeClr w14:val="tx1"/>
            </w14:solidFill>
          </w14:textFill>
        </w:rPr>
      </w:pPr>
    </w:p>
    <w:p>
      <w:pPr>
        <w:overflowPunct w:val="0"/>
        <w:ind w:firstLine="640"/>
        <w:jc w:val="right"/>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20XX年X月X日</w:t>
      </w:r>
    </w:p>
    <w:p>
      <w:pPr>
        <w:overflowPunct w:val="0"/>
        <w:ind w:firstLine="640"/>
        <w:rPr>
          <w:rFonts w:eastAsia="方正黑体_GBK"/>
          <w:color w:val="000000" w:themeColor="text1"/>
          <w:sz w:val="32"/>
          <w:szCs w:val="32"/>
          <w14:textFill>
            <w14:solidFill>
              <w14:schemeClr w14:val="tx1"/>
            </w14:solidFill>
          </w14:textFill>
        </w:rPr>
      </w:pPr>
      <w:r>
        <w:rPr>
          <w:rFonts w:hint="eastAsia" w:ascii="Times New Roman" w:hAnsi="Times New Roman" w:eastAsia="方正黑体_GBK"/>
          <w:color w:val="000000" w:themeColor="text1"/>
          <w:sz w:val="32"/>
          <w:szCs w:val="32"/>
          <w14:textFill>
            <w14:solidFill>
              <w14:schemeClr w14:val="tx1"/>
            </w14:solidFill>
          </w14:textFill>
        </w:rPr>
        <w:br w:type="page"/>
      </w:r>
    </w:p>
    <w:p>
      <w:pPr>
        <w:overflowPunct w:val="0"/>
        <w:spacing w:line="520" w:lineRule="exact"/>
        <w:outlineLvl w:val="0"/>
        <w:rPr>
          <w:rFonts w:hint="eastAsia"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附件3</w:t>
      </w:r>
    </w:p>
    <w:p>
      <w:pPr>
        <w:widowControl/>
        <w:spacing w:line="520" w:lineRule="exact"/>
        <w:jc w:val="center"/>
        <w:rPr>
          <w:rFonts w:hint="eastAsia" w:ascii="方正小标宋_GBK" w:hAnsi="方正小标宋_GBK" w:eastAsia="方正小标宋_GBK" w:cs="方正小标宋_GBK"/>
          <w:color w:val="000000" w:themeColor="text1"/>
          <w:sz w:val="44"/>
          <w:szCs w:val="44"/>
          <w14:textFill>
            <w14:solidFill>
              <w14:schemeClr w14:val="tx1"/>
            </w14:solidFill>
          </w14:textFill>
        </w:rPr>
      </w:pPr>
      <w:r>
        <w:rPr>
          <w:rFonts w:hint="eastAsia" w:ascii="方正小标宋_GBK" w:hAnsi="方正小标宋_GBK" w:eastAsia="方正小标宋_GBK" w:cs="方正小标宋_GBK"/>
          <w:color w:val="000000" w:themeColor="text1"/>
          <w:sz w:val="44"/>
          <w:szCs w:val="44"/>
          <w14:textFill>
            <w14:solidFill>
              <w14:schemeClr w14:val="tx1"/>
            </w14:solidFill>
          </w14:textFill>
        </w:rPr>
        <w:t>昌吉州</w:t>
      </w:r>
      <w:r>
        <w:rPr>
          <w:rFonts w:ascii="方正小标宋_GBK" w:hAnsi="方正小标宋_GBK" w:eastAsia="方正小标宋_GBK" w:cs="方正小标宋_GBK"/>
          <w:color w:val="000000" w:themeColor="text1"/>
          <w:sz w:val="44"/>
          <w:szCs w:val="44"/>
          <w14:textFill>
            <w14:solidFill>
              <w14:schemeClr w14:val="tx1"/>
            </w14:solidFill>
          </w14:textFill>
        </w:rPr>
        <w:t>美丽蓝天建设项目验收存档材料</w:t>
      </w:r>
    </w:p>
    <w:p>
      <w:pPr>
        <w:widowControl/>
        <w:spacing w:line="520" w:lineRule="exact"/>
        <w:jc w:val="center"/>
        <w:rPr>
          <w:rFonts w:ascii="方正小标宋_GBK" w:hAnsi="方正小标宋_GBK" w:eastAsia="方正小标宋_GBK" w:cs="方正小标宋_GBK"/>
          <w:color w:val="000000" w:themeColor="text1"/>
          <w:sz w:val="44"/>
          <w:szCs w:val="44"/>
          <w14:textFill>
            <w14:solidFill>
              <w14:schemeClr w14:val="tx1"/>
            </w14:solidFill>
          </w14:textFill>
        </w:rPr>
      </w:pPr>
      <w:r>
        <w:rPr>
          <w:rFonts w:ascii="方正小标宋_GBK" w:hAnsi="方正小标宋_GBK" w:eastAsia="方正小标宋_GBK" w:cs="方正小标宋_GBK"/>
          <w:color w:val="000000" w:themeColor="text1"/>
          <w:sz w:val="44"/>
          <w:szCs w:val="44"/>
          <w14:textFill>
            <w14:solidFill>
              <w14:schemeClr w14:val="tx1"/>
            </w14:solidFill>
          </w14:textFill>
        </w:rPr>
        <w:t>（参考）</w:t>
      </w:r>
    </w:p>
    <w:p>
      <w:pPr>
        <w:widowControl/>
        <w:spacing w:line="520" w:lineRule="exact"/>
        <w:jc w:val="center"/>
        <w:rPr>
          <w:rFonts w:hint="eastAsia" w:ascii="黑体" w:hAnsi="黑体" w:eastAsia="黑体" w:cs="黑体"/>
          <w:snapToGrid w:val="0"/>
          <w:sz w:val="32"/>
          <w:szCs w:val="32"/>
        </w:rPr>
      </w:pPr>
    </w:p>
    <w:p>
      <w:pPr>
        <w:widowControl/>
        <w:spacing w:line="520" w:lineRule="exact"/>
        <w:ind w:firstLine="640" w:firstLineChars="200"/>
        <w:jc w:val="left"/>
        <w:rPr>
          <w:rFonts w:hint="eastAsia" w:ascii="仿宋_GB2312" w:hAnsi="黑体" w:eastAsia="仿宋_GB2312" w:cs="黑体"/>
          <w:snapToGrid w:val="0"/>
          <w:sz w:val="32"/>
          <w:szCs w:val="32"/>
        </w:rPr>
      </w:pPr>
      <w:r>
        <w:rPr>
          <w:rFonts w:hint="eastAsia" w:ascii="仿宋_GB2312" w:hAnsi="黑体" w:eastAsia="仿宋_GB2312" w:cs="黑体"/>
          <w:snapToGrid w:val="0"/>
          <w:sz w:val="32"/>
          <w:szCs w:val="32"/>
        </w:rPr>
        <w:t>一、项目批复文件：立项、可行性研究报告/实施方案批复，环评批复，内容变更调整批复等所有过程文件。</w:t>
      </w:r>
    </w:p>
    <w:p>
      <w:pPr>
        <w:widowControl/>
        <w:spacing w:line="520" w:lineRule="exact"/>
        <w:ind w:firstLine="640" w:firstLineChars="200"/>
        <w:jc w:val="left"/>
        <w:rPr>
          <w:rFonts w:hint="eastAsia" w:ascii="仿宋_GB2312" w:hAnsi="黑体" w:eastAsia="仿宋_GB2312" w:cs="黑体"/>
          <w:snapToGrid w:val="0"/>
          <w:sz w:val="32"/>
          <w:szCs w:val="32"/>
        </w:rPr>
      </w:pPr>
      <w:r>
        <w:rPr>
          <w:rFonts w:hint="eastAsia" w:ascii="仿宋_GB2312" w:hAnsi="黑体" w:eastAsia="仿宋_GB2312" w:cs="黑体"/>
          <w:snapToGrid w:val="0"/>
          <w:sz w:val="32"/>
          <w:szCs w:val="32"/>
        </w:rPr>
        <w:t>二、项目可行性研究报告（实施方案）。</w:t>
      </w:r>
    </w:p>
    <w:p>
      <w:pPr>
        <w:widowControl/>
        <w:spacing w:line="520" w:lineRule="exact"/>
        <w:ind w:firstLine="640" w:firstLineChars="200"/>
        <w:jc w:val="left"/>
        <w:rPr>
          <w:rFonts w:hint="eastAsia" w:ascii="仿宋_GB2312" w:hAnsi="黑体" w:eastAsia="仿宋_GB2312" w:cs="黑体"/>
          <w:snapToGrid w:val="0"/>
          <w:sz w:val="32"/>
          <w:szCs w:val="32"/>
        </w:rPr>
      </w:pPr>
      <w:r>
        <w:rPr>
          <w:rFonts w:hint="eastAsia" w:ascii="仿宋_GB2312" w:hAnsi="黑体" w:eastAsia="仿宋_GB2312" w:cs="黑体"/>
          <w:snapToGrid w:val="0"/>
          <w:sz w:val="32"/>
          <w:szCs w:val="32"/>
        </w:rPr>
        <w:t>三、项目相关设计文件：包括施工图设计及概算说明。</w:t>
      </w:r>
    </w:p>
    <w:p>
      <w:pPr>
        <w:widowControl/>
        <w:spacing w:line="520" w:lineRule="exact"/>
        <w:ind w:firstLine="640" w:firstLineChars="200"/>
        <w:jc w:val="left"/>
        <w:rPr>
          <w:rFonts w:hint="eastAsia" w:ascii="仿宋_GB2312" w:hAnsi="黑体" w:eastAsia="仿宋_GB2312" w:cs="黑体"/>
          <w:snapToGrid w:val="0"/>
          <w:sz w:val="32"/>
          <w:szCs w:val="32"/>
        </w:rPr>
      </w:pPr>
      <w:r>
        <w:rPr>
          <w:rFonts w:hint="eastAsia" w:ascii="仿宋_GB2312" w:hAnsi="黑体" w:eastAsia="仿宋_GB2312" w:cs="黑体"/>
          <w:snapToGrid w:val="0"/>
          <w:sz w:val="32"/>
          <w:szCs w:val="32"/>
        </w:rPr>
        <w:t>四、项目实施情况：包括组织管理、建设内容实施进度和质量情况、资金使用及控制、存在问题、有关单位资质等。</w:t>
      </w:r>
    </w:p>
    <w:p>
      <w:pPr>
        <w:widowControl/>
        <w:spacing w:line="520" w:lineRule="exact"/>
        <w:ind w:firstLine="640" w:firstLineChars="200"/>
        <w:jc w:val="left"/>
        <w:rPr>
          <w:rFonts w:hint="eastAsia" w:ascii="仿宋_GB2312" w:hAnsi="黑体" w:eastAsia="仿宋_GB2312" w:cs="黑体"/>
          <w:snapToGrid w:val="0"/>
          <w:sz w:val="32"/>
          <w:szCs w:val="32"/>
        </w:rPr>
      </w:pPr>
      <w:r>
        <w:rPr>
          <w:rFonts w:hint="eastAsia" w:ascii="仿宋_GB2312" w:hAnsi="黑体" w:eastAsia="仿宋_GB2312" w:cs="黑体"/>
          <w:snapToGrid w:val="0"/>
          <w:sz w:val="32"/>
          <w:szCs w:val="32"/>
        </w:rPr>
        <w:t>五、项目全部招标情况，包括招标文件、投标文件、评标文件、中标通知书等。</w:t>
      </w:r>
    </w:p>
    <w:p>
      <w:pPr>
        <w:widowControl/>
        <w:spacing w:line="520" w:lineRule="exact"/>
        <w:ind w:firstLine="640" w:firstLineChars="200"/>
        <w:jc w:val="left"/>
        <w:rPr>
          <w:rFonts w:hint="eastAsia" w:ascii="仿宋_GB2312" w:hAnsi="黑体" w:eastAsia="仿宋_GB2312" w:cs="黑体"/>
          <w:snapToGrid w:val="0"/>
          <w:sz w:val="32"/>
          <w:szCs w:val="32"/>
        </w:rPr>
      </w:pPr>
      <w:r>
        <w:rPr>
          <w:rFonts w:hint="eastAsia" w:ascii="仿宋_GB2312" w:hAnsi="黑体" w:eastAsia="仿宋_GB2312" w:cs="黑体"/>
          <w:snapToGrid w:val="0"/>
          <w:sz w:val="32"/>
          <w:szCs w:val="32"/>
        </w:rPr>
        <w:t>六、项目全部合同：前期工作、设计、工程施工、监理、设备采购等。</w:t>
      </w:r>
    </w:p>
    <w:p>
      <w:pPr>
        <w:widowControl/>
        <w:spacing w:line="520" w:lineRule="exact"/>
        <w:ind w:firstLine="640" w:firstLineChars="200"/>
        <w:jc w:val="left"/>
        <w:rPr>
          <w:rFonts w:hint="eastAsia" w:ascii="仿宋_GB2312" w:hAnsi="黑体" w:eastAsia="仿宋_GB2312" w:cs="黑体"/>
          <w:snapToGrid w:val="0"/>
          <w:sz w:val="32"/>
          <w:szCs w:val="32"/>
        </w:rPr>
      </w:pPr>
      <w:r>
        <w:rPr>
          <w:rFonts w:hint="eastAsia" w:ascii="仿宋_GB2312" w:hAnsi="黑体" w:eastAsia="仿宋_GB2312" w:cs="黑体"/>
          <w:snapToGrid w:val="0"/>
          <w:sz w:val="32"/>
          <w:szCs w:val="32"/>
        </w:rPr>
        <w:t>七、项目工程、设备、环保等所有验收情况；主要设备到货情况、运行或试运行报告；竣工项目工程质量验收报告；验收专家意见、整改报告及整改情况、工程监理报告；在建项目季度、年度监理报告、监理日志等。</w:t>
      </w:r>
    </w:p>
    <w:p>
      <w:pPr>
        <w:widowControl/>
        <w:spacing w:line="520" w:lineRule="exact"/>
        <w:ind w:firstLine="640" w:firstLineChars="200"/>
        <w:jc w:val="left"/>
        <w:rPr>
          <w:rFonts w:hint="eastAsia" w:ascii="仿宋_GB2312" w:hAnsi="黑体" w:eastAsia="仿宋_GB2312" w:cs="黑体"/>
          <w:snapToGrid w:val="0"/>
          <w:sz w:val="32"/>
          <w:szCs w:val="32"/>
        </w:rPr>
      </w:pPr>
      <w:r>
        <w:rPr>
          <w:rFonts w:hint="eastAsia" w:ascii="仿宋_GB2312" w:hAnsi="黑体" w:eastAsia="仿宋_GB2312" w:cs="黑体"/>
          <w:snapToGrid w:val="0"/>
          <w:sz w:val="32"/>
          <w:szCs w:val="32"/>
        </w:rPr>
        <w:t>八、专项资金用款计划、拨款申请；各资金到位证明及明细账、凭证及附件；第三方机构出具的项目验收财务决算审计报告；项目财务会计明细账及相关凭证，包括专项资金账簿、自筹资金账簿；固定资产管理有关资料。</w:t>
      </w:r>
    </w:p>
    <w:p>
      <w:pPr>
        <w:widowControl/>
        <w:spacing w:line="520" w:lineRule="exact"/>
        <w:ind w:firstLine="640" w:firstLineChars="200"/>
        <w:jc w:val="left"/>
        <w:rPr>
          <w:rFonts w:hint="eastAsia" w:ascii="仿宋_GB2312" w:hAnsi="黑体" w:eastAsia="仿宋_GB2312" w:cs="黑体"/>
          <w:snapToGrid w:val="0"/>
          <w:sz w:val="32"/>
          <w:szCs w:val="32"/>
        </w:rPr>
      </w:pPr>
      <w:r>
        <w:rPr>
          <w:rFonts w:hint="eastAsia" w:ascii="仿宋_GB2312" w:hAnsi="黑体" w:eastAsia="仿宋_GB2312" w:cs="黑体"/>
          <w:snapToGrid w:val="0"/>
          <w:sz w:val="32"/>
          <w:szCs w:val="32"/>
        </w:rPr>
        <w:t>九、项目绩效目标表、自评表（报告）。</w:t>
      </w:r>
    </w:p>
    <w:p>
      <w:pPr>
        <w:widowControl/>
        <w:spacing w:line="520" w:lineRule="exact"/>
        <w:ind w:firstLine="640" w:firstLineChars="200"/>
        <w:jc w:val="left"/>
        <w:rPr>
          <w:rFonts w:hint="eastAsia" w:ascii="仿宋_GB2312" w:hAnsi="黑体" w:eastAsia="仿宋_GB2312" w:cs="黑体"/>
          <w:snapToGrid w:val="0"/>
          <w:sz w:val="32"/>
          <w:szCs w:val="32"/>
        </w:rPr>
      </w:pPr>
      <w:r>
        <w:rPr>
          <w:rFonts w:hint="eastAsia" w:ascii="仿宋_GB2312" w:hAnsi="黑体" w:eastAsia="仿宋_GB2312" w:cs="黑体"/>
          <w:snapToGrid w:val="0"/>
          <w:sz w:val="32"/>
          <w:szCs w:val="32"/>
        </w:rPr>
        <w:t>十、其他相关资料。</w:t>
      </w:r>
    </w:p>
    <w:p>
      <w:pPr>
        <w:widowControl/>
        <w:jc w:val="left"/>
        <w:rPr>
          <w:rFonts w:hint="eastAsia" w:ascii="黑体" w:hAnsi="黑体" w:eastAsia="黑体" w:cs="黑体"/>
          <w:snapToGrid w:val="0"/>
          <w:sz w:val="32"/>
          <w:szCs w:val="32"/>
        </w:rPr>
      </w:pPr>
      <w:r>
        <w:rPr>
          <w:rFonts w:hint="eastAsia" w:ascii="黑体" w:hAnsi="黑体" w:eastAsia="黑体" w:cs="黑体"/>
          <w:snapToGrid w:val="0"/>
          <w:sz w:val="32"/>
          <w:szCs w:val="32"/>
        </w:rPr>
        <w:br w:type="page"/>
      </w:r>
      <w:r>
        <w:rPr>
          <w:rFonts w:ascii="黑体" w:hAnsi="黑体" w:eastAsia="黑体" w:cs="黑体"/>
          <w:snapToGrid w:val="0"/>
          <w:sz w:val="32"/>
          <w:szCs w:val="32"/>
        </w:rPr>
        <w:t>附件</w:t>
      </w:r>
      <w:r>
        <w:rPr>
          <w:rFonts w:hint="eastAsia" w:ascii="黑体" w:hAnsi="黑体" w:eastAsia="黑体" w:cs="黑体"/>
          <w:snapToGrid w:val="0"/>
          <w:sz w:val="32"/>
          <w:szCs w:val="32"/>
        </w:rPr>
        <w:t>4</w:t>
      </w:r>
    </w:p>
    <w:p>
      <w:pPr>
        <w:spacing w:line="540" w:lineRule="exact"/>
        <w:jc w:val="center"/>
        <w:rPr>
          <w:rFonts w:hint="eastAsia" w:ascii="方正小标宋_GBK" w:hAnsi="方正小标宋_GBK" w:eastAsia="方正小标宋_GBK" w:cs="方正小标宋_GBK"/>
          <w:snapToGrid w:val="0"/>
          <w:sz w:val="44"/>
          <w:szCs w:val="44"/>
        </w:rPr>
      </w:pPr>
      <w:r>
        <w:rPr>
          <w:rFonts w:ascii="方正小标宋_GBK" w:hAnsi="方正小标宋_GBK" w:eastAsia="方正小标宋_GBK" w:cs="方正小标宋_GBK"/>
          <w:snapToGrid w:val="0"/>
          <w:sz w:val="44"/>
          <w:szCs w:val="44"/>
        </w:rPr>
        <w:t>项目验收细则</w:t>
      </w:r>
    </w:p>
    <w:p>
      <w:pPr>
        <w:spacing w:line="560" w:lineRule="exact"/>
        <w:rPr>
          <w:rFonts w:ascii="Times New Roman" w:hAnsi="Times New Roman" w:eastAsia="仿宋_GB2312"/>
          <w:sz w:val="32"/>
          <w:szCs w:val="32"/>
        </w:rPr>
      </w:pPr>
    </w:p>
    <w:p>
      <w:pPr>
        <w:spacing w:line="560" w:lineRule="exact"/>
        <w:ind w:firstLine="640" w:firstLineChars="200"/>
        <w:rPr>
          <w:rFonts w:hint="eastAsia" w:ascii="宋体" w:hAnsi="宋体" w:cs="宋体"/>
          <w:b/>
          <w:bCs/>
          <w:sz w:val="32"/>
          <w:szCs w:val="32"/>
        </w:rPr>
      </w:pPr>
      <w:r>
        <w:rPr>
          <w:rFonts w:ascii="Times New Roman" w:hAnsi="Times New Roman" w:eastAsia="仿宋_GB2312"/>
          <w:sz w:val="32"/>
          <w:szCs w:val="32"/>
        </w:rPr>
        <w:t>项目验收实行分级验收制度。项目监管单位及</w:t>
      </w:r>
      <w:r>
        <w:rPr>
          <w:rFonts w:hint="eastAsia" w:ascii="Times New Roman" w:hAnsi="Times New Roman" w:eastAsia="仿宋_GB2312"/>
          <w:sz w:val="32"/>
          <w:szCs w:val="32"/>
        </w:rPr>
        <w:t>子</w:t>
      </w:r>
      <w:r>
        <w:rPr>
          <w:rFonts w:ascii="Times New Roman" w:hAnsi="Times New Roman" w:eastAsia="仿宋_GB2312"/>
          <w:sz w:val="32"/>
          <w:szCs w:val="32"/>
        </w:rPr>
        <w:t>项目</w:t>
      </w:r>
      <w:r>
        <w:rPr>
          <w:rFonts w:hint="eastAsia" w:ascii="Times New Roman" w:hAnsi="Times New Roman" w:eastAsia="仿宋_GB2312"/>
          <w:sz w:val="32"/>
          <w:szCs w:val="32"/>
        </w:rPr>
        <w:t>实施单位</w:t>
      </w:r>
      <w:r>
        <w:rPr>
          <w:rFonts w:ascii="Times New Roman" w:hAnsi="Times New Roman" w:eastAsia="仿宋_GB2312"/>
          <w:sz w:val="32"/>
          <w:szCs w:val="32"/>
        </w:rPr>
        <w:t>要加强项目档案管理，每个</w:t>
      </w:r>
      <w:r>
        <w:rPr>
          <w:rFonts w:hint="eastAsia" w:ascii="Times New Roman" w:hAnsi="Times New Roman" w:eastAsia="仿宋_GB2312"/>
          <w:snapToGrid w:val="0"/>
          <w:sz w:val="32"/>
          <w:szCs w:val="32"/>
        </w:rPr>
        <w:t>子</w:t>
      </w:r>
      <w:r>
        <w:rPr>
          <w:rFonts w:ascii="Times New Roman" w:hAnsi="Times New Roman" w:eastAsia="仿宋_GB2312"/>
          <w:sz w:val="32"/>
          <w:szCs w:val="32"/>
        </w:rPr>
        <w:t>项目单独建档，归档内容应包括</w:t>
      </w:r>
      <w:r>
        <w:rPr>
          <w:rFonts w:hint="eastAsia" w:ascii="Times New Roman" w:hAnsi="Times New Roman" w:eastAsia="仿宋_GB2312"/>
          <w:sz w:val="32"/>
          <w:szCs w:val="32"/>
        </w:rPr>
        <w:t>但</w:t>
      </w:r>
      <w:r>
        <w:rPr>
          <w:rFonts w:ascii="Times New Roman" w:hAnsi="Times New Roman" w:eastAsia="仿宋_GB2312"/>
          <w:sz w:val="32"/>
          <w:szCs w:val="32"/>
        </w:rPr>
        <w:t>不限于项目审批、招投标、工程监理、竣工验收、资金下达及支出等方面的文件和资料。</w:t>
      </w:r>
      <w:r>
        <w:rPr>
          <w:rFonts w:hint="eastAsia" w:ascii="Times New Roman" w:hAnsi="Times New Roman" w:eastAsia="仿宋_GB2312"/>
          <w:sz w:val="32"/>
          <w:szCs w:val="32"/>
        </w:rPr>
        <w:t>子</w:t>
      </w:r>
      <w:r>
        <w:rPr>
          <w:rFonts w:ascii="Times New Roman" w:hAnsi="Times New Roman" w:eastAsia="仿宋_GB2312"/>
          <w:sz w:val="32"/>
          <w:szCs w:val="32"/>
        </w:rPr>
        <w:t>项目包含多个单体打包项目，由县市（园区）相关牵头单位统一进行验收。</w:t>
      </w:r>
    </w:p>
    <w:p>
      <w:pPr>
        <w:numPr>
          <w:ilvl w:val="0"/>
          <w:numId w:val="6"/>
        </w:num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子</w:t>
      </w:r>
      <w:r>
        <w:rPr>
          <w:rFonts w:ascii="黑体" w:hAnsi="黑体" w:eastAsia="黑体" w:cs="黑体"/>
          <w:sz w:val="32"/>
          <w:szCs w:val="32"/>
        </w:rPr>
        <w:t>项目验收程序</w:t>
      </w:r>
    </w:p>
    <w:p>
      <w:pPr>
        <w:spacing w:line="560" w:lineRule="exact"/>
        <w:ind w:firstLine="640" w:firstLineChars="200"/>
        <w:rPr>
          <w:rFonts w:hint="eastAsia" w:ascii="方正楷体_GB2312" w:hAnsi="方正楷体_GB2312" w:eastAsia="方正楷体_GB2312" w:cs="方正楷体_GB2312"/>
          <w:b/>
          <w:bCs/>
          <w:sz w:val="32"/>
          <w:szCs w:val="32"/>
        </w:rPr>
      </w:pPr>
      <w:r>
        <w:rPr>
          <w:rFonts w:hint="eastAsia" w:ascii="Times New Roman" w:hAnsi="Times New Roman" w:eastAsia="仿宋_GB2312"/>
          <w:sz w:val="32"/>
          <w:szCs w:val="32"/>
        </w:rPr>
        <w:t>子</w:t>
      </w:r>
      <w:r>
        <w:rPr>
          <w:rFonts w:ascii="Times New Roman" w:hAnsi="Times New Roman" w:eastAsia="仿宋_GB2312"/>
          <w:sz w:val="32"/>
          <w:szCs w:val="32"/>
        </w:rPr>
        <w:t>项目竣工验收后，</w:t>
      </w:r>
      <w:r>
        <w:rPr>
          <w:rFonts w:hint="eastAsia" w:ascii="Times New Roman" w:hAnsi="Times New Roman" w:eastAsia="仿宋_GB2312"/>
          <w:sz w:val="32"/>
          <w:szCs w:val="32"/>
        </w:rPr>
        <w:t>子项目实施</w:t>
      </w:r>
      <w:r>
        <w:rPr>
          <w:rFonts w:ascii="Times New Roman" w:hAnsi="Times New Roman" w:eastAsia="仿宋_GB2312"/>
          <w:sz w:val="32"/>
          <w:szCs w:val="32"/>
        </w:rPr>
        <w:t>单位应在3个月内完成项目工程竣工财务决算，</w:t>
      </w:r>
      <w:r>
        <w:rPr>
          <w:rFonts w:hint="eastAsia" w:ascii="Times New Roman" w:hAnsi="Times New Roman" w:eastAsia="仿宋_GB2312"/>
          <w:sz w:val="32"/>
          <w:szCs w:val="32"/>
        </w:rPr>
        <w:t>形成</w:t>
      </w:r>
      <w:r>
        <w:rPr>
          <w:rFonts w:ascii="Times New Roman" w:hAnsi="Times New Roman" w:eastAsia="仿宋_GB2312"/>
          <w:sz w:val="32"/>
          <w:szCs w:val="32"/>
        </w:rPr>
        <w:t>项目竣工验收</w:t>
      </w:r>
      <w:r>
        <w:rPr>
          <w:rFonts w:hint="eastAsia" w:ascii="Times New Roman" w:hAnsi="Times New Roman" w:eastAsia="仿宋_GB2312"/>
          <w:sz w:val="32"/>
          <w:szCs w:val="32"/>
        </w:rPr>
        <w:t>报告后提请县市</w:t>
      </w:r>
      <w:r>
        <w:rPr>
          <w:rFonts w:ascii="Times New Roman" w:hAnsi="Times New Roman" w:eastAsia="仿宋_GB2312"/>
          <w:sz w:val="32"/>
          <w:szCs w:val="32"/>
        </w:rPr>
        <w:t>（园区）</w:t>
      </w:r>
      <w:r>
        <w:rPr>
          <w:rFonts w:hint="eastAsia" w:ascii="Times New Roman" w:hAnsi="Times New Roman" w:eastAsia="仿宋_GB2312"/>
          <w:sz w:val="32"/>
          <w:szCs w:val="32"/>
        </w:rPr>
        <w:t>监管部门进行初步验收。县市</w:t>
      </w:r>
      <w:r>
        <w:rPr>
          <w:rFonts w:ascii="Times New Roman" w:hAnsi="Times New Roman" w:eastAsia="仿宋_GB2312"/>
          <w:sz w:val="32"/>
          <w:szCs w:val="32"/>
        </w:rPr>
        <w:t>（园区）</w:t>
      </w:r>
      <w:r>
        <w:rPr>
          <w:rFonts w:hint="eastAsia" w:ascii="Times New Roman" w:hAnsi="Times New Roman" w:eastAsia="仿宋_GB2312"/>
          <w:sz w:val="32"/>
          <w:szCs w:val="32"/>
        </w:rPr>
        <w:t>监管部门完成初验后，报相应州级监管部门开展复验出具复验意见</w:t>
      </w:r>
      <w:r>
        <w:rPr>
          <w:rFonts w:ascii="Times New Roman" w:hAnsi="Times New Roman" w:eastAsia="仿宋_GB2312"/>
          <w:sz w:val="32"/>
          <w:szCs w:val="32"/>
        </w:rPr>
        <w:t>（需在</w:t>
      </w:r>
      <w:r>
        <w:rPr>
          <w:rFonts w:hint="eastAsia" w:ascii="Times New Roman" w:hAnsi="Times New Roman" w:eastAsia="仿宋_GB2312"/>
          <w:snapToGrid w:val="0"/>
          <w:sz w:val="32"/>
          <w:szCs w:val="32"/>
        </w:rPr>
        <w:t>子</w:t>
      </w:r>
      <w:r>
        <w:rPr>
          <w:rFonts w:ascii="Times New Roman" w:hAnsi="Times New Roman" w:eastAsia="仿宋_GB2312"/>
          <w:sz w:val="32"/>
          <w:szCs w:val="32"/>
        </w:rPr>
        <w:t>项目竣工后6个月内完成）。</w:t>
      </w:r>
    </w:p>
    <w:p>
      <w:pPr>
        <w:spacing w:line="540" w:lineRule="exact"/>
        <w:ind w:firstLine="640" w:firstLineChars="200"/>
        <w:rPr>
          <w:rFonts w:hint="eastAsia" w:ascii="黑体" w:hAnsi="黑体" w:eastAsia="黑体" w:cs="黑体"/>
          <w:sz w:val="32"/>
          <w:szCs w:val="32"/>
        </w:rPr>
      </w:pPr>
      <w:r>
        <w:rPr>
          <w:rFonts w:ascii="黑体" w:hAnsi="黑体" w:eastAsia="黑体" w:cs="黑体"/>
          <w:sz w:val="32"/>
          <w:szCs w:val="32"/>
        </w:rPr>
        <w:t>二、整体项目验收程序</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州生态环境局、财政局、农业农村局、市场监督管理局、住建局、发改委、工信局、公安局、商务局联合组建昌吉州验收小组，验收小组办公室设在州生态环境局，统筹协调组织对昌吉州美丽蓝天整体项目开展验收工作。州</w:t>
      </w:r>
      <w:r>
        <w:rPr>
          <w:rFonts w:ascii="Times New Roman" w:hAnsi="Times New Roman" w:eastAsia="仿宋_GB2312" w:cs="仿宋_GB2312"/>
          <w:snapToGrid w:val="0"/>
          <w:sz w:val="32"/>
          <w:szCs w:val="32"/>
        </w:rPr>
        <w:t>财政局负责财务决算审计复核</w:t>
      </w:r>
      <w:r>
        <w:rPr>
          <w:rFonts w:hint="eastAsia" w:ascii="Times New Roman" w:hAnsi="Times New Roman" w:eastAsia="仿宋_GB2312" w:cs="仿宋_GB2312"/>
          <w:snapToGrid w:val="0"/>
          <w:sz w:val="32"/>
          <w:szCs w:val="32"/>
        </w:rPr>
        <w:t>；</w:t>
      </w:r>
      <w:r>
        <w:rPr>
          <w:rFonts w:ascii="Times New Roman" w:hAnsi="Times New Roman" w:eastAsia="仿宋_GB2312" w:cs="仿宋_GB2312"/>
          <w:snapToGrid w:val="0"/>
          <w:sz w:val="32"/>
          <w:szCs w:val="32"/>
        </w:rPr>
        <w:t>生态环境局负责工业源污染治理和社会老旧非营运货车淘汰更新项目核查</w:t>
      </w:r>
      <w:r>
        <w:rPr>
          <w:rFonts w:hint="eastAsia" w:ascii="Times New Roman" w:hAnsi="Times New Roman" w:eastAsia="仿宋_GB2312" w:cs="仿宋_GB2312"/>
          <w:snapToGrid w:val="0"/>
          <w:sz w:val="32"/>
          <w:szCs w:val="32"/>
        </w:rPr>
        <w:t>；</w:t>
      </w:r>
      <w:r>
        <w:rPr>
          <w:rFonts w:ascii="Times New Roman" w:hAnsi="Times New Roman" w:eastAsia="仿宋_GB2312" w:cs="仿宋_GB2312"/>
          <w:snapToGrid w:val="0"/>
          <w:sz w:val="32"/>
          <w:szCs w:val="32"/>
        </w:rPr>
        <w:t>住建局核查清洁取暖项目和老旧环卫车辆淘汰更新项目</w:t>
      </w:r>
      <w:r>
        <w:rPr>
          <w:rFonts w:hint="eastAsia" w:ascii="Times New Roman" w:hAnsi="Times New Roman" w:eastAsia="仿宋_GB2312" w:cs="仿宋_GB2312"/>
          <w:snapToGrid w:val="0"/>
          <w:sz w:val="32"/>
          <w:szCs w:val="32"/>
        </w:rPr>
        <w:t>；</w:t>
      </w:r>
      <w:r>
        <w:rPr>
          <w:rFonts w:ascii="Times New Roman" w:hAnsi="Times New Roman" w:eastAsia="仿宋_GB2312" w:cs="仿宋_GB2312"/>
          <w:snapToGrid w:val="0"/>
          <w:sz w:val="32"/>
          <w:szCs w:val="32"/>
        </w:rPr>
        <w:t>市场监督管理局核查餐饮油烟治理项目</w:t>
      </w:r>
      <w:r>
        <w:rPr>
          <w:rFonts w:hint="eastAsia" w:ascii="仿宋_GB2312" w:hAnsi="宋体" w:eastAsia="仿宋_GB2312" w:cs="仿宋_GB2312"/>
          <w:color w:val="000000"/>
          <w:kern w:val="0"/>
          <w:sz w:val="31"/>
          <w:szCs w:val="31"/>
          <w:lang w:bidi="ar"/>
        </w:rPr>
        <w:t>和各县市厂内老旧非道路移动机械</w:t>
      </w:r>
      <w:r>
        <w:rPr>
          <w:rFonts w:hint="eastAsia" w:ascii="Times New Roman" w:hAnsi="Times New Roman"/>
          <w:color w:val="000000"/>
          <w:kern w:val="0"/>
          <w:sz w:val="31"/>
          <w:szCs w:val="31"/>
          <w:lang w:bidi="ar"/>
        </w:rPr>
        <w:t>（</w:t>
      </w:r>
      <w:r>
        <w:rPr>
          <w:rFonts w:hint="eastAsia" w:ascii="仿宋_GB2312" w:hAnsi="宋体" w:eastAsia="仿宋_GB2312" w:cs="仿宋_GB2312"/>
          <w:color w:val="000000"/>
          <w:kern w:val="0"/>
          <w:sz w:val="31"/>
          <w:szCs w:val="31"/>
          <w:lang w:bidi="ar"/>
        </w:rPr>
        <w:t>叉车</w:t>
      </w:r>
      <w:r>
        <w:rPr>
          <w:rFonts w:hint="eastAsia" w:ascii="Times New Roman" w:hAnsi="Times New Roman"/>
          <w:color w:val="000000"/>
          <w:kern w:val="0"/>
          <w:sz w:val="31"/>
          <w:szCs w:val="31"/>
          <w:lang w:bidi="ar"/>
        </w:rPr>
        <w:t>）</w:t>
      </w:r>
      <w:r>
        <w:rPr>
          <w:rFonts w:hint="eastAsia" w:ascii="仿宋_GB2312" w:hAnsi="宋体" w:eastAsia="仿宋_GB2312" w:cs="仿宋_GB2312"/>
          <w:color w:val="000000"/>
          <w:kern w:val="0"/>
          <w:sz w:val="31"/>
          <w:szCs w:val="31"/>
          <w:lang w:bidi="ar"/>
        </w:rPr>
        <w:t>淘汰更新项目，配合做好</w:t>
      </w:r>
      <w:r>
        <w:rPr>
          <w:rFonts w:ascii="Times New Roman" w:hAnsi="Times New Roman" w:eastAsia="仿宋_GB2312" w:cs="仿宋_GB2312"/>
          <w:snapToGrid w:val="0"/>
          <w:sz w:val="32"/>
          <w:szCs w:val="32"/>
        </w:rPr>
        <w:t>特种设备锅炉报废</w:t>
      </w:r>
      <w:r>
        <w:rPr>
          <w:rFonts w:hint="eastAsia" w:ascii="Times New Roman" w:hAnsi="Times New Roman" w:eastAsia="仿宋_GB2312" w:cs="仿宋_GB2312"/>
          <w:snapToGrid w:val="0"/>
          <w:sz w:val="32"/>
          <w:szCs w:val="32"/>
        </w:rPr>
        <w:t>工作；</w:t>
      </w:r>
      <w:r>
        <w:rPr>
          <w:rFonts w:ascii="Times New Roman" w:hAnsi="Times New Roman" w:eastAsia="仿宋_GB2312" w:cs="仿宋_GB2312"/>
          <w:snapToGrid w:val="0"/>
          <w:sz w:val="32"/>
          <w:szCs w:val="32"/>
        </w:rPr>
        <w:t>工信局核查工业淘汰产能和项目技改备案手续</w:t>
      </w:r>
      <w:r>
        <w:rPr>
          <w:rFonts w:hint="eastAsia" w:ascii="Times New Roman" w:hAnsi="Times New Roman" w:eastAsia="仿宋_GB2312" w:cs="仿宋_GB2312"/>
          <w:snapToGrid w:val="0"/>
          <w:sz w:val="32"/>
          <w:szCs w:val="32"/>
        </w:rPr>
        <w:t>；</w:t>
      </w:r>
      <w:r>
        <w:rPr>
          <w:rFonts w:ascii="Times New Roman" w:hAnsi="Times New Roman" w:eastAsia="仿宋_GB2312" w:cs="仿宋_GB2312"/>
          <w:snapToGrid w:val="0"/>
          <w:sz w:val="32"/>
          <w:szCs w:val="32"/>
        </w:rPr>
        <w:t>农业农村局核查非道路移动机械</w:t>
      </w:r>
      <w:r>
        <w:rPr>
          <w:rFonts w:hint="eastAsia" w:ascii="Times New Roman" w:hAnsi="Times New Roman" w:eastAsia="仿宋_GB2312" w:cs="仿宋_GB2312"/>
          <w:snapToGrid w:val="0"/>
          <w:sz w:val="32"/>
          <w:szCs w:val="32"/>
        </w:rPr>
        <w:t>（装载机、挖掘机）</w:t>
      </w:r>
      <w:r>
        <w:rPr>
          <w:rFonts w:ascii="Times New Roman" w:hAnsi="Times New Roman" w:eastAsia="仿宋_GB2312" w:cs="仿宋_GB2312"/>
          <w:snapToGrid w:val="0"/>
          <w:sz w:val="32"/>
          <w:szCs w:val="32"/>
        </w:rPr>
        <w:t>和涉农燃煤设施污染治理</w:t>
      </w:r>
      <w:r>
        <w:rPr>
          <w:rFonts w:hint="eastAsia" w:ascii="Times New Roman" w:hAnsi="Times New Roman" w:eastAsia="仿宋_GB2312" w:cs="仿宋_GB2312"/>
          <w:snapToGrid w:val="0"/>
          <w:sz w:val="32"/>
          <w:szCs w:val="32"/>
        </w:rPr>
        <w:t>；</w:t>
      </w:r>
      <w:r>
        <w:rPr>
          <w:rFonts w:ascii="Times New Roman" w:hAnsi="Times New Roman" w:eastAsia="仿宋_GB2312" w:cs="仿宋_GB2312"/>
          <w:snapToGrid w:val="0"/>
          <w:sz w:val="32"/>
          <w:szCs w:val="32"/>
        </w:rPr>
        <w:t>发改委核查新建或改扩建项目</w:t>
      </w:r>
      <w:r>
        <w:rPr>
          <w:rFonts w:ascii="仿宋_GB2312" w:hAnsi="仿宋_GB2312" w:eastAsia="仿宋_GB2312" w:cs="仿宋_GB2312"/>
          <w:snapToGrid w:val="0"/>
          <w:sz w:val="32"/>
          <w:szCs w:val="32"/>
        </w:rPr>
        <w:t>立项手续</w:t>
      </w:r>
      <w:r>
        <w:rPr>
          <w:rFonts w:hint="eastAsia" w:ascii="仿宋_GB2312" w:hAnsi="仿宋_GB2312" w:eastAsia="仿宋_GB2312" w:cs="仿宋_GB2312"/>
          <w:snapToGrid w:val="0"/>
          <w:sz w:val="32"/>
          <w:szCs w:val="32"/>
        </w:rPr>
        <w:t>；</w:t>
      </w:r>
      <w:r>
        <w:rPr>
          <w:rFonts w:ascii="Times New Roman" w:hAnsi="Times New Roman" w:eastAsia="仿宋_GB2312"/>
          <w:snapToGrid w:val="0"/>
          <w:sz w:val="32"/>
          <w:szCs w:val="32"/>
        </w:rPr>
        <w:t>公安局负责机动车注销核验</w:t>
      </w:r>
      <w:r>
        <w:rPr>
          <w:rFonts w:hint="eastAsia" w:ascii="Times New Roman" w:hAnsi="Times New Roman" w:eastAsia="仿宋_GB2312"/>
          <w:snapToGrid w:val="0"/>
          <w:sz w:val="32"/>
          <w:szCs w:val="32"/>
        </w:rPr>
        <w:t>；</w:t>
      </w:r>
      <w:r>
        <w:rPr>
          <w:rFonts w:ascii="Times New Roman" w:hAnsi="Times New Roman" w:eastAsia="仿宋_GB2312"/>
          <w:snapToGrid w:val="0"/>
          <w:sz w:val="32"/>
          <w:szCs w:val="32"/>
        </w:rPr>
        <w:t>商务局负责报废机动车回收企业监管。</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2.各县市（园区）人民政府（管委会）在辖区内</w:t>
      </w:r>
      <w:r>
        <w:rPr>
          <w:rFonts w:hint="eastAsia" w:ascii="Times New Roman" w:hAnsi="Times New Roman" w:eastAsia="仿宋_GB2312"/>
          <w:snapToGrid w:val="0"/>
          <w:sz w:val="32"/>
          <w:szCs w:val="32"/>
        </w:rPr>
        <w:t>子</w:t>
      </w:r>
      <w:r>
        <w:rPr>
          <w:rFonts w:ascii="Times New Roman" w:hAnsi="Times New Roman" w:eastAsia="仿宋_GB2312"/>
          <w:sz w:val="32"/>
          <w:szCs w:val="32"/>
        </w:rPr>
        <w:t>项目全部完成竣工验收和财务决算后，组织相关部门开展辖区内整体项目全面自验工作，形成验收报告报送验收小组。</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3.昌吉州验收小组接到各县市（园区）人民政府（管委会）上报的验收报告后，按照国家及自治区相关要求，通过资料核查、现场核查、座谈问询等方式组织开展整体项目州级验收（整体项目完成后</w:t>
      </w:r>
      <w:r>
        <w:rPr>
          <w:rFonts w:hint="eastAsia" w:ascii="Times New Roman" w:hAnsi="Times New Roman" w:eastAsia="仿宋_GB2312"/>
          <w:sz w:val="32"/>
          <w:szCs w:val="32"/>
        </w:rPr>
        <w:t>6个月</w:t>
      </w:r>
      <w:r>
        <w:rPr>
          <w:rFonts w:ascii="Times New Roman" w:hAnsi="Times New Roman" w:eastAsia="仿宋_GB2312"/>
          <w:sz w:val="32"/>
          <w:szCs w:val="32"/>
        </w:rPr>
        <w:t>内），形成昌吉州美丽蓝天建设项目整体验收报告（后附有资质的第三方机构出具的项目验收财务决算审计报告），经州人民政府审批后报自治区相关主管部门</w:t>
      </w:r>
      <w:r>
        <w:rPr>
          <w:rFonts w:hint="eastAsia" w:ascii="Times New Roman" w:hAnsi="Times New Roman" w:eastAsia="仿宋_GB2312"/>
          <w:sz w:val="32"/>
          <w:szCs w:val="32"/>
        </w:rPr>
        <w:t>。</w:t>
      </w:r>
    </w:p>
    <w:sectPr>
      <w:footerReference r:id="rId3" w:type="default"/>
      <w:pgSz w:w="11906" w:h="16838"/>
      <w:pgMar w:top="1985" w:right="1588" w:bottom="2098" w:left="1474" w:header="851" w:footer="992" w:gutter="0"/>
      <w:pgNumType w:fmt="numberInDash"/>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30BD800-B580-4673-8F54-F1497B2CC09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embedRegular r:id="rId2" w:fontKey="{338D5DB0-6AFE-4568-BD96-66CB2F80E188}"/>
  </w:font>
  <w:font w:name="方正仿宋_GBK">
    <w:panose1 w:val="02000000000000000000"/>
    <w:charset w:val="86"/>
    <w:family w:val="script"/>
    <w:pitch w:val="default"/>
    <w:sig w:usb0="A00002BF" w:usb1="38CF7CFA" w:usb2="00082016" w:usb3="00000000" w:csb0="00040001" w:csb1="00000000"/>
    <w:embedRegular r:id="rId3" w:fontKey="{D6F2DCDB-A661-4266-B8FE-A334FB1BBAAF}"/>
  </w:font>
  <w:font w:name="仿宋">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embedRegular r:id="rId4" w:fontKey="{5AE225F6-0325-4E74-B78E-B935BF1EEEFC}"/>
  </w:font>
  <w:font w:name="方正小标宋_GBK">
    <w:panose1 w:val="02000000000000000000"/>
    <w:charset w:val="86"/>
    <w:family w:val="script"/>
    <w:pitch w:val="default"/>
    <w:sig w:usb0="A00002BF" w:usb1="38CF7CFA" w:usb2="00082016" w:usb3="00000000" w:csb0="00040001" w:csb1="00000000"/>
    <w:embedRegular r:id="rId5" w:fontKey="{EEF1F4DD-AEA0-4C7C-A13D-495E39168040}"/>
  </w:font>
  <w:font w:name="方正黑体_GBK">
    <w:panose1 w:val="02000000000000000000"/>
    <w:charset w:val="86"/>
    <w:family w:val="script"/>
    <w:pitch w:val="default"/>
    <w:sig w:usb0="A00002BF" w:usb1="38CF7CFA" w:usb2="00082016" w:usb3="00000000" w:csb0="00040001" w:csb1="00000000"/>
    <w:embedRegular r:id="rId6" w:fontKey="{A7B76411-294E-49C8-AC52-AB9C0562CE57}"/>
  </w:font>
  <w:font w:name="方正楷体_GB2312">
    <w:altName w:val="宋体"/>
    <w:panose1 w:val="00000000000000000000"/>
    <w:charset w:val="86"/>
    <w:family w:val="auto"/>
    <w:pitch w:val="default"/>
    <w:sig w:usb0="00000000" w:usb1="00000000" w:usb2="00000012" w:usb3="00000000" w:csb0="00040001" w:csb1="00000000"/>
    <w:embedRegular r:id="rId7" w:fontKey="{EF9E6B09-A6C2-40F8-B299-B99787626E7D}"/>
  </w:font>
  <w:font w:name="微软雅黑 Light">
    <w:panose1 w:val="020B0502040204020203"/>
    <w:charset w:val="86"/>
    <w:family w:val="auto"/>
    <w:pitch w:val="default"/>
    <w:sig w:usb0="80000287" w:usb1="2ACF001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630555" cy="1828800"/>
              <wp:effectExtent l="0" t="0" r="0" b="10795"/>
              <wp:wrapNone/>
              <wp:docPr id="1" name="文本框 1"/>
              <wp:cNvGraphicFramePr/>
              <a:graphic xmlns:a="http://schemas.openxmlformats.org/drawingml/2006/main">
                <a:graphicData uri="http://schemas.microsoft.com/office/word/2010/wordprocessingShape">
                  <wps:wsp>
                    <wps:cNvSpPr txBox="1"/>
                    <wps:spPr>
                      <a:xfrm>
                        <a:off x="0" y="0"/>
                        <a:ext cx="63055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rPr>
                              <w:rFonts w:hint="eastAsia" w:asciiTheme="minorEastAsia" w:hAnsiTheme="minorEastAsia" w:eastAsiaTheme="minorEastAsia" w:cstheme="minorEastAsia"/>
                              <w:sz w:val="28"/>
                              <w:szCs w:val="44"/>
                            </w:rPr>
                          </w:pPr>
                          <w:r>
                            <w:rPr>
                              <w:rFonts w:hint="eastAsia" w:asciiTheme="minorEastAsia" w:hAnsiTheme="minorEastAsia" w:eastAsiaTheme="minorEastAsia" w:cstheme="minorEastAsia"/>
                              <w:sz w:val="28"/>
                              <w:szCs w:val="44"/>
                            </w:rPr>
                            <w:fldChar w:fldCharType="begin"/>
                          </w:r>
                          <w:r>
                            <w:rPr>
                              <w:rFonts w:hint="eastAsia" w:asciiTheme="minorEastAsia" w:hAnsiTheme="minorEastAsia" w:eastAsiaTheme="minorEastAsia" w:cstheme="minorEastAsia"/>
                              <w:sz w:val="28"/>
                              <w:szCs w:val="44"/>
                            </w:rPr>
                            <w:instrText xml:space="preserve"> PAGE  \* MERGEFORMAT </w:instrText>
                          </w:r>
                          <w:r>
                            <w:rPr>
                              <w:rFonts w:hint="eastAsia" w:asciiTheme="minorEastAsia" w:hAnsiTheme="minorEastAsia" w:eastAsiaTheme="minorEastAsia" w:cstheme="minorEastAsia"/>
                              <w:sz w:val="28"/>
                              <w:szCs w:val="44"/>
                            </w:rPr>
                            <w:fldChar w:fldCharType="separate"/>
                          </w:r>
                          <w:r>
                            <w:rPr>
                              <w:rFonts w:hint="eastAsia" w:asciiTheme="minorEastAsia" w:hAnsiTheme="minorEastAsia" w:eastAsiaTheme="minorEastAsia" w:cstheme="minorEastAsia"/>
                              <w:sz w:val="28"/>
                              <w:szCs w:val="44"/>
                            </w:rPr>
                            <w:t>1</w:t>
                          </w:r>
                          <w:r>
                            <w:rPr>
                              <w:rFonts w:hint="eastAsia" w:asciiTheme="minorEastAsia" w:hAnsiTheme="minorEastAsia" w:eastAsiaTheme="minorEastAsia" w:cstheme="minorEastAsia"/>
                              <w:sz w:val="28"/>
                              <w:szCs w:val="44"/>
                            </w:rP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49.65pt;mso-position-horizontal:outside;mso-position-horizontal-relative:margin;z-index:251659264;mso-width-relative:page;mso-height-relative:page;" filled="f" stroked="f" coordsize="21600,21600" o:gfxdata="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I+SGPtQAAAAEAQAADwAAAAAAAAABACAAAAAiAAAAZHJzL2Rvd25yZXYueG1sUEsBAhQA&#10;FAAAAAgAh07iQEYWktwvAgAAVgQAAA4AAAAAAAAAAQAgAAAAIwEAAGRycy9lMm9Eb2MueG1sUEsF&#10;BgAAAAAGAAYAWQEAAMQFAAAAAA==&#10;">
              <v:fill on="f" focussize="0,0"/>
              <v:stroke on="f" weight="0.5pt"/>
              <v:imagedata o:title=""/>
              <o:lock v:ext="edit" aspectratio="f"/>
              <v:textbox inset="0mm,0mm,0mm,0mm" style="mso-fit-shape-to-text:t;">
                <w:txbxContent>
                  <w:p>
                    <w:pPr>
                      <w:pStyle w:val="21"/>
                      <w:rPr>
                        <w:rFonts w:hint="eastAsia" w:asciiTheme="minorEastAsia" w:hAnsiTheme="minorEastAsia" w:eastAsiaTheme="minorEastAsia" w:cstheme="minorEastAsia"/>
                        <w:sz w:val="28"/>
                        <w:szCs w:val="44"/>
                      </w:rPr>
                    </w:pPr>
                    <w:r>
                      <w:rPr>
                        <w:rFonts w:hint="eastAsia" w:asciiTheme="minorEastAsia" w:hAnsiTheme="minorEastAsia" w:eastAsiaTheme="minorEastAsia" w:cstheme="minorEastAsia"/>
                        <w:sz w:val="28"/>
                        <w:szCs w:val="44"/>
                      </w:rPr>
                      <w:fldChar w:fldCharType="begin"/>
                    </w:r>
                    <w:r>
                      <w:rPr>
                        <w:rFonts w:hint="eastAsia" w:asciiTheme="minorEastAsia" w:hAnsiTheme="minorEastAsia" w:eastAsiaTheme="minorEastAsia" w:cstheme="minorEastAsia"/>
                        <w:sz w:val="28"/>
                        <w:szCs w:val="44"/>
                      </w:rPr>
                      <w:instrText xml:space="preserve"> PAGE  \* MERGEFORMAT </w:instrText>
                    </w:r>
                    <w:r>
                      <w:rPr>
                        <w:rFonts w:hint="eastAsia" w:asciiTheme="minorEastAsia" w:hAnsiTheme="minorEastAsia" w:eastAsiaTheme="minorEastAsia" w:cstheme="minorEastAsia"/>
                        <w:sz w:val="28"/>
                        <w:szCs w:val="44"/>
                      </w:rPr>
                      <w:fldChar w:fldCharType="separate"/>
                    </w:r>
                    <w:r>
                      <w:rPr>
                        <w:rFonts w:hint="eastAsia" w:asciiTheme="minorEastAsia" w:hAnsiTheme="minorEastAsia" w:eastAsiaTheme="minorEastAsia" w:cstheme="minorEastAsia"/>
                        <w:sz w:val="28"/>
                        <w:szCs w:val="44"/>
                      </w:rPr>
                      <w:t>1</w:t>
                    </w:r>
                    <w:r>
                      <w:rPr>
                        <w:rFonts w:hint="eastAsia" w:asciiTheme="minorEastAsia" w:hAnsiTheme="minorEastAsia" w:eastAsiaTheme="minorEastAsia" w:cstheme="minorEastAsia"/>
                        <w:sz w:val="28"/>
                        <w:szCs w:val="44"/>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decimal"/>
      <w:pStyle w:val="46"/>
      <w:lvlText w:val="表3.%1"/>
      <w:lvlJc w:val="left"/>
      <w:pPr>
        <w:ind w:left="440" w:hanging="440"/>
      </w:pPr>
      <w:rPr>
        <w:rFonts w:hint="default" w:ascii="Times New Roman" w:hAnsi="Times New Roman" w:eastAsia="黑体"/>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00000003"/>
    <w:multiLevelType w:val="multilevel"/>
    <w:tmpl w:val="00000003"/>
    <w:lvl w:ilvl="0" w:tentative="0">
      <w:start w:val="1"/>
      <w:numFmt w:val="decimal"/>
      <w:pStyle w:val="66"/>
      <w:lvlText w:val="图2.%1"/>
      <w:lvlJc w:val="left"/>
      <w:pPr>
        <w:ind w:left="440" w:hanging="440"/>
      </w:pPr>
      <w:rPr>
        <w:rFonts w:hint="default" w:ascii="Times New Roman" w:hAnsi="Times New Roman" w:eastAsia="黑体"/>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00000005"/>
    <w:multiLevelType w:val="multilevel"/>
    <w:tmpl w:val="00000005"/>
    <w:lvl w:ilvl="0" w:tentative="0">
      <w:start w:val="1"/>
      <w:numFmt w:val="decimal"/>
      <w:pStyle w:val="57"/>
      <w:lvlText w:val="图1.%1"/>
      <w:lvlJc w:val="left"/>
      <w:pPr>
        <w:ind w:left="440" w:hanging="440"/>
      </w:pPr>
      <w:rPr>
        <w:rFonts w:hint="default" w:ascii="Times New Roman" w:hAnsi="Times New Roman" w:eastAsia="仿宋_GB2312"/>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00000008"/>
    <w:multiLevelType w:val="singleLevel"/>
    <w:tmpl w:val="00000008"/>
    <w:lvl w:ilvl="0" w:tentative="0">
      <w:start w:val="1"/>
      <w:numFmt w:val="decimal"/>
      <w:pStyle w:val="17"/>
      <w:lvlText w:val="%1."/>
      <w:lvlJc w:val="left"/>
      <w:pPr>
        <w:tabs>
          <w:tab w:val="left" w:pos="2040"/>
        </w:tabs>
        <w:ind w:left="2040" w:hanging="360"/>
      </w:pPr>
    </w:lvl>
  </w:abstractNum>
  <w:abstractNum w:abstractNumId="4">
    <w:nsid w:val="45F052E6"/>
    <w:multiLevelType w:val="singleLevel"/>
    <w:tmpl w:val="45F052E6"/>
    <w:lvl w:ilvl="0" w:tentative="0">
      <w:start w:val="1"/>
      <w:numFmt w:val="chineseCounting"/>
      <w:suff w:val="nothing"/>
      <w:lvlText w:val="%1、"/>
      <w:lvlJc w:val="left"/>
      <w:rPr>
        <w:rFonts w:hint="eastAsia"/>
      </w:rPr>
    </w:lvl>
  </w:abstractNum>
  <w:abstractNum w:abstractNumId="5">
    <w:nsid w:val="58770BA6"/>
    <w:multiLevelType w:val="multilevel"/>
    <w:tmpl w:val="58770BA6"/>
    <w:lvl w:ilvl="0" w:tentative="0">
      <w:start w:val="1"/>
      <w:numFmt w:val="decimal"/>
      <w:pStyle w:val="2"/>
      <w:lvlText w:val="%1"/>
      <w:lvlJc w:val="left"/>
      <w:pPr>
        <w:ind w:left="425" w:hanging="425"/>
      </w:pPr>
      <w:rPr>
        <w:rFonts w:hint="eastAsia"/>
      </w:rPr>
    </w:lvl>
    <w:lvl w:ilvl="1" w:tentative="0">
      <w:start w:val="1"/>
      <w:numFmt w:val="decimal"/>
      <w:pStyle w:val="3"/>
      <w:lvlText w:val="%1.%2"/>
      <w:lvlJc w:val="left"/>
      <w:pPr>
        <w:ind w:left="425" w:hanging="425"/>
      </w:pPr>
      <w:rPr>
        <w:rFonts w:hint="eastAsia"/>
      </w:rPr>
    </w:lvl>
    <w:lvl w:ilvl="2" w:tentative="0">
      <w:start w:val="1"/>
      <w:numFmt w:val="decimal"/>
      <w:lvlText w:val="%1.%2.%3"/>
      <w:lvlJc w:val="left"/>
      <w:pPr>
        <w:ind w:left="425" w:hanging="425"/>
      </w:pPr>
      <w:rPr>
        <w:rFonts w:hint="eastAsia"/>
      </w:rPr>
    </w:lvl>
    <w:lvl w:ilvl="3" w:tentative="0">
      <w:start w:val="1"/>
      <w:numFmt w:val="decimal"/>
      <w:pStyle w:val="5"/>
      <w:lvlText w:val="%1.%2.%3.%4"/>
      <w:lvlJc w:val="left"/>
      <w:pPr>
        <w:ind w:left="425" w:hanging="425"/>
      </w:pPr>
      <w:rPr>
        <w:rFonts w:hint="eastAsia"/>
      </w:rPr>
    </w:lvl>
    <w:lvl w:ilvl="4" w:tentative="0">
      <w:start w:val="1"/>
      <w:numFmt w:val="decimal"/>
      <w:pStyle w:val="6"/>
      <w:lvlText w:val="%1.%2.%3.%4.%5"/>
      <w:lvlJc w:val="left"/>
      <w:pPr>
        <w:ind w:left="425" w:hanging="425"/>
      </w:pPr>
      <w:rPr>
        <w:rFonts w:hint="eastAsia"/>
      </w:rPr>
    </w:lvl>
    <w:lvl w:ilvl="5" w:tentative="0">
      <w:start w:val="1"/>
      <w:numFmt w:val="decimal"/>
      <w:lvlText w:val="%1.%2.%3.%4.%5.%6"/>
      <w:lvlJc w:val="left"/>
      <w:pPr>
        <w:ind w:left="425" w:hanging="425"/>
      </w:pPr>
      <w:rPr>
        <w:rFonts w:hint="eastAsia"/>
      </w:rPr>
    </w:lvl>
    <w:lvl w:ilvl="6" w:tentative="0">
      <w:start w:val="1"/>
      <w:numFmt w:val="decimal"/>
      <w:lvlText w:val="%1.%2.%3.%4.%5.%6.%7"/>
      <w:lvlJc w:val="left"/>
      <w:pPr>
        <w:ind w:left="425" w:hanging="425"/>
      </w:pPr>
      <w:rPr>
        <w:rFonts w:hint="eastAsia"/>
      </w:rPr>
    </w:lvl>
    <w:lvl w:ilvl="7" w:tentative="0">
      <w:start w:val="1"/>
      <w:numFmt w:val="decimal"/>
      <w:lvlText w:val="%1.%2.%3.%4.%5.%6.%7.%8"/>
      <w:lvlJc w:val="left"/>
      <w:pPr>
        <w:ind w:left="425" w:hanging="425"/>
      </w:pPr>
      <w:rPr>
        <w:rFonts w:hint="eastAsia"/>
      </w:rPr>
    </w:lvl>
    <w:lvl w:ilvl="8" w:tentative="0">
      <w:start w:val="1"/>
      <w:numFmt w:val="decimal"/>
      <w:lvlText w:val="%1.%2.%3.%4.%5.%6.%7.%8.%9"/>
      <w:lvlJc w:val="left"/>
      <w:pPr>
        <w:ind w:left="425" w:hanging="425"/>
      </w:pPr>
      <w:rPr>
        <w:rFonts w:hint="eastAsia"/>
      </w:rPr>
    </w:lvl>
  </w:abstractNum>
  <w:num w:numId="1">
    <w:abstractNumId w:val="5"/>
  </w:num>
  <w:num w:numId="2">
    <w:abstractNumId w:val="3"/>
  </w:num>
  <w:num w:numId="3">
    <w:abstractNumId w:val="0"/>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1"/>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062"/>
    <w:rsid w:val="00003B47"/>
    <w:rsid w:val="00011B25"/>
    <w:rsid w:val="000120D5"/>
    <w:rsid w:val="00037C8F"/>
    <w:rsid w:val="000420CA"/>
    <w:rsid w:val="0004424B"/>
    <w:rsid w:val="00047222"/>
    <w:rsid w:val="00053CA6"/>
    <w:rsid w:val="00083B50"/>
    <w:rsid w:val="000845DA"/>
    <w:rsid w:val="00093C61"/>
    <w:rsid w:val="000A690C"/>
    <w:rsid w:val="000B1444"/>
    <w:rsid w:val="0011073D"/>
    <w:rsid w:val="00112E15"/>
    <w:rsid w:val="00136452"/>
    <w:rsid w:val="001427B8"/>
    <w:rsid w:val="00156F8D"/>
    <w:rsid w:val="00160DAD"/>
    <w:rsid w:val="001621DB"/>
    <w:rsid w:val="00171A30"/>
    <w:rsid w:val="001726BD"/>
    <w:rsid w:val="00173118"/>
    <w:rsid w:val="0017748E"/>
    <w:rsid w:val="00177F37"/>
    <w:rsid w:val="001814C2"/>
    <w:rsid w:val="0018231B"/>
    <w:rsid w:val="00192367"/>
    <w:rsid w:val="0019599B"/>
    <w:rsid w:val="001961AD"/>
    <w:rsid w:val="00196401"/>
    <w:rsid w:val="001970C8"/>
    <w:rsid w:val="001A5F87"/>
    <w:rsid w:val="001B724F"/>
    <w:rsid w:val="001C07E9"/>
    <w:rsid w:val="001C30A6"/>
    <w:rsid w:val="001C380F"/>
    <w:rsid w:val="001D5A4F"/>
    <w:rsid w:val="001E2BAD"/>
    <w:rsid w:val="001F3225"/>
    <w:rsid w:val="00206ED7"/>
    <w:rsid w:val="00207A74"/>
    <w:rsid w:val="00215C8A"/>
    <w:rsid w:val="00221DBC"/>
    <w:rsid w:val="00246FE3"/>
    <w:rsid w:val="00270B04"/>
    <w:rsid w:val="002770F0"/>
    <w:rsid w:val="0029135B"/>
    <w:rsid w:val="00293A06"/>
    <w:rsid w:val="00297126"/>
    <w:rsid w:val="002974DB"/>
    <w:rsid w:val="002B2A69"/>
    <w:rsid w:val="002C4CD2"/>
    <w:rsid w:val="002E54A5"/>
    <w:rsid w:val="002E7BD1"/>
    <w:rsid w:val="00303DC8"/>
    <w:rsid w:val="003134D3"/>
    <w:rsid w:val="00322C6D"/>
    <w:rsid w:val="00335130"/>
    <w:rsid w:val="00335CD2"/>
    <w:rsid w:val="00337D02"/>
    <w:rsid w:val="003476C0"/>
    <w:rsid w:val="00360608"/>
    <w:rsid w:val="00386DA8"/>
    <w:rsid w:val="003A124C"/>
    <w:rsid w:val="003A3107"/>
    <w:rsid w:val="003A5896"/>
    <w:rsid w:val="003B5216"/>
    <w:rsid w:val="003B7073"/>
    <w:rsid w:val="003F5C14"/>
    <w:rsid w:val="004000E0"/>
    <w:rsid w:val="0040540D"/>
    <w:rsid w:val="00405FDC"/>
    <w:rsid w:val="00417316"/>
    <w:rsid w:val="00423FCB"/>
    <w:rsid w:val="00441AD4"/>
    <w:rsid w:val="004432E0"/>
    <w:rsid w:val="0044526C"/>
    <w:rsid w:val="0046449B"/>
    <w:rsid w:val="00475F25"/>
    <w:rsid w:val="0049475F"/>
    <w:rsid w:val="004A042E"/>
    <w:rsid w:val="004A1745"/>
    <w:rsid w:val="004A7A75"/>
    <w:rsid w:val="004B3629"/>
    <w:rsid w:val="004B4220"/>
    <w:rsid w:val="004B563A"/>
    <w:rsid w:val="004C2D97"/>
    <w:rsid w:val="004C39DA"/>
    <w:rsid w:val="004C6AE4"/>
    <w:rsid w:val="004E5F3E"/>
    <w:rsid w:val="004F641A"/>
    <w:rsid w:val="004F6CEE"/>
    <w:rsid w:val="00511319"/>
    <w:rsid w:val="00512B6A"/>
    <w:rsid w:val="00521758"/>
    <w:rsid w:val="00522229"/>
    <w:rsid w:val="005236C3"/>
    <w:rsid w:val="00526F78"/>
    <w:rsid w:val="00532DF5"/>
    <w:rsid w:val="005511AE"/>
    <w:rsid w:val="005512CB"/>
    <w:rsid w:val="00567F66"/>
    <w:rsid w:val="00571734"/>
    <w:rsid w:val="00573850"/>
    <w:rsid w:val="005749C6"/>
    <w:rsid w:val="00574D51"/>
    <w:rsid w:val="00582119"/>
    <w:rsid w:val="0059423C"/>
    <w:rsid w:val="005952B3"/>
    <w:rsid w:val="005A4D1C"/>
    <w:rsid w:val="005B22C5"/>
    <w:rsid w:val="005B232D"/>
    <w:rsid w:val="005B5204"/>
    <w:rsid w:val="005E7C92"/>
    <w:rsid w:val="005F758A"/>
    <w:rsid w:val="00601DBD"/>
    <w:rsid w:val="0061495A"/>
    <w:rsid w:val="00617929"/>
    <w:rsid w:val="00620082"/>
    <w:rsid w:val="0063378C"/>
    <w:rsid w:val="0064336F"/>
    <w:rsid w:val="00652896"/>
    <w:rsid w:val="00660ECD"/>
    <w:rsid w:val="00670B44"/>
    <w:rsid w:val="006727D1"/>
    <w:rsid w:val="00683925"/>
    <w:rsid w:val="00691A4F"/>
    <w:rsid w:val="006A6056"/>
    <w:rsid w:val="006A6894"/>
    <w:rsid w:val="006B6279"/>
    <w:rsid w:val="006C21FF"/>
    <w:rsid w:val="006C373F"/>
    <w:rsid w:val="006C7D87"/>
    <w:rsid w:val="006D01C0"/>
    <w:rsid w:val="006E244B"/>
    <w:rsid w:val="006E3202"/>
    <w:rsid w:val="006E7048"/>
    <w:rsid w:val="0070725A"/>
    <w:rsid w:val="007110E8"/>
    <w:rsid w:val="007219B9"/>
    <w:rsid w:val="00722933"/>
    <w:rsid w:val="00737632"/>
    <w:rsid w:val="007447D4"/>
    <w:rsid w:val="00747E66"/>
    <w:rsid w:val="00750EB8"/>
    <w:rsid w:val="00751827"/>
    <w:rsid w:val="00755220"/>
    <w:rsid w:val="00755627"/>
    <w:rsid w:val="007651B0"/>
    <w:rsid w:val="00773468"/>
    <w:rsid w:val="00773B41"/>
    <w:rsid w:val="007A3A2F"/>
    <w:rsid w:val="007C0466"/>
    <w:rsid w:val="007C1E5A"/>
    <w:rsid w:val="007D0C60"/>
    <w:rsid w:val="007D4334"/>
    <w:rsid w:val="007E6296"/>
    <w:rsid w:val="007E7A2A"/>
    <w:rsid w:val="007F26B2"/>
    <w:rsid w:val="007F2CE5"/>
    <w:rsid w:val="00806314"/>
    <w:rsid w:val="008249CF"/>
    <w:rsid w:val="00844D5C"/>
    <w:rsid w:val="00846A4D"/>
    <w:rsid w:val="00851293"/>
    <w:rsid w:val="00864A48"/>
    <w:rsid w:val="00886C74"/>
    <w:rsid w:val="00887E29"/>
    <w:rsid w:val="008A7ADD"/>
    <w:rsid w:val="008C199C"/>
    <w:rsid w:val="008D2C33"/>
    <w:rsid w:val="008D35AD"/>
    <w:rsid w:val="008D7ED2"/>
    <w:rsid w:val="008E0374"/>
    <w:rsid w:val="008E28D9"/>
    <w:rsid w:val="008E35C4"/>
    <w:rsid w:val="008F066A"/>
    <w:rsid w:val="00903C77"/>
    <w:rsid w:val="009138CF"/>
    <w:rsid w:val="00915D60"/>
    <w:rsid w:val="00921BB6"/>
    <w:rsid w:val="00922AA4"/>
    <w:rsid w:val="009252D6"/>
    <w:rsid w:val="00927B5D"/>
    <w:rsid w:val="00946D62"/>
    <w:rsid w:val="00975D6D"/>
    <w:rsid w:val="00982537"/>
    <w:rsid w:val="009A37F7"/>
    <w:rsid w:val="009A7331"/>
    <w:rsid w:val="009A7FDE"/>
    <w:rsid w:val="009B03D2"/>
    <w:rsid w:val="009B3DF1"/>
    <w:rsid w:val="009B7B50"/>
    <w:rsid w:val="009C37D1"/>
    <w:rsid w:val="009D701C"/>
    <w:rsid w:val="00A013DA"/>
    <w:rsid w:val="00A03F56"/>
    <w:rsid w:val="00A10879"/>
    <w:rsid w:val="00A16900"/>
    <w:rsid w:val="00A46730"/>
    <w:rsid w:val="00A60F2F"/>
    <w:rsid w:val="00A86D70"/>
    <w:rsid w:val="00A922CE"/>
    <w:rsid w:val="00A9392F"/>
    <w:rsid w:val="00AC02C6"/>
    <w:rsid w:val="00AC1CB0"/>
    <w:rsid w:val="00AC3D4A"/>
    <w:rsid w:val="00AC56D4"/>
    <w:rsid w:val="00AD6F70"/>
    <w:rsid w:val="00AD7EDA"/>
    <w:rsid w:val="00AE3533"/>
    <w:rsid w:val="00AE517B"/>
    <w:rsid w:val="00AF44B9"/>
    <w:rsid w:val="00AF5460"/>
    <w:rsid w:val="00AF6C18"/>
    <w:rsid w:val="00B05CC4"/>
    <w:rsid w:val="00B15D16"/>
    <w:rsid w:val="00B16C87"/>
    <w:rsid w:val="00B327F4"/>
    <w:rsid w:val="00B376A3"/>
    <w:rsid w:val="00B51DA7"/>
    <w:rsid w:val="00B633CF"/>
    <w:rsid w:val="00B65123"/>
    <w:rsid w:val="00B72E08"/>
    <w:rsid w:val="00B75B00"/>
    <w:rsid w:val="00B830B3"/>
    <w:rsid w:val="00B9575C"/>
    <w:rsid w:val="00BA4091"/>
    <w:rsid w:val="00BA6AFD"/>
    <w:rsid w:val="00BB18A8"/>
    <w:rsid w:val="00BB1BD4"/>
    <w:rsid w:val="00BC1BFF"/>
    <w:rsid w:val="00BC213B"/>
    <w:rsid w:val="00BC3A34"/>
    <w:rsid w:val="00BD261E"/>
    <w:rsid w:val="00BE304B"/>
    <w:rsid w:val="00BE45BC"/>
    <w:rsid w:val="00BE576D"/>
    <w:rsid w:val="00BE6869"/>
    <w:rsid w:val="00BE7D6D"/>
    <w:rsid w:val="00BF0645"/>
    <w:rsid w:val="00BF2698"/>
    <w:rsid w:val="00BF56AC"/>
    <w:rsid w:val="00BF577C"/>
    <w:rsid w:val="00C00872"/>
    <w:rsid w:val="00C04E12"/>
    <w:rsid w:val="00C05159"/>
    <w:rsid w:val="00C221A6"/>
    <w:rsid w:val="00C40778"/>
    <w:rsid w:val="00C538BD"/>
    <w:rsid w:val="00C60DC0"/>
    <w:rsid w:val="00C6149F"/>
    <w:rsid w:val="00C616EC"/>
    <w:rsid w:val="00C64BA9"/>
    <w:rsid w:val="00C710D6"/>
    <w:rsid w:val="00C71FAB"/>
    <w:rsid w:val="00C7377D"/>
    <w:rsid w:val="00C85295"/>
    <w:rsid w:val="00C907E2"/>
    <w:rsid w:val="00C96D69"/>
    <w:rsid w:val="00CA0F40"/>
    <w:rsid w:val="00CA54A1"/>
    <w:rsid w:val="00CB2B91"/>
    <w:rsid w:val="00CC7140"/>
    <w:rsid w:val="00D04BDC"/>
    <w:rsid w:val="00D1119C"/>
    <w:rsid w:val="00D208BE"/>
    <w:rsid w:val="00D22BFF"/>
    <w:rsid w:val="00D304C3"/>
    <w:rsid w:val="00D34957"/>
    <w:rsid w:val="00D47F97"/>
    <w:rsid w:val="00D64CEF"/>
    <w:rsid w:val="00D75CDD"/>
    <w:rsid w:val="00D77A3D"/>
    <w:rsid w:val="00D8122D"/>
    <w:rsid w:val="00DA594B"/>
    <w:rsid w:val="00DB215B"/>
    <w:rsid w:val="00DB548E"/>
    <w:rsid w:val="00DB55AA"/>
    <w:rsid w:val="00DC5206"/>
    <w:rsid w:val="00DD30B6"/>
    <w:rsid w:val="00DE1BFE"/>
    <w:rsid w:val="00DE74BB"/>
    <w:rsid w:val="00E0334C"/>
    <w:rsid w:val="00E06C25"/>
    <w:rsid w:val="00E176BB"/>
    <w:rsid w:val="00E20549"/>
    <w:rsid w:val="00E24504"/>
    <w:rsid w:val="00E2609C"/>
    <w:rsid w:val="00E35E59"/>
    <w:rsid w:val="00E40D2B"/>
    <w:rsid w:val="00E432E6"/>
    <w:rsid w:val="00E514F8"/>
    <w:rsid w:val="00E53406"/>
    <w:rsid w:val="00E72229"/>
    <w:rsid w:val="00E74931"/>
    <w:rsid w:val="00E81C9A"/>
    <w:rsid w:val="00E9200C"/>
    <w:rsid w:val="00EA5062"/>
    <w:rsid w:val="00EB0007"/>
    <w:rsid w:val="00EB28F6"/>
    <w:rsid w:val="00EC1F66"/>
    <w:rsid w:val="00EC2DFA"/>
    <w:rsid w:val="00ED4FB4"/>
    <w:rsid w:val="00ED79FA"/>
    <w:rsid w:val="00EE185F"/>
    <w:rsid w:val="00EE6D5D"/>
    <w:rsid w:val="00EF3EF3"/>
    <w:rsid w:val="00EF70BF"/>
    <w:rsid w:val="00EF7FEA"/>
    <w:rsid w:val="00F033AD"/>
    <w:rsid w:val="00F05F3F"/>
    <w:rsid w:val="00F107D5"/>
    <w:rsid w:val="00F256E2"/>
    <w:rsid w:val="00F315CA"/>
    <w:rsid w:val="00F34E6B"/>
    <w:rsid w:val="00F431D0"/>
    <w:rsid w:val="00F447F0"/>
    <w:rsid w:val="00F52279"/>
    <w:rsid w:val="00F527AB"/>
    <w:rsid w:val="00F54E28"/>
    <w:rsid w:val="00F652CF"/>
    <w:rsid w:val="00F67639"/>
    <w:rsid w:val="00F71F76"/>
    <w:rsid w:val="00F767DD"/>
    <w:rsid w:val="00F9401F"/>
    <w:rsid w:val="00F9435A"/>
    <w:rsid w:val="00FA3D19"/>
    <w:rsid w:val="00FB1FB0"/>
    <w:rsid w:val="00FD00C1"/>
    <w:rsid w:val="00FD09D8"/>
    <w:rsid w:val="00FD4CFC"/>
    <w:rsid w:val="00FD731C"/>
    <w:rsid w:val="00FE0C43"/>
    <w:rsid w:val="00FF46AF"/>
    <w:rsid w:val="00FF4A7F"/>
    <w:rsid w:val="00FF579A"/>
    <w:rsid w:val="017C0AF9"/>
    <w:rsid w:val="01D675A6"/>
    <w:rsid w:val="02042F25"/>
    <w:rsid w:val="02B97306"/>
    <w:rsid w:val="032A4C70"/>
    <w:rsid w:val="03D81F92"/>
    <w:rsid w:val="03EC60C3"/>
    <w:rsid w:val="04784101"/>
    <w:rsid w:val="05777250"/>
    <w:rsid w:val="07E20056"/>
    <w:rsid w:val="09583EB9"/>
    <w:rsid w:val="09EA6F07"/>
    <w:rsid w:val="09F25994"/>
    <w:rsid w:val="0A650C83"/>
    <w:rsid w:val="0E4F1B20"/>
    <w:rsid w:val="0FE30160"/>
    <w:rsid w:val="0FE80928"/>
    <w:rsid w:val="0FF4487C"/>
    <w:rsid w:val="10D62C3E"/>
    <w:rsid w:val="135F2D43"/>
    <w:rsid w:val="13ED206A"/>
    <w:rsid w:val="14CF6A68"/>
    <w:rsid w:val="15420170"/>
    <w:rsid w:val="15F26EE4"/>
    <w:rsid w:val="16055DF5"/>
    <w:rsid w:val="17CF0C39"/>
    <w:rsid w:val="185434E9"/>
    <w:rsid w:val="1AB554FB"/>
    <w:rsid w:val="1AF60763"/>
    <w:rsid w:val="1ED32D0D"/>
    <w:rsid w:val="1F6E6190"/>
    <w:rsid w:val="20EE1361"/>
    <w:rsid w:val="238C1BBA"/>
    <w:rsid w:val="24DD1171"/>
    <w:rsid w:val="258F74BD"/>
    <w:rsid w:val="261871BF"/>
    <w:rsid w:val="26A5076E"/>
    <w:rsid w:val="278C73F8"/>
    <w:rsid w:val="28A777C5"/>
    <w:rsid w:val="297F3D9D"/>
    <w:rsid w:val="29A24441"/>
    <w:rsid w:val="2B4C75CA"/>
    <w:rsid w:val="2CE90E48"/>
    <w:rsid w:val="2F3B4E83"/>
    <w:rsid w:val="2FF7BEEA"/>
    <w:rsid w:val="30AA180B"/>
    <w:rsid w:val="31F66DBE"/>
    <w:rsid w:val="32B32FBF"/>
    <w:rsid w:val="334932A6"/>
    <w:rsid w:val="351530F3"/>
    <w:rsid w:val="35263034"/>
    <w:rsid w:val="35F15BE9"/>
    <w:rsid w:val="38097F37"/>
    <w:rsid w:val="38416425"/>
    <w:rsid w:val="38BD5BEF"/>
    <w:rsid w:val="38C67A40"/>
    <w:rsid w:val="39427A8D"/>
    <w:rsid w:val="3A044510"/>
    <w:rsid w:val="3AB900AC"/>
    <w:rsid w:val="3DDF49EC"/>
    <w:rsid w:val="3E7FC359"/>
    <w:rsid w:val="42FC147E"/>
    <w:rsid w:val="43AD0212"/>
    <w:rsid w:val="43FF45CE"/>
    <w:rsid w:val="45EF6B4B"/>
    <w:rsid w:val="45F47552"/>
    <w:rsid w:val="461E334C"/>
    <w:rsid w:val="463F4C2B"/>
    <w:rsid w:val="479C6D8B"/>
    <w:rsid w:val="48BE5B3C"/>
    <w:rsid w:val="49832A37"/>
    <w:rsid w:val="4A7E6344"/>
    <w:rsid w:val="4AEC3321"/>
    <w:rsid w:val="4D9E69FB"/>
    <w:rsid w:val="500B0F52"/>
    <w:rsid w:val="50AD1BC8"/>
    <w:rsid w:val="516D34CC"/>
    <w:rsid w:val="53DF0102"/>
    <w:rsid w:val="54244390"/>
    <w:rsid w:val="5532795E"/>
    <w:rsid w:val="5A3115B5"/>
    <w:rsid w:val="5A66296E"/>
    <w:rsid w:val="5AC81FAD"/>
    <w:rsid w:val="5BC621D1"/>
    <w:rsid w:val="5DCF49D5"/>
    <w:rsid w:val="5FCF3D4A"/>
    <w:rsid w:val="5FFF5B88"/>
    <w:rsid w:val="612F28F6"/>
    <w:rsid w:val="62C55BF8"/>
    <w:rsid w:val="672241E5"/>
    <w:rsid w:val="67796717"/>
    <w:rsid w:val="67A16835"/>
    <w:rsid w:val="68CD117F"/>
    <w:rsid w:val="691B6E83"/>
    <w:rsid w:val="6A696621"/>
    <w:rsid w:val="6FF31222"/>
    <w:rsid w:val="70A306C3"/>
    <w:rsid w:val="71845C4A"/>
    <w:rsid w:val="72D33068"/>
    <w:rsid w:val="73BF1C33"/>
    <w:rsid w:val="74DF65B9"/>
    <w:rsid w:val="77FBDF2D"/>
    <w:rsid w:val="78966614"/>
    <w:rsid w:val="79F5937E"/>
    <w:rsid w:val="7AB93668"/>
    <w:rsid w:val="7AF1223C"/>
    <w:rsid w:val="7B8B6A56"/>
    <w:rsid w:val="7B922908"/>
    <w:rsid w:val="7BB7352D"/>
    <w:rsid w:val="7CB161CF"/>
    <w:rsid w:val="7CB93A97"/>
    <w:rsid w:val="7D0F385C"/>
    <w:rsid w:val="7F7E49ED"/>
    <w:rsid w:val="ADED3F7F"/>
    <w:rsid w:val="BBFBABD6"/>
    <w:rsid w:val="BFDB1003"/>
    <w:rsid w:val="C3F6AABD"/>
    <w:rsid w:val="EBFB9F47"/>
    <w:rsid w:val="FC3FFE2C"/>
    <w:rsid w:val="FEB805F7"/>
    <w:rsid w:val="FECF6BB7"/>
    <w:rsid w:val="FEDF1B8F"/>
    <w:rsid w:val="FEFF2F7D"/>
    <w:rsid w:val="FF9DD701"/>
    <w:rsid w:val="FFAF6D54"/>
    <w:rsid w:val="FFDF49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qFormat="1" w:unhideWhenUsed="0" w:uiPriority="99" w:semiHidden="0"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39" w:semiHidden="0" w:name="Table Grid"/>
    <w:lsdException w:uiPriority="0" w:name="Table Theme"/>
    <w:lsdException w:qFormat="1" w:unhideWhenUsed="0"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41"/>
    <w:qFormat/>
    <w:uiPriority w:val="9"/>
    <w:pPr>
      <w:keepNext/>
      <w:numPr>
        <w:ilvl w:val="0"/>
        <w:numId w:val="1"/>
      </w:numPr>
      <w:spacing w:line="560" w:lineRule="exact"/>
      <w:jc w:val="left"/>
      <w:outlineLvl w:val="0"/>
    </w:pPr>
    <w:rPr>
      <w:rFonts w:ascii="Times New Roman" w:hAnsi="Times New Roman" w:eastAsia="黑体" w:cs="Arial"/>
      <w:bCs/>
      <w:sz w:val="32"/>
      <w:szCs w:val="24"/>
    </w:rPr>
  </w:style>
  <w:style w:type="paragraph" w:styleId="3">
    <w:name w:val="heading 2"/>
    <w:basedOn w:val="1"/>
    <w:next w:val="1"/>
    <w:link w:val="38"/>
    <w:qFormat/>
    <w:uiPriority w:val="9"/>
    <w:pPr>
      <w:keepNext/>
      <w:keepLines/>
      <w:numPr>
        <w:ilvl w:val="1"/>
        <w:numId w:val="1"/>
      </w:numPr>
      <w:ind w:firstLine="200" w:firstLineChars="200"/>
      <w:jc w:val="left"/>
      <w:outlineLvl w:val="1"/>
    </w:pPr>
    <w:rPr>
      <w:rFonts w:ascii="Arial" w:hAnsi="Arial" w:eastAsia="楷体_GB2312" w:cs="宋体"/>
      <w:sz w:val="32"/>
    </w:rPr>
  </w:style>
  <w:style w:type="paragraph" w:styleId="4">
    <w:name w:val="heading 3"/>
    <w:basedOn w:val="1"/>
    <w:next w:val="1"/>
    <w:link w:val="40"/>
    <w:qFormat/>
    <w:uiPriority w:val="9"/>
    <w:pPr>
      <w:keepNext/>
      <w:keepLines/>
      <w:spacing w:line="560" w:lineRule="exact"/>
      <w:ind w:firstLine="640" w:firstLineChars="200"/>
      <w:outlineLvl w:val="2"/>
    </w:pPr>
    <w:rPr>
      <w:rFonts w:ascii="宋体" w:hAnsi="宋体" w:eastAsia="仿宋_GB2312" w:cs="宋体"/>
      <w:b/>
      <w:kern w:val="20"/>
      <w:sz w:val="32"/>
      <w:lang w:val="zh-CN"/>
    </w:rPr>
  </w:style>
  <w:style w:type="paragraph" w:styleId="5">
    <w:name w:val="heading 4"/>
    <w:basedOn w:val="1"/>
    <w:next w:val="1"/>
    <w:link w:val="39"/>
    <w:qFormat/>
    <w:uiPriority w:val="9"/>
    <w:pPr>
      <w:keepNext/>
      <w:keepLines/>
      <w:numPr>
        <w:ilvl w:val="3"/>
        <w:numId w:val="1"/>
      </w:numPr>
      <w:spacing w:line="560" w:lineRule="exact"/>
      <w:outlineLvl w:val="3"/>
    </w:pPr>
    <w:rPr>
      <w:rFonts w:ascii="Times New Roman" w:hAnsi="Times New Roman" w:cs="宋体"/>
      <w:b/>
      <w:bCs/>
      <w:sz w:val="32"/>
      <w:szCs w:val="28"/>
    </w:rPr>
  </w:style>
  <w:style w:type="paragraph" w:styleId="6">
    <w:name w:val="heading 5"/>
    <w:basedOn w:val="1"/>
    <w:next w:val="1"/>
    <w:link w:val="64"/>
    <w:qFormat/>
    <w:uiPriority w:val="9"/>
    <w:pPr>
      <w:keepNext/>
      <w:keepLines/>
      <w:numPr>
        <w:ilvl w:val="4"/>
        <w:numId w:val="1"/>
      </w:numPr>
      <w:spacing w:after="50" w:afterLines="50" w:line="480" w:lineRule="exact"/>
      <w:outlineLvl w:val="4"/>
    </w:pPr>
    <w:rPr>
      <w:rFonts w:ascii="宋体" w:hAnsi="宋体"/>
      <w:b/>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45"/>
    <w:qFormat/>
    <w:uiPriority w:val="0"/>
    <w:pPr>
      <w:ind w:firstLine="420" w:firstLineChars="200"/>
    </w:pPr>
  </w:style>
  <w:style w:type="paragraph" w:styleId="8">
    <w:name w:val="caption"/>
    <w:next w:val="1"/>
    <w:qFormat/>
    <w:uiPriority w:val="0"/>
    <w:pPr>
      <w:widowControl w:val="0"/>
      <w:adjustRightInd w:val="0"/>
      <w:snapToGrid w:val="0"/>
      <w:spacing w:line="360" w:lineRule="auto"/>
      <w:ind w:firstLine="880" w:firstLineChars="200"/>
      <w:jc w:val="center"/>
    </w:pPr>
    <w:rPr>
      <w:rFonts w:ascii="Times New Roman" w:hAnsi="Times New Roman" w:eastAsia="黑体" w:cs="Times New Roman"/>
      <w:kern w:val="2"/>
      <w:sz w:val="24"/>
      <w:szCs w:val="24"/>
      <w:lang w:val="en-US" w:eastAsia="zh-CN" w:bidi="ar-SA"/>
    </w:rPr>
  </w:style>
  <w:style w:type="paragraph" w:styleId="9">
    <w:name w:val="index 5"/>
    <w:basedOn w:val="1"/>
    <w:next w:val="1"/>
    <w:qFormat/>
    <w:uiPriority w:val="0"/>
    <w:pPr>
      <w:ind w:left="800" w:leftChars="800"/>
    </w:pPr>
  </w:style>
  <w:style w:type="paragraph" w:styleId="10">
    <w:name w:val="annotation text"/>
    <w:basedOn w:val="1"/>
    <w:link w:val="49"/>
    <w:qFormat/>
    <w:uiPriority w:val="99"/>
    <w:pPr>
      <w:snapToGrid w:val="0"/>
      <w:spacing w:line="360" w:lineRule="auto"/>
      <w:ind w:firstLine="880" w:firstLineChars="200"/>
      <w:jc w:val="left"/>
    </w:pPr>
    <w:rPr>
      <w:rFonts w:ascii="Times New Roman" w:hAnsi="Times New Roman" w:eastAsia="方正仿宋_GBK" w:cstheme="minorBidi"/>
      <w:sz w:val="28"/>
      <w:szCs w:val="28"/>
    </w:rPr>
  </w:style>
  <w:style w:type="paragraph" w:styleId="11">
    <w:name w:val="Body Text"/>
    <w:basedOn w:val="1"/>
    <w:next w:val="12"/>
    <w:link w:val="72"/>
    <w:qFormat/>
    <w:uiPriority w:val="0"/>
    <w:pPr>
      <w:spacing w:after="120"/>
    </w:pPr>
  </w:style>
  <w:style w:type="paragraph" w:styleId="12">
    <w:name w:val="Body Text First Indent"/>
    <w:basedOn w:val="11"/>
    <w:next w:val="11"/>
    <w:link w:val="73"/>
    <w:qFormat/>
    <w:uiPriority w:val="0"/>
    <w:pPr>
      <w:ind w:firstLine="420" w:firstLineChars="100"/>
    </w:pPr>
  </w:style>
  <w:style w:type="paragraph" w:styleId="13">
    <w:name w:val="Body Text Indent"/>
    <w:basedOn w:val="1"/>
    <w:link w:val="74"/>
    <w:qFormat/>
    <w:uiPriority w:val="0"/>
    <w:pPr>
      <w:spacing w:after="120"/>
      <w:ind w:left="420" w:leftChars="200"/>
    </w:pPr>
  </w:style>
  <w:style w:type="paragraph" w:styleId="14">
    <w:name w:val="Block Text"/>
    <w:basedOn w:val="1"/>
    <w:link w:val="100"/>
    <w:qFormat/>
    <w:uiPriority w:val="99"/>
    <w:pPr>
      <w:widowControl/>
      <w:ind w:left="-113" w:right="-113"/>
      <w:jc w:val="center"/>
    </w:pPr>
    <w:rPr>
      <w:rFonts w:ascii="宋体" w:hAnsi="宋体" w:eastAsia="仿宋"/>
      <w:kern w:val="0"/>
      <w:sz w:val="24"/>
      <w:szCs w:val="21"/>
    </w:rPr>
  </w:style>
  <w:style w:type="paragraph" w:styleId="15">
    <w:name w:val="toc 3"/>
    <w:basedOn w:val="1"/>
    <w:next w:val="1"/>
    <w:qFormat/>
    <w:uiPriority w:val="39"/>
    <w:pPr>
      <w:ind w:left="840" w:leftChars="400"/>
    </w:pPr>
    <w:rPr>
      <w:rFonts w:cs="宋体"/>
    </w:rPr>
  </w:style>
  <w:style w:type="paragraph" w:styleId="16">
    <w:name w:val="Plain Text"/>
    <w:next w:val="17"/>
    <w:link w:val="51"/>
    <w:qFormat/>
    <w:uiPriority w:val="0"/>
    <w:pPr>
      <w:widowControl w:val="0"/>
      <w:spacing w:after="120" w:line="560" w:lineRule="exact"/>
      <w:ind w:firstLine="200" w:firstLineChars="200"/>
      <w:jc w:val="both"/>
    </w:pPr>
    <w:rPr>
      <w:rFonts w:ascii="宋体" w:hAnsi="Courier New" w:eastAsia="仿宋_GB2312" w:cs="黑体"/>
      <w:kern w:val="2"/>
      <w:sz w:val="32"/>
      <w:szCs w:val="24"/>
      <w:lang w:val="en-US" w:eastAsia="zh-CN" w:bidi="ar-SA"/>
    </w:rPr>
  </w:style>
  <w:style w:type="paragraph" w:styleId="17">
    <w:name w:val="List Number 5"/>
    <w:basedOn w:val="1"/>
    <w:qFormat/>
    <w:uiPriority w:val="0"/>
    <w:pPr>
      <w:numPr>
        <w:ilvl w:val="0"/>
        <w:numId w:val="2"/>
      </w:numPr>
      <w:tabs>
        <w:tab w:val="clear" w:pos="2040"/>
      </w:tabs>
      <w:spacing w:line="560" w:lineRule="exact"/>
      <w:ind w:left="0" w:firstLine="0" w:firstLineChars="200"/>
    </w:pPr>
    <w:rPr>
      <w:rFonts w:ascii="Times New Roman" w:hAnsi="Times New Roman" w:eastAsia="仿宋_GB2312" w:cs="宋体"/>
      <w:sz w:val="32"/>
      <w:szCs w:val="24"/>
    </w:rPr>
  </w:style>
  <w:style w:type="paragraph" w:styleId="18">
    <w:name w:val="Date"/>
    <w:basedOn w:val="1"/>
    <w:next w:val="1"/>
    <w:link w:val="52"/>
    <w:qFormat/>
    <w:uiPriority w:val="99"/>
    <w:pPr>
      <w:ind w:left="100" w:leftChars="2500"/>
    </w:pPr>
    <w:rPr>
      <w:rFonts w:cs="宋体"/>
    </w:rPr>
  </w:style>
  <w:style w:type="paragraph" w:styleId="19">
    <w:name w:val="Body Text Indent 2"/>
    <w:basedOn w:val="1"/>
    <w:link w:val="53"/>
    <w:qFormat/>
    <w:uiPriority w:val="99"/>
    <w:pPr>
      <w:spacing w:line="480" w:lineRule="auto"/>
      <w:ind w:left="420" w:leftChars="200"/>
    </w:pPr>
    <w:rPr>
      <w:rFonts w:cs="宋体"/>
    </w:rPr>
  </w:style>
  <w:style w:type="paragraph" w:styleId="20">
    <w:name w:val="Balloon Text"/>
    <w:basedOn w:val="1"/>
    <w:link w:val="54"/>
    <w:qFormat/>
    <w:uiPriority w:val="99"/>
    <w:rPr>
      <w:rFonts w:ascii="Times New Roman" w:hAnsi="Times New Roman"/>
      <w:kern w:val="0"/>
      <w:sz w:val="18"/>
      <w:szCs w:val="18"/>
    </w:rPr>
  </w:style>
  <w:style w:type="paragraph" w:styleId="21">
    <w:name w:val="footer"/>
    <w:basedOn w:val="1"/>
    <w:next w:val="1"/>
    <w:link w:val="70"/>
    <w:qFormat/>
    <w:uiPriority w:val="99"/>
    <w:pPr>
      <w:tabs>
        <w:tab w:val="center" w:pos="4153"/>
        <w:tab w:val="right" w:pos="8306"/>
      </w:tabs>
      <w:snapToGrid w:val="0"/>
      <w:jc w:val="left"/>
    </w:pPr>
    <w:rPr>
      <w:sz w:val="18"/>
    </w:rPr>
  </w:style>
  <w:style w:type="paragraph" w:styleId="22">
    <w:name w:val="header"/>
    <w:basedOn w:val="1"/>
    <w:link w:val="44"/>
    <w:qFormat/>
    <w:uiPriority w:val="99"/>
    <w:pPr>
      <w:tabs>
        <w:tab w:val="center" w:pos="4153"/>
        <w:tab w:val="right" w:pos="8306"/>
      </w:tabs>
      <w:snapToGrid w:val="0"/>
      <w:jc w:val="center"/>
    </w:pPr>
    <w:rPr>
      <w:sz w:val="18"/>
      <w:szCs w:val="18"/>
    </w:rPr>
  </w:style>
  <w:style w:type="paragraph" w:styleId="23">
    <w:name w:val="toc 1"/>
    <w:basedOn w:val="1"/>
    <w:next w:val="1"/>
    <w:qFormat/>
    <w:uiPriority w:val="39"/>
    <w:pPr>
      <w:spacing w:line="360" w:lineRule="auto"/>
    </w:pPr>
    <w:rPr>
      <w:rFonts w:cs="宋体"/>
      <w:sz w:val="24"/>
    </w:rPr>
  </w:style>
  <w:style w:type="paragraph" w:styleId="24">
    <w:name w:val="List"/>
    <w:basedOn w:val="1"/>
    <w:qFormat/>
    <w:uiPriority w:val="0"/>
    <w:pPr>
      <w:ind w:left="200" w:hanging="200" w:hangingChars="200"/>
    </w:pPr>
  </w:style>
  <w:style w:type="paragraph" w:styleId="25">
    <w:name w:val="footnote text"/>
    <w:basedOn w:val="1"/>
    <w:next w:val="9"/>
    <w:link w:val="169"/>
    <w:qFormat/>
    <w:uiPriority w:val="0"/>
    <w:pPr>
      <w:snapToGrid w:val="0"/>
      <w:jc w:val="left"/>
    </w:pPr>
    <w:rPr>
      <w:sz w:val="18"/>
    </w:rPr>
  </w:style>
  <w:style w:type="paragraph" w:styleId="26">
    <w:name w:val="toc 2"/>
    <w:basedOn w:val="1"/>
    <w:next w:val="1"/>
    <w:qFormat/>
    <w:uiPriority w:val="39"/>
    <w:pPr>
      <w:spacing w:line="360" w:lineRule="auto"/>
      <w:ind w:left="420" w:leftChars="200"/>
    </w:pPr>
    <w:rPr>
      <w:rFonts w:cs="宋体"/>
      <w:sz w:val="24"/>
    </w:rPr>
  </w:style>
  <w:style w:type="paragraph" w:styleId="27">
    <w:name w:val="Normal (Web)"/>
    <w:basedOn w:val="1"/>
    <w:qFormat/>
    <w:uiPriority w:val="99"/>
    <w:pPr>
      <w:spacing w:before="100" w:beforeAutospacing="1" w:after="100" w:afterAutospacing="1"/>
      <w:jc w:val="left"/>
    </w:pPr>
    <w:rPr>
      <w:kern w:val="0"/>
      <w:sz w:val="24"/>
    </w:rPr>
  </w:style>
  <w:style w:type="paragraph" w:styleId="28">
    <w:name w:val="annotation subject"/>
    <w:basedOn w:val="10"/>
    <w:next w:val="10"/>
    <w:link w:val="55"/>
    <w:qFormat/>
    <w:uiPriority w:val="99"/>
    <w:pPr>
      <w:snapToGrid/>
      <w:spacing w:line="240" w:lineRule="auto"/>
      <w:ind w:firstLine="0" w:firstLineChars="0"/>
    </w:pPr>
    <w:rPr>
      <w:rFonts w:ascii="Calibri" w:hAnsi="Calibri" w:eastAsia="宋体" w:cs="宋体"/>
      <w:b/>
      <w:bCs/>
      <w:sz w:val="21"/>
      <w:szCs w:val="22"/>
    </w:rPr>
  </w:style>
  <w:style w:type="paragraph" w:styleId="29">
    <w:name w:val="Body Text First Indent 2"/>
    <w:basedOn w:val="13"/>
    <w:link w:val="75"/>
    <w:qFormat/>
    <w:uiPriority w:val="0"/>
    <w:pPr>
      <w:ind w:firstLine="420" w:firstLineChars="200"/>
    </w:pPr>
  </w:style>
  <w:style w:type="table" w:styleId="31">
    <w:name w:val="Table Grid"/>
    <w:basedOn w:val="30"/>
    <w:qFormat/>
    <w:uiPriority w:val="39"/>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basedOn w:val="32"/>
    <w:qFormat/>
    <w:uiPriority w:val="22"/>
    <w:rPr>
      <w:b/>
    </w:rPr>
  </w:style>
  <w:style w:type="character" w:styleId="34">
    <w:name w:val="FollowedHyperlink"/>
    <w:basedOn w:val="32"/>
    <w:unhideWhenUsed/>
    <w:qFormat/>
    <w:uiPriority w:val="99"/>
    <w:rPr>
      <w:color w:val="7E1FAD"/>
      <w:u w:val="single"/>
    </w:rPr>
  </w:style>
  <w:style w:type="character" w:styleId="35">
    <w:name w:val="Hyperlink"/>
    <w:basedOn w:val="32"/>
    <w:qFormat/>
    <w:uiPriority w:val="99"/>
    <w:rPr>
      <w:color w:val="0026E5"/>
      <w:u w:val="single"/>
    </w:rPr>
  </w:style>
  <w:style w:type="character" w:styleId="36">
    <w:name w:val="annotation reference"/>
    <w:basedOn w:val="32"/>
    <w:qFormat/>
    <w:uiPriority w:val="99"/>
    <w:rPr>
      <w:sz w:val="21"/>
      <w:szCs w:val="21"/>
    </w:rPr>
  </w:style>
  <w:style w:type="character" w:customStyle="1" w:styleId="37">
    <w:name w:val="NormalCharacter"/>
    <w:qFormat/>
    <w:uiPriority w:val="0"/>
    <w:rPr>
      <w:rFonts w:ascii="Calibri" w:hAnsi="Calibri" w:eastAsia="仿宋_GB2312" w:cs="@仿宋_GB2312"/>
      <w:snapToGrid w:val="0"/>
      <w:color w:val="000000"/>
      <w:kern w:val="0"/>
      <w:sz w:val="30"/>
      <w:szCs w:val="21"/>
      <w:lang w:val="en-US" w:eastAsia="en-US" w:bidi="ar-SA"/>
    </w:rPr>
  </w:style>
  <w:style w:type="character" w:customStyle="1" w:styleId="38">
    <w:name w:val="标题 2 字符"/>
    <w:link w:val="3"/>
    <w:qFormat/>
    <w:uiPriority w:val="9"/>
    <w:rPr>
      <w:rFonts w:ascii="Arial" w:hAnsi="Arial" w:eastAsia="楷体_GB2312" w:cs="宋体"/>
      <w:spacing w:val="6"/>
      <w:kern w:val="2"/>
      <w:sz w:val="32"/>
      <w:szCs w:val="22"/>
      <w:lang w:eastAsia="en-US" w:bidi="en-US"/>
    </w:rPr>
  </w:style>
  <w:style w:type="character" w:customStyle="1" w:styleId="39">
    <w:name w:val="标题 4 字符"/>
    <w:link w:val="5"/>
    <w:qFormat/>
    <w:uiPriority w:val="9"/>
    <w:rPr>
      <w:rFonts w:ascii="Times New Roman" w:hAnsi="Times New Roman" w:eastAsia="仿宋_GB2312" w:cs="宋体"/>
      <w:b/>
      <w:bCs/>
      <w:sz w:val="32"/>
      <w:szCs w:val="28"/>
    </w:rPr>
  </w:style>
  <w:style w:type="character" w:customStyle="1" w:styleId="40">
    <w:name w:val="标题 3 字符"/>
    <w:link w:val="4"/>
    <w:qFormat/>
    <w:uiPriority w:val="9"/>
    <w:rPr>
      <w:rFonts w:ascii="宋体" w:hAnsi="宋体" w:eastAsia="仿宋_GB2312" w:cs="宋体"/>
      <w:b/>
      <w:kern w:val="20"/>
      <w:sz w:val="32"/>
      <w:szCs w:val="22"/>
      <w:lang w:val="zh-CN" w:eastAsia="zh-CN"/>
    </w:rPr>
  </w:style>
  <w:style w:type="character" w:customStyle="1" w:styleId="41">
    <w:name w:val="标题 1 字符"/>
    <w:link w:val="2"/>
    <w:qFormat/>
    <w:uiPriority w:val="9"/>
    <w:rPr>
      <w:rFonts w:ascii="Times New Roman" w:hAnsi="Times New Roman" w:eastAsia="黑体" w:cs="Arial"/>
      <w:spacing w:val="6"/>
      <w:kern w:val="44"/>
      <w:sz w:val="32"/>
      <w:szCs w:val="21"/>
      <w:lang w:eastAsia="en-US" w:bidi="en-US"/>
    </w:rPr>
  </w:style>
  <w:style w:type="paragraph" w:customStyle="1" w:styleId="42">
    <w:name w:val="正文格式"/>
    <w:basedOn w:val="1"/>
    <w:qFormat/>
    <w:uiPriority w:val="0"/>
    <w:pPr>
      <w:spacing w:line="360" w:lineRule="auto"/>
      <w:ind w:firstLine="482"/>
    </w:pPr>
  </w:style>
  <w:style w:type="paragraph" w:customStyle="1" w:styleId="43">
    <w:name w:val="Body Text First Indent 21"/>
    <w:basedOn w:val="1"/>
    <w:qFormat/>
    <w:uiPriority w:val="0"/>
    <w:pPr>
      <w:spacing w:before="100" w:beforeAutospacing="1" w:after="100" w:afterAutospacing="1" w:line="540" w:lineRule="exact"/>
      <w:ind w:firstLine="200" w:firstLineChars="200"/>
    </w:pPr>
    <w:rPr>
      <w:rFonts w:eastAsia="仿宋_GB2312"/>
      <w:sz w:val="28"/>
      <w:szCs w:val="28"/>
    </w:rPr>
  </w:style>
  <w:style w:type="character" w:customStyle="1" w:styleId="44">
    <w:name w:val="页眉 字符"/>
    <w:basedOn w:val="32"/>
    <w:link w:val="22"/>
    <w:qFormat/>
    <w:uiPriority w:val="99"/>
    <w:rPr>
      <w:rFonts w:ascii="Calibri" w:hAnsi="Calibri" w:eastAsia="宋体" w:cs="Times New Roman"/>
      <w:kern w:val="2"/>
      <w:sz w:val="18"/>
      <w:szCs w:val="18"/>
    </w:rPr>
  </w:style>
  <w:style w:type="character" w:customStyle="1" w:styleId="45">
    <w:name w:val="正文缩进 字符"/>
    <w:link w:val="7"/>
    <w:qFormat/>
    <w:uiPriority w:val="0"/>
    <w:rPr>
      <w:rFonts w:ascii="Calibri" w:hAnsi="Calibri"/>
      <w:kern w:val="2"/>
      <w:sz w:val="21"/>
      <w:szCs w:val="22"/>
    </w:rPr>
  </w:style>
  <w:style w:type="paragraph" w:customStyle="1" w:styleId="46">
    <w:name w:val="表标题2"/>
    <w:basedOn w:val="1"/>
    <w:link w:val="68"/>
    <w:qFormat/>
    <w:uiPriority w:val="0"/>
    <w:pPr>
      <w:numPr>
        <w:ilvl w:val="0"/>
        <w:numId w:val="3"/>
      </w:numPr>
      <w:jc w:val="center"/>
    </w:pPr>
    <w:rPr>
      <w:rFonts w:eastAsia="黑体" w:cs="宋体"/>
      <w:szCs w:val="24"/>
    </w:rPr>
  </w:style>
  <w:style w:type="table" w:customStyle="1" w:styleId="47">
    <w:name w:val="网格型1"/>
    <w:basedOn w:val="30"/>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8">
    <w:name w:val="修订1"/>
    <w:hidden/>
    <w:unhideWhenUsed/>
    <w:qFormat/>
    <w:uiPriority w:val="99"/>
    <w:rPr>
      <w:rFonts w:ascii="Calibri" w:hAnsi="Calibri" w:eastAsia="宋体" w:cs="Times New Roman"/>
      <w:kern w:val="2"/>
      <w:sz w:val="21"/>
      <w:szCs w:val="22"/>
      <w:lang w:val="en-US" w:eastAsia="zh-CN" w:bidi="ar-SA"/>
    </w:rPr>
  </w:style>
  <w:style w:type="character" w:customStyle="1" w:styleId="49">
    <w:name w:val="批注文字 字符"/>
    <w:basedOn w:val="32"/>
    <w:link w:val="10"/>
    <w:qFormat/>
    <w:uiPriority w:val="99"/>
    <w:rPr>
      <w:rFonts w:eastAsia="方正仿宋_GBK" w:cstheme="minorBidi"/>
      <w:kern w:val="2"/>
      <w:sz w:val="28"/>
      <w:szCs w:val="28"/>
    </w:rPr>
  </w:style>
  <w:style w:type="table" w:customStyle="1" w:styleId="50">
    <w:name w:val="Table Normal"/>
    <w:unhideWhenUsed/>
    <w:qFormat/>
    <w:uiPriority w:val="0"/>
    <w:tblPr>
      <w:tblCellMar>
        <w:top w:w="0" w:type="dxa"/>
        <w:left w:w="0" w:type="dxa"/>
        <w:bottom w:w="0" w:type="dxa"/>
        <w:right w:w="0" w:type="dxa"/>
      </w:tblCellMar>
    </w:tblPr>
  </w:style>
  <w:style w:type="character" w:customStyle="1" w:styleId="51">
    <w:name w:val="纯文本 字符"/>
    <w:basedOn w:val="32"/>
    <w:link w:val="16"/>
    <w:qFormat/>
    <w:uiPriority w:val="0"/>
    <w:rPr>
      <w:rFonts w:ascii="宋体" w:hAnsi="Courier New" w:eastAsia="仿宋_GB2312" w:cs="黑体"/>
      <w:kern w:val="2"/>
      <w:sz w:val="32"/>
      <w:szCs w:val="24"/>
    </w:rPr>
  </w:style>
  <w:style w:type="character" w:customStyle="1" w:styleId="52">
    <w:name w:val="日期 字符"/>
    <w:basedOn w:val="32"/>
    <w:link w:val="18"/>
    <w:qFormat/>
    <w:uiPriority w:val="99"/>
    <w:rPr>
      <w:rFonts w:ascii="Calibri" w:hAnsi="Calibri" w:cs="宋体"/>
      <w:kern w:val="2"/>
      <w:sz w:val="21"/>
      <w:szCs w:val="22"/>
    </w:rPr>
  </w:style>
  <w:style w:type="character" w:customStyle="1" w:styleId="53">
    <w:name w:val="正文文本缩进 2 字符"/>
    <w:basedOn w:val="32"/>
    <w:link w:val="19"/>
    <w:qFormat/>
    <w:uiPriority w:val="99"/>
    <w:rPr>
      <w:rFonts w:ascii="Calibri" w:hAnsi="Calibri" w:cs="宋体"/>
      <w:kern w:val="2"/>
      <w:sz w:val="21"/>
      <w:szCs w:val="22"/>
    </w:rPr>
  </w:style>
  <w:style w:type="character" w:customStyle="1" w:styleId="54">
    <w:name w:val="批注框文本 字符"/>
    <w:basedOn w:val="32"/>
    <w:link w:val="20"/>
    <w:qFormat/>
    <w:uiPriority w:val="99"/>
    <w:rPr>
      <w:sz w:val="18"/>
      <w:szCs w:val="18"/>
    </w:rPr>
  </w:style>
  <w:style w:type="character" w:customStyle="1" w:styleId="55">
    <w:name w:val="批注主题 字符"/>
    <w:basedOn w:val="49"/>
    <w:link w:val="28"/>
    <w:qFormat/>
    <w:uiPriority w:val="99"/>
    <w:rPr>
      <w:rFonts w:ascii="Calibri" w:hAnsi="Calibri" w:eastAsia="方正仿宋_GBK" w:cs="宋体"/>
      <w:b/>
      <w:bCs/>
      <w:kern w:val="2"/>
      <w:sz w:val="21"/>
      <w:szCs w:val="22"/>
    </w:rPr>
  </w:style>
  <w:style w:type="paragraph" w:customStyle="1" w:styleId="56">
    <w:name w:val="BodyText"/>
    <w:basedOn w:val="1"/>
    <w:next w:val="1"/>
    <w:qFormat/>
    <w:uiPriority w:val="0"/>
    <w:pPr>
      <w:spacing w:line="560" w:lineRule="exact"/>
      <w:ind w:firstLine="200" w:firstLineChars="200"/>
    </w:pPr>
    <w:rPr>
      <w:rFonts w:ascii="Times New Roman" w:hAnsi="Times New Roman"/>
      <w:sz w:val="32"/>
      <w:szCs w:val="21"/>
    </w:rPr>
  </w:style>
  <w:style w:type="paragraph" w:customStyle="1" w:styleId="57">
    <w:name w:val="图标题"/>
    <w:basedOn w:val="11"/>
    <w:qFormat/>
    <w:uiPriority w:val="0"/>
    <w:pPr>
      <w:widowControl/>
      <w:numPr>
        <w:ilvl w:val="0"/>
        <w:numId w:val="4"/>
      </w:numPr>
      <w:adjustRightInd w:val="0"/>
      <w:spacing w:after="0" w:line="560" w:lineRule="exact"/>
      <w:ind w:left="0" w:firstLine="0"/>
      <w:jc w:val="center"/>
      <w:textAlignment w:val="baseline"/>
    </w:pPr>
    <w:rPr>
      <w:rFonts w:ascii="Times New Roman" w:hAnsi="Times New Roman" w:eastAsia="黑体"/>
      <w:kern w:val="0"/>
      <w:sz w:val="28"/>
      <w:szCs w:val="20"/>
    </w:rPr>
  </w:style>
  <w:style w:type="paragraph" w:customStyle="1" w:styleId="58">
    <w:name w:val="List Paragraph_a7861cf5-61f2-45e2-9eb6-3a5ace229ed7"/>
    <w:qFormat/>
    <w:uiPriority w:val="0"/>
    <w:pPr>
      <w:widowControl w:val="0"/>
      <w:adjustRightInd w:val="0"/>
      <w:snapToGrid w:val="0"/>
      <w:spacing w:line="560" w:lineRule="exact"/>
      <w:ind w:firstLine="420" w:firstLineChars="200"/>
      <w:jc w:val="both"/>
    </w:pPr>
    <w:rPr>
      <w:rFonts w:ascii="Times New Roman" w:hAnsi="Times New Roman" w:eastAsia="宋体" w:cs="Times New Roman"/>
      <w:kern w:val="2"/>
      <w:sz w:val="32"/>
      <w:szCs w:val="22"/>
      <w:lang w:val="en-US" w:eastAsia="zh-CN" w:bidi="ar-SA"/>
    </w:rPr>
  </w:style>
  <w:style w:type="character" w:customStyle="1" w:styleId="59">
    <w:name w:val="font31"/>
    <w:basedOn w:val="32"/>
    <w:qFormat/>
    <w:uiPriority w:val="0"/>
    <w:rPr>
      <w:rFonts w:hint="eastAsia" w:ascii="宋体" w:hAnsi="宋体" w:eastAsia="宋体" w:cs="宋体"/>
      <w:color w:val="000000"/>
      <w:sz w:val="22"/>
      <w:szCs w:val="22"/>
      <w:u w:val="none"/>
      <w:vertAlign w:val="subscript"/>
    </w:rPr>
  </w:style>
  <w:style w:type="character" w:customStyle="1" w:styleId="60">
    <w:name w:val="font01"/>
    <w:basedOn w:val="32"/>
    <w:qFormat/>
    <w:uiPriority w:val="0"/>
    <w:rPr>
      <w:rFonts w:hint="eastAsia" w:ascii="宋体" w:hAnsi="宋体" w:eastAsia="宋体" w:cs="宋体"/>
      <w:color w:val="000000"/>
      <w:sz w:val="22"/>
      <w:szCs w:val="22"/>
      <w:u w:val="none"/>
    </w:rPr>
  </w:style>
  <w:style w:type="character" w:customStyle="1" w:styleId="61">
    <w:name w:val="font41"/>
    <w:basedOn w:val="32"/>
    <w:qFormat/>
    <w:uiPriority w:val="0"/>
    <w:rPr>
      <w:rFonts w:hint="eastAsia" w:ascii="宋体" w:hAnsi="宋体" w:eastAsia="宋体" w:cs="宋体"/>
      <w:color w:val="000000"/>
      <w:sz w:val="22"/>
      <w:szCs w:val="22"/>
      <w:u w:val="none"/>
      <w:vertAlign w:val="superscript"/>
    </w:rPr>
  </w:style>
  <w:style w:type="paragraph" w:customStyle="1" w:styleId="62">
    <w:name w:val="0000"/>
    <w:basedOn w:val="1"/>
    <w:link w:val="63"/>
    <w:qFormat/>
    <w:uiPriority w:val="0"/>
    <w:pPr>
      <w:spacing w:line="560" w:lineRule="exact"/>
      <w:ind w:firstLine="200" w:firstLineChars="200"/>
    </w:pPr>
    <w:rPr>
      <w:rFonts w:ascii="Times New Roman" w:hAnsi="Times New Roman" w:eastAsia="仿宋_GB2312"/>
      <w:sz w:val="32"/>
      <w:szCs w:val="28"/>
    </w:rPr>
  </w:style>
  <w:style w:type="character" w:customStyle="1" w:styleId="63">
    <w:name w:val="0000 字符"/>
    <w:basedOn w:val="32"/>
    <w:link w:val="62"/>
    <w:qFormat/>
    <w:uiPriority w:val="0"/>
    <w:rPr>
      <w:rFonts w:eastAsia="仿宋_GB2312"/>
      <w:kern w:val="2"/>
      <w:sz w:val="32"/>
      <w:szCs w:val="28"/>
    </w:rPr>
  </w:style>
  <w:style w:type="character" w:customStyle="1" w:styleId="64">
    <w:name w:val="标题 5 字符"/>
    <w:basedOn w:val="32"/>
    <w:link w:val="6"/>
    <w:qFormat/>
    <w:uiPriority w:val="9"/>
    <w:rPr>
      <w:rFonts w:ascii="宋体" w:hAnsi="宋体"/>
      <w:b/>
      <w:kern w:val="2"/>
      <w:sz w:val="21"/>
      <w:szCs w:val="22"/>
    </w:rPr>
  </w:style>
  <w:style w:type="paragraph" w:styleId="65">
    <w:name w:val="List Paragraph"/>
    <w:basedOn w:val="1"/>
    <w:qFormat/>
    <w:uiPriority w:val="34"/>
    <w:pPr>
      <w:spacing w:line="560" w:lineRule="exact"/>
      <w:ind w:firstLine="420" w:firstLineChars="200"/>
    </w:pPr>
    <w:rPr>
      <w:rFonts w:ascii="Times New Roman" w:hAnsi="Times New Roman" w:eastAsia="仿宋_GB2312" w:cs="宋体"/>
      <w:sz w:val="32"/>
      <w:szCs w:val="24"/>
    </w:rPr>
  </w:style>
  <w:style w:type="paragraph" w:customStyle="1" w:styleId="66">
    <w:name w:val="图标题2"/>
    <w:basedOn w:val="62"/>
    <w:link w:val="67"/>
    <w:qFormat/>
    <w:uiPriority w:val="0"/>
    <w:pPr>
      <w:numPr>
        <w:ilvl w:val="0"/>
        <w:numId w:val="5"/>
      </w:numPr>
      <w:ind w:left="0" w:firstLine="0" w:firstLineChars="0"/>
      <w:jc w:val="center"/>
    </w:pPr>
    <w:rPr>
      <w:rFonts w:eastAsia="黑体"/>
      <w:sz w:val="28"/>
    </w:rPr>
  </w:style>
  <w:style w:type="character" w:customStyle="1" w:styleId="67">
    <w:name w:val="图标题2 字符"/>
    <w:basedOn w:val="63"/>
    <w:link w:val="66"/>
    <w:qFormat/>
    <w:uiPriority w:val="0"/>
    <w:rPr>
      <w:rFonts w:eastAsia="黑体"/>
      <w:kern w:val="2"/>
      <w:sz w:val="28"/>
      <w:szCs w:val="28"/>
    </w:rPr>
  </w:style>
  <w:style w:type="character" w:customStyle="1" w:styleId="68">
    <w:name w:val="表标题2 字符"/>
    <w:basedOn w:val="32"/>
    <w:link w:val="46"/>
    <w:qFormat/>
    <w:uiPriority w:val="0"/>
    <w:rPr>
      <w:rFonts w:ascii="Calibri" w:hAnsi="Calibri" w:eastAsia="黑体" w:cs="宋体"/>
      <w:kern w:val="2"/>
      <w:sz w:val="21"/>
      <w:szCs w:val="24"/>
    </w:rPr>
  </w:style>
  <w:style w:type="paragraph" w:customStyle="1" w:styleId="69">
    <w:name w:val="暂时2"/>
    <w:basedOn w:val="1"/>
    <w:qFormat/>
    <w:uiPriority w:val="0"/>
    <w:pPr>
      <w:kinsoku w:val="0"/>
      <w:autoSpaceDE w:val="0"/>
      <w:autoSpaceDN w:val="0"/>
      <w:adjustRightInd w:val="0"/>
      <w:spacing w:before="4" w:line="328" w:lineRule="auto"/>
      <w:ind w:left="728" w:right="588" w:firstLine="559"/>
      <w:jc w:val="left"/>
      <w:textAlignment w:val="baseline"/>
    </w:pPr>
    <w:rPr>
      <w:rFonts w:ascii="黑体" w:hAnsi="黑体" w:eastAsia="黑体" w:cs="黑体"/>
      <w:color w:val="000000"/>
      <w:kern w:val="0"/>
      <w:sz w:val="28"/>
      <w:szCs w:val="28"/>
    </w:rPr>
  </w:style>
  <w:style w:type="character" w:customStyle="1" w:styleId="70">
    <w:name w:val="页脚 字符"/>
    <w:basedOn w:val="32"/>
    <w:link w:val="21"/>
    <w:qFormat/>
    <w:uiPriority w:val="99"/>
    <w:rPr>
      <w:rFonts w:ascii="Calibri" w:hAnsi="Calibri"/>
      <w:kern w:val="2"/>
      <w:sz w:val="18"/>
      <w:szCs w:val="22"/>
    </w:rPr>
  </w:style>
  <w:style w:type="character" w:customStyle="1" w:styleId="71">
    <w:name w:val="未处理的提及1"/>
    <w:basedOn w:val="32"/>
    <w:qFormat/>
    <w:uiPriority w:val="99"/>
    <w:rPr>
      <w:color w:val="605E5C"/>
      <w:shd w:val="clear" w:color="auto" w:fill="E1DFDD"/>
    </w:rPr>
  </w:style>
  <w:style w:type="character" w:customStyle="1" w:styleId="72">
    <w:name w:val="正文文本 字符"/>
    <w:basedOn w:val="32"/>
    <w:link w:val="11"/>
    <w:qFormat/>
    <w:uiPriority w:val="0"/>
    <w:rPr>
      <w:rFonts w:ascii="Calibri" w:hAnsi="Calibri"/>
      <w:kern w:val="2"/>
      <w:sz w:val="21"/>
      <w:szCs w:val="22"/>
    </w:rPr>
  </w:style>
  <w:style w:type="character" w:customStyle="1" w:styleId="73">
    <w:name w:val="正文文本首行缩进 字符"/>
    <w:basedOn w:val="72"/>
    <w:link w:val="12"/>
    <w:qFormat/>
    <w:uiPriority w:val="0"/>
    <w:rPr>
      <w:rFonts w:ascii="Calibri" w:hAnsi="Calibri"/>
      <w:kern w:val="2"/>
      <w:sz w:val="21"/>
      <w:szCs w:val="22"/>
    </w:rPr>
  </w:style>
  <w:style w:type="character" w:customStyle="1" w:styleId="74">
    <w:name w:val="正文文本缩进 字符"/>
    <w:basedOn w:val="32"/>
    <w:link w:val="13"/>
    <w:qFormat/>
    <w:uiPriority w:val="0"/>
    <w:rPr>
      <w:rFonts w:ascii="Calibri" w:hAnsi="Calibri"/>
      <w:kern w:val="2"/>
      <w:sz w:val="21"/>
      <w:szCs w:val="22"/>
    </w:rPr>
  </w:style>
  <w:style w:type="character" w:customStyle="1" w:styleId="75">
    <w:name w:val="正文文本首行缩进 2 字符"/>
    <w:basedOn w:val="74"/>
    <w:link w:val="29"/>
    <w:qFormat/>
    <w:uiPriority w:val="0"/>
    <w:rPr>
      <w:rFonts w:ascii="Calibri" w:hAnsi="Calibri"/>
      <w:kern w:val="2"/>
      <w:sz w:val="21"/>
      <w:szCs w:val="22"/>
    </w:rPr>
  </w:style>
  <w:style w:type="paragraph" w:customStyle="1" w:styleId="76">
    <w:name w:val="新正文"/>
    <w:basedOn w:val="1"/>
    <w:qFormat/>
    <w:uiPriority w:val="0"/>
    <w:pPr>
      <w:spacing w:before="60" w:line="460" w:lineRule="exact"/>
      <w:ind w:firstLine="200" w:firstLineChars="200"/>
    </w:pPr>
    <w:rPr>
      <w:rFonts w:ascii="Times New Roman" w:hAnsi="Times New Roman"/>
      <w:sz w:val="24"/>
      <w:szCs w:val="20"/>
    </w:rPr>
  </w:style>
  <w:style w:type="table" w:customStyle="1" w:styleId="77">
    <w:name w:val="网格型9"/>
    <w:basedOn w:val="30"/>
    <w:qFormat/>
    <w:uiPriority w:val="59"/>
    <w:pPr>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8">
    <w:name w:val="font51"/>
    <w:basedOn w:val="32"/>
    <w:qFormat/>
    <w:uiPriority w:val="0"/>
    <w:rPr>
      <w:rFonts w:hint="default" w:ascii="Times New Roman" w:hAnsi="Times New Roman" w:cs="Times New Roman"/>
      <w:b/>
      <w:bCs/>
      <w:color w:val="000000"/>
      <w:sz w:val="24"/>
      <w:szCs w:val="24"/>
      <w:u w:val="none"/>
    </w:rPr>
  </w:style>
  <w:style w:type="character" w:customStyle="1" w:styleId="79">
    <w:name w:val="font61"/>
    <w:basedOn w:val="32"/>
    <w:qFormat/>
    <w:uiPriority w:val="0"/>
    <w:rPr>
      <w:rFonts w:hint="eastAsia" w:ascii="仿宋_GB2312" w:eastAsia="仿宋_GB2312" w:cs="仿宋_GB2312"/>
      <w:b/>
      <w:bCs/>
      <w:color w:val="000000"/>
      <w:sz w:val="24"/>
      <w:szCs w:val="24"/>
      <w:u w:val="none"/>
    </w:rPr>
  </w:style>
  <w:style w:type="character" w:customStyle="1" w:styleId="80">
    <w:name w:val="font71"/>
    <w:basedOn w:val="32"/>
    <w:qFormat/>
    <w:uiPriority w:val="0"/>
    <w:rPr>
      <w:rFonts w:hint="default" w:ascii="Times New Roman" w:hAnsi="Times New Roman" w:cs="Times New Roman"/>
      <w:b/>
      <w:bCs/>
      <w:color w:val="000000"/>
      <w:sz w:val="24"/>
      <w:szCs w:val="24"/>
      <w:u w:val="none"/>
    </w:rPr>
  </w:style>
  <w:style w:type="character" w:customStyle="1" w:styleId="81">
    <w:name w:val="font81"/>
    <w:basedOn w:val="32"/>
    <w:qFormat/>
    <w:uiPriority w:val="0"/>
    <w:rPr>
      <w:rFonts w:hint="default" w:ascii="Times New Roman" w:hAnsi="Times New Roman" w:cs="Times New Roman"/>
      <w:color w:val="000000"/>
      <w:sz w:val="24"/>
      <w:szCs w:val="24"/>
      <w:u w:val="none"/>
    </w:rPr>
  </w:style>
  <w:style w:type="character" w:customStyle="1" w:styleId="82">
    <w:name w:val="font91"/>
    <w:basedOn w:val="32"/>
    <w:qFormat/>
    <w:uiPriority w:val="0"/>
    <w:rPr>
      <w:rFonts w:hint="eastAsia" w:ascii="仿宋_GB2312" w:eastAsia="仿宋_GB2312" w:cs="仿宋_GB2312"/>
      <w:color w:val="000000"/>
      <w:sz w:val="24"/>
      <w:szCs w:val="24"/>
      <w:u w:val="none"/>
    </w:rPr>
  </w:style>
  <w:style w:type="paragraph" w:customStyle="1" w:styleId="83">
    <w:name w:val="样式 (西文) 仿宋_GB2312 (中文) 仿宋_GB2312 黑色"/>
    <w:basedOn w:val="1"/>
    <w:link w:val="84"/>
    <w:qFormat/>
    <w:uiPriority w:val="0"/>
    <w:pPr>
      <w:adjustRightInd w:val="0"/>
      <w:snapToGrid w:val="0"/>
      <w:spacing w:after="100" w:afterLines="100" w:line="300" w:lineRule="auto"/>
      <w:ind w:firstLine="200" w:firstLineChars="200"/>
    </w:pPr>
    <w:rPr>
      <w:rFonts w:ascii="仿宋_GB2312" w:hAnsi="Times New Roman" w:eastAsia="仿宋_GB2312"/>
      <w:color w:val="000000"/>
      <w:sz w:val="28"/>
      <w:szCs w:val="24"/>
    </w:rPr>
  </w:style>
  <w:style w:type="character" w:customStyle="1" w:styleId="84">
    <w:name w:val="样式 (西文) 仿宋_GB2312 (中文) 仿宋_GB2312 黑色 Char"/>
    <w:basedOn w:val="32"/>
    <w:link w:val="83"/>
    <w:qFormat/>
    <w:uiPriority w:val="0"/>
    <w:rPr>
      <w:rFonts w:ascii="仿宋_GB2312" w:eastAsia="仿宋_GB2312"/>
      <w:color w:val="000000"/>
      <w:kern w:val="2"/>
      <w:sz w:val="28"/>
      <w:szCs w:val="24"/>
    </w:rPr>
  </w:style>
  <w:style w:type="paragraph" w:customStyle="1" w:styleId="85">
    <w:name w:val="样式 样式 (西文) 仿宋_GB2312 (中文) 仿宋_GB2312 黑色 段前: 0.5 行 行距: 1.5 倍行距 首....."/>
    <w:basedOn w:val="86"/>
    <w:qFormat/>
    <w:uiPriority w:val="0"/>
    <w:pPr>
      <w:adjustRightInd w:val="0"/>
      <w:snapToGrid w:val="0"/>
      <w:spacing w:line="300" w:lineRule="auto"/>
    </w:pPr>
    <w:rPr>
      <w:rFonts w:ascii="Times New Roman" w:hAnsi="Times New Roman"/>
      <w:sz w:val="28"/>
    </w:rPr>
  </w:style>
  <w:style w:type="paragraph" w:customStyle="1" w:styleId="86">
    <w:name w:val="样式 (西文) 仿宋_GB2312 (中文) 仿宋_GB2312 黑色 段前: 0.5 行 行距: 1.5 倍行距 首...1"/>
    <w:basedOn w:val="1"/>
    <w:qFormat/>
    <w:uiPriority w:val="0"/>
    <w:pPr>
      <w:spacing w:after="100" w:afterLines="100"/>
      <w:ind w:firstLine="200" w:firstLineChars="200"/>
      <w:contextualSpacing/>
    </w:pPr>
    <w:rPr>
      <w:rFonts w:ascii="仿宋_GB2312" w:eastAsia="仿宋_GB2312" w:cs="宋体"/>
      <w:color w:val="000000"/>
      <w:szCs w:val="20"/>
    </w:rPr>
  </w:style>
  <w:style w:type="paragraph" w:customStyle="1" w:styleId="87">
    <w:name w:val="样式 段前: 0.5 行 段后: 6 磅 首行缩进:  5 字符"/>
    <w:basedOn w:val="1"/>
    <w:qFormat/>
    <w:uiPriority w:val="0"/>
    <w:pPr>
      <w:adjustRightInd w:val="0"/>
      <w:snapToGrid w:val="0"/>
      <w:spacing w:beforeLines="50" w:line="300" w:lineRule="auto"/>
      <w:ind w:firstLine="1400" w:firstLineChars="500"/>
    </w:pPr>
    <w:rPr>
      <w:rFonts w:ascii="Times New Roman" w:hAnsi="Times New Roman" w:eastAsia="仿宋_GB2312" w:cs="宋体"/>
      <w:sz w:val="28"/>
      <w:szCs w:val="20"/>
    </w:rPr>
  </w:style>
  <w:style w:type="paragraph" w:customStyle="1" w:styleId="88">
    <w:name w:val="样式 (西文) 仿宋_GB2312 (中文) 仿宋_GB2312"/>
    <w:basedOn w:val="1"/>
    <w:link w:val="89"/>
    <w:qFormat/>
    <w:uiPriority w:val="0"/>
    <w:pPr>
      <w:adjustRightInd w:val="0"/>
      <w:snapToGrid w:val="0"/>
      <w:spacing w:after="100" w:afterLines="100" w:line="300" w:lineRule="auto"/>
      <w:ind w:firstLine="200" w:firstLineChars="200"/>
      <w:contextualSpacing/>
    </w:pPr>
    <w:rPr>
      <w:rFonts w:ascii="仿宋_GB2312" w:hAnsi="Times New Roman" w:eastAsia="仿宋_GB2312"/>
      <w:sz w:val="28"/>
      <w:szCs w:val="30"/>
    </w:rPr>
  </w:style>
  <w:style w:type="character" w:customStyle="1" w:styleId="89">
    <w:name w:val="样式 (西文) 仿宋_GB2312 (中文) 仿宋_GB2312 Char"/>
    <w:link w:val="88"/>
    <w:qFormat/>
    <w:uiPriority w:val="0"/>
    <w:rPr>
      <w:rFonts w:ascii="仿宋_GB2312" w:eastAsia="仿宋_GB2312"/>
      <w:kern w:val="2"/>
      <w:sz w:val="28"/>
      <w:szCs w:val="30"/>
    </w:rPr>
  </w:style>
  <w:style w:type="character" w:styleId="90">
    <w:name w:val="Placeholder Text"/>
    <w:basedOn w:val="32"/>
    <w:qFormat/>
    <w:uiPriority w:val="99"/>
    <w:rPr>
      <w:color w:val="808080"/>
    </w:rPr>
  </w:style>
  <w:style w:type="character" w:customStyle="1" w:styleId="91">
    <w:name w:val="font21"/>
    <w:basedOn w:val="32"/>
    <w:qFormat/>
    <w:uiPriority w:val="0"/>
    <w:rPr>
      <w:rFonts w:hint="eastAsia" w:ascii="仿宋" w:hAnsi="仿宋" w:eastAsia="仿宋"/>
      <w:b/>
      <w:bCs/>
      <w:color w:val="000000"/>
      <w:sz w:val="21"/>
      <w:szCs w:val="21"/>
      <w:u w:val="none"/>
    </w:rPr>
  </w:style>
  <w:style w:type="character" w:customStyle="1" w:styleId="92">
    <w:name w:val="批注主题 Char1"/>
    <w:basedOn w:val="49"/>
    <w:qFormat/>
    <w:uiPriority w:val="99"/>
    <w:rPr>
      <w:rFonts w:eastAsia="方正仿宋_GBK" w:cstheme="minorBidi"/>
      <w:b/>
      <w:bCs/>
      <w:kern w:val="2"/>
      <w:sz w:val="21"/>
      <w:szCs w:val="22"/>
    </w:rPr>
  </w:style>
  <w:style w:type="paragraph" w:customStyle="1" w:styleId="93">
    <w:name w:val="样式2"/>
    <w:basedOn w:val="1"/>
    <w:qFormat/>
    <w:uiPriority w:val="0"/>
    <w:pPr>
      <w:adjustRightInd w:val="0"/>
      <w:jc w:val="left"/>
    </w:pPr>
    <w:rPr>
      <w:rFonts w:ascii="Times New Roman" w:hAnsi="宋体"/>
      <w:sz w:val="22"/>
    </w:rPr>
  </w:style>
  <w:style w:type="character" w:customStyle="1" w:styleId="94">
    <w:name w:val="15"/>
    <w:basedOn w:val="32"/>
    <w:qFormat/>
    <w:uiPriority w:val="0"/>
    <w:rPr>
      <w:rFonts w:hint="eastAsia" w:ascii="仿宋_GB2312" w:hAnsi="Times New Roman" w:eastAsia="仿宋_GB2312"/>
      <w:kern w:val="2"/>
      <w:sz w:val="28"/>
      <w:szCs w:val="28"/>
    </w:rPr>
  </w:style>
  <w:style w:type="character" w:customStyle="1" w:styleId="95">
    <w:name w:val="16"/>
    <w:basedOn w:val="32"/>
    <w:qFormat/>
    <w:uiPriority w:val="0"/>
    <w:rPr>
      <w:rFonts w:hint="eastAsia" w:ascii="仿宋_GB2312" w:hAnsi="Times New Roman" w:eastAsia="仿宋_GB2312"/>
      <w:color w:val="000000"/>
      <w:kern w:val="2"/>
      <w:sz w:val="28"/>
      <w:szCs w:val="28"/>
    </w:rPr>
  </w:style>
  <w:style w:type="paragraph" w:customStyle="1" w:styleId="96">
    <w:name w:val="表格内容(居中)"/>
    <w:basedOn w:val="1"/>
    <w:qFormat/>
    <w:uiPriority w:val="0"/>
    <w:pPr>
      <w:jc w:val="center"/>
    </w:pPr>
    <w:rPr>
      <w:rFonts w:ascii="宋体" w:hAnsi="宋体" w:cs="宋体"/>
      <w:szCs w:val="21"/>
    </w:rPr>
  </w:style>
  <w:style w:type="table" w:customStyle="1" w:styleId="97">
    <w:name w:val="Table Normal1"/>
    <w:qFormat/>
    <w:uiPriority w:val="0"/>
    <w:tblPr>
      <w:tblCellMar>
        <w:top w:w="0" w:type="dxa"/>
        <w:left w:w="0" w:type="dxa"/>
        <w:bottom w:w="0" w:type="dxa"/>
        <w:right w:w="0" w:type="dxa"/>
      </w:tblCellMar>
    </w:tblPr>
  </w:style>
  <w:style w:type="paragraph" w:customStyle="1" w:styleId="98">
    <w:name w:val="Table Text"/>
    <w:basedOn w:val="1"/>
    <w:qFormat/>
    <w:uiPriority w:val="0"/>
    <w:pPr>
      <w:spacing w:line="560" w:lineRule="exact"/>
      <w:ind w:firstLine="200" w:firstLineChars="200"/>
    </w:pPr>
    <w:rPr>
      <w:rFonts w:ascii="微软雅黑" w:hAnsi="微软雅黑" w:eastAsia="微软雅黑" w:cs="微软雅黑"/>
      <w:sz w:val="24"/>
      <w:szCs w:val="24"/>
      <w:lang w:eastAsia="en-US"/>
    </w:rPr>
  </w:style>
  <w:style w:type="character" w:customStyle="1" w:styleId="99">
    <w:name w:val="font11"/>
    <w:basedOn w:val="32"/>
    <w:qFormat/>
    <w:uiPriority w:val="0"/>
    <w:rPr>
      <w:rFonts w:hint="eastAsia" w:ascii="仿宋_GB2312" w:eastAsia="仿宋_GB2312" w:cs="仿宋_GB2312"/>
      <w:color w:val="000000"/>
      <w:sz w:val="24"/>
      <w:szCs w:val="24"/>
      <w:u w:val="none"/>
    </w:rPr>
  </w:style>
  <w:style w:type="character" w:customStyle="1" w:styleId="100">
    <w:name w:val="文本块 字符"/>
    <w:link w:val="14"/>
    <w:qFormat/>
    <w:uiPriority w:val="99"/>
    <w:rPr>
      <w:rFonts w:ascii="宋体" w:hAnsi="宋体" w:eastAsia="仿宋"/>
      <w:sz w:val="24"/>
      <w:szCs w:val="21"/>
    </w:rPr>
  </w:style>
  <w:style w:type="character" w:customStyle="1" w:styleId="101">
    <w:name w:val="font131"/>
    <w:basedOn w:val="32"/>
    <w:qFormat/>
    <w:uiPriority w:val="0"/>
    <w:rPr>
      <w:rFonts w:hint="default" w:ascii="Times New Roman" w:hAnsi="Times New Roman" w:cs="Times New Roman"/>
      <w:b/>
      <w:bCs/>
      <w:color w:val="000000"/>
      <w:sz w:val="24"/>
      <w:szCs w:val="24"/>
      <w:u w:val="none"/>
    </w:rPr>
  </w:style>
  <w:style w:type="character" w:customStyle="1" w:styleId="102">
    <w:name w:val="font141"/>
    <w:basedOn w:val="32"/>
    <w:qFormat/>
    <w:uiPriority w:val="0"/>
    <w:rPr>
      <w:rFonts w:hint="default" w:ascii="Times New Roman" w:hAnsi="Times New Roman" w:cs="Times New Roman"/>
      <w:b/>
      <w:bCs/>
      <w:color w:val="000000"/>
      <w:sz w:val="24"/>
      <w:szCs w:val="24"/>
      <w:u w:val="none"/>
      <w:vertAlign w:val="subscript"/>
    </w:rPr>
  </w:style>
  <w:style w:type="character" w:customStyle="1" w:styleId="103">
    <w:name w:val="font151"/>
    <w:basedOn w:val="32"/>
    <w:qFormat/>
    <w:uiPriority w:val="0"/>
    <w:rPr>
      <w:rFonts w:hint="eastAsia" w:ascii="宋体" w:hAnsi="宋体" w:eastAsia="宋体" w:cs="宋体"/>
      <w:color w:val="000000"/>
      <w:sz w:val="24"/>
      <w:szCs w:val="24"/>
      <w:u w:val="none"/>
    </w:rPr>
  </w:style>
  <w:style w:type="character" w:customStyle="1" w:styleId="104">
    <w:name w:val="font161"/>
    <w:basedOn w:val="32"/>
    <w:qFormat/>
    <w:uiPriority w:val="0"/>
    <w:rPr>
      <w:rFonts w:hint="default" w:ascii="Times New Roman" w:hAnsi="Times New Roman" w:cs="Times New Roman"/>
      <w:color w:val="000000"/>
      <w:sz w:val="28"/>
      <w:szCs w:val="28"/>
      <w:u w:val="none"/>
    </w:rPr>
  </w:style>
  <w:style w:type="character" w:customStyle="1" w:styleId="105">
    <w:name w:val="font171"/>
    <w:basedOn w:val="32"/>
    <w:qFormat/>
    <w:uiPriority w:val="0"/>
    <w:rPr>
      <w:rFonts w:hint="eastAsia" w:ascii="仿宋_GB2312" w:eastAsia="仿宋_GB2312" w:cs="仿宋_GB2312"/>
      <w:color w:val="000000"/>
      <w:sz w:val="24"/>
      <w:szCs w:val="24"/>
      <w:u w:val="none"/>
    </w:rPr>
  </w:style>
  <w:style w:type="character" w:customStyle="1" w:styleId="106">
    <w:name w:val="font112"/>
    <w:basedOn w:val="32"/>
    <w:qFormat/>
    <w:uiPriority w:val="0"/>
    <w:rPr>
      <w:rFonts w:hint="eastAsia" w:ascii="仿宋_GB2312" w:eastAsia="仿宋_GB2312" w:cs="仿宋_GB2312"/>
      <w:color w:val="000000"/>
      <w:sz w:val="24"/>
      <w:szCs w:val="24"/>
      <w:u w:val="none"/>
    </w:rPr>
  </w:style>
  <w:style w:type="character" w:customStyle="1" w:styleId="107">
    <w:name w:val="font101"/>
    <w:basedOn w:val="32"/>
    <w:qFormat/>
    <w:uiPriority w:val="0"/>
    <w:rPr>
      <w:rFonts w:hint="eastAsia" w:ascii="仿宋_GB2312" w:eastAsia="仿宋_GB2312" w:cs="仿宋_GB2312"/>
      <w:color w:val="000000"/>
      <w:sz w:val="24"/>
      <w:szCs w:val="24"/>
      <w:u w:val="none"/>
    </w:rPr>
  </w:style>
  <w:style w:type="character" w:customStyle="1" w:styleId="108">
    <w:name w:val="font111"/>
    <w:basedOn w:val="32"/>
    <w:qFormat/>
    <w:uiPriority w:val="0"/>
    <w:rPr>
      <w:rFonts w:hint="default" w:ascii="Times New Roman" w:hAnsi="Times New Roman" w:cs="Times New Roman"/>
      <w:b/>
      <w:bCs/>
      <w:color w:val="000000"/>
      <w:sz w:val="24"/>
      <w:szCs w:val="24"/>
      <w:u w:val="none"/>
    </w:rPr>
  </w:style>
  <w:style w:type="character" w:customStyle="1" w:styleId="109">
    <w:name w:val="font122"/>
    <w:basedOn w:val="32"/>
    <w:qFormat/>
    <w:uiPriority w:val="0"/>
    <w:rPr>
      <w:rFonts w:hint="eastAsia" w:ascii="仿宋_GB2312" w:eastAsia="仿宋_GB2312" w:cs="仿宋_GB2312"/>
      <w:b/>
      <w:bCs/>
      <w:color w:val="000000"/>
      <w:sz w:val="24"/>
      <w:szCs w:val="24"/>
      <w:u w:val="none"/>
    </w:rPr>
  </w:style>
  <w:style w:type="character" w:customStyle="1" w:styleId="110">
    <w:name w:val="font121"/>
    <w:basedOn w:val="32"/>
    <w:qFormat/>
    <w:uiPriority w:val="0"/>
    <w:rPr>
      <w:rFonts w:hint="eastAsia" w:ascii="仿宋_GB2312" w:eastAsia="仿宋_GB2312" w:cs="仿宋_GB2312"/>
      <w:b/>
      <w:bCs/>
      <w:color w:val="000000"/>
      <w:sz w:val="24"/>
      <w:szCs w:val="24"/>
      <w:u w:val="none"/>
    </w:rPr>
  </w:style>
  <w:style w:type="character" w:customStyle="1" w:styleId="111">
    <w:name w:val="font181"/>
    <w:basedOn w:val="32"/>
    <w:qFormat/>
    <w:uiPriority w:val="0"/>
    <w:rPr>
      <w:rFonts w:hint="eastAsia" w:ascii="仿宋_GB2312" w:eastAsia="仿宋_GB2312" w:cs="仿宋_GB2312"/>
      <w:b/>
      <w:bCs/>
      <w:color w:val="FF0000"/>
      <w:sz w:val="24"/>
      <w:szCs w:val="24"/>
      <w:u w:val="none"/>
    </w:rPr>
  </w:style>
  <w:style w:type="character" w:customStyle="1" w:styleId="112">
    <w:name w:val="font191"/>
    <w:basedOn w:val="32"/>
    <w:qFormat/>
    <w:uiPriority w:val="0"/>
    <w:rPr>
      <w:rFonts w:hint="default" w:ascii="Times New Roman" w:hAnsi="Times New Roman" w:cs="Times New Roman"/>
      <w:color w:val="000000"/>
      <w:sz w:val="24"/>
      <w:szCs w:val="24"/>
      <w:u w:val="none"/>
    </w:rPr>
  </w:style>
  <w:style w:type="character" w:customStyle="1" w:styleId="113">
    <w:name w:val="font201"/>
    <w:basedOn w:val="32"/>
    <w:qFormat/>
    <w:uiPriority w:val="0"/>
    <w:rPr>
      <w:rFonts w:hint="eastAsia" w:ascii="宋体" w:hAnsi="宋体" w:eastAsia="宋体" w:cs="宋体"/>
      <w:b/>
      <w:bCs/>
      <w:color w:val="000000"/>
      <w:sz w:val="24"/>
      <w:szCs w:val="24"/>
      <w:u w:val="none"/>
    </w:rPr>
  </w:style>
  <w:style w:type="paragraph" w:customStyle="1" w:styleId="114">
    <w:name w:val="msonormal"/>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15">
    <w:name w:val="font5"/>
    <w:basedOn w:val="1"/>
    <w:qFormat/>
    <w:uiPriority w:val="0"/>
    <w:pPr>
      <w:widowControl/>
      <w:spacing w:before="100" w:beforeAutospacing="1" w:after="100" w:afterAutospacing="1"/>
      <w:jc w:val="left"/>
    </w:pPr>
    <w:rPr>
      <w:rFonts w:ascii="仿宋_GB2312" w:hAnsi="宋体" w:eastAsia="仿宋_GB2312" w:cs="宋体"/>
      <w:b/>
      <w:bCs/>
      <w:kern w:val="0"/>
      <w:sz w:val="28"/>
      <w:szCs w:val="28"/>
    </w:rPr>
  </w:style>
  <w:style w:type="paragraph" w:customStyle="1" w:styleId="116">
    <w:name w:val="font6"/>
    <w:basedOn w:val="1"/>
    <w:qFormat/>
    <w:uiPriority w:val="0"/>
    <w:pPr>
      <w:widowControl/>
      <w:spacing w:before="100" w:beforeAutospacing="1" w:after="100" w:afterAutospacing="1"/>
      <w:jc w:val="left"/>
    </w:pPr>
    <w:rPr>
      <w:rFonts w:ascii="Times New Roman" w:hAnsi="Times New Roman"/>
      <w:b/>
      <w:bCs/>
      <w:kern w:val="0"/>
      <w:sz w:val="28"/>
      <w:szCs w:val="28"/>
    </w:rPr>
  </w:style>
  <w:style w:type="paragraph" w:customStyle="1" w:styleId="117">
    <w:name w:val="font7"/>
    <w:basedOn w:val="1"/>
    <w:qFormat/>
    <w:uiPriority w:val="0"/>
    <w:pPr>
      <w:widowControl/>
      <w:spacing w:before="100" w:beforeAutospacing="1" w:after="100" w:afterAutospacing="1"/>
      <w:jc w:val="left"/>
    </w:pPr>
    <w:rPr>
      <w:rFonts w:ascii="Times New Roman" w:hAnsi="Times New Roman"/>
      <w:kern w:val="0"/>
      <w:sz w:val="28"/>
      <w:szCs w:val="28"/>
    </w:rPr>
  </w:style>
  <w:style w:type="paragraph" w:customStyle="1" w:styleId="118">
    <w:name w:val="font8"/>
    <w:basedOn w:val="1"/>
    <w:qFormat/>
    <w:uiPriority w:val="0"/>
    <w:pPr>
      <w:widowControl/>
      <w:spacing w:before="100" w:beforeAutospacing="1" w:after="100" w:afterAutospacing="1"/>
      <w:jc w:val="left"/>
    </w:pPr>
    <w:rPr>
      <w:rFonts w:ascii="仿宋_GB2312" w:hAnsi="宋体" w:eastAsia="仿宋_GB2312" w:cs="宋体"/>
      <w:kern w:val="0"/>
      <w:sz w:val="28"/>
      <w:szCs w:val="28"/>
    </w:rPr>
  </w:style>
  <w:style w:type="paragraph" w:customStyle="1" w:styleId="119">
    <w:name w:val="font9"/>
    <w:basedOn w:val="1"/>
    <w:qFormat/>
    <w:uiPriority w:val="0"/>
    <w:pPr>
      <w:widowControl/>
      <w:spacing w:before="100" w:beforeAutospacing="1" w:after="100" w:afterAutospacing="1"/>
      <w:jc w:val="left"/>
    </w:pPr>
    <w:rPr>
      <w:rFonts w:ascii="仿宋_GB2312" w:hAnsi="宋体" w:eastAsia="仿宋_GB2312" w:cs="宋体"/>
      <w:color w:val="FF0000"/>
      <w:kern w:val="0"/>
      <w:sz w:val="28"/>
      <w:szCs w:val="28"/>
    </w:rPr>
  </w:style>
  <w:style w:type="paragraph" w:customStyle="1" w:styleId="120">
    <w:name w:val="font10"/>
    <w:basedOn w:val="1"/>
    <w:qFormat/>
    <w:uiPriority w:val="0"/>
    <w:pPr>
      <w:widowControl/>
      <w:spacing w:before="100" w:beforeAutospacing="1" w:after="100" w:afterAutospacing="1"/>
      <w:jc w:val="left"/>
    </w:pPr>
    <w:rPr>
      <w:rFonts w:ascii="仿宋_GB2312" w:hAnsi="宋体" w:eastAsia="仿宋_GB2312" w:cs="宋体"/>
      <w:color w:val="000000"/>
      <w:kern w:val="0"/>
      <w:sz w:val="28"/>
      <w:szCs w:val="28"/>
    </w:rPr>
  </w:style>
  <w:style w:type="paragraph" w:customStyle="1" w:styleId="121">
    <w:name w:val="font12"/>
    <w:basedOn w:val="1"/>
    <w:qFormat/>
    <w:uiPriority w:val="0"/>
    <w:pPr>
      <w:widowControl/>
      <w:spacing w:before="100" w:beforeAutospacing="1" w:after="100" w:afterAutospacing="1"/>
      <w:jc w:val="left"/>
    </w:pPr>
    <w:rPr>
      <w:rFonts w:ascii="宋体" w:hAnsi="宋体" w:cs="宋体"/>
      <w:kern w:val="0"/>
      <w:sz w:val="28"/>
      <w:szCs w:val="28"/>
    </w:rPr>
  </w:style>
  <w:style w:type="paragraph" w:customStyle="1" w:styleId="122">
    <w:name w:val="xl66"/>
    <w:basedOn w:val="1"/>
    <w:qFormat/>
    <w:uiPriority w:val="0"/>
    <w:pPr>
      <w:widowControl/>
      <w:spacing w:before="100" w:beforeAutospacing="1" w:after="100" w:afterAutospacing="1"/>
      <w:jc w:val="left"/>
    </w:pPr>
    <w:rPr>
      <w:rFonts w:ascii="Times New Roman" w:hAnsi="Times New Roman"/>
      <w:kern w:val="0"/>
      <w:sz w:val="28"/>
      <w:szCs w:val="28"/>
    </w:rPr>
  </w:style>
  <w:style w:type="paragraph" w:customStyle="1" w:styleId="123">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8"/>
      <w:szCs w:val="28"/>
    </w:rPr>
  </w:style>
  <w:style w:type="paragraph" w:customStyle="1" w:styleId="124">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kern w:val="0"/>
      <w:sz w:val="28"/>
      <w:szCs w:val="28"/>
    </w:rPr>
  </w:style>
  <w:style w:type="paragraph" w:customStyle="1" w:styleId="125">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8"/>
      <w:szCs w:val="28"/>
    </w:rPr>
  </w:style>
  <w:style w:type="paragraph" w:customStyle="1" w:styleId="12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kern w:val="0"/>
      <w:sz w:val="28"/>
      <w:szCs w:val="28"/>
    </w:rPr>
  </w:style>
  <w:style w:type="paragraph" w:customStyle="1" w:styleId="127">
    <w:name w:val="xl71"/>
    <w:basedOn w:val="1"/>
    <w:qFormat/>
    <w:uiPriority w:val="0"/>
    <w:pPr>
      <w:widowControl/>
      <w:spacing w:before="100" w:beforeAutospacing="1" w:after="100" w:afterAutospacing="1"/>
      <w:jc w:val="left"/>
    </w:pPr>
    <w:rPr>
      <w:rFonts w:ascii="Times New Roman" w:hAnsi="Times New Roman"/>
      <w:kern w:val="0"/>
      <w:sz w:val="24"/>
      <w:szCs w:val="24"/>
    </w:rPr>
  </w:style>
  <w:style w:type="paragraph" w:customStyle="1" w:styleId="128">
    <w:name w:val="xl72"/>
    <w:basedOn w:val="1"/>
    <w:qFormat/>
    <w:uiPriority w:val="0"/>
    <w:pPr>
      <w:widowControl/>
      <w:spacing w:before="100" w:beforeAutospacing="1" w:after="100" w:afterAutospacing="1"/>
      <w:jc w:val="left"/>
    </w:pPr>
    <w:rPr>
      <w:rFonts w:ascii="Times New Roman" w:hAnsi="Times New Roman"/>
      <w:kern w:val="0"/>
      <w:sz w:val="20"/>
      <w:szCs w:val="20"/>
    </w:rPr>
  </w:style>
  <w:style w:type="paragraph" w:customStyle="1" w:styleId="129">
    <w:name w:val="xl73"/>
    <w:basedOn w:val="1"/>
    <w:qFormat/>
    <w:uiPriority w:val="0"/>
    <w:pPr>
      <w:widowControl/>
      <w:spacing w:before="100" w:beforeAutospacing="1" w:after="100" w:afterAutospacing="1"/>
      <w:jc w:val="center"/>
    </w:pPr>
    <w:rPr>
      <w:rFonts w:ascii="Times New Roman" w:hAnsi="Times New Roman"/>
      <w:kern w:val="0"/>
      <w:sz w:val="20"/>
      <w:szCs w:val="20"/>
    </w:rPr>
  </w:style>
  <w:style w:type="paragraph" w:customStyle="1" w:styleId="130">
    <w:name w:val="xl74"/>
    <w:basedOn w:val="1"/>
    <w:qFormat/>
    <w:uiPriority w:val="0"/>
    <w:pPr>
      <w:widowControl/>
      <w:spacing w:before="100" w:beforeAutospacing="1" w:after="100" w:afterAutospacing="1"/>
      <w:jc w:val="center"/>
    </w:pPr>
    <w:rPr>
      <w:rFonts w:ascii="Times New Roman" w:hAnsi="Times New Roman"/>
      <w:kern w:val="0"/>
      <w:sz w:val="20"/>
      <w:szCs w:val="20"/>
    </w:rPr>
  </w:style>
  <w:style w:type="paragraph" w:customStyle="1" w:styleId="131">
    <w:name w:val="xl75"/>
    <w:basedOn w:val="1"/>
    <w:qFormat/>
    <w:uiPriority w:val="0"/>
    <w:pPr>
      <w:widowControl/>
      <w:spacing w:before="100" w:beforeAutospacing="1" w:after="100" w:afterAutospacing="1"/>
      <w:jc w:val="center"/>
    </w:pPr>
    <w:rPr>
      <w:rFonts w:ascii="Times New Roman" w:hAnsi="Times New Roman"/>
      <w:kern w:val="0"/>
      <w:sz w:val="20"/>
      <w:szCs w:val="20"/>
    </w:rPr>
  </w:style>
  <w:style w:type="paragraph" w:customStyle="1" w:styleId="13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b/>
      <w:bCs/>
      <w:kern w:val="0"/>
      <w:sz w:val="28"/>
      <w:szCs w:val="28"/>
    </w:rPr>
  </w:style>
  <w:style w:type="paragraph" w:customStyle="1" w:styleId="133">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b/>
      <w:bCs/>
      <w:kern w:val="0"/>
      <w:sz w:val="28"/>
      <w:szCs w:val="28"/>
    </w:rPr>
  </w:style>
  <w:style w:type="paragraph" w:customStyle="1" w:styleId="134">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kern w:val="0"/>
      <w:sz w:val="28"/>
      <w:szCs w:val="28"/>
    </w:rPr>
  </w:style>
  <w:style w:type="paragraph" w:customStyle="1" w:styleId="135">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kern w:val="0"/>
      <w:sz w:val="28"/>
      <w:szCs w:val="28"/>
    </w:rPr>
  </w:style>
  <w:style w:type="paragraph" w:customStyle="1" w:styleId="136">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color w:val="FF0000"/>
      <w:kern w:val="0"/>
      <w:sz w:val="28"/>
      <w:szCs w:val="28"/>
    </w:rPr>
  </w:style>
  <w:style w:type="paragraph" w:customStyle="1" w:styleId="137">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仿宋_GB2312" w:hAnsi="宋体" w:eastAsia="仿宋_GB2312" w:cs="宋体"/>
      <w:kern w:val="0"/>
      <w:sz w:val="28"/>
      <w:szCs w:val="28"/>
    </w:rPr>
  </w:style>
  <w:style w:type="paragraph" w:customStyle="1" w:styleId="138">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color w:val="000000"/>
      <w:kern w:val="0"/>
      <w:sz w:val="28"/>
      <w:szCs w:val="28"/>
    </w:rPr>
  </w:style>
  <w:style w:type="paragraph" w:customStyle="1" w:styleId="139">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仿宋_GB2312" w:hAnsi="宋体" w:eastAsia="仿宋_GB2312" w:cs="宋体"/>
      <w:kern w:val="0"/>
      <w:sz w:val="28"/>
      <w:szCs w:val="28"/>
    </w:rPr>
  </w:style>
  <w:style w:type="paragraph" w:customStyle="1" w:styleId="140">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kern w:val="0"/>
      <w:sz w:val="28"/>
      <w:szCs w:val="28"/>
    </w:rPr>
  </w:style>
  <w:style w:type="paragraph" w:customStyle="1" w:styleId="141">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kern w:val="0"/>
      <w:sz w:val="28"/>
      <w:szCs w:val="28"/>
    </w:rPr>
  </w:style>
  <w:style w:type="paragraph" w:customStyle="1" w:styleId="142">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kern w:val="0"/>
      <w:sz w:val="20"/>
      <w:szCs w:val="20"/>
    </w:rPr>
  </w:style>
  <w:style w:type="paragraph" w:customStyle="1" w:styleId="143">
    <w:name w:val="xl87"/>
    <w:basedOn w:val="1"/>
    <w:qFormat/>
    <w:uiPriority w:val="0"/>
    <w:pPr>
      <w:widowControl/>
      <w:spacing w:before="100" w:beforeAutospacing="1" w:after="100" w:afterAutospacing="1"/>
      <w:jc w:val="center"/>
    </w:pPr>
    <w:rPr>
      <w:rFonts w:ascii="仿宋_GB2312" w:hAnsi="宋体" w:eastAsia="仿宋_GB2312" w:cs="宋体"/>
      <w:kern w:val="0"/>
      <w:sz w:val="28"/>
      <w:szCs w:val="28"/>
    </w:rPr>
  </w:style>
  <w:style w:type="paragraph" w:customStyle="1" w:styleId="144">
    <w:name w:val="xl88"/>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仿宋_GB2312" w:hAnsi="宋体" w:eastAsia="仿宋_GB2312" w:cs="宋体"/>
      <w:kern w:val="0"/>
      <w:sz w:val="28"/>
      <w:szCs w:val="28"/>
    </w:rPr>
  </w:style>
  <w:style w:type="paragraph" w:customStyle="1" w:styleId="145">
    <w:name w:val="xl89"/>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Times New Roman" w:hAnsi="Times New Roman"/>
      <w:kern w:val="0"/>
      <w:sz w:val="28"/>
      <w:szCs w:val="28"/>
    </w:rPr>
  </w:style>
  <w:style w:type="paragraph" w:customStyle="1" w:styleId="146">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Times New Roman" w:hAnsi="Times New Roman"/>
      <w:kern w:val="0"/>
      <w:sz w:val="28"/>
      <w:szCs w:val="28"/>
    </w:rPr>
  </w:style>
  <w:style w:type="paragraph" w:customStyle="1" w:styleId="147">
    <w:name w:val="xl91"/>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仿宋_GB2312" w:hAnsi="宋体" w:eastAsia="仿宋_GB2312" w:cs="宋体"/>
      <w:kern w:val="0"/>
      <w:sz w:val="28"/>
      <w:szCs w:val="28"/>
    </w:rPr>
  </w:style>
  <w:style w:type="paragraph" w:customStyle="1" w:styleId="148">
    <w:name w:val="xl92"/>
    <w:basedOn w:val="1"/>
    <w:qFormat/>
    <w:uiPriority w:val="0"/>
    <w:pPr>
      <w:widowControl/>
      <w:pBdr>
        <w:top w:val="single" w:color="auto" w:sz="4" w:space="0"/>
        <w:left w:val="single" w:color="auto" w:sz="4" w:space="0"/>
        <w:bottom w:val="single" w:color="000000" w:sz="4" w:space="0"/>
        <w:right w:val="single" w:color="auto" w:sz="4" w:space="0"/>
      </w:pBdr>
      <w:spacing w:before="100" w:beforeAutospacing="1" w:after="100" w:afterAutospacing="1"/>
      <w:jc w:val="center"/>
    </w:pPr>
    <w:rPr>
      <w:rFonts w:ascii="Times New Roman" w:hAnsi="Times New Roman"/>
      <w:kern w:val="0"/>
      <w:sz w:val="28"/>
      <w:szCs w:val="28"/>
    </w:rPr>
  </w:style>
  <w:style w:type="paragraph" w:customStyle="1" w:styleId="149">
    <w:name w:val="xl93"/>
    <w:basedOn w:val="1"/>
    <w:qFormat/>
    <w:uiPriority w:val="0"/>
    <w:pPr>
      <w:widowControl/>
      <w:pBdr>
        <w:top w:val="single" w:color="auto" w:sz="4" w:space="0"/>
        <w:left w:val="single" w:color="auto" w:sz="4" w:space="0"/>
        <w:bottom w:val="single" w:color="000000" w:sz="4" w:space="0"/>
        <w:right w:val="single" w:color="auto" w:sz="4" w:space="0"/>
      </w:pBdr>
      <w:spacing w:before="100" w:beforeAutospacing="1" w:after="100" w:afterAutospacing="1"/>
      <w:jc w:val="center"/>
    </w:pPr>
    <w:rPr>
      <w:rFonts w:ascii="Times New Roman" w:hAnsi="Times New Roman"/>
      <w:kern w:val="0"/>
      <w:sz w:val="28"/>
      <w:szCs w:val="28"/>
    </w:rPr>
  </w:style>
  <w:style w:type="paragraph" w:customStyle="1" w:styleId="150">
    <w:name w:val="xl94"/>
    <w:basedOn w:val="1"/>
    <w:qFormat/>
    <w:uiPriority w:val="0"/>
    <w:pPr>
      <w:widowControl/>
      <w:pBdr>
        <w:top w:val="single" w:color="auto" w:sz="4" w:space="0"/>
        <w:left w:val="single" w:color="auto" w:sz="4" w:space="0"/>
        <w:bottom w:val="single" w:color="000000" w:sz="4" w:space="0"/>
        <w:right w:val="single" w:color="auto" w:sz="4" w:space="0"/>
      </w:pBdr>
      <w:spacing w:before="100" w:beforeAutospacing="1" w:after="100" w:afterAutospacing="1"/>
      <w:jc w:val="center"/>
    </w:pPr>
    <w:rPr>
      <w:rFonts w:ascii="Times New Roman" w:hAnsi="Times New Roman"/>
      <w:kern w:val="0"/>
      <w:sz w:val="28"/>
      <w:szCs w:val="28"/>
    </w:rPr>
  </w:style>
  <w:style w:type="paragraph" w:customStyle="1" w:styleId="151">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8"/>
      <w:szCs w:val="28"/>
    </w:rPr>
  </w:style>
  <w:style w:type="paragraph" w:customStyle="1" w:styleId="152">
    <w:name w:val="xl96"/>
    <w:basedOn w:val="1"/>
    <w:qFormat/>
    <w:uiPriority w:val="0"/>
    <w:pPr>
      <w:widowControl/>
      <w:pBdr>
        <w:top w:val="single" w:color="auto" w:sz="4" w:space="0"/>
        <w:left w:val="single" w:color="auto" w:sz="4" w:space="0"/>
        <w:bottom w:val="single" w:color="000000" w:sz="4" w:space="0"/>
        <w:right w:val="single" w:color="auto" w:sz="4" w:space="0"/>
      </w:pBdr>
      <w:spacing w:before="100" w:beforeAutospacing="1" w:after="100" w:afterAutospacing="1"/>
      <w:jc w:val="left"/>
    </w:pPr>
    <w:rPr>
      <w:rFonts w:ascii="Times New Roman" w:hAnsi="Times New Roman"/>
      <w:kern w:val="0"/>
      <w:sz w:val="28"/>
      <w:szCs w:val="28"/>
    </w:rPr>
  </w:style>
  <w:style w:type="paragraph" w:customStyle="1" w:styleId="153">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b/>
      <w:bCs/>
      <w:kern w:val="0"/>
      <w:sz w:val="28"/>
      <w:szCs w:val="28"/>
    </w:rPr>
  </w:style>
  <w:style w:type="paragraph" w:customStyle="1" w:styleId="154">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b/>
      <w:bCs/>
      <w:kern w:val="0"/>
      <w:sz w:val="28"/>
      <w:szCs w:val="28"/>
    </w:rPr>
  </w:style>
  <w:style w:type="paragraph" w:customStyle="1" w:styleId="155">
    <w:name w:val="font13"/>
    <w:basedOn w:val="1"/>
    <w:qFormat/>
    <w:uiPriority w:val="0"/>
    <w:pPr>
      <w:widowControl/>
      <w:spacing w:before="100" w:beforeAutospacing="1" w:after="100" w:afterAutospacing="1"/>
      <w:jc w:val="left"/>
    </w:pPr>
    <w:rPr>
      <w:rFonts w:ascii="宋体" w:hAnsi="宋体" w:cs="宋体"/>
      <w:kern w:val="0"/>
      <w:sz w:val="28"/>
      <w:szCs w:val="28"/>
    </w:rPr>
  </w:style>
  <w:style w:type="paragraph" w:customStyle="1" w:styleId="156">
    <w:name w:val="xl64"/>
    <w:basedOn w:val="1"/>
    <w:qFormat/>
    <w:uiPriority w:val="0"/>
    <w:pPr>
      <w:widowControl/>
      <w:spacing w:before="100" w:beforeAutospacing="1" w:after="100" w:afterAutospacing="1"/>
      <w:jc w:val="left"/>
    </w:pPr>
    <w:rPr>
      <w:rFonts w:ascii="Times New Roman" w:hAnsi="Times New Roman"/>
      <w:kern w:val="0"/>
      <w:sz w:val="28"/>
      <w:szCs w:val="28"/>
    </w:rPr>
  </w:style>
  <w:style w:type="paragraph" w:customStyle="1" w:styleId="157">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8"/>
      <w:szCs w:val="28"/>
    </w:rPr>
  </w:style>
  <w:style w:type="paragraph" w:customStyle="1" w:styleId="158">
    <w:name w:val="xl99"/>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仿宋_GB2312" w:hAnsi="宋体" w:eastAsia="仿宋_GB2312" w:cs="宋体"/>
      <w:kern w:val="0"/>
      <w:sz w:val="28"/>
      <w:szCs w:val="28"/>
    </w:rPr>
  </w:style>
  <w:style w:type="paragraph" w:customStyle="1" w:styleId="159">
    <w:name w:val="xl100"/>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Times New Roman" w:hAnsi="Times New Roman"/>
      <w:kern w:val="0"/>
      <w:sz w:val="28"/>
      <w:szCs w:val="28"/>
    </w:rPr>
  </w:style>
  <w:style w:type="paragraph" w:customStyle="1" w:styleId="160">
    <w:name w:val="xl101"/>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Times New Roman" w:hAnsi="Times New Roman"/>
      <w:kern w:val="0"/>
      <w:sz w:val="28"/>
      <w:szCs w:val="28"/>
    </w:rPr>
  </w:style>
  <w:style w:type="paragraph" w:customStyle="1" w:styleId="161">
    <w:name w:val="xl102"/>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仿宋_GB2312" w:hAnsi="宋体" w:eastAsia="仿宋_GB2312" w:cs="宋体"/>
      <w:kern w:val="0"/>
      <w:sz w:val="28"/>
      <w:szCs w:val="28"/>
    </w:rPr>
  </w:style>
  <w:style w:type="paragraph" w:customStyle="1" w:styleId="162">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b/>
      <w:bCs/>
      <w:kern w:val="0"/>
      <w:sz w:val="28"/>
      <w:szCs w:val="28"/>
    </w:rPr>
  </w:style>
  <w:style w:type="paragraph" w:customStyle="1" w:styleId="163">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b/>
      <w:bCs/>
      <w:kern w:val="0"/>
      <w:sz w:val="28"/>
      <w:szCs w:val="28"/>
    </w:rPr>
  </w:style>
  <w:style w:type="paragraph" w:customStyle="1" w:styleId="164">
    <w:name w:val="xl105"/>
    <w:basedOn w:val="1"/>
    <w:qFormat/>
    <w:uiPriority w:val="0"/>
    <w:pPr>
      <w:widowControl/>
      <w:pBdr>
        <w:top w:val="single" w:color="000000" w:sz="4" w:space="0"/>
        <w:left w:val="single" w:color="auto" w:sz="4" w:space="0"/>
        <w:bottom w:val="single" w:color="auto" w:sz="4" w:space="0"/>
        <w:right w:val="single" w:color="auto" w:sz="4" w:space="0"/>
      </w:pBdr>
      <w:spacing w:before="100" w:beforeAutospacing="1" w:after="100" w:afterAutospacing="1"/>
    </w:pPr>
    <w:rPr>
      <w:rFonts w:ascii="宋体" w:hAnsi="宋体" w:cs="宋体"/>
      <w:b/>
      <w:bCs/>
      <w:kern w:val="0"/>
      <w:sz w:val="28"/>
      <w:szCs w:val="28"/>
    </w:rPr>
  </w:style>
  <w:style w:type="paragraph" w:customStyle="1" w:styleId="165">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Times New Roman" w:hAnsi="Times New Roman"/>
      <w:b/>
      <w:bCs/>
      <w:kern w:val="0"/>
      <w:sz w:val="28"/>
      <w:szCs w:val="28"/>
    </w:rPr>
  </w:style>
  <w:style w:type="character" w:customStyle="1" w:styleId="166">
    <w:name w:val="font152"/>
    <w:basedOn w:val="32"/>
    <w:qFormat/>
    <w:uiPriority w:val="0"/>
    <w:rPr>
      <w:rFonts w:hint="default" w:ascii="Times New Roman" w:hAnsi="Times New Roman" w:cs="Times New Roman"/>
      <w:color w:val="FF0000"/>
      <w:sz w:val="28"/>
      <w:szCs w:val="28"/>
      <w:u w:val="none"/>
    </w:rPr>
  </w:style>
  <w:style w:type="character" w:customStyle="1" w:styleId="167">
    <w:name w:val="fontstyle01"/>
    <w:basedOn w:val="32"/>
    <w:qFormat/>
    <w:uiPriority w:val="0"/>
    <w:rPr>
      <w:rFonts w:hint="eastAsia" w:ascii="宋体" w:hAnsi="宋体" w:eastAsia="宋体"/>
      <w:color w:val="000000"/>
      <w:sz w:val="24"/>
      <w:szCs w:val="24"/>
    </w:rPr>
  </w:style>
  <w:style w:type="paragraph" w:customStyle="1" w:styleId="168">
    <w:name w:val="修订2"/>
    <w:hidden/>
    <w:unhideWhenUsed/>
    <w:qFormat/>
    <w:uiPriority w:val="99"/>
    <w:rPr>
      <w:rFonts w:ascii="Times New Roman" w:hAnsi="Times New Roman" w:eastAsia="仿宋_GB2312" w:cs="宋体"/>
      <w:kern w:val="2"/>
      <w:sz w:val="32"/>
      <w:szCs w:val="24"/>
      <w:lang w:val="en-US" w:eastAsia="zh-CN" w:bidi="ar-SA"/>
    </w:rPr>
  </w:style>
  <w:style w:type="character" w:customStyle="1" w:styleId="169">
    <w:name w:val="脚注文本 字符"/>
    <w:basedOn w:val="32"/>
    <w:link w:val="25"/>
    <w:qFormat/>
    <w:uiPriority w:val="0"/>
    <w:rPr>
      <w:rFonts w:ascii="Calibri" w:hAnsi="Calibri"/>
      <w:kern w:val="2"/>
      <w:sz w:val="18"/>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Version="6" SelectedStyle="\APASixthEditionOfficeOnline.xsl" StyleName="APA"/>
</file>

<file path=customXml/item3.xml><?xml version="1.0" encoding="utf-8"?>
<contractReview xmlns="http://schemas.wps.cn/vas-ai-hub/contract-review">
  <reviewItems>
    <reviewItem>
      <errorID>43df687e-1908-4b61-b515-7f8437046a59</errorID>
      <errorWord>。</errorWord>
      <group>L1_Punc</group>
      <groupName>标点问题</groupName>
      <ability>L2_Punc_CN</ability>
      <abilityName>标点符号问题</abilityName>
      <candidateList>
        <item>：</item>
      </candidateList>
      <explain/>
      <paraID>7A313EAE</paraID>
      <start>20</start>
      <end>21</end>
      <status>modified</status>
      <modifiedWord>：</modifiedWord>
      <trackRevisions>false</trackRevisions>
    </reviewItem>
    <reviewItem>
      <errorID>68af8a66-80b7-49f5-95c9-6b9f3c8b7d1f</errorID>
      <errorWord>县市</errorWord>
      <group>L1_Word</group>
      <groupName>字词问题</groupName>
      <ability>L2_Typo</ability>
      <abilityName>字词错误</abilityName>
      <candidateList>
        <item>县</item>
      </candidateList>
      <explain/>
      <paraID>2263CF57</paraID>
      <start>8</start>
      <end>10</end>
      <status>ignored</status>
      <modifiedWord/>
      <trackRevisions>false</trackRevisions>
    </reviewItem>
    <reviewItem>
      <errorID>23ae9f52-2c6b-4667-919c-ea48fbfbbe2a</errorID>
      <errorWord>园区</errorWord>
      <group>L1_Grammar</group>
      <groupName>语法问题</groupName>
      <ability>L2_Grammar</ability>
      <abilityName>语法错误</abilityName>
      <candidateList>
        <item>市、园区</item>
      </candidateList>
      <explain/>
      <paraID>2263CF57</paraID>
      <start>11</start>
      <end>13</end>
      <status>ignored</status>
      <modifiedWord/>
      <trackRevisions>false</trackRevisions>
    </reviewItem>
    <reviewItem>
      <errorID>c98ce84a-e17b-494d-86f0-556143482ef6</errorID>
      <errorWord>。</errorWord>
      <group>L1_Punc</group>
      <groupName>标点问题</groupName>
      <ability>L2_Punc_CN</ability>
      <abilityName>标点符号问题</abilityName>
      <candidateList>
        <item>，</item>
      </candidateList>
      <explain/>
      <paraID>7F6FE958</paraID>
      <start>116</start>
      <end>117</end>
      <status>ignored</status>
      <modifiedWord/>
      <trackRevisions>false</trackRevisions>
    </reviewItem>
    <reviewItem>
      <errorID>c7d2391a-df3e-47b9-8f5e-312a89f2bfe2</errorID>
      <errorWord>第十三条</errorWord>
      <group>L1_Format</group>
      <groupName>格式问题</groupName>
      <ability>L2_Ordinal</ability>
      <abilityName>序号格式</abilityName>
      <candidateList>
        <item>第十五条</item>
      </candidateList>
      <explain>标题顺序错误，请检查标题顺序是否合理。</explain>
      <paraID>347899F5</paraID>
      <start>0</start>
      <end>4</end>
      <status>modified</status>
      <modifiedWord>第十五条</modifiedWord>
      <trackRevisions>false</trackRevisions>
    </reviewItem>
    <reviewItem>
      <errorID>438f9d1a-6d43-4c34-9eae-754ab3554792</errorID>
      <errorWord>：</errorWord>
      <group>L1_Punc</group>
      <groupName>标点问题</groupName>
      <ability>L2_Punc_CN</ability>
      <abilityName>标点符号问题</abilityName>
      <candidateList>
        <item>。</item>
      </candidateList>
      <explain/>
      <paraID>3366AA9D</paraID>
      <start>189</start>
      <end>190</end>
      <status>modified</status>
      <modifiedWord>。</modifiedWord>
      <trackRevisions>false</trackRevisions>
    </reviewItem>
    <reviewItem>
      <errorID>7c4a7095-9b16-4b59-8da9-900aa49ca656</errorID>
      <errorWord>项目资料及时完善归档</errorWord>
      <group>L1_Word</group>
      <groupName>字词问题</groupName>
      <ability>L2_Typo</ability>
      <abilityName>字词错误</abilityName>
      <candidateList>
        <item>及时完善归档项目资料</item>
      </candidateList>
      <explain/>
      <paraID>17AEC7A3</paraID>
      <start>68</start>
      <end>78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70A0AC9-69FC-498D-BD09-9BA0B982B230}">
  <ds:schemaRefs/>
</ds:datastoreItem>
</file>

<file path=customXml/itemProps3.xml><?xml version="1.0" encoding="utf-8"?>
<ds:datastoreItem xmlns:ds="http://schemas.openxmlformats.org/officeDocument/2006/customXml" ds:itemID="{2F4B5D36-766B-423A-8675-23FC05037A34}">
  <ds:schemaRefs/>
</ds:datastoreItem>
</file>

<file path=docProps/app.xml><?xml version="1.0" encoding="utf-8"?>
<Properties xmlns="http://schemas.openxmlformats.org/officeDocument/2006/extended-properties" xmlns:vt="http://schemas.openxmlformats.org/officeDocument/2006/docPropsVTypes">
  <Template>Normal</Template>
  <Pages>16</Pages>
  <Words>3360</Words>
  <Characters>3360</Characters>
  <Lines>224</Lines>
  <Paragraphs>172</Paragraphs>
  <TotalTime>102</TotalTime>
  <ScaleCrop>false</ScaleCrop>
  <LinksUpToDate>false</LinksUpToDate>
  <CharactersWithSpaces>6548</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2026-09-02T02:34:00Z</dcterms:created>
  <dc:creator>ty水晶之恋</dc:creator>
  <cp:lastModifiedBy>Haibara Ai</cp:lastModifiedBy>
  <cp:lastPrinted>2026-08-30T18:53:00Z</cp:lastPrinted>
  <dcterms:modified xsi:type="dcterms:W3CDTF">2026-09-03T11:30:01Z</dcterms:modified>
  <cp:revision>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AFA38DB6AC3CBAB09FF2936A35DBD855_43</vt:lpwstr>
  </property>
  <property fmtid="{D5CDD505-2E9C-101B-9397-08002B2CF9AE}" pid="4" name="KSOTemplateDocerSaveRecord">
    <vt:lpwstr>eyJoZGlkIjoiMzEwNTM5NzYwMDRjMzkwZTVkZjY2ODkwMGIxNGU0OTUiLCJ1c2VySWQiOiIzNjYxMTg3MTgifQ==</vt:lpwstr>
  </property>
</Properties>
</file>