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beforeAutospacing="0" w:after="0" w:afterAutospacing="0" w:line="540" w:lineRule="exact"/>
        <w:jc w:val="center"/>
        <w:textAlignment w:val="auto"/>
        <w:rPr>
          <w:rFonts w:hint="eastAsia" w:ascii="方正小标宋简体" w:hAnsi="方正小标宋简体" w:eastAsia="方正小标宋简体" w:cs="方正小标宋简体"/>
          <w:b w:val="0"/>
          <w:bCs w:val="0"/>
          <w:spacing w:val="-11"/>
          <w:sz w:val="44"/>
          <w:szCs w:val="44"/>
        </w:rPr>
      </w:pPr>
      <w:r>
        <w:rPr>
          <w:rFonts w:hint="eastAsia" w:ascii="方正小标宋简体" w:hAnsi="方正小标宋简体" w:eastAsia="方正小标宋简体" w:cs="方正小标宋简体"/>
          <w:b w:val="0"/>
          <w:bCs w:val="0"/>
          <w:spacing w:val="-11"/>
          <w:sz w:val="44"/>
          <w:szCs w:val="44"/>
        </w:rPr>
        <w:t>昌吉州落实医疗卫生强基工程推进基层</w:t>
      </w:r>
    </w:p>
    <w:p>
      <w:pPr>
        <w:pStyle w:val="4"/>
        <w:keepNext w:val="0"/>
        <w:keepLines w:val="0"/>
        <w:pageBreakBefore w:val="0"/>
        <w:widowControl w:val="0"/>
        <w:kinsoku/>
        <w:wordWrap/>
        <w:overflowPunct/>
        <w:topLinePunct w:val="0"/>
        <w:autoSpaceDE/>
        <w:autoSpaceDN/>
        <w:bidi w:val="0"/>
        <w:adjustRightInd/>
        <w:snapToGrid/>
        <w:spacing w:beforeAutospacing="0" w:after="0" w:afterAutospacing="0" w:line="540" w:lineRule="exact"/>
        <w:jc w:val="center"/>
        <w:textAlignment w:val="auto"/>
        <w:rPr>
          <w:rFonts w:hint="eastAsia" w:ascii="方正小标宋简体" w:hAnsi="方正小标宋简体" w:eastAsia="方正小标宋简体" w:cs="方正小标宋简体"/>
          <w:b w:val="0"/>
          <w:bCs w:val="0"/>
          <w:spacing w:val="-11"/>
          <w:sz w:val="44"/>
          <w:szCs w:val="44"/>
        </w:rPr>
      </w:pPr>
      <w:r>
        <w:rPr>
          <w:rFonts w:hint="eastAsia" w:ascii="方正小标宋简体" w:hAnsi="方正小标宋简体" w:eastAsia="方正小标宋简体" w:cs="方正小标宋简体"/>
          <w:b w:val="0"/>
          <w:bCs w:val="0"/>
          <w:spacing w:val="-11"/>
          <w:sz w:val="44"/>
          <w:szCs w:val="44"/>
        </w:rPr>
        <w:t>医疗卫生高质量发展实施方案</w:t>
      </w:r>
    </w:p>
    <w:p>
      <w:pPr>
        <w:pStyle w:val="4"/>
        <w:keepNext w:val="0"/>
        <w:keepLines w:val="0"/>
        <w:pageBreakBefore w:val="0"/>
        <w:widowControl w:val="0"/>
        <w:kinsoku/>
        <w:wordWrap/>
        <w:overflowPunct/>
        <w:topLinePunct w:val="0"/>
        <w:autoSpaceDE/>
        <w:autoSpaceDN/>
        <w:bidi w:val="0"/>
        <w:adjustRightInd/>
        <w:snapToGrid/>
        <w:spacing w:beforeAutospacing="0" w:after="0" w:afterAutospacing="0" w:line="540" w:lineRule="exact"/>
        <w:jc w:val="center"/>
        <w:textAlignment w:val="auto"/>
        <w:rPr>
          <w:rFonts w:hint="eastAsia" w:ascii="方正小标宋简体" w:hAnsi="方正小标宋简体" w:eastAsia="方正小标宋简体" w:cs="方正小标宋简体"/>
          <w:b w:val="0"/>
          <w:bCs w:val="0"/>
          <w:spacing w:val="-11"/>
          <w:sz w:val="44"/>
          <w:szCs w:val="44"/>
          <w:lang w:eastAsia="zh-CN"/>
        </w:rPr>
      </w:pPr>
      <w:r>
        <w:rPr>
          <w:rFonts w:hint="eastAsia" w:ascii="方正小标宋简体" w:hAnsi="方正小标宋简体" w:eastAsia="方正小标宋简体" w:cs="方正小标宋简体"/>
          <w:b w:val="0"/>
          <w:bCs w:val="0"/>
          <w:spacing w:val="-11"/>
          <w:sz w:val="44"/>
          <w:szCs w:val="44"/>
          <w:lang w:eastAsia="zh-CN"/>
        </w:rPr>
        <w:t>（征求意见</w:t>
      </w:r>
      <w:bookmarkStart w:id="0" w:name="_GoBack"/>
      <w:bookmarkEnd w:id="0"/>
      <w:r>
        <w:rPr>
          <w:rFonts w:hint="eastAsia" w:ascii="方正小标宋简体" w:hAnsi="方正小标宋简体" w:eastAsia="方正小标宋简体" w:cs="方正小标宋简体"/>
          <w:b w:val="0"/>
          <w:bCs w:val="0"/>
          <w:spacing w:val="-11"/>
          <w:sz w:val="44"/>
          <w:szCs w:val="44"/>
          <w:lang w:eastAsia="zh-CN"/>
        </w:rPr>
        <w:t>稿）</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596" w:firstLineChars="200"/>
        <w:jc w:val="both"/>
        <w:textAlignment w:val="auto"/>
        <w:rPr>
          <w:rFonts w:hint="eastAsia" w:ascii="仿宋" w:hAnsi="仿宋" w:eastAsia="仿宋" w:cs="仿宋"/>
          <w:b w:val="0"/>
          <w:bCs w:val="0"/>
          <w:spacing w:val="-11"/>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596" w:firstLineChars="200"/>
        <w:jc w:val="both"/>
        <w:textAlignment w:val="auto"/>
        <w:rPr>
          <w:rFonts w:hint="eastAsia" w:ascii="仿宋" w:hAnsi="仿宋" w:eastAsia="仿宋" w:cs="仿宋"/>
          <w:b w:val="0"/>
          <w:bCs w:val="0"/>
          <w:spacing w:val="-11"/>
          <w:sz w:val="32"/>
          <w:szCs w:val="32"/>
        </w:rPr>
      </w:pPr>
      <w:r>
        <w:rPr>
          <w:rFonts w:hint="eastAsia" w:ascii="仿宋" w:hAnsi="仿宋" w:eastAsia="仿宋" w:cs="仿宋"/>
          <w:b w:val="0"/>
          <w:bCs w:val="0"/>
          <w:spacing w:val="-11"/>
          <w:sz w:val="32"/>
          <w:szCs w:val="32"/>
        </w:rPr>
        <w:t>为深入贯彻落实国家、自治区《医疗卫生强基工程实施方案》和自治区《关于进一步办好乡村医疗卫生机构的若干措施》文件精神，立足昌吉州医疗卫生发展实际，特制定本实施方案。</w:t>
      </w:r>
    </w:p>
    <w:p>
      <w:pPr>
        <w:keepNext w:val="0"/>
        <w:keepLines w:val="0"/>
        <w:pageBreakBefore w:val="0"/>
        <w:widowControl w:val="0"/>
        <w:kinsoku/>
        <w:wordWrap/>
        <w:overflowPunct/>
        <w:topLinePunct w:val="0"/>
        <w:autoSpaceDE/>
        <w:autoSpaceDN/>
        <w:bidi w:val="0"/>
        <w:adjustRightInd/>
        <w:snapToGrid/>
        <w:spacing w:line="540" w:lineRule="exact"/>
        <w:ind w:firstLine="596" w:firstLineChars="200"/>
        <w:jc w:val="both"/>
        <w:textAlignment w:val="auto"/>
        <w:rPr>
          <w:rFonts w:hint="eastAsia" w:ascii="黑体" w:hAnsi="黑体" w:eastAsia="黑体" w:cs="黑体"/>
          <w:b w:val="0"/>
          <w:bCs w:val="0"/>
          <w:spacing w:val="-11"/>
          <w:sz w:val="32"/>
          <w:szCs w:val="32"/>
          <w:lang w:eastAsia="zh-CN"/>
        </w:rPr>
      </w:pPr>
      <w:r>
        <w:rPr>
          <w:rFonts w:hint="eastAsia" w:ascii="黑体" w:hAnsi="黑体" w:eastAsia="黑体" w:cs="黑体"/>
          <w:b w:val="0"/>
          <w:bCs w:val="0"/>
          <w:spacing w:val="-11"/>
          <w:sz w:val="32"/>
          <w:szCs w:val="32"/>
        </w:rPr>
        <w:t>一、聚焦三医</w:t>
      </w:r>
      <w:r>
        <w:rPr>
          <w:rFonts w:hint="eastAsia" w:ascii="黑体" w:hAnsi="黑体" w:eastAsia="黑体" w:cs="黑体"/>
          <w:b w:val="0"/>
          <w:bCs w:val="0"/>
          <w:spacing w:val="-11"/>
          <w:sz w:val="32"/>
          <w:szCs w:val="32"/>
          <w:lang w:eastAsia="zh-CN"/>
        </w:rPr>
        <w:t>体制</w:t>
      </w:r>
      <w:r>
        <w:rPr>
          <w:rFonts w:hint="eastAsia" w:ascii="黑体" w:hAnsi="黑体" w:eastAsia="黑体" w:cs="黑体"/>
          <w:b w:val="0"/>
          <w:bCs w:val="0"/>
          <w:spacing w:val="-11"/>
          <w:sz w:val="32"/>
          <w:szCs w:val="32"/>
        </w:rPr>
        <w:t>改革，夯实基层运行基</w:t>
      </w:r>
      <w:r>
        <w:rPr>
          <w:rFonts w:hint="eastAsia" w:ascii="黑体" w:hAnsi="黑体" w:eastAsia="黑体" w:cs="黑体"/>
          <w:b w:val="0"/>
          <w:bCs w:val="0"/>
          <w:spacing w:val="-11"/>
          <w:sz w:val="32"/>
          <w:szCs w:val="32"/>
          <w:lang w:eastAsia="zh-CN"/>
        </w:rPr>
        <w:t>础</w:t>
      </w:r>
    </w:p>
    <w:p>
      <w:pPr>
        <w:keepNext w:val="0"/>
        <w:keepLines w:val="0"/>
        <w:pageBreakBefore w:val="0"/>
        <w:widowControl w:val="0"/>
        <w:kinsoku/>
        <w:wordWrap/>
        <w:overflowPunct/>
        <w:topLinePunct w:val="0"/>
        <w:autoSpaceDE/>
        <w:autoSpaceDN/>
        <w:bidi w:val="0"/>
        <w:adjustRightInd/>
        <w:snapToGrid/>
        <w:spacing w:line="540" w:lineRule="exact"/>
        <w:ind w:firstLine="596" w:firstLineChars="200"/>
        <w:jc w:val="both"/>
        <w:textAlignment w:val="auto"/>
        <w:rPr>
          <w:rFonts w:hint="eastAsia" w:ascii="楷体" w:hAnsi="楷体" w:eastAsia="楷体" w:cs="楷体"/>
          <w:b w:val="0"/>
          <w:bCs w:val="0"/>
          <w:spacing w:val="-11"/>
          <w:sz w:val="32"/>
          <w:szCs w:val="32"/>
        </w:rPr>
      </w:pPr>
      <w:r>
        <w:rPr>
          <w:rFonts w:hint="eastAsia" w:ascii="楷体" w:hAnsi="楷体" w:eastAsia="楷体" w:cs="楷体"/>
          <w:b w:val="0"/>
          <w:bCs w:val="0"/>
          <w:spacing w:val="-11"/>
          <w:sz w:val="32"/>
          <w:szCs w:val="32"/>
        </w:rPr>
        <w:t>（一）构建</w:t>
      </w:r>
      <w:r>
        <w:rPr>
          <w:rFonts w:hint="eastAsia" w:ascii="楷体" w:hAnsi="楷体" w:eastAsia="楷体" w:cs="楷体"/>
          <w:b w:val="0"/>
          <w:bCs w:val="0"/>
          <w:spacing w:val="-11"/>
          <w:sz w:val="32"/>
          <w:szCs w:val="32"/>
          <w:lang w:eastAsia="zh-CN"/>
        </w:rPr>
        <w:t>医共体</w:t>
      </w:r>
      <w:r>
        <w:rPr>
          <w:rFonts w:hint="eastAsia" w:ascii="楷体" w:hAnsi="楷体" w:eastAsia="楷体" w:cs="楷体"/>
          <w:b w:val="0"/>
          <w:bCs w:val="0"/>
          <w:spacing w:val="-11"/>
          <w:sz w:val="32"/>
          <w:szCs w:val="32"/>
        </w:rPr>
        <w:t>一体化健康管理新</w:t>
      </w:r>
      <w:r>
        <w:rPr>
          <w:rFonts w:hint="eastAsia" w:ascii="楷体" w:hAnsi="楷体" w:eastAsia="楷体" w:cs="楷体"/>
          <w:b w:val="0"/>
          <w:bCs w:val="0"/>
          <w:spacing w:val="-11"/>
          <w:sz w:val="32"/>
          <w:szCs w:val="32"/>
          <w:lang w:eastAsia="zh-CN"/>
        </w:rPr>
        <w:t>模</w:t>
      </w:r>
      <w:r>
        <w:rPr>
          <w:rFonts w:hint="eastAsia" w:ascii="楷体" w:hAnsi="楷体" w:eastAsia="楷体" w:cs="楷体"/>
          <w:b w:val="0"/>
          <w:bCs w:val="0"/>
          <w:spacing w:val="-11"/>
          <w:sz w:val="32"/>
          <w:szCs w:val="32"/>
        </w:rPr>
        <w:t xml:space="preserve">式 </w:t>
      </w:r>
    </w:p>
    <w:p>
      <w:pPr>
        <w:keepNext w:val="0"/>
        <w:keepLines w:val="0"/>
        <w:pageBreakBefore w:val="0"/>
        <w:widowControl w:val="0"/>
        <w:kinsoku/>
        <w:wordWrap/>
        <w:overflowPunct/>
        <w:topLinePunct w:val="0"/>
        <w:autoSpaceDE/>
        <w:autoSpaceDN/>
        <w:bidi w:val="0"/>
        <w:adjustRightInd/>
        <w:snapToGrid/>
        <w:spacing w:line="540" w:lineRule="exact"/>
        <w:ind w:firstLine="596" w:firstLineChars="200"/>
        <w:jc w:val="both"/>
        <w:textAlignment w:val="auto"/>
        <w:rPr>
          <w:rFonts w:hint="eastAsia" w:ascii="仿宋" w:hAnsi="仿宋" w:eastAsia="仿宋" w:cs="仿宋"/>
          <w:b w:val="0"/>
          <w:bCs w:val="0"/>
          <w:spacing w:val="-11"/>
          <w:sz w:val="32"/>
          <w:szCs w:val="32"/>
          <w:lang w:eastAsia="zh-CN"/>
        </w:rPr>
      </w:pPr>
      <w:r>
        <w:rPr>
          <w:rFonts w:hint="eastAsia" w:ascii="仿宋" w:hAnsi="仿宋" w:eastAsia="仿宋" w:cs="仿宋"/>
          <w:b w:val="0"/>
          <w:bCs w:val="0"/>
          <w:spacing w:val="-11"/>
          <w:sz w:val="32"/>
          <w:szCs w:val="32"/>
        </w:rPr>
        <w:t>1.</w:t>
      </w:r>
      <w:r>
        <w:rPr>
          <w:rFonts w:hint="eastAsia" w:ascii="仿宋" w:hAnsi="仿宋" w:eastAsia="仿宋" w:cs="仿宋"/>
          <w:b w:val="0"/>
          <w:bCs w:val="0"/>
          <w:color w:val="auto"/>
          <w:spacing w:val="-11"/>
          <w:sz w:val="32"/>
          <w:szCs w:val="32"/>
          <w:lang w:eastAsia="zh-CN"/>
        </w:rPr>
        <w:t>完善医共体总医院运行</w:t>
      </w:r>
      <w:r>
        <w:rPr>
          <w:rFonts w:hint="eastAsia" w:ascii="仿宋" w:hAnsi="仿宋" w:eastAsia="仿宋" w:cs="仿宋"/>
          <w:b w:val="0"/>
          <w:bCs w:val="0"/>
          <w:color w:val="auto"/>
          <w:spacing w:val="-11"/>
          <w:sz w:val="32"/>
          <w:szCs w:val="32"/>
          <w:lang w:val="en-US" w:eastAsia="zh-CN"/>
        </w:rPr>
        <w:t>管理</w:t>
      </w:r>
      <w:r>
        <w:rPr>
          <w:rFonts w:hint="eastAsia" w:ascii="仿宋" w:hAnsi="仿宋" w:eastAsia="仿宋" w:cs="仿宋"/>
          <w:b w:val="0"/>
          <w:bCs w:val="0"/>
          <w:color w:val="auto"/>
          <w:spacing w:val="-11"/>
          <w:sz w:val="32"/>
          <w:szCs w:val="32"/>
          <w:lang w:eastAsia="zh-CN"/>
        </w:rPr>
        <w:t>。</w:t>
      </w:r>
      <w:r>
        <w:rPr>
          <w:rFonts w:hint="eastAsia" w:ascii="仿宋" w:hAnsi="仿宋" w:eastAsia="仿宋" w:cs="仿宋"/>
          <w:b w:val="0"/>
          <w:bCs w:val="0"/>
          <w:color w:val="auto"/>
          <w:spacing w:val="-11"/>
          <w:sz w:val="32"/>
          <w:szCs w:val="32"/>
          <w:lang w:val="en-US" w:eastAsia="zh-CN"/>
        </w:rPr>
        <w:t>加强党的建设，</w:t>
      </w:r>
      <w:r>
        <w:rPr>
          <w:rFonts w:hint="eastAsia" w:ascii="仿宋" w:hAnsi="仿宋" w:eastAsia="仿宋" w:cs="仿宋"/>
          <w:b w:val="0"/>
          <w:bCs w:val="0"/>
          <w:color w:val="auto"/>
          <w:spacing w:val="-11"/>
          <w:sz w:val="32"/>
          <w:szCs w:val="32"/>
          <w:lang w:eastAsia="zh-CN"/>
        </w:rPr>
        <w:t>优化</w:t>
      </w:r>
      <w:r>
        <w:rPr>
          <w:rFonts w:hint="eastAsia" w:ascii="仿宋" w:hAnsi="仿宋" w:eastAsia="仿宋" w:cs="仿宋"/>
          <w:b w:val="0"/>
          <w:bCs w:val="0"/>
          <w:color w:val="auto"/>
          <w:spacing w:val="-11"/>
          <w:sz w:val="32"/>
          <w:szCs w:val="32"/>
        </w:rPr>
        <w:t>“一院多区”总医院</w:t>
      </w:r>
      <w:r>
        <w:rPr>
          <w:rFonts w:hint="eastAsia" w:ascii="仿宋" w:hAnsi="仿宋" w:eastAsia="仿宋" w:cs="仿宋"/>
          <w:b w:val="0"/>
          <w:bCs w:val="0"/>
          <w:color w:val="auto"/>
          <w:spacing w:val="-11"/>
          <w:sz w:val="32"/>
          <w:szCs w:val="32"/>
          <w:lang w:val="en-US" w:eastAsia="zh-CN"/>
        </w:rPr>
        <w:t>的</w:t>
      </w:r>
      <w:r>
        <w:rPr>
          <w:rFonts w:hint="eastAsia" w:ascii="仿宋" w:hAnsi="仿宋" w:eastAsia="仿宋" w:cs="仿宋"/>
          <w:b w:val="0"/>
          <w:bCs w:val="0"/>
          <w:color w:val="auto"/>
          <w:spacing w:val="-11"/>
          <w:sz w:val="32"/>
          <w:szCs w:val="32"/>
        </w:rPr>
        <w:t>治理模式</w:t>
      </w:r>
      <w:r>
        <w:rPr>
          <w:rFonts w:hint="eastAsia" w:ascii="仿宋" w:hAnsi="仿宋" w:eastAsia="仿宋" w:cs="仿宋"/>
          <w:b w:val="0"/>
          <w:bCs w:val="0"/>
          <w:color w:val="auto"/>
          <w:spacing w:val="-11"/>
          <w:sz w:val="32"/>
          <w:szCs w:val="32"/>
          <w:lang w:val="en-US" w:eastAsia="zh-CN"/>
        </w:rPr>
        <w:t>，</w:t>
      </w:r>
      <w:r>
        <w:rPr>
          <w:rFonts w:hint="eastAsia" w:ascii="仿宋" w:hAnsi="仿宋" w:eastAsia="仿宋" w:cs="仿宋"/>
          <w:b w:val="0"/>
          <w:bCs w:val="0"/>
          <w:color w:val="auto"/>
          <w:spacing w:val="-11"/>
          <w:sz w:val="32"/>
          <w:szCs w:val="32"/>
        </w:rPr>
        <w:t>落实县</w:t>
      </w:r>
      <w:r>
        <w:rPr>
          <w:rFonts w:hint="eastAsia" w:ascii="仿宋" w:hAnsi="仿宋" w:eastAsia="仿宋" w:cs="仿宋"/>
          <w:b w:val="0"/>
          <w:bCs w:val="0"/>
          <w:color w:val="auto"/>
          <w:spacing w:val="-11"/>
          <w:sz w:val="32"/>
          <w:szCs w:val="32"/>
          <w:lang w:eastAsia="zh-CN"/>
        </w:rPr>
        <w:t>（市）</w:t>
      </w:r>
      <w:r>
        <w:rPr>
          <w:rFonts w:hint="eastAsia" w:ascii="仿宋" w:hAnsi="仿宋" w:eastAsia="仿宋" w:cs="仿宋"/>
          <w:b w:val="0"/>
          <w:bCs w:val="0"/>
          <w:color w:val="auto"/>
          <w:spacing w:val="-11"/>
          <w:sz w:val="32"/>
          <w:szCs w:val="32"/>
        </w:rPr>
        <w:t>分管</w:t>
      </w:r>
      <w:r>
        <w:rPr>
          <w:rFonts w:hint="eastAsia" w:ascii="仿宋" w:hAnsi="仿宋" w:eastAsia="仿宋" w:cs="仿宋"/>
          <w:b w:val="0"/>
          <w:bCs w:val="0"/>
          <w:color w:val="auto"/>
          <w:spacing w:val="-11"/>
          <w:sz w:val="32"/>
          <w:szCs w:val="32"/>
          <w:lang w:eastAsia="zh-CN"/>
        </w:rPr>
        <w:t>领导（或卫健委党组书记）</w:t>
      </w:r>
      <w:r>
        <w:rPr>
          <w:rFonts w:hint="eastAsia" w:ascii="仿宋" w:hAnsi="仿宋" w:eastAsia="仿宋" w:cs="仿宋"/>
          <w:b w:val="0"/>
          <w:bCs w:val="0"/>
          <w:color w:val="auto"/>
          <w:spacing w:val="-11"/>
          <w:sz w:val="32"/>
          <w:szCs w:val="32"/>
        </w:rPr>
        <w:t>兼任总医院党委书记</w:t>
      </w:r>
      <w:r>
        <w:rPr>
          <w:rFonts w:hint="eastAsia" w:ascii="仿宋" w:hAnsi="仿宋" w:eastAsia="仿宋" w:cs="仿宋"/>
          <w:b w:val="0"/>
          <w:bCs w:val="0"/>
          <w:color w:val="auto"/>
          <w:spacing w:val="-11"/>
          <w:sz w:val="32"/>
          <w:szCs w:val="32"/>
          <w:lang w:eastAsia="zh-CN"/>
        </w:rPr>
        <w:t>或</w:t>
      </w:r>
      <w:r>
        <w:rPr>
          <w:rFonts w:hint="eastAsia" w:ascii="仿宋" w:hAnsi="仿宋" w:eastAsia="仿宋" w:cs="仿宋"/>
          <w:b w:val="0"/>
          <w:bCs w:val="0"/>
          <w:color w:val="auto"/>
          <w:spacing w:val="-11"/>
          <w:sz w:val="32"/>
          <w:szCs w:val="32"/>
        </w:rPr>
        <w:t>第一书记，</w:t>
      </w:r>
      <w:r>
        <w:rPr>
          <w:rFonts w:hint="eastAsia" w:ascii="仿宋" w:hAnsi="仿宋" w:eastAsia="仿宋" w:cs="仿宋"/>
          <w:b w:val="0"/>
          <w:bCs w:val="0"/>
          <w:color w:val="auto"/>
          <w:spacing w:val="-11"/>
          <w:sz w:val="32"/>
          <w:szCs w:val="32"/>
          <w:lang w:val="en-US" w:eastAsia="zh-CN"/>
        </w:rPr>
        <w:t>负责医共体内资源统筹、一体化管理、</w:t>
      </w:r>
      <w:r>
        <w:rPr>
          <w:rFonts w:hint="eastAsia" w:ascii="仿宋" w:hAnsi="仿宋" w:eastAsia="仿宋" w:cs="仿宋"/>
          <w:b w:val="0"/>
          <w:bCs w:val="0"/>
          <w:color w:val="auto"/>
          <w:spacing w:val="-11"/>
          <w:sz w:val="32"/>
          <w:szCs w:val="32"/>
        </w:rPr>
        <w:t>“三重一大”</w:t>
      </w:r>
      <w:r>
        <w:rPr>
          <w:rFonts w:hint="eastAsia" w:ascii="仿宋" w:hAnsi="仿宋" w:eastAsia="仿宋" w:cs="仿宋"/>
          <w:b w:val="0"/>
          <w:bCs w:val="0"/>
          <w:color w:val="auto"/>
          <w:spacing w:val="-11"/>
          <w:sz w:val="32"/>
          <w:szCs w:val="32"/>
          <w:lang w:val="en-US" w:eastAsia="zh-CN"/>
        </w:rPr>
        <w:t>等</w:t>
      </w:r>
      <w:r>
        <w:rPr>
          <w:rFonts w:hint="eastAsia" w:ascii="仿宋" w:hAnsi="仿宋" w:eastAsia="仿宋" w:cs="仿宋"/>
          <w:b w:val="0"/>
          <w:bCs w:val="0"/>
          <w:color w:val="auto"/>
          <w:spacing w:val="-11"/>
          <w:sz w:val="32"/>
          <w:szCs w:val="32"/>
        </w:rPr>
        <w:t>事项</w:t>
      </w:r>
      <w:r>
        <w:rPr>
          <w:rFonts w:hint="eastAsia" w:ascii="仿宋" w:hAnsi="仿宋" w:eastAsia="仿宋" w:cs="仿宋"/>
          <w:b w:val="0"/>
          <w:bCs w:val="0"/>
          <w:color w:val="auto"/>
          <w:spacing w:val="-11"/>
          <w:sz w:val="32"/>
          <w:szCs w:val="32"/>
          <w:lang w:eastAsia="zh-CN"/>
        </w:rPr>
        <w:t>。</w:t>
      </w:r>
      <w:r>
        <w:rPr>
          <w:rFonts w:hint="eastAsia" w:ascii="仿宋" w:hAnsi="仿宋" w:eastAsia="仿宋" w:cs="仿宋"/>
          <w:b w:val="0"/>
          <w:bCs w:val="0"/>
          <w:color w:val="auto"/>
          <w:spacing w:val="-11"/>
          <w:sz w:val="32"/>
          <w:szCs w:val="32"/>
          <w:lang w:val="en-US" w:eastAsia="zh-CN"/>
        </w:rPr>
        <w:t>探索“</w:t>
      </w:r>
      <w:r>
        <w:rPr>
          <w:rFonts w:hint="eastAsia" w:ascii="仿宋" w:hAnsi="仿宋" w:eastAsia="仿宋" w:cs="仿宋"/>
          <w:b w:val="0"/>
          <w:bCs w:val="0"/>
          <w:color w:val="auto"/>
          <w:spacing w:val="-11"/>
          <w:sz w:val="32"/>
          <w:szCs w:val="32"/>
        </w:rPr>
        <w:t>一个党委领导+一套班子管理”</w:t>
      </w:r>
      <w:r>
        <w:rPr>
          <w:rFonts w:hint="eastAsia" w:ascii="仿宋" w:hAnsi="仿宋" w:eastAsia="仿宋" w:cs="仿宋"/>
          <w:b w:val="0"/>
          <w:bCs w:val="0"/>
          <w:color w:val="auto"/>
          <w:spacing w:val="-11"/>
          <w:sz w:val="32"/>
          <w:szCs w:val="32"/>
          <w:lang w:val="en-US" w:eastAsia="zh-CN"/>
        </w:rPr>
        <w:t>的管理模式，科学设定总医院管理岗位，</w:t>
      </w:r>
      <w:r>
        <w:rPr>
          <w:rFonts w:hint="eastAsia" w:ascii="仿宋" w:hAnsi="仿宋" w:eastAsia="仿宋" w:cs="仿宋"/>
          <w:b w:val="0"/>
          <w:bCs w:val="0"/>
          <w:color w:val="auto"/>
          <w:spacing w:val="-11"/>
          <w:sz w:val="32"/>
          <w:szCs w:val="32"/>
        </w:rPr>
        <w:t>总医院</w:t>
      </w:r>
      <w:r>
        <w:rPr>
          <w:rFonts w:hint="eastAsia" w:ascii="仿宋" w:hAnsi="仿宋" w:eastAsia="仿宋" w:cs="仿宋"/>
          <w:b w:val="0"/>
          <w:bCs w:val="0"/>
          <w:color w:val="auto"/>
          <w:spacing w:val="-11"/>
          <w:sz w:val="32"/>
          <w:szCs w:val="32"/>
          <w:lang w:eastAsia="zh-CN"/>
        </w:rPr>
        <w:t>与</w:t>
      </w:r>
      <w:r>
        <w:rPr>
          <w:rFonts w:hint="eastAsia" w:ascii="仿宋" w:hAnsi="仿宋" w:eastAsia="仿宋" w:cs="仿宋"/>
          <w:b w:val="0"/>
          <w:bCs w:val="0"/>
          <w:color w:val="auto"/>
          <w:spacing w:val="-11"/>
          <w:sz w:val="32"/>
          <w:szCs w:val="32"/>
          <w:lang w:val="en-US" w:eastAsia="zh-CN"/>
        </w:rPr>
        <w:t>各院区</w:t>
      </w:r>
      <w:r>
        <w:rPr>
          <w:rFonts w:hint="eastAsia" w:ascii="仿宋" w:hAnsi="仿宋" w:eastAsia="仿宋" w:cs="仿宋"/>
          <w:b w:val="0"/>
          <w:bCs w:val="0"/>
          <w:color w:val="auto"/>
          <w:spacing w:val="-11"/>
          <w:sz w:val="32"/>
          <w:szCs w:val="32"/>
        </w:rPr>
        <w:t>实行一套班子分工</w:t>
      </w:r>
      <w:r>
        <w:rPr>
          <w:rFonts w:hint="eastAsia" w:ascii="仿宋" w:hAnsi="仿宋" w:eastAsia="仿宋" w:cs="仿宋"/>
          <w:b w:val="0"/>
          <w:bCs w:val="0"/>
          <w:color w:val="auto"/>
          <w:spacing w:val="-11"/>
          <w:sz w:val="32"/>
          <w:szCs w:val="32"/>
          <w:lang w:val="en-US" w:eastAsia="zh-CN"/>
        </w:rPr>
        <w:t>，各</w:t>
      </w:r>
      <w:r>
        <w:rPr>
          <w:rFonts w:hint="eastAsia" w:ascii="仿宋" w:hAnsi="仿宋" w:eastAsia="仿宋" w:cs="仿宋"/>
          <w:b w:val="0"/>
          <w:bCs w:val="0"/>
          <w:color w:val="auto"/>
          <w:spacing w:val="-11"/>
          <w:sz w:val="32"/>
          <w:szCs w:val="32"/>
        </w:rPr>
        <w:t>院区执行院长在该牵头医院分工中承担常务工作，理顺医共体内部治理权责</w:t>
      </w:r>
      <w:r>
        <w:rPr>
          <w:rFonts w:hint="eastAsia" w:ascii="仿宋" w:hAnsi="仿宋" w:eastAsia="仿宋" w:cs="仿宋"/>
          <w:b w:val="0"/>
          <w:bCs w:val="0"/>
          <w:color w:val="auto"/>
          <w:spacing w:val="-11"/>
          <w:sz w:val="32"/>
          <w:szCs w:val="32"/>
          <w:lang w:eastAsia="zh-CN"/>
        </w:rPr>
        <w:t>，</w:t>
      </w:r>
      <w:r>
        <w:rPr>
          <w:rFonts w:hint="eastAsia" w:ascii="仿宋" w:hAnsi="仿宋" w:eastAsia="仿宋" w:cs="仿宋"/>
          <w:b w:val="0"/>
          <w:bCs w:val="0"/>
          <w:color w:val="auto"/>
          <w:spacing w:val="-11"/>
          <w:sz w:val="32"/>
          <w:szCs w:val="32"/>
          <w:lang w:val="en-US" w:eastAsia="zh-CN"/>
        </w:rPr>
        <w:t>优化统一管理</w:t>
      </w:r>
      <w:r>
        <w:rPr>
          <w:rFonts w:hint="eastAsia" w:ascii="仿宋" w:hAnsi="仿宋" w:eastAsia="仿宋" w:cs="仿宋"/>
          <w:b w:val="0"/>
          <w:bCs w:val="0"/>
          <w:color w:val="auto"/>
          <w:spacing w:val="-1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596" w:firstLineChars="200"/>
        <w:jc w:val="both"/>
        <w:textAlignment w:val="auto"/>
        <w:rPr>
          <w:rFonts w:hint="eastAsia" w:ascii="仿宋" w:hAnsi="仿宋" w:eastAsia="仿宋" w:cs="仿宋"/>
          <w:b w:val="0"/>
          <w:bCs w:val="0"/>
          <w:spacing w:val="-11"/>
          <w:sz w:val="32"/>
          <w:szCs w:val="32"/>
          <w:lang w:eastAsia="zh-CN"/>
        </w:rPr>
      </w:pPr>
      <w:r>
        <w:rPr>
          <w:rFonts w:hint="eastAsia" w:ascii="仿宋" w:hAnsi="仿宋" w:eastAsia="仿宋" w:cs="仿宋"/>
          <w:b w:val="0"/>
          <w:bCs w:val="0"/>
          <w:spacing w:val="-11"/>
          <w:sz w:val="32"/>
          <w:szCs w:val="32"/>
        </w:rPr>
        <w:t>2. </w:t>
      </w:r>
      <w:r>
        <w:rPr>
          <w:rFonts w:hint="eastAsia" w:ascii="仿宋" w:hAnsi="仿宋" w:eastAsia="仿宋" w:cs="仿宋"/>
          <w:b w:val="0"/>
          <w:bCs w:val="0"/>
          <w:color w:val="auto"/>
          <w:spacing w:val="-11"/>
          <w:sz w:val="32"/>
          <w:szCs w:val="32"/>
          <w:highlight w:val="none"/>
          <w:lang w:val="en-US" w:eastAsia="zh-CN"/>
        </w:rPr>
        <w:t>建立分级诊疗新格局。强化基层医疗卫生机构能力建设，因地制宜完善基层医疗卫生机构布局建设，合理设置中心乡镇卫生院、重点中心乡镇卫生院和中心村卫生室。落实县域内各医疗卫生机构功能定位，疾控、妇幼等专业机构全面融入医共体，实现医疗质量统一管理，充分赋予医共体财务、人事、资产自主管理权。实施基层服务能力五年提升行动和乡镇卫生院医疗设备提质行动，推动优质医疗资源下沉，强化资源共享中心建设，建立健康管理中心、转诊会诊中心，提升县域服务协同与同质化水平，健全县域多发疾病综合管理体系。</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96" w:firstLineChars="200"/>
        <w:jc w:val="both"/>
        <w:textAlignment w:val="auto"/>
        <w:rPr>
          <w:rFonts w:hint="eastAsia" w:ascii="楷体" w:hAnsi="楷体" w:eastAsia="楷体" w:cs="楷体"/>
          <w:b w:val="0"/>
          <w:bCs w:val="0"/>
          <w:spacing w:val="-11"/>
          <w:sz w:val="32"/>
          <w:szCs w:val="32"/>
          <w:lang w:val="en-US" w:eastAsia="zh-CN"/>
        </w:rPr>
      </w:pPr>
      <w:r>
        <w:rPr>
          <w:rFonts w:hint="eastAsia" w:ascii="楷体" w:hAnsi="楷体" w:eastAsia="楷体" w:cs="楷体"/>
          <w:b w:val="0"/>
          <w:bCs w:val="0"/>
          <w:spacing w:val="-11"/>
          <w:sz w:val="32"/>
          <w:szCs w:val="32"/>
        </w:rPr>
        <w:t>（二）深化医保支付方式改革</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96" w:firstLineChars="200"/>
        <w:jc w:val="both"/>
        <w:textAlignment w:val="auto"/>
        <w:rPr>
          <w:rFonts w:hint="eastAsia" w:ascii="仿宋" w:hAnsi="仿宋" w:eastAsia="仿宋" w:cs="仿宋"/>
          <w:b w:val="0"/>
          <w:bCs w:val="0"/>
          <w:strike w:val="0"/>
          <w:dstrike w:val="0"/>
          <w:spacing w:val="-11"/>
          <w:sz w:val="32"/>
          <w:szCs w:val="32"/>
          <w:lang w:val="en-US" w:eastAsia="zh-CN"/>
        </w:rPr>
      </w:pPr>
      <w:r>
        <w:rPr>
          <w:rFonts w:hint="eastAsia" w:ascii="仿宋" w:hAnsi="仿宋" w:eastAsia="仿宋" w:cs="仿宋"/>
          <w:b w:val="0"/>
          <w:bCs w:val="0"/>
          <w:spacing w:val="-11"/>
          <w:sz w:val="32"/>
          <w:szCs w:val="32"/>
        </w:rPr>
        <w:t xml:space="preserve"> </w:t>
      </w:r>
      <w:r>
        <w:rPr>
          <w:rFonts w:hint="eastAsia" w:ascii="仿宋" w:hAnsi="仿宋" w:eastAsia="仿宋" w:cs="仿宋"/>
          <w:b w:val="0"/>
          <w:bCs w:val="0"/>
          <w:spacing w:val="-11"/>
          <w:sz w:val="32"/>
          <w:szCs w:val="32"/>
          <w:lang w:val="en-US" w:eastAsia="zh-CN"/>
        </w:rPr>
        <w:t>3</w:t>
      </w:r>
      <w:r>
        <w:rPr>
          <w:rFonts w:hint="eastAsia" w:ascii="仿宋" w:hAnsi="仿宋" w:eastAsia="仿宋" w:cs="仿宋"/>
          <w:b w:val="0"/>
          <w:bCs w:val="0"/>
          <w:spacing w:val="-11"/>
          <w:sz w:val="32"/>
          <w:szCs w:val="32"/>
        </w:rPr>
        <w:t>. </w:t>
      </w:r>
      <w:r>
        <w:rPr>
          <w:rFonts w:hint="eastAsia" w:ascii="仿宋" w:hAnsi="仿宋" w:eastAsia="仿宋" w:cs="仿宋"/>
          <w:b w:val="0"/>
          <w:bCs w:val="0"/>
          <w:spacing w:val="-11"/>
          <w:sz w:val="32"/>
          <w:szCs w:val="32"/>
          <w:lang w:eastAsia="zh-CN"/>
        </w:rPr>
        <w:t>加强医保基金总额预算管理。</w:t>
      </w:r>
      <w:r>
        <w:rPr>
          <w:rFonts w:hint="eastAsia" w:ascii="仿宋" w:hAnsi="仿宋" w:eastAsia="仿宋" w:cs="仿宋"/>
          <w:b w:val="0"/>
          <w:bCs w:val="0"/>
          <w:strike w:val="0"/>
          <w:dstrike w:val="0"/>
          <w:color w:val="auto"/>
          <w:spacing w:val="-11"/>
          <w:sz w:val="32"/>
          <w:szCs w:val="32"/>
          <w:lang w:val="en-US" w:eastAsia="zh-CN"/>
        </w:rPr>
        <w:t>以县（市）为单位，按照可统筹的职工医保和居民医保基金总额，合理确定医共体年度总额预算指标；将门诊与住院、县域内外就诊、医保支付的家庭医生签约服务费纳入总额预算管理。</w:t>
      </w:r>
      <w:r>
        <w:rPr>
          <w:rFonts w:hint="eastAsia" w:ascii="仿宋" w:hAnsi="仿宋" w:eastAsia="仿宋" w:cs="仿宋"/>
          <w:b w:val="0"/>
          <w:bCs w:val="0"/>
          <w:strike w:val="0"/>
          <w:dstrike w:val="0"/>
          <w:spacing w:val="-11"/>
          <w:sz w:val="32"/>
          <w:szCs w:val="32"/>
          <w:lang w:val="en-US" w:eastAsia="zh-CN"/>
        </w:rPr>
        <w:t>建立按病种付费为主，按床日、人头付费为辅的多元复合支付方式，推动医保基金向基层倾斜。探索建立医共体“统筹包干、结余留用、合理超支分担”机制。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96" w:firstLineChars="200"/>
        <w:jc w:val="both"/>
        <w:textAlignment w:val="auto"/>
        <w:rPr>
          <w:rFonts w:hint="eastAsia" w:ascii="仿宋" w:hAnsi="仿宋" w:eastAsia="仿宋" w:cs="仿宋"/>
          <w:b w:val="0"/>
          <w:bCs w:val="0"/>
          <w:spacing w:val="-11"/>
          <w:sz w:val="32"/>
          <w:szCs w:val="32"/>
          <w:lang w:val="en-US" w:eastAsia="zh-CN"/>
        </w:rPr>
      </w:pPr>
      <w:r>
        <w:rPr>
          <w:rFonts w:hint="eastAsia" w:ascii="仿宋" w:hAnsi="仿宋" w:eastAsia="仿宋" w:cs="仿宋"/>
          <w:b w:val="0"/>
          <w:bCs w:val="0"/>
          <w:spacing w:val="-11"/>
          <w:sz w:val="32"/>
          <w:szCs w:val="32"/>
          <w:lang w:val="en-US" w:eastAsia="zh-CN"/>
        </w:rPr>
        <w:t>4.巩固参保群众就医保障。</w:t>
      </w:r>
      <w:r>
        <w:rPr>
          <w:rFonts w:hint="eastAsia" w:ascii="仿宋" w:hAnsi="仿宋" w:eastAsia="仿宋" w:cs="仿宋"/>
          <w:b w:val="0"/>
          <w:bCs w:val="0"/>
          <w:strike w:val="0"/>
          <w:dstrike w:val="0"/>
          <w:color w:val="auto"/>
          <w:spacing w:val="-11"/>
          <w:sz w:val="32"/>
          <w:szCs w:val="32"/>
          <w:lang w:val="en-US" w:eastAsia="zh-CN"/>
        </w:rPr>
        <w:t>合理规划医保定点医药机构资源配置，及时将符合条件的基层医疗卫生机构纳入医保定点管理。加强基层医疗机构信息化标准化建设，推进基层医疗机构刷脸支付，实现基层医疗机构联网直接结算全覆盖。加强门诊就医保障，基层医疗机构门诊费用政策范围内支付比例不低于50%。落实住院差别化待遇政策，基本医保住院报销政策向基层医疗机构倾斜，因地制宜完善差别化待遇政策。</w:t>
      </w:r>
    </w:p>
    <w:p>
      <w:pPr>
        <w:keepNext w:val="0"/>
        <w:keepLines w:val="0"/>
        <w:pageBreakBefore w:val="0"/>
        <w:widowControl w:val="0"/>
        <w:kinsoku/>
        <w:wordWrap/>
        <w:overflowPunct/>
        <w:topLinePunct w:val="0"/>
        <w:autoSpaceDE/>
        <w:autoSpaceDN/>
        <w:bidi w:val="0"/>
        <w:adjustRightInd/>
        <w:snapToGrid/>
        <w:spacing w:line="540" w:lineRule="exact"/>
        <w:ind w:firstLine="596" w:firstLineChars="200"/>
        <w:jc w:val="both"/>
        <w:textAlignment w:val="auto"/>
        <w:rPr>
          <w:rFonts w:hint="eastAsia" w:ascii="仿宋" w:hAnsi="仿宋" w:eastAsia="仿宋" w:cs="仿宋"/>
          <w:b w:val="0"/>
          <w:bCs w:val="0"/>
          <w:spacing w:val="-11"/>
          <w:sz w:val="32"/>
          <w:szCs w:val="32"/>
          <w:lang w:eastAsia="zh-CN"/>
        </w:rPr>
      </w:pPr>
      <w:r>
        <w:rPr>
          <w:rFonts w:hint="eastAsia" w:ascii="仿宋" w:hAnsi="仿宋" w:eastAsia="仿宋" w:cs="仿宋"/>
          <w:b w:val="0"/>
          <w:bCs w:val="0"/>
          <w:strike w:val="0"/>
          <w:dstrike w:val="0"/>
          <w:spacing w:val="-11"/>
          <w:sz w:val="32"/>
          <w:szCs w:val="32"/>
          <w:lang w:val="en-US" w:eastAsia="zh-CN"/>
        </w:rPr>
        <w:t>5.</w:t>
      </w:r>
      <w:r>
        <w:rPr>
          <w:rFonts w:hint="eastAsia" w:ascii="仿宋" w:hAnsi="仿宋" w:eastAsia="仿宋" w:cs="仿宋"/>
          <w:b w:val="0"/>
          <w:bCs w:val="0"/>
          <w:spacing w:val="-11"/>
          <w:sz w:val="32"/>
          <w:szCs w:val="32"/>
          <w:lang w:val="en-US" w:eastAsia="zh-CN"/>
        </w:rPr>
        <w:t>优化基层支付方式。</w:t>
      </w:r>
      <w:r>
        <w:rPr>
          <w:rFonts w:hint="eastAsia" w:ascii="仿宋" w:hAnsi="仿宋" w:eastAsia="仿宋" w:cs="仿宋"/>
          <w:b w:val="0"/>
          <w:bCs w:val="0"/>
          <w:spacing w:val="-11"/>
          <w:sz w:val="32"/>
          <w:szCs w:val="32"/>
          <w:lang w:eastAsia="zh-CN"/>
        </w:rPr>
        <w:t>落实自治区按病种付费分组方案，结合本地实际，在自治区基层病种基础上，将常见病、慢性病、康复期病种优先纳入本地基层病种范围，</w:t>
      </w:r>
      <w:r>
        <w:rPr>
          <w:rFonts w:hint="eastAsia" w:ascii="仿宋" w:hAnsi="仿宋" w:eastAsia="仿宋" w:cs="仿宋"/>
          <w:b w:val="0"/>
          <w:bCs w:val="0"/>
          <w:spacing w:val="-11"/>
          <w:sz w:val="32"/>
          <w:szCs w:val="32"/>
          <w:lang w:val="en-US" w:eastAsia="zh-CN"/>
        </w:rPr>
        <w:t>DRG基层病组不少于50个。合理确定基层病种支付标准，实行不同等级医疗机构同病同付。完善按病种付费核心要素管理机制，合理确定不同等级、类型医疗机构的支付系数，适当加大对基层医疗卫生机构的倾斜力度。优化医保基金区域总额预算管理，由医共体牵头医疗机构合理做好分配，鼓励医共体将结余基金用于健康管理、支持家庭医生签约、减轻参保群众医疗费用负担等方面。</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596" w:firstLineChars="200"/>
        <w:jc w:val="both"/>
        <w:textAlignment w:val="auto"/>
        <w:rPr>
          <w:rFonts w:hint="eastAsia" w:ascii="楷体" w:hAnsi="楷体" w:eastAsia="楷体" w:cs="楷体"/>
          <w:b w:val="0"/>
          <w:bCs w:val="0"/>
          <w:spacing w:val="-11"/>
          <w:sz w:val="32"/>
          <w:szCs w:val="32"/>
          <w:lang w:val="en-US" w:eastAsia="zh-CN"/>
        </w:rPr>
      </w:pPr>
      <w:r>
        <w:rPr>
          <w:rFonts w:hint="eastAsia" w:ascii="楷体" w:hAnsi="楷体" w:eastAsia="楷体" w:cs="楷体"/>
          <w:b w:val="0"/>
          <w:bCs w:val="0"/>
          <w:spacing w:val="-11"/>
          <w:sz w:val="32"/>
          <w:szCs w:val="32"/>
        </w:rPr>
        <w:t>（三）</w:t>
      </w:r>
      <w:r>
        <w:rPr>
          <w:rFonts w:hint="eastAsia" w:ascii="楷体" w:hAnsi="楷体" w:eastAsia="楷体" w:cs="楷体"/>
          <w:b w:val="0"/>
          <w:bCs w:val="0"/>
          <w:spacing w:val="-11"/>
          <w:sz w:val="32"/>
          <w:szCs w:val="32"/>
          <w:lang w:val="en-US" w:eastAsia="zh-CN"/>
        </w:rPr>
        <w:t>完善基层药品联动管理机制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596" w:firstLineChars="200"/>
        <w:jc w:val="both"/>
        <w:textAlignment w:val="auto"/>
        <w:rPr>
          <w:rFonts w:hint="eastAsia" w:ascii="仿宋" w:hAnsi="仿宋" w:eastAsia="仿宋" w:cs="仿宋"/>
          <w:b w:val="0"/>
          <w:bCs w:val="0"/>
          <w:spacing w:val="-11"/>
          <w:sz w:val="32"/>
          <w:szCs w:val="32"/>
          <w:lang w:val="en-US" w:eastAsia="zh-CN"/>
        </w:rPr>
      </w:pPr>
      <w:r>
        <w:rPr>
          <w:rFonts w:hint="eastAsia" w:ascii="仿宋" w:hAnsi="仿宋" w:eastAsia="仿宋" w:cs="仿宋"/>
          <w:b w:val="0"/>
          <w:bCs w:val="0"/>
          <w:spacing w:val="-11"/>
          <w:sz w:val="32"/>
          <w:szCs w:val="32"/>
          <w:lang w:val="en-US" w:eastAsia="zh-CN"/>
        </w:rPr>
        <w:t>6.强化药品保障</w:t>
      </w:r>
      <w:r>
        <w:rPr>
          <w:rFonts w:hint="eastAsia" w:ascii="仿宋" w:hAnsi="仿宋" w:eastAsia="仿宋" w:cs="仿宋"/>
          <w:b w:val="0"/>
          <w:bCs w:val="0"/>
          <w:spacing w:val="-11"/>
          <w:sz w:val="32"/>
          <w:szCs w:val="32"/>
          <w:lang w:eastAsia="zh-CN"/>
        </w:rPr>
        <w:t>。健全县、乡、村用药衔接联动</w:t>
      </w:r>
      <w:r>
        <w:rPr>
          <w:rFonts w:hint="eastAsia" w:ascii="仿宋" w:hAnsi="仿宋" w:eastAsia="仿宋" w:cs="仿宋"/>
          <w:b w:val="0"/>
          <w:bCs w:val="0"/>
          <w:spacing w:val="-11"/>
          <w:sz w:val="32"/>
          <w:szCs w:val="32"/>
          <w:lang w:val="en-US" w:eastAsia="zh-CN"/>
        </w:rPr>
        <w:t>管理和运行</w:t>
      </w:r>
      <w:r>
        <w:rPr>
          <w:rFonts w:hint="eastAsia" w:ascii="仿宋" w:hAnsi="仿宋" w:eastAsia="仿宋" w:cs="仿宋"/>
          <w:b w:val="0"/>
          <w:bCs w:val="0"/>
          <w:spacing w:val="-11"/>
          <w:sz w:val="32"/>
          <w:szCs w:val="32"/>
          <w:lang w:eastAsia="zh-CN"/>
        </w:rPr>
        <w:t>机制</w:t>
      </w:r>
      <w:r>
        <w:rPr>
          <w:rFonts w:hint="eastAsia" w:ascii="仿宋" w:hAnsi="仿宋" w:eastAsia="仿宋" w:cs="仿宋"/>
          <w:b w:val="0"/>
          <w:bCs w:val="0"/>
          <w:spacing w:val="-11"/>
          <w:sz w:val="32"/>
          <w:szCs w:val="32"/>
        </w:rPr>
        <w:t>。推进慢</w:t>
      </w:r>
      <w:r>
        <w:rPr>
          <w:rFonts w:hint="eastAsia" w:ascii="仿宋" w:hAnsi="仿宋" w:eastAsia="仿宋" w:cs="仿宋"/>
          <w:b w:val="0"/>
          <w:bCs w:val="0"/>
          <w:spacing w:val="-11"/>
          <w:sz w:val="32"/>
          <w:szCs w:val="32"/>
          <w:lang w:eastAsia="zh-CN"/>
        </w:rPr>
        <w:t>性</w:t>
      </w:r>
      <w:r>
        <w:rPr>
          <w:rFonts w:hint="eastAsia" w:ascii="仿宋" w:hAnsi="仿宋" w:eastAsia="仿宋" w:cs="仿宋"/>
          <w:b w:val="0"/>
          <w:bCs w:val="0"/>
          <w:spacing w:val="-11"/>
          <w:sz w:val="32"/>
          <w:szCs w:val="32"/>
        </w:rPr>
        <w:t>病、常见病、儿童用药下沉基层</w:t>
      </w:r>
      <w:r>
        <w:rPr>
          <w:rFonts w:hint="eastAsia" w:ascii="仿宋" w:hAnsi="仿宋" w:eastAsia="仿宋" w:cs="仿宋"/>
          <w:b w:val="0"/>
          <w:bCs w:val="0"/>
          <w:spacing w:val="-11"/>
          <w:sz w:val="32"/>
          <w:szCs w:val="32"/>
          <w:lang w:eastAsia="zh-CN"/>
        </w:rPr>
        <w:t>，</w:t>
      </w:r>
      <w:r>
        <w:rPr>
          <w:rFonts w:hint="eastAsia" w:ascii="仿宋" w:hAnsi="仿宋" w:eastAsia="仿宋" w:cs="仿宋"/>
          <w:b w:val="0"/>
          <w:bCs w:val="0"/>
          <w:spacing w:val="-11"/>
          <w:sz w:val="32"/>
          <w:szCs w:val="32"/>
          <w:lang w:val="en-US" w:eastAsia="zh-CN"/>
        </w:rPr>
        <w:t>增加</w:t>
      </w:r>
      <w:r>
        <w:rPr>
          <w:rFonts w:hint="eastAsia" w:ascii="仿宋" w:hAnsi="仿宋" w:eastAsia="仿宋" w:cs="仿宋"/>
          <w:b w:val="0"/>
          <w:bCs w:val="0"/>
          <w:spacing w:val="-11"/>
          <w:sz w:val="32"/>
          <w:szCs w:val="32"/>
          <w:lang w:eastAsia="zh-CN"/>
        </w:rPr>
        <w:t>常见病、慢性病药品</w:t>
      </w:r>
      <w:r>
        <w:rPr>
          <w:rFonts w:hint="eastAsia" w:ascii="仿宋" w:hAnsi="仿宋" w:eastAsia="仿宋" w:cs="仿宋"/>
          <w:b w:val="0"/>
          <w:bCs w:val="0"/>
          <w:spacing w:val="-11"/>
          <w:sz w:val="32"/>
          <w:szCs w:val="32"/>
          <w:lang w:val="en-US" w:eastAsia="zh-CN"/>
        </w:rPr>
        <w:t>种类</w:t>
      </w:r>
      <w:r>
        <w:rPr>
          <w:rFonts w:hint="eastAsia" w:ascii="仿宋" w:hAnsi="仿宋" w:eastAsia="仿宋" w:cs="仿宋"/>
          <w:b w:val="0"/>
          <w:bCs w:val="0"/>
          <w:strike w:val="0"/>
          <w:dstrike w:val="0"/>
          <w:spacing w:val="-11"/>
          <w:sz w:val="32"/>
          <w:szCs w:val="32"/>
          <w:highlight w:val="none"/>
          <w:lang w:val="en-US" w:eastAsia="zh-CN"/>
        </w:rPr>
        <w:t>。</w:t>
      </w:r>
      <w:r>
        <w:rPr>
          <w:rFonts w:hint="eastAsia" w:ascii="仿宋" w:hAnsi="仿宋" w:eastAsia="仿宋" w:cs="仿宋"/>
          <w:b w:val="0"/>
          <w:bCs w:val="0"/>
          <w:spacing w:val="-11"/>
          <w:sz w:val="32"/>
          <w:szCs w:val="32"/>
          <w:highlight w:val="none"/>
          <w:lang w:val="en-US" w:eastAsia="zh-CN"/>
        </w:rPr>
        <w:t>基层医疗卫生机构优先配备使用基本药物和集采品种，</w:t>
      </w:r>
      <w:r>
        <w:rPr>
          <w:rFonts w:hint="eastAsia" w:ascii="仿宋" w:hAnsi="仿宋" w:eastAsia="仿宋" w:cs="仿宋"/>
          <w:b w:val="0"/>
          <w:bCs w:val="0"/>
          <w:color w:val="000000"/>
          <w:spacing w:val="-11"/>
          <w:sz w:val="32"/>
          <w:szCs w:val="32"/>
          <w:lang w:eastAsia="zh-CN"/>
        </w:rPr>
        <w:t>推动集采药品进基层医疗机构、进民营医疗机构、进零售药店</w:t>
      </w:r>
      <w:r>
        <w:rPr>
          <w:rFonts w:hint="eastAsia" w:ascii="仿宋" w:hAnsi="仿宋" w:eastAsia="仿宋" w:cs="仿宋"/>
          <w:b w:val="0"/>
          <w:bCs w:val="0"/>
          <w:spacing w:val="-11"/>
          <w:sz w:val="32"/>
          <w:szCs w:val="32"/>
          <w:highlight w:val="none"/>
          <w:lang w:val="en-US" w:eastAsia="zh-CN"/>
        </w:rPr>
        <w:t>。试点开展</w:t>
      </w:r>
      <w:r>
        <w:rPr>
          <w:rFonts w:hint="eastAsia" w:ascii="仿宋" w:hAnsi="仿宋" w:eastAsia="仿宋" w:cs="仿宋"/>
          <w:b w:val="0"/>
          <w:bCs w:val="0"/>
          <w:spacing w:val="-11"/>
          <w:sz w:val="32"/>
          <w:szCs w:val="32"/>
          <w:lang w:val="en-US" w:eastAsia="zh-CN"/>
        </w:rPr>
        <w:t>高血压、糖尿病、“两病”用药全额保障。做好流转处方的调配和药品保障。严格开展药品追溯扫码工作。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596" w:firstLineChars="200"/>
        <w:jc w:val="both"/>
        <w:textAlignment w:val="auto"/>
        <w:rPr>
          <w:rFonts w:hint="eastAsia" w:ascii="仿宋" w:hAnsi="仿宋" w:eastAsia="仿宋" w:cs="仿宋"/>
          <w:b w:val="0"/>
          <w:bCs w:val="0"/>
          <w:color w:val="auto"/>
          <w:spacing w:val="-11"/>
          <w:sz w:val="32"/>
          <w:szCs w:val="32"/>
          <w:lang w:eastAsia="zh-CN"/>
        </w:rPr>
      </w:pPr>
      <w:r>
        <w:rPr>
          <w:rFonts w:hint="eastAsia" w:ascii="仿宋" w:hAnsi="仿宋" w:eastAsia="仿宋" w:cs="仿宋"/>
          <w:b w:val="0"/>
          <w:bCs w:val="0"/>
          <w:spacing w:val="-11"/>
          <w:sz w:val="32"/>
          <w:szCs w:val="32"/>
          <w:lang w:val="en-US" w:eastAsia="zh-CN"/>
        </w:rPr>
        <w:t>7.</w:t>
      </w:r>
      <w:r>
        <w:rPr>
          <w:rFonts w:hint="eastAsia" w:ascii="仿宋" w:hAnsi="仿宋" w:eastAsia="仿宋" w:cs="仿宋"/>
          <w:b w:val="0"/>
          <w:bCs w:val="0"/>
          <w:spacing w:val="-11"/>
          <w:sz w:val="32"/>
          <w:szCs w:val="32"/>
        </w:rPr>
        <w:t>深化</w:t>
      </w:r>
      <w:r>
        <w:rPr>
          <w:rFonts w:hint="eastAsia" w:ascii="仿宋" w:hAnsi="仿宋" w:eastAsia="仿宋" w:cs="仿宋"/>
          <w:b w:val="0"/>
          <w:bCs w:val="0"/>
          <w:spacing w:val="-11"/>
          <w:sz w:val="32"/>
          <w:szCs w:val="32"/>
          <w:lang w:eastAsia="zh-CN"/>
        </w:rPr>
        <w:t>中心药房建设。</w:t>
      </w:r>
      <w:r>
        <w:rPr>
          <w:rFonts w:hint="eastAsia" w:ascii="仿宋" w:hAnsi="仿宋" w:eastAsia="仿宋" w:cs="仿宋"/>
          <w:b w:val="0"/>
          <w:bCs w:val="0"/>
          <w:color w:val="auto"/>
          <w:spacing w:val="-11"/>
          <w:sz w:val="32"/>
          <w:szCs w:val="32"/>
          <w:lang w:eastAsia="zh-CN"/>
        </w:rPr>
        <w:t>推进医共体中心药房实体化运行</w:t>
      </w:r>
      <w:r>
        <w:rPr>
          <w:rFonts w:hint="eastAsia" w:ascii="仿宋" w:hAnsi="仿宋" w:eastAsia="仿宋" w:cs="仿宋"/>
          <w:b w:val="0"/>
          <w:bCs w:val="0"/>
          <w:color w:val="auto"/>
          <w:spacing w:val="-11"/>
          <w:sz w:val="32"/>
          <w:szCs w:val="32"/>
        </w:rPr>
        <w:t>，</w:t>
      </w:r>
      <w:r>
        <w:rPr>
          <w:rFonts w:hint="eastAsia" w:ascii="仿宋" w:hAnsi="仿宋" w:eastAsia="仿宋" w:cs="仿宋"/>
          <w:b w:val="0"/>
          <w:bCs w:val="0"/>
          <w:color w:val="auto"/>
          <w:spacing w:val="-11"/>
          <w:sz w:val="32"/>
          <w:szCs w:val="32"/>
          <w:lang w:val="en-US" w:eastAsia="zh-CN"/>
        </w:rPr>
        <w:t>建立集中（云）审方中心，</w:t>
      </w:r>
      <w:r>
        <w:rPr>
          <w:rFonts w:hint="eastAsia" w:ascii="仿宋" w:hAnsi="仿宋" w:eastAsia="仿宋" w:cs="仿宋"/>
          <w:b w:val="0"/>
          <w:bCs w:val="0"/>
          <w:spacing w:val="-11"/>
          <w:sz w:val="32"/>
          <w:szCs w:val="32"/>
        </w:rPr>
        <w:t>推行</w:t>
      </w:r>
      <w:r>
        <w:rPr>
          <w:rFonts w:hint="eastAsia" w:ascii="仿宋" w:hAnsi="仿宋" w:eastAsia="仿宋" w:cs="仿宋"/>
          <w:b w:val="0"/>
          <w:bCs w:val="0"/>
          <w:spacing w:val="-11"/>
          <w:sz w:val="32"/>
          <w:szCs w:val="32"/>
          <w:lang w:eastAsia="zh-CN"/>
        </w:rPr>
        <w:t>紧密</w:t>
      </w:r>
      <w:r>
        <w:rPr>
          <w:rFonts w:hint="eastAsia" w:ascii="仿宋" w:hAnsi="仿宋" w:eastAsia="仿宋" w:cs="仿宋"/>
          <w:b w:val="0"/>
          <w:bCs w:val="0"/>
          <w:color w:val="auto"/>
          <w:spacing w:val="-11"/>
          <w:sz w:val="32"/>
          <w:szCs w:val="32"/>
          <w:highlight w:val="none"/>
          <w:lang w:eastAsia="zh-CN"/>
        </w:rPr>
        <w:t>型医共体内</w:t>
      </w:r>
      <w:r>
        <w:rPr>
          <w:rFonts w:hint="eastAsia" w:ascii="仿宋" w:hAnsi="仿宋" w:eastAsia="仿宋" w:cs="仿宋"/>
          <w:b w:val="0"/>
          <w:bCs w:val="0"/>
          <w:color w:val="auto"/>
          <w:spacing w:val="-11"/>
          <w:sz w:val="32"/>
          <w:szCs w:val="32"/>
          <w:highlight w:val="none"/>
        </w:rPr>
        <w:t>药品统一</w:t>
      </w:r>
      <w:r>
        <w:rPr>
          <w:rFonts w:hint="eastAsia" w:ascii="仿宋" w:hAnsi="仿宋" w:eastAsia="仿宋" w:cs="仿宋"/>
          <w:b w:val="0"/>
          <w:bCs w:val="0"/>
          <w:color w:val="auto"/>
          <w:spacing w:val="-11"/>
          <w:sz w:val="32"/>
          <w:szCs w:val="32"/>
          <w:highlight w:val="none"/>
          <w:lang w:eastAsia="zh-CN"/>
        </w:rPr>
        <w:t>目录、统一</w:t>
      </w:r>
      <w:r>
        <w:rPr>
          <w:rFonts w:hint="eastAsia" w:ascii="仿宋" w:hAnsi="仿宋" w:eastAsia="仿宋" w:cs="仿宋"/>
          <w:b w:val="0"/>
          <w:bCs w:val="0"/>
          <w:color w:val="auto"/>
          <w:spacing w:val="-11"/>
          <w:sz w:val="32"/>
          <w:szCs w:val="32"/>
          <w:highlight w:val="none"/>
        </w:rPr>
        <w:t>采购、统一调配、统一监管联动</w:t>
      </w:r>
      <w:r>
        <w:rPr>
          <w:rFonts w:hint="eastAsia" w:ascii="仿宋" w:hAnsi="仿宋" w:eastAsia="仿宋" w:cs="仿宋"/>
          <w:b w:val="0"/>
          <w:bCs w:val="0"/>
          <w:color w:val="auto"/>
          <w:spacing w:val="-11"/>
          <w:sz w:val="32"/>
          <w:szCs w:val="32"/>
          <w:highlight w:val="none"/>
          <w:lang w:eastAsia="zh-CN"/>
        </w:rPr>
        <w:t>，</w:t>
      </w:r>
      <w:r>
        <w:rPr>
          <w:rFonts w:hint="eastAsia" w:ascii="仿宋" w:hAnsi="仿宋" w:eastAsia="仿宋" w:cs="仿宋"/>
          <w:b w:val="0"/>
          <w:bCs w:val="0"/>
          <w:color w:val="auto"/>
          <w:spacing w:val="-11"/>
          <w:sz w:val="32"/>
          <w:szCs w:val="32"/>
          <w:lang w:eastAsia="zh-CN"/>
        </w:rPr>
        <w:t>对医共体内</w:t>
      </w:r>
      <w:r>
        <w:rPr>
          <w:rFonts w:hint="eastAsia" w:ascii="仿宋" w:hAnsi="仿宋" w:eastAsia="仿宋" w:cs="仿宋"/>
          <w:b w:val="0"/>
          <w:bCs w:val="0"/>
          <w:color w:val="auto"/>
          <w:spacing w:val="-11"/>
          <w:sz w:val="32"/>
          <w:szCs w:val="32"/>
        </w:rPr>
        <w:t>县乡两级医疗机构药房</w:t>
      </w:r>
      <w:r>
        <w:rPr>
          <w:rFonts w:hint="eastAsia" w:ascii="仿宋" w:hAnsi="仿宋" w:eastAsia="仿宋" w:cs="仿宋"/>
          <w:b w:val="0"/>
          <w:bCs w:val="0"/>
          <w:color w:val="auto"/>
          <w:spacing w:val="-11"/>
          <w:sz w:val="32"/>
          <w:szCs w:val="32"/>
          <w:lang w:eastAsia="zh-CN"/>
        </w:rPr>
        <w:t>资源、</w:t>
      </w:r>
      <w:r>
        <w:rPr>
          <w:rFonts w:hint="eastAsia" w:ascii="仿宋" w:hAnsi="仿宋" w:eastAsia="仿宋" w:cs="仿宋"/>
          <w:b w:val="0"/>
          <w:bCs w:val="0"/>
          <w:color w:val="auto"/>
          <w:spacing w:val="-11"/>
          <w:sz w:val="32"/>
          <w:szCs w:val="32"/>
        </w:rPr>
        <w:t>人员</w:t>
      </w:r>
      <w:r>
        <w:rPr>
          <w:rFonts w:hint="eastAsia" w:ascii="仿宋" w:hAnsi="仿宋" w:eastAsia="仿宋" w:cs="仿宋"/>
          <w:b w:val="0"/>
          <w:bCs w:val="0"/>
          <w:color w:val="auto"/>
          <w:spacing w:val="-11"/>
          <w:sz w:val="32"/>
          <w:szCs w:val="32"/>
          <w:lang w:eastAsia="zh-CN"/>
        </w:rPr>
        <w:t>配置</w:t>
      </w:r>
      <w:r>
        <w:rPr>
          <w:rFonts w:hint="eastAsia" w:ascii="仿宋" w:hAnsi="仿宋" w:eastAsia="仿宋" w:cs="仿宋"/>
          <w:b w:val="0"/>
          <w:bCs w:val="0"/>
          <w:color w:val="auto"/>
          <w:spacing w:val="-11"/>
          <w:sz w:val="32"/>
          <w:szCs w:val="32"/>
        </w:rPr>
        <w:t>及</w:t>
      </w:r>
      <w:r>
        <w:rPr>
          <w:rFonts w:hint="eastAsia" w:ascii="仿宋" w:hAnsi="仿宋" w:eastAsia="仿宋" w:cs="仿宋"/>
          <w:b w:val="0"/>
          <w:bCs w:val="0"/>
          <w:color w:val="auto"/>
          <w:spacing w:val="-11"/>
          <w:sz w:val="32"/>
          <w:szCs w:val="32"/>
          <w:lang w:eastAsia="zh-CN"/>
        </w:rPr>
        <w:t>绩效考核实施统一管理</w:t>
      </w:r>
      <w:r>
        <w:rPr>
          <w:rFonts w:hint="eastAsia" w:ascii="仿宋" w:hAnsi="仿宋" w:eastAsia="仿宋" w:cs="仿宋"/>
          <w:b w:val="0"/>
          <w:bCs w:val="0"/>
          <w:color w:val="auto"/>
          <w:spacing w:val="-11"/>
          <w:sz w:val="32"/>
          <w:szCs w:val="32"/>
        </w:rPr>
        <w:t>，形成“临床提需求、中心药房保供应、财务中心管结算”的闭环</w:t>
      </w:r>
      <w:r>
        <w:rPr>
          <w:rFonts w:hint="eastAsia" w:ascii="仿宋" w:hAnsi="仿宋" w:eastAsia="仿宋" w:cs="仿宋"/>
          <w:b w:val="0"/>
          <w:bCs w:val="0"/>
          <w:color w:val="auto"/>
          <w:spacing w:val="-11"/>
          <w:sz w:val="32"/>
          <w:szCs w:val="32"/>
          <w:highlight w:val="none"/>
        </w:rPr>
        <w:t>管理体系</w:t>
      </w:r>
      <w:r>
        <w:rPr>
          <w:rFonts w:hint="eastAsia" w:ascii="仿宋" w:hAnsi="仿宋" w:eastAsia="仿宋" w:cs="仿宋"/>
          <w:b w:val="0"/>
          <w:bCs w:val="0"/>
          <w:color w:val="auto"/>
          <w:spacing w:val="-11"/>
          <w:sz w:val="32"/>
          <w:szCs w:val="32"/>
          <w:highlight w:val="none"/>
          <w:lang w:eastAsia="zh-CN"/>
        </w:rPr>
        <w:t>。推进智慧共享中药房建设，实现中药饮片质量、药学服务、物流配送“三统一”，提升基层中医药服务效能。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96" w:firstLineChars="200"/>
        <w:jc w:val="both"/>
        <w:textAlignment w:val="auto"/>
        <w:rPr>
          <w:rFonts w:hint="eastAsia" w:ascii="黑体" w:hAnsi="黑体" w:eastAsia="黑体" w:cs="黑体"/>
          <w:b w:val="0"/>
          <w:bCs w:val="0"/>
          <w:color w:val="000000"/>
          <w:spacing w:val="-11"/>
          <w:sz w:val="32"/>
          <w:szCs w:val="32"/>
          <w:lang w:val="en-US" w:eastAsia="zh-CN"/>
        </w:rPr>
      </w:pPr>
      <w:r>
        <w:rPr>
          <w:rFonts w:hint="eastAsia" w:ascii="黑体" w:hAnsi="黑体" w:eastAsia="黑体" w:cs="黑体"/>
          <w:b w:val="0"/>
          <w:bCs w:val="0"/>
          <w:color w:val="000000"/>
          <w:spacing w:val="-11"/>
          <w:sz w:val="32"/>
          <w:szCs w:val="32"/>
          <w:lang w:val="en-US" w:eastAsia="zh-CN"/>
        </w:rPr>
        <w:t>二、筑牢基层医疗根基，提升诊疗服务能力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96" w:firstLineChars="200"/>
        <w:jc w:val="both"/>
        <w:textAlignment w:val="auto"/>
        <w:rPr>
          <w:rFonts w:hint="eastAsia" w:ascii="楷体" w:hAnsi="楷体" w:eastAsia="楷体" w:cs="楷体"/>
          <w:b w:val="0"/>
          <w:bCs w:val="0"/>
          <w:color w:val="000000"/>
          <w:spacing w:val="-11"/>
          <w:kern w:val="0"/>
          <w:sz w:val="32"/>
          <w:szCs w:val="32"/>
          <w:lang w:val="en-US" w:eastAsia="zh-CN" w:bidi="ar"/>
        </w:rPr>
      </w:pPr>
      <w:r>
        <w:rPr>
          <w:rFonts w:hint="eastAsia" w:ascii="楷体" w:hAnsi="楷体" w:eastAsia="楷体" w:cs="楷体"/>
          <w:b w:val="0"/>
          <w:bCs w:val="0"/>
          <w:color w:val="000000"/>
          <w:spacing w:val="-11"/>
          <w:kern w:val="0"/>
          <w:sz w:val="32"/>
          <w:szCs w:val="32"/>
          <w:lang w:val="en-US" w:eastAsia="zh-CN" w:bidi="ar"/>
        </w:rPr>
        <w:t>（四）基层医疗卫生机构布局优化行动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40" w:lineRule="exact"/>
        <w:ind w:right="0" w:firstLine="596" w:firstLineChars="200"/>
        <w:jc w:val="both"/>
        <w:textAlignment w:val="auto"/>
        <w:rPr>
          <w:rFonts w:hint="eastAsia" w:ascii="仿宋" w:hAnsi="仿宋" w:eastAsia="仿宋" w:cs="仿宋"/>
          <w:b w:val="0"/>
          <w:bCs w:val="0"/>
          <w:color w:val="000000"/>
          <w:spacing w:val="-11"/>
          <w:kern w:val="0"/>
          <w:sz w:val="32"/>
          <w:szCs w:val="32"/>
          <w:lang w:val="en-US" w:eastAsia="zh-CN" w:bidi="ar"/>
        </w:rPr>
      </w:pPr>
      <w:r>
        <w:rPr>
          <w:rFonts w:hint="eastAsia" w:ascii="仿宋" w:hAnsi="仿宋" w:eastAsia="仿宋" w:cs="仿宋"/>
          <w:b w:val="0"/>
          <w:bCs w:val="0"/>
          <w:color w:val="000000"/>
          <w:spacing w:val="-11"/>
          <w:kern w:val="0"/>
          <w:sz w:val="32"/>
          <w:szCs w:val="32"/>
          <w:lang w:val="en-US" w:eastAsia="zh-CN" w:bidi="ar"/>
        </w:rPr>
        <w:t>8.精准规划城乡资源布局。聚焦人口集聚与服务辐射效能，推进中心乡镇卫生院和社区卫生服务机构建设。分类推进村卫生室规范化建设与提质增效，实</w:t>
      </w:r>
      <w:r>
        <w:rPr>
          <w:rFonts w:hint="eastAsia" w:ascii="仿宋" w:hAnsi="仿宋" w:eastAsia="仿宋" w:cs="仿宋"/>
          <w:b w:val="0"/>
          <w:bCs w:val="0"/>
          <w:color w:val="000000"/>
          <w:spacing w:val="-11"/>
          <w:kern w:val="0"/>
          <w:sz w:val="32"/>
          <w:szCs w:val="32"/>
          <w:highlight w:val="none"/>
          <w:lang w:val="en-US" w:eastAsia="zh-CN" w:bidi="ar"/>
        </w:rPr>
        <w:t>现房屋产权公有、</w:t>
      </w:r>
      <w:r>
        <w:rPr>
          <w:rFonts w:hint="eastAsia" w:ascii="仿宋" w:hAnsi="仿宋" w:eastAsia="仿宋" w:cs="仿宋"/>
          <w:b w:val="0"/>
          <w:bCs w:val="0"/>
          <w:color w:val="000000"/>
          <w:spacing w:val="-11"/>
          <w:kern w:val="0"/>
          <w:sz w:val="32"/>
          <w:szCs w:val="32"/>
          <w:lang w:val="en-US" w:eastAsia="zh-CN" w:bidi="ar"/>
        </w:rPr>
        <w:t>建设质量达标、服务供给规范，并依法依规进行登记。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96" w:firstLineChars="200"/>
        <w:jc w:val="both"/>
        <w:textAlignment w:val="auto"/>
        <w:rPr>
          <w:rFonts w:hint="eastAsia" w:ascii="楷体" w:hAnsi="楷体" w:eastAsia="楷体" w:cs="楷体"/>
          <w:b w:val="0"/>
          <w:bCs w:val="0"/>
          <w:color w:val="000000"/>
          <w:spacing w:val="-11"/>
          <w:kern w:val="0"/>
          <w:sz w:val="32"/>
          <w:szCs w:val="32"/>
          <w:lang w:val="en-US" w:eastAsia="zh-CN" w:bidi="ar"/>
        </w:rPr>
      </w:pPr>
      <w:r>
        <w:rPr>
          <w:rFonts w:hint="eastAsia" w:ascii="楷体" w:hAnsi="楷体" w:eastAsia="楷体" w:cs="楷体"/>
          <w:b w:val="0"/>
          <w:bCs w:val="0"/>
          <w:color w:val="000000"/>
          <w:spacing w:val="-11"/>
          <w:kern w:val="0"/>
          <w:sz w:val="32"/>
          <w:szCs w:val="32"/>
          <w:lang w:val="en-US" w:eastAsia="zh-CN" w:bidi="ar"/>
        </w:rPr>
        <w:t>（五）优质医疗资源下沉帮扶行动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40" w:lineRule="exact"/>
        <w:ind w:right="0" w:firstLine="596" w:firstLineChars="200"/>
        <w:jc w:val="both"/>
        <w:textAlignment w:val="auto"/>
        <w:rPr>
          <w:rFonts w:hint="eastAsia" w:ascii="仿宋" w:hAnsi="仿宋" w:eastAsia="仿宋" w:cs="仿宋"/>
          <w:b w:val="0"/>
          <w:bCs w:val="0"/>
          <w:color w:val="000000"/>
          <w:spacing w:val="-11"/>
          <w:kern w:val="0"/>
          <w:sz w:val="32"/>
          <w:szCs w:val="32"/>
          <w:lang w:val="en-US" w:eastAsia="zh-CN" w:bidi="ar"/>
        </w:rPr>
      </w:pPr>
      <w:r>
        <w:rPr>
          <w:rFonts w:hint="eastAsia" w:ascii="仿宋" w:hAnsi="仿宋" w:eastAsia="仿宋" w:cs="仿宋"/>
          <w:b w:val="0"/>
          <w:bCs w:val="0"/>
          <w:color w:val="000000"/>
          <w:spacing w:val="-11"/>
          <w:kern w:val="0"/>
          <w:sz w:val="32"/>
          <w:szCs w:val="32"/>
          <w:lang w:val="en-US" w:eastAsia="zh-CN" w:bidi="ar"/>
        </w:rPr>
        <w:t>9.常态化开展医疗资源下沉。完善城市与县级医疗资源下沉长效机制，优化州县乡村四级帮</w:t>
      </w:r>
      <w:r>
        <w:rPr>
          <w:rFonts w:hint="eastAsia" w:ascii="仿宋" w:hAnsi="仿宋" w:eastAsia="仿宋" w:cs="仿宋"/>
          <w:b w:val="0"/>
          <w:bCs w:val="0"/>
          <w:color w:val="auto"/>
          <w:spacing w:val="-11"/>
          <w:kern w:val="0"/>
          <w:sz w:val="32"/>
          <w:szCs w:val="32"/>
          <w:lang w:val="en-US" w:eastAsia="zh-CN" w:bidi="ar"/>
        </w:rPr>
        <w:t>扶体系，县级及以上公立医院常态化开展名医在乡村、驻点帮扶、巡诊服务、接收基层进修等工作，县级疾控公共卫生人员下沉，参与家庭医生签约、慢病患者管理</w:t>
      </w:r>
      <w:r>
        <w:rPr>
          <w:rFonts w:hint="eastAsia" w:ascii="仿宋" w:hAnsi="仿宋" w:eastAsia="仿宋" w:cs="仿宋"/>
          <w:b w:val="0"/>
          <w:bCs w:val="0"/>
          <w:color w:val="000000"/>
          <w:spacing w:val="-11"/>
          <w:kern w:val="0"/>
          <w:sz w:val="32"/>
          <w:szCs w:val="32"/>
          <w:lang w:val="en-US" w:eastAsia="zh-CN" w:bidi="ar"/>
        </w:rPr>
        <w:t>，实现上级医师常驻基层、基层名医工作室全覆盖。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40" w:lineRule="exact"/>
        <w:ind w:right="0" w:firstLine="596" w:firstLineChars="200"/>
        <w:jc w:val="both"/>
        <w:textAlignment w:val="auto"/>
        <w:rPr>
          <w:rFonts w:hint="eastAsia" w:ascii="仿宋" w:hAnsi="仿宋" w:eastAsia="仿宋" w:cs="仿宋"/>
          <w:b w:val="0"/>
          <w:bCs w:val="0"/>
          <w:color w:val="000000"/>
          <w:spacing w:val="-11"/>
          <w:kern w:val="0"/>
          <w:sz w:val="32"/>
          <w:szCs w:val="32"/>
          <w:lang w:val="en-US" w:eastAsia="zh-CN" w:bidi="ar"/>
        </w:rPr>
      </w:pPr>
      <w:r>
        <w:rPr>
          <w:rFonts w:hint="eastAsia" w:ascii="仿宋" w:hAnsi="仿宋" w:eastAsia="仿宋" w:cs="仿宋"/>
          <w:b w:val="0"/>
          <w:bCs w:val="0"/>
          <w:color w:val="000000"/>
          <w:spacing w:val="-11"/>
          <w:kern w:val="0"/>
          <w:sz w:val="32"/>
          <w:szCs w:val="32"/>
          <w:lang w:val="en-US" w:eastAsia="zh-CN" w:bidi="ar"/>
        </w:rPr>
        <w:t xml:space="preserve">10.深化巡回医疗服务。建立多层次、广覆盖的巡回医疗制度，州人民医院对昌吉市、奇台县、吉木萨尔县、准东经济技术开发区及其薄弱乡村开展巡回医疗；州中医医院对阜康市、木垒县、玛纳斯县、呼图壁县及其薄弱乡村开展巡回医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40" w:lineRule="exact"/>
        <w:ind w:right="0" w:firstLine="596" w:firstLineChars="200"/>
        <w:jc w:val="both"/>
        <w:textAlignment w:val="auto"/>
        <w:rPr>
          <w:rFonts w:hint="eastAsia" w:ascii="楷体" w:hAnsi="楷体" w:eastAsia="楷体" w:cs="楷体"/>
          <w:b w:val="0"/>
          <w:bCs w:val="0"/>
          <w:color w:val="000000"/>
          <w:spacing w:val="-11"/>
          <w:kern w:val="0"/>
          <w:sz w:val="32"/>
          <w:szCs w:val="32"/>
          <w:lang w:val="en-US" w:eastAsia="zh-CN" w:bidi="ar"/>
        </w:rPr>
      </w:pPr>
      <w:r>
        <w:rPr>
          <w:rFonts w:hint="eastAsia" w:ascii="楷体" w:hAnsi="楷体" w:eastAsia="楷体" w:cs="楷体"/>
          <w:b w:val="0"/>
          <w:bCs w:val="0"/>
          <w:color w:val="000000"/>
          <w:spacing w:val="-11"/>
          <w:kern w:val="0"/>
          <w:sz w:val="32"/>
          <w:szCs w:val="32"/>
          <w:lang w:val="en-US" w:eastAsia="zh-CN" w:bidi="ar"/>
        </w:rPr>
        <w:t>（六）基层医疗核心服务提质行动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40" w:lineRule="exact"/>
        <w:ind w:left="0" w:right="0" w:firstLine="596" w:firstLineChars="200"/>
        <w:jc w:val="both"/>
        <w:textAlignment w:val="auto"/>
        <w:rPr>
          <w:rFonts w:hint="eastAsia" w:ascii="仿宋" w:hAnsi="仿宋" w:eastAsia="仿宋" w:cs="仿宋"/>
          <w:b w:val="0"/>
          <w:bCs w:val="0"/>
          <w:color w:val="000000"/>
          <w:spacing w:val="-11"/>
          <w:kern w:val="0"/>
          <w:sz w:val="32"/>
          <w:szCs w:val="32"/>
          <w:lang w:val="en-US" w:eastAsia="zh-CN" w:bidi="ar"/>
        </w:rPr>
      </w:pPr>
      <w:r>
        <w:rPr>
          <w:rFonts w:hint="eastAsia" w:ascii="仿宋" w:hAnsi="仿宋" w:eastAsia="仿宋" w:cs="仿宋"/>
          <w:b w:val="0"/>
          <w:bCs w:val="0"/>
          <w:color w:val="000000"/>
          <w:spacing w:val="-11"/>
          <w:kern w:val="0"/>
          <w:sz w:val="32"/>
          <w:szCs w:val="32"/>
          <w:lang w:val="en-US" w:eastAsia="zh-CN" w:bidi="ar"/>
        </w:rPr>
        <w:t>11.持续推进“优质服务基层行”活动。对照新版标准,进一步规范设置检验、口腔、外科等重点科室，强化急诊急救能力，改善就医环境，通过自查整改、自评申报、持续改进，增强服务能力与管理水平。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40" w:lineRule="exact"/>
        <w:ind w:left="0" w:right="0" w:firstLine="596" w:firstLineChars="200"/>
        <w:jc w:val="both"/>
        <w:textAlignment w:val="auto"/>
        <w:rPr>
          <w:rFonts w:hint="eastAsia" w:ascii="仿宋" w:hAnsi="仿宋" w:eastAsia="仿宋" w:cs="仿宋"/>
          <w:b w:val="0"/>
          <w:bCs w:val="0"/>
          <w:color w:val="auto"/>
          <w:spacing w:val="-11"/>
          <w:kern w:val="0"/>
          <w:sz w:val="32"/>
          <w:szCs w:val="32"/>
          <w:lang w:val="en-US" w:eastAsia="zh-CN" w:bidi="ar"/>
        </w:rPr>
      </w:pPr>
      <w:r>
        <w:rPr>
          <w:rFonts w:hint="eastAsia" w:ascii="仿宋" w:hAnsi="仿宋" w:eastAsia="仿宋" w:cs="仿宋"/>
          <w:b w:val="0"/>
          <w:bCs w:val="0"/>
          <w:color w:val="auto"/>
          <w:spacing w:val="-11"/>
          <w:kern w:val="0"/>
          <w:sz w:val="32"/>
          <w:szCs w:val="32"/>
          <w:lang w:val="en-US" w:eastAsia="zh-CN" w:bidi="ar"/>
        </w:rPr>
        <w:t>12.建设重点中心乡镇卫生院。持续开展机构能力提升，提档升级医疗设备，配备人工智能辅助诊疗设备，加强全科医疗、专科医疗、中医药服务、公共卫生和健康管理服务四大功能区域建设，使其逐步达到县级医院服务能力，每个县（市）建设不少于1家重点中心乡镇卫生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40" w:lineRule="exact"/>
        <w:ind w:left="0" w:right="0" w:firstLine="596" w:firstLineChars="200"/>
        <w:jc w:val="both"/>
        <w:textAlignment w:val="auto"/>
        <w:rPr>
          <w:rFonts w:hint="eastAsia" w:ascii="楷体" w:hAnsi="楷体" w:eastAsia="楷体" w:cs="楷体"/>
          <w:b w:val="0"/>
          <w:bCs w:val="0"/>
          <w:color w:val="000000"/>
          <w:spacing w:val="-11"/>
          <w:kern w:val="0"/>
          <w:sz w:val="32"/>
          <w:szCs w:val="32"/>
          <w:lang w:val="en-US" w:eastAsia="zh-CN" w:bidi="ar"/>
        </w:rPr>
      </w:pPr>
      <w:r>
        <w:rPr>
          <w:rFonts w:hint="eastAsia" w:ascii="仿宋" w:hAnsi="仿宋" w:eastAsia="仿宋" w:cs="仿宋"/>
          <w:b w:val="0"/>
          <w:bCs w:val="0"/>
          <w:color w:val="000000"/>
          <w:spacing w:val="-11"/>
          <w:kern w:val="0"/>
          <w:sz w:val="32"/>
          <w:szCs w:val="32"/>
          <w:lang w:val="en-US" w:eastAsia="zh-CN" w:bidi="ar"/>
        </w:rPr>
        <w:t>13.注重重点科室建设。根据功能定位分类开展基层特色科室建</w:t>
      </w:r>
      <w:r>
        <w:rPr>
          <w:rFonts w:hint="eastAsia" w:ascii="仿宋" w:hAnsi="仿宋" w:eastAsia="仿宋" w:cs="仿宋"/>
          <w:b w:val="0"/>
          <w:bCs w:val="0"/>
          <w:color w:val="auto"/>
          <w:spacing w:val="-11"/>
          <w:kern w:val="0"/>
          <w:sz w:val="32"/>
          <w:szCs w:val="32"/>
          <w:lang w:val="en-US" w:eastAsia="zh-CN" w:bidi="ar"/>
        </w:rPr>
        <w:t>设，重点强化儿科、口腔、康复、急救、老年医学、精神卫生、血液透析等服务短板。二级及以上公立医院加强心血管、急诊、重症、肿瘤</w:t>
      </w:r>
      <w:r>
        <w:rPr>
          <w:rFonts w:hint="eastAsia" w:ascii="仿宋" w:hAnsi="仿宋" w:eastAsia="仿宋" w:cs="仿宋"/>
          <w:b w:val="0"/>
          <w:bCs w:val="0"/>
          <w:color w:val="000000"/>
          <w:spacing w:val="-11"/>
          <w:kern w:val="0"/>
          <w:sz w:val="32"/>
          <w:szCs w:val="32"/>
          <w:lang w:val="en-US" w:eastAsia="zh-CN" w:bidi="ar"/>
        </w:rPr>
        <w:t>等重点专科建设，补齐儿科、精神卫生、麻醉、病理等专科弱项。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96" w:firstLineChars="200"/>
        <w:jc w:val="both"/>
        <w:textAlignment w:val="auto"/>
        <w:rPr>
          <w:rFonts w:hint="eastAsia" w:ascii="楷体" w:hAnsi="楷体" w:eastAsia="楷体" w:cs="楷体"/>
          <w:b w:val="0"/>
          <w:bCs w:val="0"/>
          <w:color w:val="000000"/>
          <w:spacing w:val="-11"/>
          <w:kern w:val="0"/>
          <w:sz w:val="32"/>
          <w:szCs w:val="32"/>
          <w:lang w:val="en-US" w:eastAsia="zh-CN" w:bidi="ar"/>
        </w:rPr>
      </w:pPr>
      <w:r>
        <w:rPr>
          <w:rFonts w:hint="eastAsia" w:ascii="楷体" w:hAnsi="楷体" w:eastAsia="楷体" w:cs="楷体"/>
          <w:b w:val="0"/>
          <w:bCs w:val="0"/>
          <w:color w:val="000000"/>
          <w:spacing w:val="-11"/>
          <w:kern w:val="0"/>
          <w:sz w:val="32"/>
          <w:szCs w:val="32"/>
          <w:lang w:val="en-US" w:eastAsia="zh-CN" w:bidi="ar"/>
        </w:rPr>
        <w:t>（七）基层中医药服务网络完善行动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40" w:lineRule="exact"/>
        <w:ind w:left="0" w:right="0" w:firstLine="596" w:firstLineChars="200"/>
        <w:jc w:val="both"/>
        <w:textAlignment w:val="auto"/>
        <w:rPr>
          <w:rFonts w:hint="eastAsia" w:ascii="仿宋" w:hAnsi="仿宋" w:eastAsia="仿宋" w:cs="仿宋"/>
          <w:b w:val="0"/>
          <w:bCs w:val="0"/>
          <w:color w:val="000000"/>
          <w:spacing w:val="-11"/>
          <w:kern w:val="0"/>
          <w:sz w:val="32"/>
          <w:szCs w:val="32"/>
          <w:lang w:val="en-US" w:eastAsia="zh-CN" w:bidi="ar"/>
        </w:rPr>
      </w:pPr>
      <w:r>
        <w:rPr>
          <w:rFonts w:hint="eastAsia" w:ascii="仿宋" w:hAnsi="仿宋" w:eastAsia="仿宋" w:cs="仿宋"/>
          <w:b w:val="0"/>
          <w:bCs w:val="0"/>
          <w:color w:val="000000"/>
          <w:spacing w:val="-11"/>
          <w:kern w:val="0"/>
          <w:sz w:val="32"/>
          <w:szCs w:val="32"/>
          <w:lang w:val="en-US" w:eastAsia="zh-CN" w:bidi="ar"/>
        </w:rPr>
        <w:t>14.提升基层中医药服务能力。发挥县级中医医院龙头作用，每个县级中医医院建成2个中医特色优势专科和1个县域中医药适宜技术推广中心，</w:t>
      </w:r>
      <w:r>
        <w:rPr>
          <w:rFonts w:hint="eastAsia" w:ascii="仿宋" w:hAnsi="仿宋" w:eastAsia="仿宋" w:cs="仿宋"/>
          <w:b w:val="0"/>
          <w:bCs w:val="0"/>
          <w:color w:val="000000"/>
          <w:spacing w:val="-11"/>
          <w:kern w:val="0"/>
          <w:sz w:val="32"/>
          <w:szCs w:val="32"/>
          <w:highlight w:val="none"/>
          <w:lang w:val="en-US" w:eastAsia="zh-CN" w:bidi="ar"/>
        </w:rPr>
        <w:t>加强基层医疗卫生机构中医馆、中医阁建设，拓展服务内涵</w:t>
      </w:r>
      <w:r>
        <w:rPr>
          <w:rFonts w:hint="eastAsia" w:ascii="仿宋" w:hAnsi="仿宋" w:eastAsia="仿宋" w:cs="仿宋"/>
          <w:b w:val="0"/>
          <w:bCs w:val="0"/>
          <w:color w:val="000000"/>
          <w:spacing w:val="-11"/>
          <w:kern w:val="0"/>
          <w:sz w:val="32"/>
          <w:szCs w:val="32"/>
          <w:lang w:val="en-US" w:eastAsia="zh-CN" w:bidi="ar"/>
        </w:rPr>
        <w:t>，不断提升基层服务能力。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96" w:firstLineChars="200"/>
        <w:jc w:val="both"/>
        <w:textAlignment w:val="auto"/>
        <w:rPr>
          <w:rFonts w:hint="eastAsia" w:ascii="楷体" w:hAnsi="楷体" w:eastAsia="楷体" w:cs="楷体"/>
          <w:b w:val="0"/>
          <w:bCs w:val="0"/>
          <w:color w:val="000000"/>
          <w:spacing w:val="-11"/>
          <w:kern w:val="0"/>
          <w:sz w:val="32"/>
          <w:szCs w:val="32"/>
          <w:lang w:val="en-US" w:eastAsia="zh-CN" w:bidi="ar"/>
        </w:rPr>
      </w:pPr>
      <w:r>
        <w:rPr>
          <w:rFonts w:hint="eastAsia" w:ascii="楷体" w:hAnsi="楷体" w:eastAsia="楷体" w:cs="楷体"/>
          <w:b w:val="0"/>
          <w:bCs w:val="0"/>
          <w:color w:val="000000"/>
          <w:spacing w:val="-11"/>
          <w:kern w:val="0"/>
          <w:sz w:val="32"/>
          <w:szCs w:val="32"/>
          <w:lang w:val="en-US" w:eastAsia="zh-CN" w:bidi="ar"/>
        </w:rPr>
        <w:t>（八）基层急救应急能力强化行动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420"/>
        </w:tabs>
        <w:kinsoku/>
        <w:wordWrap/>
        <w:overflowPunct/>
        <w:topLinePunct w:val="0"/>
        <w:autoSpaceDE/>
        <w:autoSpaceDN/>
        <w:bidi w:val="0"/>
        <w:adjustRightInd/>
        <w:snapToGrid/>
        <w:spacing w:before="0" w:beforeAutospacing="0" w:afterAutospacing="0" w:line="540" w:lineRule="exact"/>
        <w:ind w:left="0" w:right="0" w:firstLine="596" w:firstLineChars="200"/>
        <w:jc w:val="both"/>
        <w:textAlignment w:val="auto"/>
        <w:rPr>
          <w:rFonts w:hint="eastAsia" w:ascii="仿宋" w:hAnsi="仿宋" w:eastAsia="仿宋" w:cs="仿宋"/>
          <w:b w:val="0"/>
          <w:bCs w:val="0"/>
          <w:color w:val="auto"/>
          <w:spacing w:val="-11"/>
          <w:kern w:val="0"/>
          <w:sz w:val="32"/>
          <w:szCs w:val="32"/>
          <w:lang w:val="en-US" w:eastAsia="zh-CN" w:bidi="ar"/>
        </w:rPr>
      </w:pPr>
      <w:r>
        <w:rPr>
          <w:rFonts w:hint="eastAsia" w:ascii="仿宋" w:hAnsi="仿宋" w:eastAsia="仿宋" w:cs="仿宋"/>
          <w:b w:val="0"/>
          <w:bCs w:val="0"/>
          <w:color w:val="000000"/>
          <w:spacing w:val="-11"/>
          <w:kern w:val="0"/>
          <w:sz w:val="32"/>
          <w:szCs w:val="32"/>
          <w:lang w:val="en-US" w:eastAsia="zh-CN" w:bidi="ar"/>
        </w:rPr>
        <w:t>15.强化卫生应急保障。建立“平急转换、快速启动”应急机制</w:t>
      </w:r>
      <w:r>
        <w:rPr>
          <w:rFonts w:hint="eastAsia" w:ascii="仿宋" w:hAnsi="仿宋" w:eastAsia="仿宋" w:cs="仿宋"/>
          <w:b w:val="0"/>
          <w:bCs w:val="0"/>
          <w:color w:val="000000"/>
          <w:spacing w:val="-11"/>
          <w:kern w:val="0"/>
          <w:sz w:val="32"/>
          <w:szCs w:val="32"/>
          <w:lang w:val="en" w:eastAsia="zh-CN" w:bidi="ar"/>
        </w:rPr>
        <w:t>,完善州县两级医疗急救体系，</w:t>
      </w:r>
      <w:r>
        <w:rPr>
          <w:rFonts w:hint="eastAsia" w:ascii="仿宋" w:hAnsi="仿宋" w:eastAsia="仿宋" w:cs="仿宋"/>
          <w:b w:val="0"/>
          <w:bCs w:val="0"/>
          <w:color w:val="000000"/>
          <w:spacing w:val="-11"/>
          <w:kern w:val="0"/>
          <w:sz w:val="32"/>
          <w:szCs w:val="32"/>
          <w:lang w:val="en-US" w:eastAsia="zh-CN" w:bidi="ar"/>
        </w:rPr>
        <w:t>组建紧急医学救援应急队伍，规范设立卫生应急物资储备库。</w:t>
      </w:r>
      <w:r>
        <w:rPr>
          <w:rFonts w:hint="eastAsia" w:ascii="仿宋" w:hAnsi="仿宋" w:eastAsia="仿宋" w:cs="仿宋"/>
          <w:b w:val="0"/>
          <w:bCs w:val="0"/>
          <w:color w:val="auto"/>
          <w:spacing w:val="-11"/>
          <w:kern w:val="0"/>
          <w:sz w:val="32"/>
          <w:szCs w:val="32"/>
          <w:lang w:val="en-US" w:eastAsia="zh-CN" w:bidi="ar"/>
        </w:rPr>
        <w:t>试点将低空飞行纳入医疗应急保障，利用无人机开展急救药品、血液转运。</w:t>
      </w:r>
      <w:r>
        <w:rPr>
          <w:rFonts w:hint="eastAsia" w:ascii="仿宋" w:hAnsi="仿宋" w:eastAsia="仿宋" w:cs="仿宋"/>
          <w:b w:val="0"/>
          <w:bCs w:val="0"/>
          <w:strike w:val="0"/>
          <w:dstrike w:val="0"/>
          <w:color w:val="auto"/>
          <w:spacing w:val="-11"/>
          <w:sz w:val="32"/>
          <w:szCs w:val="32"/>
          <w:highlight w:val="none"/>
          <w:lang w:val="en-US" w:eastAsia="zh-CN"/>
        </w:rPr>
        <w:t>加强</w:t>
      </w:r>
      <w:r>
        <w:rPr>
          <w:rFonts w:hint="eastAsia" w:ascii="仿宋" w:hAnsi="仿宋" w:eastAsia="仿宋" w:cs="仿宋"/>
          <w:b w:val="0"/>
          <w:bCs w:val="0"/>
          <w:strike w:val="0"/>
          <w:dstrike w:val="0"/>
          <w:color w:val="auto"/>
          <w:spacing w:val="-11"/>
          <w:sz w:val="32"/>
          <w:szCs w:val="32"/>
          <w:lang w:val="en-US" w:eastAsia="zh-CN"/>
        </w:rPr>
        <w:t>120指挥调度平台和</w:t>
      </w:r>
      <w:r>
        <w:rPr>
          <w:rFonts w:hint="eastAsia" w:ascii="仿宋" w:hAnsi="仿宋" w:eastAsia="仿宋" w:cs="仿宋"/>
          <w:b w:val="0"/>
          <w:bCs w:val="0"/>
          <w:strike w:val="0"/>
          <w:dstrike w:val="0"/>
          <w:color w:val="auto"/>
          <w:spacing w:val="-11"/>
          <w:sz w:val="32"/>
          <w:szCs w:val="32"/>
          <w:highlight w:val="none"/>
          <w:lang w:val="en-US" w:eastAsia="zh-CN"/>
        </w:rPr>
        <w:t>急救</w:t>
      </w:r>
      <w:r>
        <w:rPr>
          <w:rFonts w:hint="eastAsia" w:ascii="仿宋" w:hAnsi="仿宋" w:eastAsia="仿宋" w:cs="仿宋"/>
          <w:b w:val="0"/>
          <w:bCs w:val="0"/>
          <w:strike w:val="0"/>
          <w:dstrike w:val="0"/>
          <w:color w:val="auto"/>
          <w:spacing w:val="-11"/>
          <w:sz w:val="32"/>
          <w:szCs w:val="32"/>
          <w:lang w:val="en-US" w:eastAsia="zh-CN"/>
        </w:rPr>
        <w:t>站点建设，构建快速响应的基层急救网络</w:t>
      </w:r>
      <w:r>
        <w:rPr>
          <w:rFonts w:hint="eastAsia" w:ascii="仿宋" w:hAnsi="仿宋" w:eastAsia="仿宋" w:cs="仿宋"/>
          <w:b w:val="0"/>
          <w:bCs w:val="0"/>
          <w:color w:val="auto"/>
          <w:spacing w:val="-11"/>
          <w:kern w:val="0"/>
          <w:sz w:val="32"/>
          <w:szCs w:val="32"/>
          <w:lang w:val="en-US" w:eastAsia="zh-CN" w:bidi="ar"/>
        </w:rPr>
        <w:t>。推进胸痛中心、卒中中心建设向基层延伸。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96" w:firstLineChars="200"/>
        <w:jc w:val="both"/>
        <w:textAlignment w:val="auto"/>
        <w:rPr>
          <w:rFonts w:hint="eastAsia" w:ascii="楷体" w:hAnsi="楷体" w:eastAsia="楷体" w:cs="楷体"/>
          <w:b w:val="0"/>
          <w:bCs w:val="0"/>
          <w:color w:val="000000"/>
          <w:spacing w:val="-11"/>
          <w:kern w:val="0"/>
          <w:sz w:val="32"/>
          <w:szCs w:val="32"/>
          <w:lang w:val="en-US" w:eastAsia="zh-CN" w:bidi="ar"/>
        </w:rPr>
      </w:pPr>
      <w:r>
        <w:rPr>
          <w:rFonts w:hint="eastAsia" w:ascii="楷体" w:hAnsi="楷体" w:eastAsia="楷体" w:cs="楷体"/>
          <w:b w:val="0"/>
          <w:bCs w:val="0"/>
          <w:color w:val="000000"/>
          <w:spacing w:val="-11"/>
          <w:kern w:val="0"/>
          <w:sz w:val="32"/>
          <w:szCs w:val="32"/>
          <w:lang w:val="en-US" w:eastAsia="zh-CN" w:bidi="ar"/>
        </w:rPr>
        <w:t>（九）“医育结合”普惠服务推进行动</w:t>
      </w:r>
    </w:p>
    <w:p>
      <w:pPr>
        <w:keepNext w:val="0"/>
        <w:keepLines w:val="0"/>
        <w:pageBreakBefore w:val="0"/>
        <w:kinsoku/>
        <w:wordWrap/>
        <w:overflowPunct/>
        <w:topLinePunct w:val="0"/>
        <w:autoSpaceDE/>
        <w:autoSpaceDN/>
        <w:bidi w:val="0"/>
        <w:spacing w:line="540" w:lineRule="exact"/>
        <w:ind w:firstLine="596" w:firstLineChars="200"/>
        <w:jc w:val="both"/>
        <w:textAlignment w:val="auto"/>
        <w:rPr>
          <w:rFonts w:hint="eastAsia" w:ascii="仿宋" w:hAnsi="仿宋" w:eastAsia="仿宋" w:cs="仿宋"/>
          <w:b w:val="0"/>
          <w:bCs w:val="0"/>
          <w:spacing w:val="-11"/>
          <w:sz w:val="32"/>
          <w:szCs w:val="32"/>
          <w:highlight w:val="none"/>
          <w:lang w:eastAsia="zh-CN"/>
        </w:rPr>
      </w:pPr>
      <w:r>
        <w:rPr>
          <w:rFonts w:hint="eastAsia" w:ascii="仿宋" w:hAnsi="仿宋" w:eastAsia="仿宋" w:cs="仿宋"/>
          <w:b w:val="0"/>
          <w:bCs w:val="0"/>
          <w:color w:val="000000"/>
          <w:spacing w:val="-11"/>
          <w:kern w:val="0"/>
          <w:sz w:val="32"/>
          <w:szCs w:val="32"/>
          <w:lang w:val="en-US" w:eastAsia="zh-CN" w:bidi="ar"/>
        </w:rPr>
        <w:t>16.促进医育、医养结合服务发展。</w:t>
      </w:r>
      <w:r>
        <w:rPr>
          <w:rFonts w:hint="eastAsia" w:ascii="仿宋" w:hAnsi="仿宋" w:eastAsia="仿宋" w:cs="仿宋"/>
          <w:b w:val="0"/>
          <w:bCs w:val="0"/>
          <w:color w:val="000000"/>
          <w:spacing w:val="-11"/>
          <w:kern w:val="0"/>
          <w:sz w:val="32"/>
          <w:szCs w:val="32"/>
          <w:highlight w:val="none"/>
          <w:lang w:val="en-US" w:eastAsia="zh-CN" w:bidi="ar"/>
        </w:rPr>
        <w:t>鼓励医疗机构参与普惠托育服务，将托育机构纳入基层医疗卫生机构的社区签约服务范围，通过巡回指导、健康教育等方式，每半年为辖区托育机构提供1次健康服务，将医务人员托育指导时长视作基层服务时间。实施医养结合服务项目，为老年人提供个性化健康指导，提升老年医学科规范化建设水平。推动基层医疗卫生机构与养老机构协作，设置家庭医生工作点，做实签约服务，支持开展安宁疗护与上门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96" w:firstLineChars="200"/>
        <w:jc w:val="both"/>
        <w:textAlignment w:val="auto"/>
        <w:rPr>
          <w:rFonts w:hint="eastAsia" w:ascii="楷体" w:hAnsi="楷体" w:eastAsia="楷体" w:cs="楷体"/>
          <w:b w:val="0"/>
          <w:bCs w:val="0"/>
          <w:color w:val="000000"/>
          <w:spacing w:val="-11"/>
          <w:kern w:val="0"/>
          <w:sz w:val="32"/>
          <w:szCs w:val="32"/>
          <w:lang w:val="en-US" w:eastAsia="zh-CN" w:bidi="ar"/>
        </w:rPr>
      </w:pPr>
      <w:r>
        <w:rPr>
          <w:rFonts w:hint="eastAsia" w:ascii="楷体" w:hAnsi="楷体" w:eastAsia="楷体" w:cs="楷体"/>
          <w:b w:val="0"/>
          <w:bCs w:val="0"/>
          <w:color w:val="000000"/>
          <w:spacing w:val="-11"/>
          <w:kern w:val="0"/>
          <w:sz w:val="32"/>
          <w:szCs w:val="32"/>
          <w:lang w:val="en-US" w:eastAsia="zh-CN" w:bidi="ar"/>
        </w:rPr>
        <w:t>（十）基本公共卫生服务均等化行动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40" w:lineRule="exact"/>
        <w:ind w:left="0" w:right="0" w:firstLine="596" w:firstLineChars="200"/>
        <w:jc w:val="both"/>
        <w:textAlignment w:val="auto"/>
        <w:rPr>
          <w:rFonts w:hint="eastAsia" w:ascii="仿宋" w:hAnsi="仿宋" w:eastAsia="仿宋" w:cs="仿宋"/>
          <w:b w:val="0"/>
          <w:bCs w:val="0"/>
          <w:color w:val="000000"/>
          <w:spacing w:val="-11"/>
          <w:kern w:val="0"/>
          <w:sz w:val="32"/>
          <w:szCs w:val="32"/>
          <w:lang w:val="en-US" w:eastAsia="zh-CN" w:bidi="ar"/>
        </w:rPr>
      </w:pPr>
      <w:r>
        <w:rPr>
          <w:rFonts w:hint="eastAsia" w:ascii="仿宋" w:hAnsi="仿宋" w:eastAsia="仿宋" w:cs="仿宋"/>
          <w:b w:val="0"/>
          <w:bCs w:val="0"/>
          <w:color w:val="000000"/>
          <w:spacing w:val="-11"/>
          <w:kern w:val="0"/>
          <w:sz w:val="32"/>
          <w:szCs w:val="32"/>
          <w:lang w:val="en-US" w:eastAsia="zh-CN" w:bidi="ar"/>
        </w:rPr>
        <w:t>17.健全慢病全周期管理体系。健全城乡联动服务网络，统筹公共卫生资源，规范服务流程和内容，常态化开展宣传教育及重点人群随访、健康指导和用药服务。</w:t>
      </w:r>
      <w:r>
        <w:rPr>
          <w:rFonts w:hint="eastAsia" w:ascii="仿宋" w:hAnsi="仿宋" w:eastAsia="仿宋" w:cs="仿宋"/>
          <w:b w:val="0"/>
          <w:bCs w:val="0"/>
          <w:color w:val="auto"/>
          <w:spacing w:val="-11"/>
          <w:kern w:val="0"/>
          <w:sz w:val="32"/>
          <w:szCs w:val="32"/>
          <w:lang w:val="en-US" w:eastAsia="zh-CN" w:bidi="ar"/>
        </w:rPr>
        <w:t>整合基层慢性病健康管理服务功能，发挥好县、乡、村级医疗卫生机构核心功能，</w:t>
      </w:r>
      <w:r>
        <w:rPr>
          <w:rFonts w:hint="eastAsia" w:ascii="仿宋" w:hAnsi="仿宋" w:eastAsia="仿宋" w:cs="仿宋"/>
          <w:b w:val="0"/>
          <w:bCs w:val="0"/>
          <w:color w:val="000000"/>
          <w:spacing w:val="-11"/>
          <w:kern w:val="0"/>
          <w:sz w:val="32"/>
          <w:szCs w:val="32"/>
          <w:lang w:val="en-US" w:eastAsia="zh-CN" w:bidi="ar"/>
        </w:rPr>
        <w:t>完善慢病一体化门诊，开展慢性病风险初筛、分类分级健康管理、多病共管服务及慢性病患者自我健康管理等工作。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96" w:firstLineChars="200"/>
        <w:jc w:val="both"/>
        <w:textAlignment w:val="auto"/>
        <w:rPr>
          <w:rFonts w:hint="eastAsia" w:ascii="仿宋" w:hAnsi="仿宋" w:eastAsia="仿宋" w:cs="仿宋"/>
          <w:b w:val="0"/>
          <w:bCs w:val="0"/>
          <w:color w:val="000000"/>
          <w:spacing w:val="-11"/>
          <w:kern w:val="0"/>
          <w:sz w:val="32"/>
          <w:szCs w:val="32"/>
          <w:lang w:val="en-US" w:eastAsia="zh-CN" w:bidi="ar"/>
        </w:rPr>
      </w:pPr>
      <w:r>
        <w:rPr>
          <w:rFonts w:hint="eastAsia" w:ascii="仿宋" w:hAnsi="仿宋" w:eastAsia="仿宋" w:cs="仿宋"/>
          <w:b w:val="0"/>
          <w:bCs w:val="0"/>
          <w:color w:val="000000"/>
          <w:spacing w:val="-11"/>
          <w:kern w:val="0"/>
          <w:sz w:val="32"/>
          <w:szCs w:val="32"/>
          <w:lang w:val="en-US" w:eastAsia="zh-CN" w:bidi="ar"/>
        </w:rPr>
        <w:t>18.聚焦妇儿健康保障。聚焦妇女儿童全生命周期健康保障，统筹推进婚前、孕前、孕期、产后全周期保健服务，推广婚姻登记与婚前医学检查一站式服务。健全产前筛查与诊断服务体系，全面落实出生缺陷三级预防措施。通过健康知识宣讲、免费筛查、个性化干预、规范诊疗等举措，构建“防、筛、诊、治、康”一体化儿童青少年五大健康促进行动服务网络。持续强化母婴安全五项制度落实，加强宫颈癌、乳腺癌筛查与早诊早治，全方位、多层次保障妇女儿童生命健康权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96" w:firstLineChars="200"/>
        <w:jc w:val="both"/>
        <w:textAlignment w:val="auto"/>
        <w:rPr>
          <w:rFonts w:hint="eastAsia" w:ascii="仿宋" w:hAnsi="仿宋" w:eastAsia="仿宋" w:cs="仿宋"/>
          <w:b w:val="0"/>
          <w:bCs w:val="0"/>
          <w:color w:val="000000"/>
          <w:spacing w:val="-11"/>
          <w:kern w:val="0"/>
          <w:sz w:val="32"/>
          <w:szCs w:val="32"/>
          <w:lang w:val="en-US" w:eastAsia="zh-CN" w:bidi="ar"/>
        </w:rPr>
      </w:pPr>
      <w:r>
        <w:rPr>
          <w:rFonts w:hint="eastAsia" w:ascii="仿宋" w:hAnsi="仿宋" w:eastAsia="仿宋" w:cs="仿宋"/>
          <w:b w:val="0"/>
          <w:bCs w:val="0"/>
          <w:color w:val="000000"/>
          <w:spacing w:val="-11"/>
          <w:kern w:val="0"/>
          <w:sz w:val="32"/>
          <w:szCs w:val="32"/>
          <w:lang w:val="en-US" w:eastAsia="zh-CN" w:bidi="ar"/>
        </w:rPr>
        <w:t>19.拓展家庭医生签约服务。组建“全科医生+专科医生+乡村医生+ X”签约团队（X</w:t>
      </w:r>
      <w:r>
        <w:rPr>
          <w:rFonts w:hint="eastAsia" w:ascii="仿宋" w:hAnsi="仿宋" w:eastAsia="仿宋" w:cs="仿宋"/>
          <w:b w:val="0"/>
          <w:bCs w:val="0"/>
          <w:spacing w:val="-11"/>
          <w:kern w:val="2"/>
          <w:sz w:val="32"/>
          <w:szCs w:val="32"/>
          <w:lang w:val="en-US" w:eastAsia="zh-CN" w:bidi="ar-SA"/>
        </w:rPr>
        <w:t>为药师、护理、村居委会工作人员、网格员等），通过培育金牌家庭医生签约服务团队和星级家庭医生、设立“签约服务点”、开展“人工智能+家庭医生”等措施，不断提高</w:t>
      </w:r>
      <w:r>
        <w:rPr>
          <w:rFonts w:hint="eastAsia" w:ascii="仿宋" w:hAnsi="仿宋" w:eastAsia="仿宋" w:cs="仿宋"/>
          <w:b w:val="0"/>
          <w:bCs w:val="0"/>
          <w:color w:val="000000"/>
          <w:spacing w:val="-11"/>
          <w:kern w:val="0"/>
          <w:sz w:val="32"/>
          <w:szCs w:val="32"/>
          <w:lang w:val="en-US" w:eastAsia="zh-CN" w:bidi="ar"/>
        </w:rPr>
        <w:t>签约履约质量与居民获得感。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96" w:firstLineChars="200"/>
        <w:jc w:val="both"/>
        <w:textAlignment w:val="auto"/>
        <w:rPr>
          <w:rFonts w:hint="eastAsia" w:ascii="楷体" w:hAnsi="楷体" w:eastAsia="楷体" w:cs="楷体"/>
          <w:b w:val="0"/>
          <w:bCs w:val="0"/>
          <w:color w:val="000000"/>
          <w:spacing w:val="-11"/>
          <w:kern w:val="0"/>
          <w:sz w:val="32"/>
          <w:szCs w:val="32"/>
          <w:lang w:val="en-US" w:eastAsia="zh-CN" w:bidi="ar"/>
        </w:rPr>
      </w:pPr>
      <w:r>
        <w:rPr>
          <w:rFonts w:hint="eastAsia" w:ascii="楷体" w:hAnsi="楷体" w:eastAsia="楷体" w:cs="楷体"/>
          <w:b w:val="0"/>
          <w:bCs w:val="0"/>
          <w:color w:val="000000"/>
          <w:spacing w:val="-11"/>
          <w:kern w:val="0"/>
          <w:sz w:val="32"/>
          <w:szCs w:val="32"/>
          <w:lang w:val="en-US" w:eastAsia="zh-CN" w:bidi="ar"/>
        </w:rPr>
        <w:t>（十一）医防协同融合发展行动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596" w:firstLineChars="200"/>
        <w:jc w:val="both"/>
        <w:textAlignment w:val="auto"/>
        <w:rPr>
          <w:rFonts w:hint="eastAsia" w:ascii="仿宋" w:hAnsi="仿宋" w:eastAsia="仿宋" w:cs="仿宋"/>
          <w:b w:val="0"/>
          <w:bCs w:val="0"/>
          <w:spacing w:val="-11"/>
          <w:sz w:val="32"/>
          <w:szCs w:val="32"/>
          <w:highlight w:val="none"/>
        </w:rPr>
      </w:pPr>
      <w:r>
        <w:rPr>
          <w:rFonts w:hint="eastAsia" w:ascii="仿宋" w:hAnsi="仿宋" w:eastAsia="仿宋" w:cs="仿宋"/>
          <w:b w:val="0"/>
          <w:bCs w:val="0"/>
          <w:color w:val="000000"/>
          <w:spacing w:val="-11"/>
          <w:kern w:val="0"/>
          <w:sz w:val="32"/>
          <w:szCs w:val="32"/>
          <w:highlight w:val="none"/>
          <w:lang w:val="en-US" w:eastAsia="zh-CN" w:bidi="ar"/>
        </w:rPr>
        <w:t>20.完善医防合作机制。推进医防协同医防融合工作，完善医共体公共卫生管理中心运行机制，开展医疗机构疾控监督员工作，推动落实医共体内专业公共卫生机构责任清单和医疗卫生机构公共卫生责任清单。基层医疗卫生机构全覆盖部署应用国家传染病智能监测预警前置软件。以重点慢性病为切入口，探索开展“常规处方+健康处方”+“健康提示”全人群健康管理模式，将健康教育和健康促进融入医疗机构诊疗服务全流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Autospacing="0" w:line="540" w:lineRule="exact"/>
        <w:ind w:left="0" w:right="0" w:firstLine="596" w:firstLineChars="200"/>
        <w:jc w:val="left"/>
        <w:textAlignment w:val="auto"/>
        <w:rPr>
          <w:rFonts w:hint="eastAsia" w:ascii="黑体" w:hAnsi="黑体" w:eastAsia="黑体" w:cs="黑体"/>
          <w:color w:val="000000"/>
          <w:spacing w:val="-11"/>
          <w:sz w:val="32"/>
          <w:szCs w:val="32"/>
        </w:rPr>
      </w:pPr>
      <w:r>
        <w:rPr>
          <w:rFonts w:hint="eastAsia" w:ascii="黑体" w:hAnsi="黑体" w:eastAsia="黑体" w:cs="黑体"/>
          <w:b w:val="0"/>
          <w:bCs w:val="0"/>
          <w:spacing w:val="-11"/>
          <w:kern w:val="2"/>
          <w:sz w:val="32"/>
          <w:szCs w:val="32"/>
          <w:lang w:val="en-US" w:eastAsia="zh-CN" w:bidi="ar-SA"/>
        </w:rPr>
        <w:t>三、</w:t>
      </w:r>
      <w:r>
        <w:rPr>
          <w:rFonts w:hint="eastAsia" w:ascii="黑体" w:hAnsi="黑体" w:eastAsia="黑体" w:cs="黑体"/>
          <w:color w:val="000000"/>
          <w:spacing w:val="-11"/>
          <w:sz w:val="32"/>
          <w:szCs w:val="32"/>
        </w:rPr>
        <w:t>强化综合保障</w:t>
      </w:r>
      <w:r>
        <w:rPr>
          <w:rFonts w:hint="eastAsia" w:ascii="黑体" w:hAnsi="黑体" w:eastAsia="黑体" w:cs="黑体"/>
          <w:color w:val="000000"/>
          <w:spacing w:val="-11"/>
          <w:sz w:val="32"/>
          <w:szCs w:val="32"/>
          <w:lang w:eastAsia="zh-CN"/>
        </w:rPr>
        <w:t>，</w:t>
      </w:r>
      <w:r>
        <w:rPr>
          <w:rFonts w:hint="eastAsia" w:ascii="黑体" w:hAnsi="黑体" w:eastAsia="黑体" w:cs="黑体"/>
          <w:color w:val="000000"/>
          <w:spacing w:val="-11"/>
          <w:sz w:val="32"/>
          <w:szCs w:val="32"/>
        </w:rPr>
        <w:t>提升服务效能</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596" w:firstLineChars="200"/>
        <w:jc w:val="both"/>
        <w:textAlignment w:val="auto"/>
        <w:rPr>
          <w:rFonts w:hint="eastAsia" w:ascii="楷体" w:hAnsi="楷体" w:eastAsia="楷体" w:cs="楷体"/>
          <w:b w:val="0"/>
          <w:bCs w:val="0"/>
          <w:spacing w:val="-11"/>
          <w:kern w:val="2"/>
          <w:sz w:val="32"/>
          <w:szCs w:val="32"/>
          <w:lang w:val="en-US" w:eastAsia="zh-CN" w:bidi="ar-SA"/>
        </w:rPr>
      </w:pPr>
      <w:r>
        <w:rPr>
          <w:rFonts w:hint="eastAsia" w:ascii="楷体" w:hAnsi="楷体" w:eastAsia="楷体" w:cs="楷体"/>
          <w:b w:val="0"/>
          <w:bCs w:val="0"/>
          <w:spacing w:val="-11"/>
          <w:kern w:val="2"/>
          <w:sz w:val="32"/>
          <w:szCs w:val="32"/>
          <w:lang w:val="en-US" w:eastAsia="zh-CN" w:bidi="ar-SA"/>
        </w:rPr>
        <w:t>（十二）强化基层人才队伍保障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left="0" w:leftChars="0" w:firstLine="596" w:firstLineChars="200"/>
        <w:jc w:val="both"/>
        <w:textAlignment w:val="auto"/>
        <w:rPr>
          <w:rFonts w:hint="eastAsia" w:ascii="仿宋" w:hAnsi="仿宋" w:eastAsia="仿宋" w:cs="仿宋"/>
          <w:b w:val="0"/>
          <w:bCs w:val="0"/>
          <w:color w:val="auto"/>
          <w:spacing w:val="-11"/>
          <w:kern w:val="2"/>
          <w:sz w:val="32"/>
          <w:szCs w:val="32"/>
          <w:lang w:val="en-US" w:eastAsia="zh-CN" w:bidi="ar-SA"/>
        </w:rPr>
      </w:pPr>
      <w:r>
        <w:rPr>
          <w:rFonts w:hint="eastAsia" w:ascii="仿宋" w:hAnsi="仿宋" w:eastAsia="仿宋" w:cs="仿宋"/>
          <w:b w:val="0"/>
          <w:bCs w:val="0"/>
          <w:spacing w:val="-11"/>
          <w:kern w:val="2"/>
          <w:sz w:val="32"/>
          <w:szCs w:val="32"/>
          <w:lang w:val="en-US" w:eastAsia="zh-CN" w:bidi="ar-SA"/>
        </w:rPr>
        <w:t>21.发展壮大基层人才队伍</w:t>
      </w:r>
      <w:r>
        <w:rPr>
          <w:rFonts w:hint="eastAsia" w:ascii="仿宋" w:hAnsi="仿宋" w:eastAsia="仿宋" w:cs="仿宋"/>
          <w:b w:val="0"/>
          <w:bCs w:val="0"/>
          <w:spacing w:val="-11"/>
          <w:kern w:val="2"/>
          <w:sz w:val="32"/>
          <w:szCs w:val="32"/>
          <w:highlight w:val="none"/>
          <w:lang w:val="en-US" w:eastAsia="zh-CN" w:bidi="ar-SA"/>
        </w:rPr>
        <w:t>。围绕基层常见病、多发病的诊疗需求，配齐护理、儿科、口腔、康复、精神卫生等紧缺专业人才。通过脱产、转岗培训和下沉带教</w:t>
      </w:r>
      <w:r>
        <w:rPr>
          <w:rFonts w:hint="eastAsia" w:ascii="仿宋" w:hAnsi="仿宋" w:eastAsia="仿宋" w:cs="仿宋"/>
          <w:b w:val="0"/>
          <w:bCs w:val="0"/>
          <w:spacing w:val="-11"/>
          <w:kern w:val="2"/>
          <w:sz w:val="32"/>
          <w:szCs w:val="32"/>
          <w:lang w:val="en-US" w:eastAsia="zh-CN" w:bidi="ar-SA"/>
        </w:rPr>
        <w:t>等渠道，实现基层人员培训全覆盖</w:t>
      </w:r>
      <w:r>
        <w:rPr>
          <w:rFonts w:hint="eastAsia" w:ascii="仿宋" w:hAnsi="仿宋" w:eastAsia="仿宋" w:cs="仿宋"/>
          <w:b w:val="0"/>
          <w:bCs w:val="0"/>
          <w:color w:val="auto"/>
          <w:spacing w:val="-11"/>
          <w:kern w:val="2"/>
          <w:sz w:val="32"/>
          <w:szCs w:val="32"/>
          <w:lang w:val="en-US" w:eastAsia="zh-CN" w:bidi="ar-SA"/>
        </w:rPr>
        <w:t>。落实“定向评价、定向使用”政策。将村卫生室执业(助理) 医师纳入乡镇卫生院职称评聘范畴。</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left="0" w:leftChars="0" w:firstLine="596" w:firstLineChars="200"/>
        <w:jc w:val="both"/>
        <w:textAlignment w:val="auto"/>
        <w:rPr>
          <w:rFonts w:hint="eastAsia" w:ascii="仿宋" w:hAnsi="仿宋" w:eastAsia="仿宋" w:cs="仿宋"/>
          <w:b w:val="0"/>
          <w:bCs w:val="0"/>
          <w:spacing w:val="-11"/>
          <w:kern w:val="2"/>
          <w:sz w:val="32"/>
          <w:szCs w:val="32"/>
          <w:lang w:val="en-US" w:eastAsia="zh-CN" w:bidi="ar-SA"/>
        </w:rPr>
      </w:pPr>
      <w:r>
        <w:rPr>
          <w:rFonts w:hint="eastAsia" w:ascii="仿宋" w:hAnsi="仿宋" w:eastAsia="仿宋" w:cs="仿宋"/>
          <w:b w:val="0"/>
          <w:bCs w:val="0"/>
          <w:color w:val="auto"/>
          <w:spacing w:val="-11"/>
          <w:kern w:val="2"/>
          <w:sz w:val="32"/>
          <w:szCs w:val="32"/>
          <w:lang w:val="en-US" w:eastAsia="zh-CN" w:bidi="ar-SA"/>
        </w:rPr>
        <w:t>22.优化乡村医生准入</w:t>
      </w:r>
      <w:r>
        <w:rPr>
          <w:rFonts w:hint="eastAsia" w:ascii="仿宋" w:hAnsi="仿宋" w:eastAsia="仿宋" w:cs="仿宋"/>
          <w:b w:val="0"/>
          <w:bCs w:val="0"/>
          <w:spacing w:val="-11"/>
          <w:kern w:val="2"/>
          <w:sz w:val="32"/>
          <w:szCs w:val="32"/>
          <w:lang w:val="en-US" w:eastAsia="zh-CN" w:bidi="ar-SA"/>
        </w:rPr>
        <w:t>退出与日常管理机制。自2026 年起，新进入村卫生室的乡村医生必须具有执业(助理)医师资格或具有全日制大专及以上学历的临床医学、中医学类、中西医结合类专业毕业生。对新入职村医开展岗前培训，将安全生产、行业法规、急诊急救等内容纳入培训计划，通过医共体牵头医院跟岗培训、“一对一”师带徒等方式，提高培训效果，确保有效履行村医岗位职责。根据国家要求做好大学生乡村医生专项计划工作，逐年增加村卫生室大学生乡村医生覆盖率。</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left="0" w:leftChars="0" w:firstLine="596" w:firstLineChars="200"/>
        <w:jc w:val="both"/>
        <w:textAlignment w:val="auto"/>
        <w:rPr>
          <w:rFonts w:hint="eastAsia" w:ascii="仿宋" w:hAnsi="仿宋" w:eastAsia="仿宋" w:cs="仿宋"/>
          <w:b w:val="0"/>
          <w:bCs w:val="0"/>
          <w:spacing w:val="-11"/>
          <w:kern w:val="2"/>
          <w:sz w:val="32"/>
          <w:szCs w:val="32"/>
          <w:lang w:val="en-US" w:eastAsia="zh-CN" w:bidi="ar-SA"/>
        </w:rPr>
      </w:pPr>
      <w:r>
        <w:rPr>
          <w:rFonts w:hint="eastAsia" w:ascii="仿宋" w:hAnsi="仿宋" w:eastAsia="仿宋" w:cs="仿宋"/>
          <w:b w:val="0"/>
          <w:bCs w:val="0"/>
          <w:spacing w:val="-11"/>
          <w:kern w:val="2"/>
          <w:sz w:val="32"/>
          <w:szCs w:val="32"/>
          <w:lang w:val="en-US" w:eastAsia="zh-CN" w:bidi="ar-SA"/>
        </w:rPr>
        <w:t>23.提高薪酬待遇。</w:t>
      </w:r>
      <w:r>
        <w:rPr>
          <w:rFonts w:hint="eastAsia" w:ascii="仿宋" w:hAnsi="仿宋" w:eastAsia="仿宋" w:cs="仿宋"/>
          <w:b w:val="0"/>
          <w:bCs w:val="0"/>
          <w:color w:val="auto"/>
          <w:spacing w:val="-11"/>
          <w:kern w:val="2"/>
          <w:sz w:val="32"/>
          <w:szCs w:val="32"/>
          <w:lang w:val="en-US" w:eastAsia="zh-CN" w:bidi="ar-SA"/>
        </w:rPr>
        <w:t>实行医共体薪酬“三统一” 管理（统一管理收入、统一核算薪酬、统一分配发放），推进财务深度融合，实现全口径资金统一管理。建立以健康管理成效为主导的工分制薪酬体系，赋予业务管理中心、资源共享中心、中心药房、临床科室、基层分院二次分配权限。不断优化薪酬分配方案，适当提高基层工作量工分权重。</w:t>
      </w:r>
      <w:r>
        <w:rPr>
          <w:rFonts w:hint="eastAsia" w:ascii="仿宋" w:hAnsi="仿宋" w:eastAsia="仿宋" w:cs="仿宋"/>
          <w:b w:val="0"/>
          <w:bCs w:val="0"/>
          <w:spacing w:val="-11"/>
          <w:kern w:val="2"/>
          <w:sz w:val="32"/>
          <w:szCs w:val="32"/>
          <w:lang w:val="en-US" w:eastAsia="zh-CN" w:bidi="ar-SA"/>
        </w:rPr>
        <w:t>全面落实乡村一体化管理，依规落实乡村医生养老保障待遇。</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left="0" w:leftChars="0" w:firstLine="596" w:firstLineChars="200"/>
        <w:jc w:val="both"/>
        <w:textAlignment w:val="auto"/>
        <w:rPr>
          <w:rFonts w:hint="eastAsia" w:ascii="楷体" w:hAnsi="楷体" w:eastAsia="楷体" w:cs="楷体"/>
          <w:b w:val="0"/>
          <w:bCs w:val="0"/>
          <w:spacing w:val="-11"/>
          <w:kern w:val="2"/>
          <w:sz w:val="32"/>
          <w:szCs w:val="32"/>
          <w:lang w:val="en-US" w:eastAsia="zh-CN" w:bidi="ar-SA"/>
        </w:rPr>
      </w:pPr>
      <w:r>
        <w:rPr>
          <w:rFonts w:hint="eastAsia" w:ascii="楷体" w:hAnsi="楷体" w:eastAsia="楷体" w:cs="楷体"/>
          <w:b w:val="0"/>
          <w:bCs w:val="0"/>
          <w:spacing w:val="-11"/>
          <w:kern w:val="2"/>
          <w:sz w:val="32"/>
          <w:szCs w:val="32"/>
          <w:lang w:val="en-US" w:eastAsia="zh-CN" w:bidi="ar-SA"/>
        </w:rPr>
        <w:t>（十三）加强信息化保障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left="0" w:leftChars="0" w:firstLine="596" w:firstLineChars="200"/>
        <w:jc w:val="both"/>
        <w:textAlignment w:val="auto"/>
        <w:rPr>
          <w:rFonts w:hint="eastAsia" w:ascii="仿宋" w:hAnsi="仿宋" w:eastAsia="仿宋" w:cs="仿宋"/>
          <w:b w:val="0"/>
          <w:bCs w:val="0"/>
          <w:strike w:val="0"/>
          <w:dstrike w:val="0"/>
          <w:color w:val="auto"/>
          <w:spacing w:val="-11"/>
          <w:sz w:val="32"/>
          <w:szCs w:val="32"/>
          <w:highlight w:val="none"/>
          <w:lang w:val="en-US" w:eastAsia="zh-CN"/>
        </w:rPr>
      </w:pPr>
      <w:r>
        <w:rPr>
          <w:rFonts w:hint="eastAsia" w:ascii="仿宋" w:hAnsi="仿宋" w:eastAsia="仿宋" w:cs="仿宋"/>
          <w:b w:val="0"/>
          <w:bCs w:val="0"/>
          <w:strike w:val="0"/>
          <w:dstrike w:val="0"/>
          <w:color w:val="auto"/>
          <w:spacing w:val="-11"/>
          <w:sz w:val="32"/>
          <w:szCs w:val="32"/>
          <w:highlight w:val="none"/>
          <w:lang w:val="en-US" w:eastAsia="zh-CN"/>
        </w:rPr>
        <w:t>24.发挥数智化支撑作用。扩容昌吉健康云平台，打通医共体内部、基层医疗卫生机构与二级及以上公立医疗机构</w:t>
      </w:r>
      <w:r>
        <w:rPr>
          <w:rFonts w:hint="eastAsia" w:ascii="仿宋" w:hAnsi="仿宋" w:eastAsia="仿宋" w:cs="仿宋"/>
          <w:b w:val="0"/>
          <w:bCs w:val="0"/>
          <w:spacing w:val="-11"/>
          <w:kern w:val="2"/>
          <w:sz w:val="32"/>
          <w:szCs w:val="32"/>
          <w:highlight w:val="none"/>
          <w:lang w:val="en-US" w:eastAsia="zh-CN" w:bidi="ar-SA"/>
        </w:rPr>
        <w:t>全员人口信息、</w:t>
      </w:r>
      <w:r>
        <w:rPr>
          <w:rFonts w:hint="eastAsia" w:ascii="仿宋" w:hAnsi="仿宋" w:eastAsia="仿宋" w:cs="仿宋"/>
          <w:b w:val="0"/>
          <w:bCs w:val="0"/>
          <w:strike w:val="0"/>
          <w:dstrike w:val="0"/>
          <w:color w:val="auto"/>
          <w:spacing w:val="-11"/>
          <w:sz w:val="32"/>
          <w:szCs w:val="32"/>
          <w:highlight w:val="none"/>
          <w:lang w:val="en-US" w:eastAsia="zh-CN"/>
        </w:rPr>
        <w:t>电子健康档案等互通共享，推进电子处方流转、检查检验结果互通跨地区共享。全面推进 “AI + 医疗健康”，依托数智技术，推进基本公共卫生服务穿透式监管和AI赋能。推广远程会诊、AI 智能辅助诊断、</w:t>
      </w:r>
      <w:r>
        <w:rPr>
          <w:rFonts w:hint="eastAsia" w:ascii="仿宋" w:hAnsi="仿宋" w:eastAsia="仿宋" w:cs="仿宋"/>
          <w:b w:val="0"/>
          <w:bCs w:val="0"/>
          <w:spacing w:val="-11"/>
          <w:kern w:val="2"/>
          <w:sz w:val="32"/>
          <w:szCs w:val="32"/>
          <w:highlight w:val="none"/>
          <w:lang w:val="en-US" w:eastAsia="zh-CN" w:bidi="ar-SA"/>
        </w:rPr>
        <w:t>AI 影像应</w:t>
      </w:r>
      <w:r>
        <w:rPr>
          <w:rFonts w:hint="eastAsia" w:ascii="仿宋" w:hAnsi="仿宋" w:eastAsia="仿宋" w:cs="仿宋"/>
          <w:b w:val="0"/>
          <w:bCs w:val="0"/>
          <w:color w:val="auto"/>
          <w:spacing w:val="-11"/>
          <w:kern w:val="2"/>
          <w:sz w:val="32"/>
          <w:szCs w:val="32"/>
          <w:highlight w:val="none"/>
          <w:lang w:val="en-US" w:eastAsia="zh-CN" w:bidi="ar-SA"/>
        </w:rPr>
        <w:t>用，配备全科医师助诊包，</w:t>
      </w:r>
      <w:r>
        <w:rPr>
          <w:rFonts w:hint="eastAsia" w:ascii="仿宋" w:hAnsi="仿宋" w:eastAsia="仿宋" w:cs="仿宋"/>
          <w:b w:val="0"/>
          <w:bCs w:val="0"/>
          <w:strike w:val="0"/>
          <w:dstrike w:val="0"/>
          <w:color w:val="auto"/>
          <w:spacing w:val="-11"/>
          <w:sz w:val="32"/>
          <w:szCs w:val="32"/>
          <w:highlight w:val="none"/>
          <w:lang w:val="en-US" w:eastAsia="zh-CN"/>
        </w:rPr>
        <w:t>夯实“基层检查、上级诊断”模式，提升边远地区诊疗可及性。</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left="0" w:leftChars="0" w:firstLine="596" w:firstLineChars="200"/>
        <w:jc w:val="both"/>
        <w:textAlignment w:val="auto"/>
        <w:rPr>
          <w:rFonts w:hint="eastAsia" w:ascii="楷体" w:hAnsi="楷体" w:eastAsia="楷体" w:cs="楷体"/>
          <w:b w:val="0"/>
          <w:bCs w:val="0"/>
          <w:spacing w:val="-11"/>
          <w:kern w:val="2"/>
          <w:sz w:val="32"/>
          <w:szCs w:val="32"/>
          <w:lang w:val="en-US" w:eastAsia="zh-CN" w:bidi="ar-SA"/>
        </w:rPr>
      </w:pPr>
      <w:r>
        <w:rPr>
          <w:rFonts w:hint="eastAsia" w:ascii="楷体" w:hAnsi="楷体" w:eastAsia="楷体" w:cs="楷体"/>
          <w:b w:val="0"/>
          <w:bCs w:val="0"/>
          <w:spacing w:val="-11"/>
          <w:kern w:val="2"/>
          <w:sz w:val="32"/>
          <w:szCs w:val="32"/>
          <w:lang w:val="en-US" w:eastAsia="zh-CN" w:bidi="ar-SA"/>
        </w:rPr>
        <w:t>（十四）加强组织工作保障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left="0" w:leftChars="0" w:firstLine="596" w:firstLineChars="200"/>
        <w:jc w:val="both"/>
        <w:textAlignment w:val="auto"/>
        <w:rPr>
          <w:rFonts w:hint="eastAsia" w:ascii="仿宋" w:hAnsi="仿宋" w:eastAsia="仿宋" w:cs="仿宋"/>
          <w:b w:val="0"/>
          <w:bCs w:val="0"/>
          <w:color w:val="auto"/>
          <w:spacing w:val="-11"/>
          <w:kern w:val="2"/>
          <w:sz w:val="32"/>
          <w:szCs w:val="32"/>
          <w:lang w:val="en-US" w:eastAsia="zh-CN" w:bidi="ar-SA"/>
        </w:rPr>
      </w:pPr>
      <w:r>
        <w:rPr>
          <w:rFonts w:hint="eastAsia" w:ascii="仿宋" w:hAnsi="仿宋" w:eastAsia="仿宋" w:cs="仿宋"/>
          <w:b w:val="0"/>
          <w:bCs w:val="0"/>
          <w:spacing w:val="-11"/>
          <w:kern w:val="2"/>
          <w:sz w:val="32"/>
          <w:szCs w:val="32"/>
          <w:lang w:val="en-US" w:eastAsia="zh-CN" w:bidi="ar-SA"/>
        </w:rPr>
        <w:t>25.加强组织领导。健全完善自治州负总责、县(市)抓落实的工作机制，强化属地责任，加强医疗卫生强基工程典型经验和卫生健康普法宣传</w:t>
      </w:r>
      <w:r>
        <w:rPr>
          <w:rFonts w:hint="eastAsia" w:ascii="仿宋" w:hAnsi="仿宋" w:eastAsia="仿宋" w:cs="仿宋"/>
          <w:b w:val="0"/>
          <w:bCs w:val="0"/>
          <w:color w:val="auto"/>
          <w:spacing w:val="-11"/>
          <w:kern w:val="2"/>
          <w:sz w:val="32"/>
          <w:szCs w:val="32"/>
          <w:lang w:val="en-US" w:eastAsia="zh-CN" w:bidi="ar-SA"/>
        </w:rPr>
        <w:t>，相关部门要各司其职、密切配合，确保高效落实各项政策措施。强化乡镇（街道）人民政府（办事处）主体责任，推进村(居)民公共卫生委员会协同其他基层组织共同参与城乡居民健康服务，提升基层健康治理质效。</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left="0" w:leftChars="0" w:firstLine="596" w:firstLineChars="200"/>
        <w:jc w:val="both"/>
        <w:textAlignment w:val="auto"/>
        <w:rPr>
          <w:rFonts w:hint="eastAsia" w:ascii="仿宋" w:hAnsi="仿宋" w:eastAsia="仿宋" w:cs="仿宋"/>
          <w:b w:val="0"/>
          <w:bCs w:val="0"/>
          <w:color w:val="auto"/>
          <w:spacing w:val="-11"/>
          <w:kern w:val="2"/>
          <w:sz w:val="32"/>
          <w:szCs w:val="32"/>
          <w:lang w:val="en-US" w:eastAsia="zh-CN" w:bidi="ar-SA"/>
        </w:rPr>
      </w:pPr>
      <w:r>
        <w:rPr>
          <w:rFonts w:hint="eastAsia" w:ascii="仿宋" w:hAnsi="仿宋" w:eastAsia="仿宋" w:cs="仿宋"/>
          <w:b w:val="0"/>
          <w:bCs w:val="0"/>
          <w:color w:val="auto"/>
          <w:spacing w:val="-11"/>
          <w:kern w:val="2"/>
          <w:sz w:val="32"/>
          <w:szCs w:val="32"/>
          <w:lang w:val="en-US" w:eastAsia="zh-CN" w:bidi="ar-SA"/>
        </w:rPr>
        <w:t>26.加大投入保障。落实政府办医主体责任，健全财政保障机制，配备更新诊疗设备，加大对村卫生室、政府办社区卫生服务站的支持保障，筑牢基层医疗卫生服务网底。加强中央、地方、援疆项目与资金管理使用，鼓励引导社会力量投入卫生健康事业。</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left="0" w:leftChars="0" w:firstLine="596" w:firstLineChars="200"/>
        <w:jc w:val="both"/>
        <w:textAlignment w:val="auto"/>
        <w:rPr>
          <w:rFonts w:hint="eastAsia" w:ascii="仿宋" w:hAnsi="仿宋" w:eastAsia="仿宋" w:cs="仿宋"/>
          <w:b w:val="0"/>
          <w:bCs w:val="0"/>
          <w:color w:val="000000"/>
          <w:spacing w:val="-11"/>
          <w:kern w:val="2"/>
          <w:sz w:val="32"/>
          <w:szCs w:val="32"/>
          <w:lang w:val="en-US" w:eastAsia="zh-CN" w:bidi="ar-SA"/>
        </w:rPr>
      </w:pPr>
      <w:r>
        <w:rPr>
          <w:rFonts w:hint="eastAsia" w:ascii="仿宋" w:hAnsi="仿宋" w:eastAsia="仿宋" w:cs="仿宋"/>
          <w:b w:val="0"/>
          <w:bCs w:val="0"/>
          <w:spacing w:val="-11"/>
          <w:sz w:val="32"/>
          <w:szCs w:val="32"/>
          <w:lang w:val="en-US" w:eastAsia="zh-CN"/>
        </w:rPr>
        <w:t>附件：1.</w:t>
      </w:r>
      <w:r>
        <w:rPr>
          <w:rFonts w:hint="eastAsia" w:ascii="仿宋" w:hAnsi="仿宋" w:eastAsia="仿宋" w:cs="仿宋"/>
          <w:b w:val="0"/>
          <w:bCs w:val="0"/>
          <w:color w:val="000000"/>
          <w:spacing w:val="-11"/>
          <w:kern w:val="2"/>
          <w:sz w:val="32"/>
          <w:szCs w:val="32"/>
          <w:lang w:val="en-US" w:eastAsia="zh-CN" w:bidi="ar-SA"/>
        </w:rPr>
        <w:t>昌吉州贯彻落实医疗卫生强基工程促进基层医疗卫生高质量发展工作目标及责任分工</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firstLine="1490" w:firstLineChars="500"/>
        <w:jc w:val="both"/>
        <w:textAlignment w:val="auto"/>
        <w:rPr>
          <w:rFonts w:hint="eastAsia" w:ascii="仿宋" w:hAnsi="仿宋" w:eastAsia="仿宋" w:cs="仿宋"/>
          <w:b w:val="0"/>
          <w:bCs w:val="0"/>
          <w:color w:val="000000"/>
          <w:spacing w:val="-11"/>
          <w:kern w:val="2"/>
          <w:sz w:val="32"/>
          <w:szCs w:val="32"/>
          <w:lang w:val="en-US" w:eastAsia="zh-CN" w:bidi="ar-SA"/>
        </w:rPr>
      </w:pPr>
      <w:r>
        <w:rPr>
          <w:rFonts w:hint="eastAsia" w:ascii="仿宋" w:hAnsi="仿宋" w:eastAsia="仿宋" w:cs="仿宋"/>
          <w:b w:val="0"/>
          <w:bCs w:val="0"/>
          <w:color w:val="000000"/>
          <w:spacing w:val="-11"/>
          <w:kern w:val="2"/>
          <w:sz w:val="32"/>
          <w:szCs w:val="32"/>
          <w:highlight w:val="none"/>
          <w:lang w:val="en-US" w:eastAsia="zh-CN" w:bidi="ar-SA"/>
        </w:rPr>
        <w:t>2.</w:t>
      </w:r>
      <w:r>
        <w:rPr>
          <w:rFonts w:hint="eastAsia" w:ascii="仿宋" w:hAnsi="仿宋" w:eastAsia="仿宋" w:cs="仿宋"/>
          <w:b w:val="0"/>
          <w:bCs w:val="0"/>
          <w:color w:val="000000"/>
          <w:spacing w:val="-11"/>
          <w:kern w:val="2"/>
          <w:sz w:val="32"/>
          <w:szCs w:val="32"/>
          <w:lang w:val="en-US" w:eastAsia="zh-CN" w:bidi="ar-SA"/>
        </w:rPr>
        <w:t>昌吉州乡镇卫生院、社区卫生服务中心建设标准</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40" w:lineRule="exact"/>
        <w:ind w:firstLine="1490" w:firstLineChars="500"/>
        <w:jc w:val="both"/>
        <w:textAlignment w:val="auto"/>
        <w:rPr>
          <w:rFonts w:hint="eastAsia" w:ascii="仿宋" w:hAnsi="仿宋" w:eastAsia="仿宋" w:cs="仿宋"/>
          <w:spacing w:val="-11"/>
          <w:lang w:val="en-US" w:eastAsia="zh-CN"/>
        </w:rPr>
      </w:pPr>
      <w:r>
        <w:rPr>
          <w:rFonts w:hint="eastAsia" w:ascii="仿宋" w:hAnsi="仿宋" w:eastAsia="仿宋" w:cs="仿宋"/>
          <w:b w:val="0"/>
          <w:bCs w:val="0"/>
          <w:color w:val="000000"/>
          <w:spacing w:val="-11"/>
          <w:kern w:val="2"/>
          <w:sz w:val="32"/>
          <w:szCs w:val="32"/>
          <w:lang w:val="en-US" w:eastAsia="zh-CN" w:bidi="ar-SA"/>
        </w:rPr>
        <w:t>3.昌吉州村卫生室建设标准</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F6683"/>
    <w:rsid w:val="007B49EA"/>
    <w:rsid w:val="0220319F"/>
    <w:rsid w:val="07BF1A92"/>
    <w:rsid w:val="0AB96C8A"/>
    <w:rsid w:val="0B1B8EB1"/>
    <w:rsid w:val="0D0C9D24"/>
    <w:rsid w:val="0EF17276"/>
    <w:rsid w:val="0FF5422E"/>
    <w:rsid w:val="17A84D8C"/>
    <w:rsid w:val="17B366DA"/>
    <w:rsid w:val="17FD7B87"/>
    <w:rsid w:val="19BDA25E"/>
    <w:rsid w:val="1A3D00EA"/>
    <w:rsid w:val="1A5CA19A"/>
    <w:rsid w:val="1A971B41"/>
    <w:rsid w:val="1AF82513"/>
    <w:rsid w:val="1B7FDEB8"/>
    <w:rsid w:val="1BF76A17"/>
    <w:rsid w:val="1CE678E1"/>
    <w:rsid w:val="1EA7F4E0"/>
    <w:rsid w:val="1EC9583B"/>
    <w:rsid w:val="1F7F4E30"/>
    <w:rsid w:val="1FFE56A5"/>
    <w:rsid w:val="1FFEE218"/>
    <w:rsid w:val="23605118"/>
    <w:rsid w:val="23A71828"/>
    <w:rsid w:val="24BFC926"/>
    <w:rsid w:val="25DDADBB"/>
    <w:rsid w:val="266A9B5E"/>
    <w:rsid w:val="2961083C"/>
    <w:rsid w:val="2E6DEC12"/>
    <w:rsid w:val="2E767E3A"/>
    <w:rsid w:val="2ED2DBEB"/>
    <w:rsid w:val="2F9F4CB2"/>
    <w:rsid w:val="2FAF5E6B"/>
    <w:rsid w:val="2FBDFBDB"/>
    <w:rsid w:val="2FDD9E65"/>
    <w:rsid w:val="31BF6683"/>
    <w:rsid w:val="31D79B95"/>
    <w:rsid w:val="31E51CAD"/>
    <w:rsid w:val="32B9B8F5"/>
    <w:rsid w:val="33FF99EB"/>
    <w:rsid w:val="35FD65D8"/>
    <w:rsid w:val="36D69A9D"/>
    <w:rsid w:val="37F6F0CD"/>
    <w:rsid w:val="392F80F1"/>
    <w:rsid w:val="39CF605C"/>
    <w:rsid w:val="39F82D82"/>
    <w:rsid w:val="39FF20DB"/>
    <w:rsid w:val="3BB1A310"/>
    <w:rsid w:val="3BEFD9FB"/>
    <w:rsid w:val="3DBD5BD9"/>
    <w:rsid w:val="3DFF5ABF"/>
    <w:rsid w:val="3E7F3A0C"/>
    <w:rsid w:val="3E8FBA71"/>
    <w:rsid w:val="3EBD76BD"/>
    <w:rsid w:val="3EF994CF"/>
    <w:rsid w:val="3EFE62AD"/>
    <w:rsid w:val="3EFFDF33"/>
    <w:rsid w:val="3F7B1CEA"/>
    <w:rsid w:val="3F7FA59F"/>
    <w:rsid w:val="3F9F4E44"/>
    <w:rsid w:val="3FC3278B"/>
    <w:rsid w:val="3FC61B12"/>
    <w:rsid w:val="3FC7EB34"/>
    <w:rsid w:val="3FDB0FFD"/>
    <w:rsid w:val="3FDEB3CA"/>
    <w:rsid w:val="3FFBD87D"/>
    <w:rsid w:val="417E7561"/>
    <w:rsid w:val="428E31CD"/>
    <w:rsid w:val="43FFB986"/>
    <w:rsid w:val="45F103D7"/>
    <w:rsid w:val="46BEDD2F"/>
    <w:rsid w:val="477F2955"/>
    <w:rsid w:val="49FF90AA"/>
    <w:rsid w:val="4AD77E47"/>
    <w:rsid w:val="4BF7E221"/>
    <w:rsid w:val="4D771DD2"/>
    <w:rsid w:val="4DDF69E3"/>
    <w:rsid w:val="4DFDA376"/>
    <w:rsid w:val="4EE214C0"/>
    <w:rsid w:val="4FD76AD2"/>
    <w:rsid w:val="4FDB97F9"/>
    <w:rsid w:val="4FDE931C"/>
    <w:rsid w:val="4FFEA65C"/>
    <w:rsid w:val="547651AC"/>
    <w:rsid w:val="56BF785A"/>
    <w:rsid w:val="56F976BB"/>
    <w:rsid w:val="56FF16B2"/>
    <w:rsid w:val="56FF43F0"/>
    <w:rsid w:val="570C8D8D"/>
    <w:rsid w:val="5769020F"/>
    <w:rsid w:val="577EA639"/>
    <w:rsid w:val="57BE8C7B"/>
    <w:rsid w:val="57E92E80"/>
    <w:rsid w:val="57F44418"/>
    <w:rsid w:val="57FEC2F1"/>
    <w:rsid w:val="57FF4E6A"/>
    <w:rsid w:val="57FFFA49"/>
    <w:rsid w:val="59F75136"/>
    <w:rsid w:val="5BF1A54A"/>
    <w:rsid w:val="5BFE9DED"/>
    <w:rsid w:val="5C3DEE17"/>
    <w:rsid w:val="5D7C7E60"/>
    <w:rsid w:val="5DCFCC74"/>
    <w:rsid w:val="5DFBDB39"/>
    <w:rsid w:val="5EB71934"/>
    <w:rsid w:val="5EDDF522"/>
    <w:rsid w:val="5EDF74C3"/>
    <w:rsid w:val="5EDF9744"/>
    <w:rsid w:val="5F370AF8"/>
    <w:rsid w:val="5FB78C24"/>
    <w:rsid w:val="5FF50B0F"/>
    <w:rsid w:val="5FFDAA26"/>
    <w:rsid w:val="5FFDF18D"/>
    <w:rsid w:val="5FFF89BB"/>
    <w:rsid w:val="62FF8CB6"/>
    <w:rsid w:val="636FE2D0"/>
    <w:rsid w:val="63D7427B"/>
    <w:rsid w:val="64A67BAB"/>
    <w:rsid w:val="64B75F9A"/>
    <w:rsid w:val="64D6C415"/>
    <w:rsid w:val="651FBE5B"/>
    <w:rsid w:val="66FF633B"/>
    <w:rsid w:val="67536378"/>
    <w:rsid w:val="679BCB66"/>
    <w:rsid w:val="67ADD9AE"/>
    <w:rsid w:val="67BB7961"/>
    <w:rsid w:val="67BF9BBB"/>
    <w:rsid w:val="67BFA351"/>
    <w:rsid w:val="67FFB421"/>
    <w:rsid w:val="699A5B17"/>
    <w:rsid w:val="6AF6147D"/>
    <w:rsid w:val="6AFDA929"/>
    <w:rsid w:val="6BA70BF7"/>
    <w:rsid w:val="6C1E327B"/>
    <w:rsid w:val="6CEB39CC"/>
    <w:rsid w:val="6D3EA659"/>
    <w:rsid w:val="6D9C5FEA"/>
    <w:rsid w:val="6DB7F156"/>
    <w:rsid w:val="6DF4B401"/>
    <w:rsid w:val="6E7EC951"/>
    <w:rsid w:val="6ECE0BE7"/>
    <w:rsid w:val="6EFF0027"/>
    <w:rsid w:val="6F183605"/>
    <w:rsid w:val="6F2245D7"/>
    <w:rsid w:val="6F5766BE"/>
    <w:rsid w:val="6F77EB6C"/>
    <w:rsid w:val="6FD2D4DE"/>
    <w:rsid w:val="6FEF7767"/>
    <w:rsid w:val="6FF7B9C1"/>
    <w:rsid w:val="6FFB9430"/>
    <w:rsid w:val="6FFE3D25"/>
    <w:rsid w:val="6FFF4F7E"/>
    <w:rsid w:val="6FFFB262"/>
    <w:rsid w:val="70AFC668"/>
    <w:rsid w:val="70E72616"/>
    <w:rsid w:val="722C1042"/>
    <w:rsid w:val="7375EAFD"/>
    <w:rsid w:val="739DE904"/>
    <w:rsid w:val="73C70D4F"/>
    <w:rsid w:val="74E77E46"/>
    <w:rsid w:val="75FBF8B8"/>
    <w:rsid w:val="7613129C"/>
    <w:rsid w:val="769FFFC3"/>
    <w:rsid w:val="76DA55DC"/>
    <w:rsid w:val="76E2B156"/>
    <w:rsid w:val="76E73EEF"/>
    <w:rsid w:val="76FD6528"/>
    <w:rsid w:val="777F48F8"/>
    <w:rsid w:val="77ADD0F6"/>
    <w:rsid w:val="77BF59FD"/>
    <w:rsid w:val="77BFFCAF"/>
    <w:rsid w:val="77D605AF"/>
    <w:rsid w:val="77D97300"/>
    <w:rsid w:val="77DDDA19"/>
    <w:rsid w:val="77EF41F4"/>
    <w:rsid w:val="77EFAB07"/>
    <w:rsid w:val="77F5F887"/>
    <w:rsid w:val="78A638D8"/>
    <w:rsid w:val="78BA72A2"/>
    <w:rsid w:val="78D7D298"/>
    <w:rsid w:val="797DAEA0"/>
    <w:rsid w:val="797FE13B"/>
    <w:rsid w:val="79EDE788"/>
    <w:rsid w:val="79F67EFF"/>
    <w:rsid w:val="7A1A270D"/>
    <w:rsid w:val="7A672A9B"/>
    <w:rsid w:val="7AFCA647"/>
    <w:rsid w:val="7AFFA58A"/>
    <w:rsid w:val="7BBE27E7"/>
    <w:rsid w:val="7BCED1FC"/>
    <w:rsid w:val="7BDA9FDF"/>
    <w:rsid w:val="7BDD3B34"/>
    <w:rsid w:val="7BDFE323"/>
    <w:rsid w:val="7BEF747D"/>
    <w:rsid w:val="7BF3F8FE"/>
    <w:rsid w:val="7BF49E5F"/>
    <w:rsid w:val="7BF73AA4"/>
    <w:rsid w:val="7BFB07D1"/>
    <w:rsid w:val="7BFED1AE"/>
    <w:rsid w:val="7CDEC9B8"/>
    <w:rsid w:val="7CDF8DE6"/>
    <w:rsid w:val="7CF653CF"/>
    <w:rsid w:val="7D091152"/>
    <w:rsid w:val="7D3FBA60"/>
    <w:rsid w:val="7D5D5AAD"/>
    <w:rsid w:val="7DD778FC"/>
    <w:rsid w:val="7DEB302E"/>
    <w:rsid w:val="7DEFDFCB"/>
    <w:rsid w:val="7DFEE725"/>
    <w:rsid w:val="7DFF9087"/>
    <w:rsid w:val="7DFFFA82"/>
    <w:rsid w:val="7E08662C"/>
    <w:rsid w:val="7E3FBC9C"/>
    <w:rsid w:val="7E77E3F7"/>
    <w:rsid w:val="7E7FFAC9"/>
    <w:rsid w:val="7E9B7AD0"/>
    <w:rsid w:val="7EA7B8A1"/>
    <w:rsid w:val="7EF1A0E5"/>
    <w:rsid w:val="7EF258A5"/>
    <w:rsid w:val="7EFF4879"/>
    <w:rsid w:val="7EFF5C2D"/>
    <w:rsid w:val="7EFF801A"/>
    <w:rsid w:val="7F158EF4"/>
    <w:rsid w:val="7F6B4213"/>
    <w:rsid w:val="7F778570"/>
    <w:rsid w:val="7F7B6795"/>
    <w:rsid w:val="7F7F5638"/>
    <w:rsid w:val="7F9DDD74"/>
    <w:rsid w:val="7FAC77B2"/>
    <w:rsid w:val="7FC6B5E4"/>
    <w:rsid w:val="7FC71D1C"/>
    <w:rsid w:val="7FD7277A"/>
    <w:rsid w:val="7FD9BEA3"/>
    <w:rsid w:val="7FDD7404"/>
    <w:rsid w:val="7FDF10AF"/>
    <w:rsid w:val="7FDFB121"/>
    <w:rsid w:val="7FE51748"/>
    <w:rsid w:val="7FE740FA"/>
    <w:rsid w:val="7FED5B91"/>
    <w:rsid w:val="7FEF8F3F"/>
    <w:rsid w:val="7FF29978"/>
    <w:rsid w:val="7FF8D509"/>
    <w:rsid w:val="7FFA20F7"/>
    <w:rsid w:val="7FFD2A2E"/>
    <w:rsid w:val="7FFE59A3"/>
    <w:rsid w:val="7FFEA796"/>
    <w:rsid w:val="7FFF2D3B"/>
    <w:rsid w:val="7FFF7451"/>
    <w:rsid w:val="7FFFA728"/>
    <w:rsid w:val="83EF232B"/>
    <w:rsid w:val="8F73CAD4"/>
    <w:rsid w:val="9355875D"/>
    <w:rsid w:val="9ABBE6B3"/>
    <w:rsid w:val="9AFD5C78"/>
    <w:rsid w:val="9B374F35"/>
    <w:rsid w:val="9BDE4055"/>
    <w:rsid w:val="9EEF32FF"/>
    <w:rsid w:val="9FD58BC2"/>
    <w:rsid w:val="9FDF7315"/>
    <w:rsid w:val="9FECF064"/>
    <w:rsid w:val="9FFAD28E"/>
    <w:rsid w:val="A3DFCD8D"/>
    <w:rsid w:val="A3F8A991"/>
    <w:rsid w:val="A638BE05"/>
    <w:rsid w:val="A7E1EC37"/>
    <w:rsid w:val="ABCE323F"/>
    <w:rsid w:val="AEDDC3E3"/>
    <w:rsid w:val="AFFB6898"/>
    <w:rsid w:val="AFFF17F4"/>
    <w:rsid w:val="B26787D6"/>
    <w:rsid w:val="B33F7540"/>
    <w:rsid w:val="B3DE2A93"/>
    <w:rsid w:val="B3FD663C"/>
    <w:rsid w:val="B5F7C82F"/>
    <w:rsid w:val="B7FD4548"/>
    <w:rsid w:val="B9751BDD"/>
    <w:rsid w:val="BB7F38A4"/>
    <w:rsid w:val="BB9E0693"/>
    <w:rsid w:val="BBEFAC90"/>
    <w:rsid w:val="BD3BDE33"/>
    <w:rsid w:val="BD7BC3D4"/>
    <w:rsid w:val="BDCDD8C5"/>
    <w:rsid w:val="BDDAB1D3"/>
    <w:rsid w:val="BE5E28C4"/>
    <w:rsid w:val="BE6E185D"/>
    <w:rsid w:val="BEDF49EB"/>
    <w:rsid w:val="BEFE9627"/>
    <w:rsid w:val="BEFF3B69"/>
    <w:rsid w:val="BF5713D0"/>
    <w:rsid w:val="BF5A04E0"/>
    <w:rsid w:val="BF7D206A"/>
    <w:rsid w:val="BF97E945"/>
    <w:rsid w:val="BFBF8176"/>
    <w:rsid w:val="BFCFE928"/>
    <w:rsid w:val="BFDAF70F"/>
    <w:rsid w:val="BFDBF8EE"/>
    <w:rsid w:val="BFF312DA"/>
    <w:rsid w:val="BFFB8052"/>
    <w:rsid w:val="C7FD959E"/>
    <w:rsid w:val="C7FF0CA6"/>
    <w:rsid w:val="C7FF630F"/>
    <w:rsid w:val="C7FF7BAB"/>
    <w:rsid w:val="CB2F64F8"/>
    <w:rsid w:val="CD6DEFE9"/>
    <w:rsid w:val="CDBF9378"/>
    <w:rsid w:val="CDFB7218"/>
    <w:rsid w:val="CEFFB077"/>
    <w:rsid w:val="CF2E0E4A"/>
    <w:rsid w:val="CFB4B18C"/>
    <w:rsid w:val="CFCEA488"/>
    <w:rsid w:val="CFFEDF14"/>
    <w:rsid w:val="D59F2A74"/>
    <w:rsid w:val="D6FFD2BC"/>
    <w:rsid w:val="D7EE2C6B"/>
    <w:rsid w:val="D7F7B95A"/>
    <w:rsid w:val="D8CD7247"/>
    <w:rsid w:val="D8F67FE7"/>
    <w:rsid w:val="D97ECECF"/>
    <w:rsid w:val="D9FAC804"/>
    <w:rsid w:val="DAF54913"/>
    <w:rsid w:val="DAFF8B69"/>
    <w:rsid w:val="DAFFBBC3"/>
    <w:rsid w:val="DBD6EEFD"/>
    <w:rsid w:val="DBFE2220"/>
    <w:rsid w:val="DC76EFA3"/>
    <w:rsid w:val="DD3725B4"/>
    <w:rsid w:val="DD4609B7"/>
    <w:rsid w:val="DD5E8376"/>
    <w:rsid w:val="DD795F05"/>
    <w:rsid w:val="DD7F2A90"/>
    <w:rsid w:val="DDD70C82"/>
    <w:rsid w:val="DDEBB2DE"/>
    <w:rsid w:val="DDF19EAF"/>
    <w:rsid w:val="DED4C859"/>
    <w:rsid w:val="DEFF2A23"/>
    <w:rsid w:val="DF2A3D5D"/>
    <w:rsid w:val="DFAFF4C6"/>
    <w:rsid w:val="DFCF742E"/>
    <w:rsid w:val="DFDBF8F7"/>
    <w:rsid w:val="DFDF7CE2"/>
    <w:rsid w:val="DFE69F22"/>
    <w:rsid w:val="DFEE0D5B"/>
    <w:rsid w:val="DFFD6F33"/>
    <w:rsid w:val="DFFE7B5F"/>
    <w:rsid w:val="DFFF2833"/>
    <w:rsid w:val="DFFF2BE7"/>
    <w:rsid w:val="DFFF8D9A"/>
    <w:rsid w:val="DFFFE3CC"/>
    <w:rsid w:val="E188C436"/>
    <w:rsid w:val="E26CB9D3"/>
    <w:rsid w:val="E5BFDD59"/>
    <w:rsid w:val="E5FFA1BA"/>
    <w:rsid w:val="E7EF126B"/>
    <w:rsid w:val="E8DF555B"/>
    <w:rsid w:val="E94E0D1C"/>
    <w:rsid w:val="E9FF57FE"/>
    <w:rsid w:val="EB36EA53"/>
    <w:rsid w:val="EB5EF671"/>
    <w:rsid w:val="EB7F4229"/>
    <w:rsid w:val="EBF52E27"/>
    <w:rsid w:val="EBFF072D"/>
    <w:rsid w:val="ECDBF891"/>
    <w:rsid w:val="ECEF653A"/>
    <w:rsid w:val="EE361B3F"/>
    <w:rsid w:val="EE59CB29"/>
    <w:rsid w:val="EEBEFDC6"/>
    <w:rsid w:val="EF3F4FCF"/>
    <w:rsid w:val="EF7B7292"/>
    <w:rsid w:val="EFBDE92A"/>
    <w:rsid w:val="EFCFE1D6"/>
    <w:rsid w:val="EFE7F538"/>
    <w:rsid w:val="EFFB90FC"/>
    <w:rsid w:val="EFFBB1F5"/>
    <w:rsid w:val="EFFBE8F5"/>
    <w:rsid w:val="F1D79275"/>
    <w:rsid w:val="F25F59DA"/>
    <w:rsid w:val="F28FD5BF"/>
    <w:rsid w:val="F31BC5BF"/>
    <w:rsid w:val="F3E7403D"/>
    <w:rsid w:val="F3EB0559"/>
    <w:rsid w:val="F3FBCD25"/>
    <w:rsid w:val="F4BF774E"/>
    <w:rsid w:val="F5AE8ED1"/>
    <w:rsid w:val="F5FB4CA3"/>
    <w:rsid w:val="F67C7961"/>
    <w:rsid w:val="F6BF1A00"/>
    <w:rsid w:val="F77F724D"/>
    <w:rsid w:val="F77FCD4A"/>
    <w:rsid w:val="F79F1223"/>
    <w:rsid w:val="F7B7E063"/>
    <w:rsid w:val="F7BD8704"/>
    <w:rsid w:val="F7D2B8DD"/>
    <w:rsid w:val="F7DF50C8"/>
    <w:rsid w:val="F7EFC10B"/>
    <w:rsid w:val="F7FBF526"/>
    <w:rsid w:val="F8E5DEF6"/>
    <w:rsid w:val="F98FCC99"/>
    <w:rsid w:val="F9BB6D56"/>
    <w:rsid w:val="F9F29DF5"/>
    <w:rsid w:val="FA2F2FAB"/>
    <w:rsid w:val="FA5E84C5"/>
    <w:rsid w:val="FA5F20DB"/>
    <w:rsid w:val="FABB37B4"/>
    <w:rsid w:val="FADF4116"/>
    <w:rsid w:val="FADF8AA6"/>
    <w:rsid w:val="FB37CE14"/>
    <w:rsid w:val="FB7A9AC3"/>
    <w:rsid w:val="FB7FB25F"/>
    <w:rsid w:val="FBA7C995"/>
    <w:rsid w:val="FBBB9EFC"/>
    <w:rsid w:val="FBBFD8FE"/>
    <w:rsid w:val="FBBFFB11"/>
    <w:rsid w:val="FBD7AD48"/>
    <w:rsid w:val="FBEA8ADB"/>
    <w:rsid w:val="FBF72E66"/>
    <w:rsid w:val="FCBE5355"/>
    <w:rsid w:val="FCBF613C"/>
    <w:rsid w:val="FCEEBFF5"/>
    <w:rsid w:val="FCF90E22"/>
    <w:rsid w:val="FCFDCC9A"/>
    <w:rsid w:val="FCFF8CBE"/>
    <w:rsid w:val="FD3D16FA"/>
    <w:rsid w:val="FD43596D"/>
    <w:rsid w:val="FD5F539C"/>
    <w:rsid w:val="FDCD1673"/>
    <w:rsid w:val="FDD5BEF6"/>
    <w:rsid w:val="FDE3749C"/>
    <w:rsid w:val="FDFB348B"/>
    <w:rsid w:val="FDFB82C8"/>
    <w:rsid w:val="FE3F83F3"/>
    <w:rsid w:val="FE9BFFD5"/>
    <w:rsid w:val="FEAB4117"/>
    <w:rsid w:val="FEAC311F"/>
    <w:rsid w:val="FEDFFED5"/>
    <w:rsid w:val="FEF4E45A"/>
    <w:rsid w:val="FEFE1657"/>
    <w:rsid w:val="FEFF698E"/>
    <w:rsid w:val="FF15920A"/>
    <w:rsid w:val="FF2FD1C8"/>
    <w:rsid w:val="FF3A653E"/>
    <w:rsid w:val="FF3D7CDB"/>
    <w:rsid w:val="FF6FABF4"/>
    <w:rsid w:val="FF714AB5"/>
    <w:rsid w:val="FF860AD1"/>
    <w:rsid w:val="FFA6477C"/>
    <w:rsid w:val="FFAAAE79"/>
    <w:rsid w:val="FFB586E7"/>
    <w:rsid w:val="FFB6883C"/>
    <w:rsid w:val="FFB6CE01"/>
    <w:rsid w:val="FFBD927B"/>
    <w:rsid w:val="FFBF3AF2"/>
    <w:rsid w:val="FFD6AE67"/>
    <w:rsid w:val="FFD79A12"/>
    <w:rsid w:val="FFD9998E"/>
    <w:rsid w:val="FFDD2BB0"/>
    <w:rsid w:val="FFDF4279"/>
    <w:rsid w:val="FFE51CF7"/>
    <w:rsid w:val="FFE8D140"/>
    <w:rsid w:val="FFEF05E3"/>
    <w:rsid w:val="FFEF4477"/>
    <w:rsid w:val="FFEF56DE"/>
    <w:rsid w:val="FFEFBD8C"/>
    <w:rsid w:val="FFF2EFAC"/>
    <w:rsid w:val="FFF527D9"/>
    <w:rsid w:val="FFF8BB1E"/>
    <w:rsid w:val="FFFDE6CC"/>
    <w:rsid w:val="FFFEA55C"/>
    <w:rsid w:val="FFFEBA46"/>
    <w:rsid w:val="FFFF0E2E"/>
    <w:rsid w:val="FFFF0E8E"/>
    <w:rsid w:val="FFFFA550"/>
    <w:rsid w:val="FFFFEB22"/>
    <w:rsid w:val="FFFFF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Body Text First Indent"/>
    <w:basedOn w:val="2"/>
    <w:next w:val="1"/>
    <w:qFormat/>
    <w:uiPriority w:val="0"/>
    <w:pPr>
      <w:spacing w:after="0"/>
      <w:ind w:firstLine="200" w:firstLineChars="200"/>
    </w:pPr>
    <w:rPr>
      <w:rFonts w:ascii="Calibri" w:hAnsi="Calibri" w:eastAsia="宋体" w:cs="Times New Roman"/>
      <w:sz w:val="21"/>
      <w:szCs w:val="22"/>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paragraph" w:customStyle="1" w:styleId="13">
    <w:name w:val="Body Text First Indent"/>
    <w:basedOn w:val="2"/>
    <w:next w:val="1"/>
    <w:qFormat/>
    <w:uiPriority w:val="0"/>
    <w:pPr>
      <w:widowControl w:val="0"/>
      <w:spacing w:line="240" w:lineRule="auto"/>
      <w:ind w:firstLine="420" w:firstLineChars="100"/>
      <w:jc w:val="both"/>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2026-05-18T12:03:00Z</dcterms:created>
  <dc:creator>wjwyq1</dc:creator>
  <cp:lastModifiedBy>bk</cp:lastModifiedBy>
  <cp:lastPrinted>2026-07-14T09:33:00Z</cp:lastPrinted>
  <dcterms:modified xsi:type="dcterms:W3CDTF">2026-08-27T08:00:52Z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217FFA05CDA231C15EF60B6A604F736A</vt:lpwstr>
  </property>
</Properties>
</file>