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2"/>
        <w:jc w:val="left"/>
        <w:rPr>
          <w:rFonts w:hint="eastAsia" w:ascii="仿宋_GB2312" w:hAnsi="仿宋_GB2312" w:eastAsia="仿宋_GB2312" w:cs="仿宋_GB2312"/>
          <w:bCs/>
          <w:sz w:val="32"/>
          <w:szCs w:val="32"/>
          <w:lang w:val="en-US" w:eastAsia="zh-CN"/>
        </w:rPr>
      </w:pPr>
      <w:bookmarkStart w:id="0" w:name="OLE_LINK3"/>
      <w:bookmarkStart w:id="1" w:name="OLE_LINK2"/>
      <w:bookmarkStart w:id="2" w:name="OLE_LINK1"/>
      <w:bookmarkStart w:id="3" w:name="OLE_LINK4"/>
      <w:r>
        <w:rPr>
          <w:rFonts w:hint="eastAsia" w:ascii="仿宋_GB2312" w:hAnsi="仿宋_GB2312" w:eastAsia="仿宋_GB2312" w:cs="仿宋_GB2312"/>
          <w:bCs/>
          <w:sz w:val="32"/>
          <w:szCs w:val="32"/>
          <w:lang w:val="en-US" w:eastAsia="zh-CN"/>
        </w:rPr>
        <w:t>附件2</w:t>
      </w:r>
    </w:p>
    <w:p>
      <w:pPr>
        <w:pStyle w:val="2"/>
        <w:jc w:val="left"/>
        <w:rPr>
          <w:rFonts w:hint="eastAsia" w:ascii="仿宋_GB2312" w:hAnsi="仿宋_GB2312" w:eastAsia="仿宋_GB2312" w:cs="仿宋_GB2312"/>
          <w:bCs/>
          <w:sz w:val="44"/>
          <w:szCs w:val="44"/>
          <w:lang w:val="en-US" w:eastAsia="zh-CN"/>
        </w:rPr>
      </w:pPr>
    </w:p>
    <w:p>
      <w:pPr>
        <w:pStyle w:val="6"/>
        <w:spacing w:after="0" w:line="560" w:lineRule="exact"/>
        <w:ind w:left="0" w:leftChars="0"/>
        <w:jc w:val="center"/>
        <w:outlineLvl w:val="0"/>
        <w:rPr>
          <w:rFonts w:ascii="方正小标宋_GBK" w:hAnsi="方正小标宋_GBK" w:eastAsia="方正小标宋_GBK" w:cs="方正小标宋_GBK"/>
          <w:bCs/>
          <w:sz w:val="44"/>
          <w:szCs w:val="44"/>
        </w:rPr>
      </w:pPr>
      <w:r>
        <w:rPr>
          <w:rFonts w:hint="eastAsia" w:ascii="方正小标宋_GBK" w:hAnsi="方正小标宋_GBK" w:eastAsia="方正小标宋_GBK" w:cs="方正小标宋_GBK"/>
          <w:bCs/>
          <w:sz w:val="44"/>
          <w:szCs w:val="44"/>
          <w:lang w:val="en-US" w:eastAsia="zh-CN"/>
        </w:rPr>
        <w:t>关于</w:t>
      </w:r>
      <w:bookmarkStart w:id="4" w:name="_GoBack"/>
      <w:bookmarkEnd w:id="4"/>
      <w:r>
        <w:rPr>
          <w:rFonts w:hint="eastAsia" w:ascii="方正小标宋_GBK" w:hAnsi="方正小标宋_GBK" w:eastAsia="方正小标宋_GBK" w:cs="方正小标宋_GBK"/>
          <w:bCs/>
          <w:sz w:val="44"/>
          <w:szCs w:val="44"/>
        </w:rPr>
        <w:t>《美丽昌吉建设“十五五”规划（征求意见稿）》</w:t>
      </w:r>
      <w:r>
        <w:rPr>
          <w:rFonts w:hint="eastAsia" w:ascii="方正小标宋_GBK" w:hAnsi="方正小标宋_GBK" w:eastAsia="方正小标宋_GBK" w:cs="方正小标宋_GBK"/>
          <w:bCs/>
          <w:sz w:val="44"/>
          <w:szCs w:val="44"/>
          <w:lang w:val="en-US" w:eastAsia="zh-CN"/>
        </w:rPr>
        <w:t>的起草</w:t>
      </w:r>
      <w:r>
        <w:rPr>
          <w:rFonts w:hint="eastAsia" w:ascii="方正小标宋_GBK" w:hAnsi="方正小标宋_GBK" w:eastAsia="方正小标宋_GBK" w:cs="方正小标宋_GBK"/>
          <w:bCs/>
          <w:sz w:val="44"/>
          <w:szCs w:val="44"/>
        </w:rPr>
        <w:t>说明</w:t>
      </w:r>
    </w:p>
    <w:p>
      <w:pPr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eastAsia="仿宋_GB2312"/>
          <w:sz w:val="32"/>
          <w:szCs w:val="32"/>
        </w:rPr>
      </w:pPr>
    </w:p>
    <w:p>
      <w:pPr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eastAsia="仿宋_GB2312"/>
          <w:spacing w:val="-20"/>
          <w:sz w:val="32"/>
          <w:szCs w:val="32"/>
          <w:lang w:eastAsia="zh-CN"/>
        </w:rPr>
      </w:pPr>
      <w:r>
        <w:rPr>
          <w:rFonts w:hint="eastAsia" w:ascii="仿宋_GB2312" w:eastAsia="仿宋_GB2312"/>
          <w:sz w:val="32"/>
          <w:szCs w:val="32"/>
          <w:lang w:val="en-US" w:eastAsia="zh-CN"/>
        </w:rPr>
        <w:t>现将</w:t>
      </w:r>
      <w:r>
        <w:rPr>
          <w:rFonts w:hint="eastAsia" w:ascii="仿宋_GB2312" w:eastAsia="仿宋_GB2312"/>
          <w:sz w:val="32"/>
          <w:szCs w:val="32"/>
        </w:rPr>
        <w:t>《美丽昌吉建设“十五五”规划（征求意见稿）》（以下简称《规划》）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说明如下：</w:t>
      </w:r>
    </w:p>
    <w:p>
      <w:pPr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黑体" w:hAnsi="黑体" w:eastAsia="黑体" w:cs="黑体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一、起草背景和过程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hint="eastAsia" w:ascii="仿宋_GB2312" w:eastAsia="仿宋_GB2312"/>
          <w:sz w:val="32"/>
          <w:szCs w:val="32"/>
          <w:lang w:eastAsia="zh-CN"/>
        </w:rPr>
      </w:pPr>
      <w:r>
        <w:rPr>
          <w:rFonts w:hint="eastAsia" w:ascii="仿宋_GB2312" w:eastAsia="仿宋_GB2312"/>
          <w:sz w:val="32"/>
          <w:szCs w:val="32"/>
        </w:rPr>
        <w:t>“十五五”时期是全面推进美丽昌吉建设、打造新疆高质量发展典范地州的关键阶段。科学编制并实施本规划，对协同推进经济高质量发展与生态环境高水平保护、筑牢国家西北生态安全屏障具有重要战略意义</w:t>
      </w:r>
      <w:r>
        <w:rPr>
          <w:rFonts w:hint="eastAsia" w:ascii="仿宋_GB2312" w:eastAsia="仿宋_GB2312"/>
          <w:sz w:val="32"/>
          <w:szCs w:val="32"/>
          <w:lang w:eastAsia="zh-CN"/>
        </w:rPr>
        <w:t>。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为科学编制《昌吉回族自治州“十五五”生态环境保护规划》，我局严格遵循规范流程、系统推进各项工作。2024年8月制定工作方案、成立领导小组与技术组，全面启动编制；随即开展首轮调研，覆盖7个县市、3个园区、9个州直部门，摸清生态底数并收集基础资料，梳理形成40个重大工程项目意向。同步对接上级部门确立规划思路，2025年3月完成编制大纲，明确总体框架与方向；聚焦重点领域开展专题研究，7月形成研究报告初步成果，并启动第二轮调研征求意见，提升规划科学性。在专题研究与项目清单基础上，2025年10月形成规划初稿，经多轮修改完善，2026年1月形成征求意见稿。坚持开门编规划，先后召开座谈、书面征求意见两轮，累计征集意见143条，采纳131条、部分采纳2条、未采纳10条并逐条说明；2026年4月邀请国家及自治区专家论证，同步召开部门与局党组讨论会，充分吸纳意见优化完善。历经准备启动、调研、定纲、专题研究、项目谋划、文本编制、多方征意见、专家论证八个阶段，规划编制实现系统性、协同性、开放性统一，数据详实、衔接紧密，为形成符合中央精神、贴合昌吉实际、回应群众期盼的高质量生态环境保护规划筑牢坚实基础。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黑体" w:hAnsi="黑体" w:eastAsia="黑体" w:cs="黑体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二、《规划》文本主要内容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《规划》文本共分三大部分，包含10章、40节、10个专栏</w:t>
      </w:r>
      <w:r>
        <w:rPr>
          <w:rFonts w:hint="eastAsia" w:ascii="仿宋_GB2312" w:eastAsia="仿宋_GB2312"/>
          <w:sz w:val="32"/>
          <w:szCs w:val="32"/>
          <w:lang w:eastAsia="zh-CN"/>
        </w:rPr>
        <w:t>，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具体如下：</w:t>
      </w:r>
    </w:p>
    <w:p>
      <w:pPr>
        <w:spacing w:line="560" w:lineRule="exact"/>
        <w:ind w:firstLine="643" w:firstLineChars="200"/>
        <w:rPr>
          <w:rFonts w:hint="eastAsia" w:ascii="楷体_GB2312" w:hAnsi="楷体_GB2312" w:eastAsia="楷体_GB2312" w:cs="楷体_GB2312"/>
          <w:b/>
          <w:sz w:val="32"/>
          <w:szCs w:val="32"/>
          <w:lang w:eastAsia="zh-CN"/>
        </w:rPr>
      </w:pPr>
      <w:r>
        <w:rPr>
          <w:rFonts w:hint="eastAsia" w:ascii="楷体_GB2312" w:hAnsi="楷体_GB2312" w:eastAsia="楷体_GB2312" w:cs="楷体_GB2312"/>
          <w:b/>
          <w:sz w:val="32"/>
          <w:szCs w:val="32"/>
          <w:lang w:eastAsia="zh-CN"/>
        </w:rPr>
        <w:t>（</w:t>
      </w:r>
      <w:r>
        <w:rPr>
          <w:rFonts w:hint="eastAsia" w:ascii="楷体_GB2312" w:hAnsi="楷体_GB2312" w:eastAsia="楷体_GB2312" w:cs="楷体_GB2312"/>
          <w:b/>
          <w:sz w:val="32"/>
          <w:szCs w:val="32"/>
          <w:lang w:val="en-US" w:eastAsia="zh-CN"/>
        </w:rPr>
        <w:t>一</w:t>
      </w:r>
      <w:r>
        <w:rPr>
          <w:rFonts w:hint="eastAsia" w:ascii="楷体_GB2312" w:hAnsi="楷体_GB2312" w:eastAsia="楷体_GB2312" w:cs="楷体_GB2312"/>
          <w:b/>
          <w:sz w:val="32"/>
          <w:szCs w:val="32"/>
          <w:lang w:eastAsia="zh-CN"/>
        </w:rPr>
        <w:t>）</w:t>
      </w:r>
      <w:r>
        <w:rPr>
          <w:rFonts w:hint="eastAsia" w:ascii="楷体_GB2312" w:hAnsi="楷体_GB2312" w:eastAsia="楷体_GB2312" w:cs="楷体_GB2312"/>
          <w:b/>
          <w:sz w:val="32"/>
          <w:szCs w:val="32"/>
        </w:rPr>
        <w:t>第一部分：规划基础与总体要求（第一、二章）</w:t>
      </w:r>
    </w:p>
    <w:p>
      <w:pPr>
        <w:spacing w:line="560" w:lineRule="exact"/>
        <w:ind w:firstLine="640" w:firstLineChars="200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第一章系统总结了“十四五”时期昌吉州生态环境保护取得的显著成效，深入分析了“十五五”时期面临的机遇与挑战，特别是产业结构偏重、绿色转型压力大、大气治理任务艰巨、资源能源效率偏低等突出问题。</w:t>
      </w:r>
    </w:p>
    <w:p>
      <w:pPr>
        <w:spacing w:line="560" w:lineRule="exact"/>
        <w:ind w:firstLine="640" w:firstLineChars="200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第二章提出了规划的指导思想、基本原则（包括党的全面领导、环保为民、生态优先、系统治理、改革创新、兵地融合等）、规划指引（明确西片区、东片区发展定位）和具体目标指标。指标体系涵盖生态环境质量、生态保护修复、减污降碳协同、环境风险防控、核与辐射安全、基础设施、</w:t>
      </w:r>
      <w:r>
        <w:rPr>
          <w:rFonts w:hint="eastAsia" w:ascii="仿宋_GB2312" w:eastAsia="仿宋_GB2312"/>
          <w:sz w:val="32"/>
          <w:szCs w:val="32"/>
          <w:lang w:eastAsia="zh-CN"/>
        </w:rPr>
        <w:t>“美丽系列”建设</w:t>
      </w:r>
      <w:r>
        <w:rPr>
          <w:rFonts w:hint="eastAsia" w:ascii="仿宋_GB2312" w:eastAsia="仿宋_GB2312"/>
          <w:sz w:val="32"/>
          <w:szCs w:val="32"/>
        </w:rPr>
        <w:t>等七大类共23项指标</w:t>
      </w:r>
      <w:r>
        <w:rPr>
          <w:rFonts w:hint="eastAsia" w:ascii="仿宋_GB2312" w:eastAsia="仿宋_GB2312"/>
          <w:sz w:val="32"/>
          <w:szCs w:val="32"/>
          <w:lang w:eastAsia="zh-CN"/>
        </w:rPr>
        <w:t>，其中约束性指标9项、预期性指标14项</w:t>
      </w:r>
      <w:r>
        <w:rPr>
          <w:rFonts w:hint="eastAsia" w:ascii="仿宋_GB2312" w:eastAsia="仿宋_GB2312"/>
          <w:sz w:val="32"/>
          <w:szCs w:val="32"/>
        </w:rPr>
        <w:t>。</w:t>
      </w:r>
    </w:p>
    <w:p>
      <w:pPr>
        <w:spacing w:line="560" w:lineRule="exact"/>
        <w:ind w:firstLine="643" w:firstLineChars="200"/>
        <w:rPr>
          <w:rFonts w:hint="eastAsia" w:ascii="楷体_GB2312" w:hAnsi="楷体_GB2312" w:eastAsia="楷体_GB2312" w:cs="楷体_GB2312"/>
          <w:b/>
          <w:sz w:val="32"/>
          <w:szCs w:val="32"/>
          <w:lang w:eastAsia="zh-CN"/>
        </w:rPr>
      </w:pPr>
      <w:r>
        <w:rPr>
          <w:rFonts w:hint="eastAsia" w:ascii="楷体_GB2312" w:hAnsi="楷体_GB2312" w:eastAsia="楷体_GB2312" w:cs="楷体_GB2312"/>
          <w:b/>
          <w:sz w:val="32"/>
          <w:szCs w:val="32"/>
          <w:lang w:eastAsia="zh-CN"/>
        </w:rPr>
        <w:t>（</w:t>
      </w:r>
      <w:r>
        <w:rPr>
          <w:rFonts w:hint="eastAsia" w:ascii="楷体_GB2312" w:hAnsi="楷体_GB2312" w:eastAsia="楷体_GB2312" w:cs="楷体_GB2312"/>
          <w:b/>
          <w:sz w:val="32"/>
          <w:szCs w:val="32"/>
          <w:lang w:val="en-US" w:eastAsia="zh-CN"/>
        </w:rPr>
        <w:t>二</w:t>
      </w:r>
      <w:r>
        <w:rPr>
          <w:rFonts w:hint="eastAsia" w:ascii="楷体_GB2312" w:hAnsi="楷体_GB2312" w:eastAsia="楷体_GB2312" w:cs="楷体_GB2312"/>
          <w:b/>
          <w:sz w:val="32"/>
          <w:szCs w:val="32"/>
          <w:lang w:eastAsia="zh-CN"/>
        </w:rPr>
        <w:t>）第二部分：重点任务（第三至第九章）</w:t>
      </w:r>
    </w:p>
    <w:p>
      <w:pPr>
        <w:spacing w:line="560" w:lineRule="exact"/>
        <w:ind w:firstLine="640" w:firstLineChars="200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  <w:lang w:val="en-US" w:eastAsia="zh-CN"/>
        </w:rPr>
        <w:t>第二</w:t>
      </w:r>
      <w:r>
        <w:rPr>
          <w:rFonts w:hint="eastAsia" w:ascii="仿宋_GB2312" w:eastAsia="仿宋_GB2312"/>
          <w:sz w:val="32"/>
          <w:szCs w:val="32"/>
        </w:rPr>
        <w:t>部分是规划的核心，部署了七大重点任务：</w:t>
      </w:r>
    </w:p>
    <w:p>
      <w:pPr>
        <w:spacing w:line="560" w:lineRule="exact"/>
        <w:ind w:firstLine="643" w:firstLineChars="200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b/>
          <w:bCs/>
          <w:sz w:val="32"/>
          <w:szCs w:val="32"/>
          <w:lang w:val="en-US" w:eastAsia="zh-CN"/>
        </w:rPr>
        <w:t>一是</w:t>
      </w:r>
      <w:r>
        <w:rPr>
          <w:rFonts w:hint="eastAsia" w:ascii="仿宋_GB2312" w:eastAsia="仿宋_GB2312"/>
          <w:b/>
          <w:bCs/>
          <w:sz w:val="32"/>
          <w:szCs w:val="32"/>
        </w:rPr>
        <w:t>推动“美丽昌吉”建设</w:t>
      </w:r>
      <w:r>
        <w:rPr>
          <w:rFonts w:hint="eastAsia" w:ascii="仿宋_GB2312" w:eastAsia="仿宋_GB2312"/>
          <w:b/>
          <w:bCs/>
          <w:sz w:val="32"/>
          <w:szCs w:val="32"/>
          <w:lang w:eastAsia="zh-CN"/>
        </w:rPr>
        <w:t>。</w:t>
      </w:r>
      <w:r>
        <w:rPr>
          <w:rFonts w:hint="eastAsia" w:ascii="仿宋_GB2312" w:eastAsia="仿宋_GB2312"/>
          <w:sz w:val="32"/>
          <w:szCs w:val="32"/>
        </w:rPr>
        <w:t>通过美丽蓝天、美丽河湖、美丽城市、美丽乡村“四大系列”建设，打造美丽新疆的昌吉样板</w:t>
      </w:r>
      <w:r>
        <w:rPr>
          <w:rFonts w:hint="eastAsia" w:ascii="仿宋_GB2312" w:eastAsia="仿宋_GB2312"/>
          <w:sz w:val="32"/>
          <w:szCs w:val="32"/>
          <w:lang w:eastAsia="zh-CN"/>
        </w:rPr>
        <w:t>。</w:t>
      </w:r>
      <w:r>
        <w:rPr>
          <w:rFonts w:hint="eastAsia" w:ascii="仿宋_GB2312" w:eastAsia="仿宋_GB2312"/>
          <w:b/>
          <w:bCs/>
          <w:sz w:val="32"/>
          <w:szCs w:val="32"/>
          <w:lang w:val="en-US" w:eastAsia="zh-CN"/>
        </w:rPr>
        <w:t>二是</w:t>
      </w:r>
      <w:r>
        <w:rPr>
          <w:rFonts w:hint="eastAsia" w:ascii="仿宋_GB2312" w:eastAsia="仿宋_GB2312"/>
          <w:b/>
          <w:bCs/>
          <w:sz w:val="32"/>
          <w:szCs w:val="32"/>
        </w:rPr>
        <w:t>深化环境污染防治</w:t>
      </w:r>
      <w:r>
        <w:rPr>
          <w:rFonts w:hint="eastAsia" w:ascii="仿宋_GB2312" w:eastAsia="仿宋_GB2312"/>
          <w:b/>
          <w:bCs/>
          <w:sz w:val="32"/>
          <w:szCs w:val="32"/>
          <w:lang w:eastAsia="zh-CN"/>
        </w:rPr>
        <w:t>。</w:t>
      </w:r>
      <w:r>
        <w:rPr>
          <w:rFonts w:hint="eastAsia" w:ascii="仿宋_GB2312" w:eastAsia="仿宋_GB2312"/>
          <w:sz w:val="32"/>
          <w:szCs w:val="32"/>
        </w:rPr>
        <w:t>以“乌-昌-石”区域为主战场，持续深入打好蓝天、碧水、净土保卫战，强化固废和新污染物治理。</w:t>
      </w:r>
      <w:r>
        <w:rPr>
          <w:rFonts w:hint="eastAsia" w:ascii="仿宋_GB2312" w:eastAsia="仿宋_GB2312"/>
          <w:b/>
          <w:bCs/>
          <w:sz w:val="32"/>
          <w:szCs w:val="32"/>
          <w:lang w:val="en-US" w:eastAsia="zh-CN"/>
        </w:rPr>
        <w:t>三是</w:t>
      </w:r>
      <w:r>
        <w:rPr>
          <w:rFonts w:hint="eastAsia" w:ascii="仿宋_GB2312" w:eastAsia="仿宋_GB2312"/>
          <w:b/>
          <w:bCs/>
          <w:sz w:val="32"/>
          <w:szCs w:val="32"/>
        </w:rPr>
        <w:t>加强生态系统保护修复</w:t>
      </w:r>
      <w:r>
        <w:rPr>
          <w:rFonts w:hint="eastAsia" w:ascii="仿宋_GB2312" w:eastAsia="仿宋_GB2312"/>
          <w:b/>
          <w:bCs/>
          <w:sz w:val="32"/>
          <w:szCs w:val="32"/>
          <w:lang w:eastAsia="zh-CN"/>
        </w:rPr>
        <w:t>。</w:t>
      </w:r>
      <w:r>
        <w:rPr>
          <w:rFonts w:hint="eastAsia" w:ascii="仿宋_GB2312" w:eastAsia="仿宋_GB2312"/>
          <w:sz w:val="32"/>
          <w:szCs w:val="32"/>
        </w:rPr>
        <w:t>筑牢南部天山、北部荒漠生态屏障，实施一体化保护和系统治理，加强生物多样性保护和冰川保护</w:t>
      </w:r>
      <w:r>
        <w:rPr>
          <w:rFonts w:hint="eastAsia" w:ascii="仿宋_GB2312" w:eastAsia="仿宋_GB2312"/>
          <w:sz w:val="32"/>
          <w:szCs w:val="32"/>
          <w:lang w:eastAsia="zh-CN"/>
        </w:rPr>
        <w:t>。</w:t>
      </w:r>
      <w:r>
        <w:rPr>
          <w:rFonts w:hint="eastAsia" w:ascii="仿宋_GB2312" w:eastAsia="仿宋_GB2312"/>
          <w:b/>
          <w:bCs/>
          <w:sz w:val="32"/>
          <w:szCs w:val="32"/>
          <w:lang w:val="en-US" w:eastAsia="zh-CN"/>
        </w:rPr>
        <w:t>四是</w:t>
      </w:r>
      <w:r>
        <w:rPr>
          <w:rFonts w:hint="eastAsia" w:ascii="仿宋_GB2312" w:eastAsia="仿宋_GB2312"/>
          <w:b/>
          <w:bCs/>
          <w:sz w:val="32"/>
          <w:szCs w:val="32"/>
        </w:rPr>
        <w:t>加快绿色低碳转型</w:t>
      </w:r>
      <w:r>
        <w:rPr>
          <w:rFonts w:hint="eastAsia" w:ascii="仿宋_GB2312" w:eastAsia="仿宋_GB2312"/>
          <w:b/>
          <w:bCs/>
          <w:sz w:val="32"/>
          <w:szCs w:val="32"/>
          <w:lang w:eastAsia="zh-CN"/>
        </w:rPr>
        <w:t>。</w:t>
      </w:r>
      <w:r>
        <w:rPr>
          <w:rFonts w:hint="eastAsia" w:ascii="仿宋_GB2312" w:eastAsia="仿宋_GB2312"/>
          <w:sz w:val="32"/>
          <w:szCs w:val="32"/>
        </w:rPr>
        <w:t>优化国土空间格局，积极稳妥推进碳达峰碳中和，推动能源、产业、交通运输结构绿色低碳转型。</w:t>
      </w:r>
      <w:r>
        <w:rPr>
          <w:rFonts w:hint="eastAsia" w:ascii="仿宋_GB2312" w:eastAsia="仿宋_GB2312"/>
          <w:b/>
          <w:bCs/>
          <w:sz w:val="32"/>
          <w:szCs w:val="32"/>
          <w:lang w:val="en-US" w:eastAsia="zh-CN"/>
        </w:rPr>
        <w:t>五是</w:t>
      </w:r>
      <w:r>
        <w:rPr>
          <w:rFonts w:hint="eastAsia" w:ascii="仿宋_GB2312" w:eastAsia="仿宋_GB2312"/>
          <w:b/>
          <w:bCs/>
          <w:sz w:val="32"/>
          <w:szCs w:val="32"/>
        </w:rPr>
        <w:t>推动全民共建共享</w:t>
      </w:r>
      <w:r>
        <w:rPr>
          <w:rFonts w:hint="eastAsia" w:ascii="仿宋_GB2312" w:eastAsia="仿宋_GB2312"/>
          <w:b/>
          <w:bCs/>
          <w:sz w:val="32"/>
          <w:szCs w:val="32"/>
          <w:lang w:eastAsia="zh-CN"/>
        </w:rPr>
        <w:t>。</w:t>
      </w:r>
      <w:r>
        <w:rPr>
          <w:rFonts w:hint="eastAsia" w:ascii="仿宋_GB2312" w:eastAsia="仿宋_GB2312"/>
          <w:sz w:val="32"/>
          <w:szCs w:val="32"/>
        </w:rPr>
        <w:t>培育弘扬生态文化，构建多元共治格局，推广绿色低碳生活方式。</w:t>
      </w:r>
      <w:r>
        <w:rPr>
          <w:rFonts w:hint="eastAsia" w:ascii="仿宋_GB2312" w:eastAsia="仿宋_GB2312"/>
          <w:b/>
          <w:bCs/>
          <w:sz w:val="32"/>
          <w:szCs w:val="32"/>
          <w:lang w:val="en-US" w:eastAsia="zh-CN"/>
        </w:rPr>
        <w:t>六是</w:t>
      </w:r>
      <w:r>
        <w:rPr>
          <w:rFonts w:hint="eastAsia" w:ascii="仿宋_GB2312" w:eastAsia="仿宋_GB2312"/>
          <w:b/>
          <w:bCs/>
          <w:sz w:val="32"/>
          <w:szCs w:val="32"/>
        </w:rPr>
        <w:t>构建全域生态安全体系</w:t>
      </w:r>
      <w:r>
        <w:rPr>
          <w:rFonts w:hint="eastAsia" w:ascii="仿宋_GB2312" w:eastAsia="仿宋_GB2312"/>
          <w:b/>
          <w:bCs/>
          <w:sz w:val="32"/>
          <w:szCs w:val="32"/>
          <w:lang w:eastAsia="zh-CN"/>
        </w:rPr>
        <w:t>。</w:t>
      </w:r>
      <w:r>
        <w:rPr>
          <w:rFonts w:hint="eastAsia" w:ascii="仿宋_GB2312" w:eastAsia="仿宋_GB2312"/>
          <w:sz w:val="32"/>
          <w:szCs w:val="32"/>
        </w:rPr>
        <w:t>强化生态安全、核与辐射安全、生物安全管理，严密防控环境风险，提升适应气候变化能力。</w:t>
      </w:r>
      <w:r>
        <w:rPr>
          <w:rFonts w:hint="eastAsia" w:ascii="仿宋_GB2312" w:eastAsia="仿宋_GB2312"/>
          <w:b/>
          <w:bCs/>
          <w:sz w:val="32"/>
          <w:szCs w:val="32"/>
          <w:lang w:val="en-US" w:eastAsia="zh-CN"/>
        </w:rPr>
        <w:t>七是</w:t>
      </w:r>
      <w:r>
        <w:rPr>
          <w:rFonts w:hint="eastAsia" w:ascii="仿宋_GB2312" w:eastAsia="仿宋_GB2312"/>
          <w:b/>
          <w:bCs/>
          <w:sz w:val="32"/>
          <w:szCs w:val="32"/>
        </w:rPr>
        <w:t>健全现代环境治理体系</w:t>
      </w:r>
      <w:r>
        <w:rPr>
          <w:rFonts w:hint="eastAsia" w:ascii="仿宋_GB2312" w:eastAsia="仿宋_GB2312"/>
          <w:b/>
          <w:bCs/>
          <w:sz w:val="32"/>
          <w:szCs w:val="32"/>
          <w:lang w:eastAsia="zh-CN"/>
        </w:rPr>
        <w:t>。</w:t>
      </w:r>
      <w:r>
        <w:rPr>
          <w:rFonts w:hint="eastAsia" w:ascii="仿宋_GB2312" w:eastAsia="仿宋_GB2312"/>
          <w:sz w:val="32"/>
          <w:szCs w:val="32"/>
        </w:rPr>
        <w:t>完善体制机制，强化监测执法能力，健全生态产品价值实现机制。</w:t>
      </w:r>
    </w:p>
    <w:p>
      <w:pPr>
        <w:spacing w:line="560" w:lineRule="exact"/>
        <w:ind w:firstLine="643" w:firstLineChars="200"/>
        <w:rPr>
          <w:rFonts w:hint="eastAsia" w:ascii="楷体_GB2312" w:hAnsi="楷体_GB2312" w:eastAsia="楷体_GB2312" w:cs="楷体_GB2312"/>
          <w:b/>
          <w:sz w:val="32"/>
          <w:szCs w:val="32"/>
          <w:lang w:eastAsia="zh-CN"/>
        </w:rPr>
      </w:pPr>
      <w:r>
        <w:rPr>
          <w:rFonts w:hint="eastAsia" w:ascii="楷体_GB2312" w:hAnsi="楷体_GB2312" w:eastAsia="楷体_GB2312" w:cs="楷体_GB2312"/>
          <w:b/>
          <w:sz w:val="32"/>
          <w:szCs w:val="32"/>
          <w:lang w:eastAsia="zh-CN"/>
        </w:rPr>
        <w:t>（</w:t>
      </w:r>
      <w:r>
        <w:rPr>
          <w:rFonts w:hint="eastAsia" w:ascii="楷体_GB2312" w:hAnsi="楷体_GB2312" w:eastAsia="楷体_GB2312" w:cs="楷体_GB2312"/>
          <w:b/>
          <w:sz w:val="32"/>
          <w:szCs w:val="32"/>
          <w:lang w:val="en-US" w:eastAsia="zh-CN"/>
        </w:rPr>
        <w:t>三</w:t>
      </w:r>
      <w:r>
        <w:rPr>
          <w:rFonts w:hint="eastAsia" w:ascii="楷体_GB2312" w:hAnsi="楷体_GB2312" w:eastAsia="楷体_GB2312" w:cs="楷体_GB2312"/>
          <w:b/>
          <w:sz w:val="32"/>
          <w:szCs w:val="32"/>
          <w:lang w:eastAsia="zh-CN"/>
        </w:rPr>
        <w:t>）第三部分：保障措施（第十章）</w:t>
      </w:r>
    </w:p>
    <w:p>
      <w:pPr>
        <w:spacing w:line="560" w:lineRule="exact"/>
        <w:ind w:firstLine="640" w:firstLineChars="200"/>
        <w:rPr>
          <w:rFonts w:hint="eastAsia" w:ascii="仿宋_GB2312" w:eastAsia="仿宋_GB2312" w:cs="Times New Roman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  <w:lang w:val="en-US" w:eastAsia="zh-CN"/>
        </w:rPr>
        <w:t>第三部分</w:t>
      </w:r>
      <w:r>
        <w:rPr>
          <w:rFonts w:hint="eastAsia" w:ascii="仿宋_GB2312" w:eastAsia="仿宋_GB2312"/>
          <w:sz w:val="32"/>
          <w:szCs w:val="32"/>
        </w:rPr>
        <w:t>提出强化组织领导、资金保障、评估考核、宣传动员等四项措施，确保规划有效落地实施</w:t>
      </w:r>
      <w:r>
        <w:rPr>
          <w:rFonts w:hint="eastAsia" w:ascii="仿宋_GB2312" w:eastAsia="仿宋_GB2312" w:cs="Times New Roman"/>
          <w:sz w:val="32"/>
          <w:szCs w:val="32"/>
        </w:rPr>
        <w:t>。</w:t>
      </w:r>
    </w:p>
    <w:p>
      <w:pPr>
        <w:spacing w:line="560" w:lineRule="exact"/>
        <w:ind w:firstLine="640" w:firstLineChars="200"/>
        <w:rPr>
          <w:rFonts w:hint="default" w:ascii="仿宋_GB2312" w:eastAsia="仿宋_GB2312"/>
          <w:sz w:val="32"/>
          <w:szCs w:val="32"/>
          <w:lang w:val="en-US" w:eastAsia="zh-CN"/>
        </w:rPr>
      </w:pPr>
      <w:r>
        <w:rPr>
          <w:rFonts w:hint="eastAsia" w:ascii="仿宋_GB2312" w:eastAsia="仿宋_GB2312" w:cs="Times New Roman"/>
          <w:sz w:val="32"/>
          <w:szCs w:val="32"/>
          <w:lang w:val="en-US" w:eastAsia="zh-CN"/>
        </w:rPr>
        <w:t>此外</w:t>
      </w:r>
      <w:r>
        <w:rPr>
          <w:rFonts w:hint="eastAsia" w:ascii="仿宋_GB2312" w:eastAsia="仿宋_GB2312" w:cs="Times New Roman"/>
          <w:sz w:val="32"/>
          <w:szCs w:val="32"/>
        </w:rPr>
        <w:t>根据重点任务，设置了10个专栏</w:t>
      </w:r>
      <w:r>
        <w:rPr>
          <w:rFonts w:hint="eastAsia" w:ascii="仿宋_GB2312" w:eastAsia="仿宋_GB2312" w:cs="Times New Roman"/>
          <w:sz w:val="32"/>
          <w:szCs w:val="32"/>
          <w:lang w:eastAsia="zh-CN"/>
        </w:rPr>
        <w:t>（</w:t>
      </w:r>
      <w:r>
        <w:rPr>
          <w:rFonts w:hint="eastAsia" w:ascii="仿宋_GB2312" w:eastAsia="仿宋_GB2312" w:cs="Times New Roman"/>
          <w:sz w:val="32"/>
          <w:szCs w:val="32"/>
        </w:rPr>
        <w:t>“美丽昌吉”建设示范重点工程</w:t>
      </w:r>
      <w:r>
        <w:rPr>
          <w:rFonts w:hint="eastAsia" w:ascii="仿宋_GB2312" w:eastAsia="仿宋_GB2312" w:cs="Times New Roman"/>
          <w:sz w:val="32"/>
          <w:szCs w:val="32"/>
          <w:lang w:eastAsia="zh-CN"/>
        </w:rPr>
        <w:t>、</w:t>
      </w:r>
      <w:r>
        <w:rPr>
          <w:rFonts w:hint="eastAsia" w:ascii="仿宋_GB2312" w:eastAsia="仿宋_GB2312" w:cs="Times New Roman"/>
          <w:sz w:val="32"/>
          <w:szCs w:val="32"/>
        </w:rPr>
        <w:t>大气环境提升工程</w:t>
      </w:r>
      <w:r>
        <w:rPr>
          <w:rFonts w:hint="eastAsia" w:ascii="仿宋_GB2312" w:eastAsia="仿宋_GB2312" w:cs="Times New Roman"/>
          <w:sz w:val="32"/>
          <w:szCs w:val="32"/>
          <w:lang w:eastAsia="zh-CN"/>
        </w:rPr>
        <w:t>、</w:t>
      </w:r>
      <w:r>
        <w:rPr>
          <w:rFonts w:hint="eastAsia" w:ascii="仿宋_GB2312" w:eastAsia="仿宋_GB2312" w:cs="Times New Roman"/>
          <w:sz w:val="32"/>
          <w:szCs w:val="32"/>
        </w:rPr>
        <w:t>水生态环境巩固提升工程</w:t>
      </w:r>
      <w:r>
        <w:rPr>
          <w:rFonts w:hint="eastAsia" w:ascii="仿宋_GB2312" w:eastAsia="仿宋_GB2312" w:cs="Times New Roman"/>
          <w:sz w:val="32"/>
          <w:szCs w:val="32"/>
          <w:lang w:eastAsia="zh-CN"/>
        </w:rPr>
        <w:t>、</w:t>
      </w:r>
      <w:r>
        <w:rPr>
          <w:rFonts w:hint="eastAsia" w:ascii="仿宋_GB2312" w:eastAsia="仿宋_GB2312" w:cs="Times New Roman"/>
          <w:sz w:val="32"/>
          <w:szCs w:val="32"/>
        </w:rPr>
        <w:t>土壤环境安全保障工程</w:t>
      </w:r>
      <w:r>
        <w:rPr>
          <w:rFonts w:hint="eastAsia" w:ascii="仿宋_GB2312" w:eastAsia="仿宋_GB2312" w:cs="Times New Roman"/>
          <w:sz w:val="32"/>
          <w:szCs w:val="32"/>
          <w:lang w:eastAsia="zh-CN"/>
        </w:rPr>
        <w:t>、</w:t>
      </w:r>
      <w:r>
        <w:rPr>
          <w:rFonts w:hint="eastAsia" w:ascii="仿宋_GB2312" w:eastAsia="仿宋_GB2312" w:cs="Times New Roman"/>
          <w:sz w:val="32"/>
          <w:szCs w:val="32"/>
        </w:rPr>
        <w:t>固体废物与新污染物治理工程</w:t>
      </w:r>
      <w:r>
        <w:rPr>
          <w:rFonts w:hint="eastAsia" w:ascii="仿宋_GB2312" w:eastAsia="仿宋_GB2312" w:cs="Times New Roman"/>
          <w:sz w:val="32"/>
          <w:szCs w:val="32"/>
          <w:lang w:eastAsia="zh-CN"/>
        </w:rPr>
        <w:t>、</w:t>
      </w:r>
      <w:r>
        <w:rPr>
          <w:rFonts w:hint="eastAsia" w:ascii="仿宋_GB2312" w:eastAsia="仿宋_GB2312" w:cs="Times New Roman"/>
          <w:sz w:val="32"/>
          <w:szCs w:val="32"/>
        </w:rPr>
        <w:t>生态系统保护修复重点工程</w:t>
      </w:r>
      <w:r>
        <w:rPr>
          <w:rFonts w:hint="eastAsia" w:ascii="仿宋_GB2312" w:eastAsia="仿宋_GB2312" w:cs="Times New Roman"/>
          <w:sz w:val="32"/>
          <w:szCs w:val="32"/>
          <w:lang w:eastAsia="zh-CN"/>
        </w:rPr>
        <w:t>、</w:t>
      </w:r>
      <w:r>
        <w:rPr>
          <w:rFonts w:hint="eastAsia" w:ascii="仿宋_GB2312" w:eastAsia="仿宋_GB2312" w:cs="Times New Roman"/>
          <w:sz w:val="32"/>
          <w:szCs w:val="32"/>
        </w:rPr>
        <w:t>绿色低碳转型重点工程</w:t>
      </w:r>
      <w:r>
        <w:rPr>
          <w:rFonts w:hint="eastAsia" w:ascii="仿宋_GB2312" w:eastAsia="仿宋_GB2312" w:cs="Times New Roman"/>
          <w:sz w:val="32"/>
          <w:szCs w:val="32"/>
          <w:lang w:eastAsia="zh-CN"/>
        </w:rPr>
        <w:t>、</w:t>
      </w:r>
      <w:r>
        <w:rPr>
          <w:rFonts w:hint="eastAsia" w:ascii="仿宋_GB2312" w:eastAsia="仿宋_GB2312" w:cs="Times New Roman"/>
          <w:sz w:val="32"/>
          <w:szCs w:val="32"/>
        </w:rPr>
        <w:t>绿色低碳新风尚培育工程</w:t>
      </w:r>
      <w:r>
        <w:rPr>
          <w:rFonts w:hint="eastAsia" w:ascii="仿宋_GB2312" w:eastAsia="仿宋_GB2312" w:cs="Times New Roman"/>
          <w:sz w:val="32"/>
          <w:szCs w:val="32"/>
          <w:lang w:eastAsia="zh-CN"/>
        </w:rPr>
        <w:t>、</w:t>
      </w:r>
      <w:r>
        <w:rPr>
          <w:rFonts w:hint="eastAsia" w:ascii="仿宋_GB2312" w:eastAsia="仿宋_GB2312" w:cs="Times New Roman"/>
          <w:sz w:val="32"/>
          <w:szCs w:val="32"/>
        </w:rPr>
        <w:t>全域生态安全体系构建重点工程</w:t>
      </w:r>
      <w:r>
        <w:rPr>
          <w:rFonts w:hint="eastAsia" w:ascii="仿宋_GB2312" w:eastAsia="仿宋_GB2312" w:cs="Times New Roman"/>
          <w:sz w:val="32"/>
          <w:szCs w:val="32"/>
          <w:lang w:eastAsia="zh-CN"/>
        </w:rPr>
        <w:t>、</w:t>
      </w:r>
      <w:r>
        <w:rPr>
          <w:rFonts w:hint="eastAsia" w:ascii="仿宋_GB2312" w:eastAsia="仿宋_GB2312" w:cs="Times New Roman"/>
          <w:sz w:val="32"/>
          <w:szCs w:val="32"/>
        </w:rPr>
        <w:t>现代环境治理体系建设工程</w:t>
      </w:r>
      <w:r>
        <w:rPr>
          <w:rFonts w:hint="eastAsia" w:ascii="仿宋_GB2312" w:eastAsia="仿宋_GB2312"/>
          <w:sz w:val="32"/>
          <w:szCs w:val="32"/>
          <w:lang w:eastAsia="zh-CN"/>
        </w:rPr>
        <w:t>）。</w:t>
      </w:r>
      <w:bookmarkEnd w:id="0"/>
      <w:bookmarkEnd w:id="1"/>
      <w:bookmarkEnd w:id="2"/>
      <w:bookmarkEnd w:id="3"/>
    </w:p>
    <w:sectPr>
      <w:footerReference r:id="rId3" w:type="default"/>
      <w:pgSz w:w="11906" w:h="16838"/>
      <w:pgMar w:top="2098" w:right="1474" w:bottom="1984" w:left="1587" w:header="851" w:footer="992" w:gutter="0"/>
      <w:pgNumType w:fmt="numberInDash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EFF" w:usb1="C000247B" w:usb2="00000009" w:usb3="00000000" w:csb0="200001FF" w:csb1="00000000"/>
  </w:font>
  <w:font w:name="楷体_GB2312">
    <w:altName w:val="楷体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_GBK">
    <w:panose1 w:val="02000000000000000000"/>
    <w:charset w:val="86"/>
    <w:family w:val="auto"/>
    <w:pitch w:val="default"/>
    <w:sig w:usb0="A00002BF" w:usb1="38CF7CFA" w:usb2="00082016" w:usb3="00000000" w:csb0="00040001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8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8"/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t>1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GuF+fsxAgAAYQ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TIEUn0xUYrtPt2YLA3xRnE&#10;nOknw1u+qZF8y3x4YA6jgILxWMI9llIaJDGDRUll3Jd/ncd4dAheShqMVk41XhIl8r1G5wAYRsON&#10;xn409FHdGcwquoFaOhMXXJCjWTqjPuMFrWIOuJjmyJTTMJp3oR9vvEAuVqsu6Ghdfaj6C5g7y8JW&#10;7yyPaaJ63q6OAWJ2GkeBelUG3TB5XZeGVxJH+899F/X4Z1j+Bl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Brhfn7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8"/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</w:pP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t>1</w: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FD26877B"/>
    <w:multiLevelType w:val="multilevel"/>
    <w:tmpl w:val="FD26877B"/>
    <w:lvl w:ilvl="0" w:tentative="0">
      <w:start w:val="1"/>
      <w:numFmt w:val="decimal"/>
      <w:lvlText w:val="%1"/>
      <w:lvlJc w:val="left"/>
      <w:pPr>
        <w:ind w:left="425" w:hanging="425"/>
      </w:pPr>
      <w:rPr>
        <w:rFonts w:hint="eastAsia"/>
      </w:rPr>
    </w:lvl>
    <w:lvl w:ilvl="1" w:tentative="0">
      <w:start w:val="1"/>
      <w:numFmt w:val="decimal"/>
      <w:pStyle w:val="4"/>
      <w:lvlText w:val="%1.%2"/>
      <w:lvlJc w:val="left"/>
      <w:pPr>
        <w:ind w:left="425" w:hanging="425"/>
      </w:pPr>
      <w:rPr>
        <w:rFonts w:hint="eastAsia"/>
      </w:rPr>
    </w:lvl>
    <w:lvl w:ilvl="2" w:tentative="0">
      <w:start w:val="1"/>
      <w:numFmt w:val="decimal"/>
      <w:lvlText w:val="%1.%2.%3"/>
      <w:lvlJc w:val="left"/>
      <w:pPr>
        <w:ind w:left="425" w:hanging="425"/>
      </w:pPr>
      <w:rPr>
        <w:rFonts w:hint="eastAsia"/>
      </w:rPr>
    </w:lvl>
    <w:lvl w:ilvl="3" w:tentative="0">
      <w:start w:val="1"/>
      <w:numFmt w:val="decimal"/>
      <w:lvlText w:val="%1.%2.%3.%4"/>
      <w:lvlJc w:val="left"/>
      <w:pPr>
        <w:ind w:left="425" w:hanging="425"/>
      </w:pPr>
      <w:rPr>
        <w:rFonts w:hint="eastAsia"/>
      </w:rPr>
    </w:lvl>
    <w:lvl w:ilvl="4" w:tentative="0">
      <w:start w:val="1"/>
      <w:numFmt w:val="decimal"/>
      <w:lvlText w:val="%1.%2.%3.%4.%5"/>
      <w:lvlJc w:val="left"/>
      <w:pPr>
        <w:ind w:left="425" w:hanging="425"/>
      </w:pPr>
      <w:rPr>
        <w:rFonts w:hint="eastAsia"/>
      </w:rPr>
    </w:lvl>
    <w:lvl w:ilvl="5" w:tentative="0">
      <w:start w:val="1"/>
      <w:numFmt w:val="decimal"/>
      <w:lvlText w:val="%1.%2.%3.%4.%5.%6"/>
      <w:lvlJc w:val="left"/>
      <w:pPr>
        <w:ind w:left="425" w:hanging="425"/>
      </w:pPr>
      <w:rPr>
        <w:rFonts w:hint="eastAsia"/>
      </w:rPr>
    </w:lvl>
    <w:lvl w:ilvl="6" w:tentative="0">
      <w:start w:val="1"/>
      <w:numFmt w:val="decimal"/>
      <w:lvlText w:val="%1.%2.%3.%4.%5.%6.%7"/>
      <w:lvlJc w:val="left"/>
      <w:pPr>
        <w:ind w:left="425" w:hanging="425"/>
      </w:pPr>
      <w:rPr>
        <w:rFonts w:hint="eastAsia"/>
      </w:rPr>
    </w:lvl>
    <w:lvl w:ilvl="7" w:tentative="0">
      <w:start w:val="1"/>
      <w:numFmt w:val="decimal"/>
      <w:lvlText w:val="%1.%2.%3.%4.%5.%6.%7.%8"/>
      <w:lvlJc w:val="left"/>
      <w:pPr>
        <w:ind w:left="425" w:hanging="425"/>
      </w:pPr>
      <w:rPr>
        <w:rFonts w:hint="eastAsia"/>
      </w:rPr>
    </w:lvl>
    <w:lvl w:ilvl="8" w:tentative="0">
      <w:start w:val="1"/>
      <w:numFmt w:val="decimal"/>
      <w:lvlText w:val="%1.%2.%3.%4.%5.%6.%7.%8.%9"/>
      <w:lvlJc w:val="left"/>
      <w:pPr>
        <w:ind w:left="425" w:hanging="425"/>
      </w:pPr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71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F0EF0"/>
    <w:rsid w:val="000150BA"/>
    <w:rsid w:val="000313CA"/>
    <w:rsid w:val="0019113D"/>
    <w:rsid w:val="002B5333"/>
    <w:rsid w:val="002F452E"/>
    <w:rsid w:val="003E7582"/>
    <w:rsid w:val="0041110E"/>
    <w:rsid w:val="004223CA"/>
    <w:rsid w:val="00433F73"/>
    <w:rsid w:val="005029D1"/>
    <w:rsid w:val="005148C1"/>
    <w:rsid w:val="0052745F"/>
    <w:rsid w:val="005A5039"/>
    <w:rsid w:val="005F0EF0"/>
    <w:rsid w:val="00610F14"/>
    <w:rsid w:val="00715535"/>
    <w:rsid w:val="007A5483"/>
    <w:rsid w:val="007E39CF"/>
    <w:rsid w:val="00832690"/>
    <w:rsid w:val="00933766"/>
    <w:rsid w:val="00D35394"/>
    <w:rsid w:val="00E26FF9"/>
    <w:rsid w:val="00E55978"/>
    <w:rsid w:val="00F518BF"/>
    <w:rsid w:val="074F6DFB"/>
    <w:rsid w:val="0CD43839"/>
    <w:rsid w:val="1D406A92"/>
    <w:rsid w:val="2225264D"/>
    <w:rsid w:val="2D7A664E"/>
    <w:rsid w:val="402B0AB2"/>
    <w:rsid w:val="416F6F79"/>
    <w:rsid w:val="766C1363"/>
    <w:rsid w:val="7F1B3A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qFormat="1"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qFormat="1" w:unhideWhenUsed="0" w:uiPriority="0" w:semiHidden="0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qFormat="1"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qFormat="1" w:unhideWhenUsed="0" w:uiPriority="99" w:semiHidden="0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styleId="3">
    <w:name w:val="heading 1"/>
    <w:basedOn w:val="1"/>
    <w:next w:val="1"/>
    <w:link w:val="13"/>
    <w:qFormat/>
    <w:uiPriority w:val="0"/>
    <w:pPr>
      <w:keepNext/>
      <w:widowControl w:val="0"/>
      <w:spacing w:line="560" w:lineRule="exact"/>
      <w:outlineLvl w:val="0"/>
    </w:pPr>
    <w:rPr>
      <w:rFonts w:ascii="Times New Roman" w:hAnsi="Times New Roman" w:eastAsia="黑体" w:cs="Arial"/>
      <w:bCs/>
      <w:sz w:val="32"/>
      <w:szCs w:val="24"/>
    </w:rPr>
  </w:style>
  <w:style w:type="paragraph" w:styleId="4">
    <w:name w:val="heading 2"/>
    <w:basedOn w:val="1"/>
    <w:next w:val="1"/>
    <w:semiHidden/>
    <w:unhideWhenUsed/>
    <w:qFormat/>
    <w:uiPriority w:val="0"/>
    <w:pPr>
      <w:keepNext/>
      <w:keepLines/>
      <w:numPr>
        <w:ilvl w:val="1"/>
        <w:numId w:val="1"/>
      </w:numPr>
      <w:ind w:left="0" w:firstLine="1445" w:firstLineChars="200"/>
      <w:jc w:val="left"/>
      <w:outlineLvl w:val="1"/>
    </w:pPr>
    <w:rPr>
      <w:rFonts w:ascii="Arial" w:hAnsi="Arial" w:eastAsia="楷体_GB2312" w:cs="宋体"/>
      <w:sz w:val="32"/>
    </w:rPr>
  </w:style>
  <w:style w:type="character" w:default="1" w:styleId="11">
    <w:name w:val="Default Paragraph Font"/>
    <w:semiHidden/>
    <w:unhideWhenUsed/>
    <w:qFormat/>
    <w:uiPriority w:val="1"/>
  </w:style>
  <w:style w:type="table" w:default="1" w:styleId="10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lock Text"/>
    <w:basedOn w:val="1"/>
    <w:qFormat/>
    <w:uiPriority w:val="99"/>
    <w:pPr>
      <w:widowControl/>
      <w:ind w:left="-113" w:right="-113"/>
      <w:jc w:val="center"/>
    </w:pPr>
    <w:rPr>
      <w:rFonts w:ascii="宋体" w:hAnsi="宋体" w:eastAsia="仿宋" w:cs="宋体"/>
      <w:kern w:val="0"/>
      <w:sz w:val="24"/>
      <w:szCs w:val="21"/>
    </w:rPr>
  </w:style>
  <w:style w:type="paragraph" w:styleId="5">
    <w:name w:val="Normal Indent"/>
    <w:basedOn w:val="1"/>
    <w:semiHidden/>
    <w:unhideWhenUsed/>
    <w:qFormat/>
    <w:uiPriority w:val="99"/>
    <w:pPr>
      <w:ind w:firstLine="420" w:firstLineChars="200"/>
    </w:pPr>
  </w:style>
  <w:style w:type="paragraph" w:styleId="6">
    <w:name w:val="Body Text Indent"/>
    <w:basedOn w:val="1"/>
    <w:next w:val="5"/>
    <w:link w:val="12"/>
    <w:qFormat/>
    <w:uiPriority w:val="0"/>
    <w:pPr>
      <w:widowControl w:val="0"/>
      <w:spacing w:after="120"/>
      <w:ind w:left="420" w:leftChars="200"/>
      <w:jc w:val="both"/>
    </w:pPr>
    <w:rPr>
      <w:rFonts w:ascii="Calibri" w:hAnsi="Calibri" w:eastAsia="宋体" w:cs="Times New Roman"/>
    </w:rPr>
  </w:style>
  <w:style w:type="paragraph" w:styleId="7">
    <w:name w:val="Date"/>
    <w:basedOn w:val="1"/>
    <w:next w:val="1"/>
    <w:link w:val="16"/>
    <w:semiHidden/>
    <w:unhideWhenUsed/>
    <w:qFormat/>
    <w:uiPriority w:val="99"/>
    <w:pPr>
      <w:ind w:left="100" w:leftChars="2500"/>
    </w:pPr>
  </w:style>
  <w:style w:type="paragraph" w:styleId="8">
    <w:name w:val="footer"/>
    <w:basedOn w:val="1"/>
    <w:link w:val="15"/>
    <w:unhideWhenUsed/>
    <w:qFormat/>
    <w:uiPriority w:val="99"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paragraph" w:styleId="9">
    <w:name w:val="header"/>
    <w:basedOn w:val="1"/>
    <w:link w:val="14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12">
    <w:name w:val="正文文本缩进 Char"/>
    <w:basedOn w:val="11"/>
    <w:link w:val="6"/>
    <w:qFormat/>
    <w:uiPriority w:val="0"/>
    <w:rPr>
      <w:rFonts w:ascii="Calibri" w:hAnsi="Calibri" w:eastAsia="宋体" w:cs="Times New Roman"/>
    </w:rPr>
  </w:style>
  <w:style w:type="character" w:customStyle="1" w:styleId="13">
    <w:name w:val="标题 1 Char"/>
    <w:basedOn w:val="11"/>
    <w:link w:val="3"/>
    <w:qFormat/>
    <w:uiPriority w:val="0"/>
    <w:rPr>
      <w:rFonts w:ascii="Times New Roman" w:hAnsi="Times New Roman" w:eastAsia="黑体" w:cs="Arial"/>
      <w:bCs/>
      <w:sz w:val="32"/>
      <w:szCs w:val="24"/>
    </w:rPr>
  </w:style>
  <w:style w:type="character" w:customStyle="1" w:styleId="14">
    <w:name w:val="页眉 Char"/>
    <w:basedOn w:val="11"/>
    <w:link w:val="9"/>
    <w:qFormat/>
    <w:uiPriority w:val="99"/>
    <w:rPr>
      <w:sz w:val="18"/>
      <w:szCs w:val="18"/>
    </w:rPr>
  </w:style>
  <w:style w:type="character" w:customStyle="1" w:styleId="15">
    <w:name w:val="页脚 Char"/>
    <w:basedOn w:val="11"/>
    <w:link w:val="8"/>
    <w:qFormat/>
    <w:uiPriority w:val="99"/>
    <w:rPr>
      <w:sz w:val="18"/>
      <w:szCs w:val="18"/>
    </w:rPr>
  </w:style>
  <w:style w:type="character" w:customStyle="1" w:styleId="16">
    <w:name w:val="日期 Char"/>
    <w:basedOn w:val="11"/>
    <w:link w:val="7"/>
    <w:semiHidden/>
    <w:qFormat/>
    <w:uiPriority w:val="99"/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customXml" Target="../customXml/item2.xml"/><Relationship Id="rId6" Type="http://schemas.openxmlformats.org/officeDocument/2006/relationships/numbering" Target="numbering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2.xml><?xml version="1.0" encoding="utf-8"?>
<contractReview xmlns="http://schemas.wps.cn/vas-ai-hub/contract-review">
  <reviewItems>
    <reviewItem>
      <errorID>3ae7d472-c467-49eb-af7e-af21b60c9887</errorID>
      <errorWord>木垒县</errorWord>
      <group>L1_Knowledge</group>
      <groupName>知识性问题</groupName>
      <ability>L2_Location</ability>
      <abilityName>地名检查</abilityName>
      <candidateList>
        <item>木垒哈萨克自治县</item>
      </candidateList>
      <explain>自治区州县缩写不规范。《地名管理条例》第十八条规定，标识牌、公共平台发布的信息、各类公文证件、学习类公开出版物、地图、法律法规规定等场景范围内必须使用标准地名。</explain>
      <paraID>182F1396</paraID>
      <start>205</start>
      <end>208</end>
      <status>ignored</status>
      <modifiedWord/>
      <trackRevisions>false</trackRevisions>
    </reviewItem>
  </reviewItems>
  <config/>
</contractReview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624d839a-f462-4076-818f-4016b2709429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4</Pages>
  <Words>1587</Words>
  <Characters>1615</Characters>
  <Lines>36</Lines>
  <Paragraphs>10</Paragraphs>
  <TotalTime>12</TotalTime>
  <ScaleCrop>false</ScaleCrop>
  <LinksUpToDate>false</LinksUpToDate>
  <CharactersWithSpaces>1615</CharactersWithSpaces>
  <Application>WPS Office_11.8.2.12118_F1E327BC-269C-435d-A152-05C5408002CA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2026-05-18T10:19:00Z</dcterms:created>
  <dc:creator>think</dc:creator>
  <cp:lastModifiedBy>Haibara Ai</cp:lastModifiedBy>
  <cp:lastPrinted>2026-05-22T04:45:00Z</cp:lastPrinted>
  <dcterms:modified xsi:type="dcterms:W3CDTF">2026-08-26T12:30:49Z</dcterms:modified>
  <cp:revision>31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eyJoZGlkIjoiMzEwNTM5NzYwMDRjMzkwZTVkZjY2ODkwMGIxNGU0OTUiLCJ1c2VySWQiOiIzNDQzNDAxOTkifQ==</vt:lpwstr>
  </property>
  <property fmtid="{D5CDD505-2E9C-101B-9397-08002B2CF9AE}" pid="3" name="KSOProductBuildVer">
    <vt:lpwstr>2052-11.8.2.12118</vt:lpwstr>
  </property>
  <property fmtid="{D5CDD505-2E9C-101B-9397-08002B2CF9AE}" pid="4" name="ICV">
    <vt:lpwstr>AE9149031A284CC19D8F1247DC030342_13</vt:lpwstr>
  </property>
</Properties>
</file>