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4AB18"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方正小标宋_GBK"/>
          <w:spacing w:val="-6"/>
          <w:sz w:val="44"/>
          <w:szCs w:val="44"/>
        </w:rPr>
        <w:t>《昌吉州统筹城乡推动养老服务提质增效实施方案（征求意见稿）》</w:t>
      </w:r>
      <w:r>
        <w:rPr>
          <w:rFonts w:hint="eastAsia" w:ascii="Times New Roman" w:hAnsi="Times New Roman" w:eastAsia="方正小标宋_GBK"/>
          <w:sz w:val="44"/>
          <w:szCs w:val="44"/>
        </w:rPr>
        <w:t>的起草说明</w:t>
      </w:r>
    </w:p>
    <w:p w14:paraId="4913D0EB">
      <w:pPr>
        <w:spacing w:line="600" w:lineRule="exact"/>
        <w:rPr>
          <w:rFonts w:ascii="Times New Roman" w:hAnsi="Times New Roman" w:eastAsia="仿宋_GB2312"/>
          <w:sz w:val="32"/>
          <w:szCs w:val="32"/>
        </w:rPr>
      </w:pPr>
    </w:p>
    <w:p w14:paraId="5625B626">
      <w:pPr>
        <w:spacing w:after="0" w:line="600" w:lineRule="exact"/>
        <w:ind w:firstLine="640" w:firstLineChars="200"/>
        <w:rPr>
          <w:rFonts w:ascii="Times New Roman" w:hAnsi="Times New Roman" w:eastAsia="方正黑体_GBK"/>
          <w:b/>
          <w:bCs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一、起草背景</w:t>
      </w:r>
    </w:p>
    <w:p w14:paraId="438B2450">
      <w:pPr>
        <w:spacing w:after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2024年12月以来，中共中央、国务院，自治区党委、人民政府先后印发三份养老服务领域政策文件，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民政部</w:t>
      </w:r>
      <w:r>
        <w:rPr>
          <w:rFonts w:hint="eastAsia" w:ascii="Times New Roman" w:hAnsi="Times New Roman" w:eastAsia="仿宋_GB2312"/>
          <w:sz w:val="32"/>
          <w:szCs w:val="32"/>
        </w:rPr>
        <w:t>、卫健委等部门也先后印发医养结合、互助性养老相关指导文件。2025年12月，国家发改委、民政部和卫健委对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“十五五”时期</w:t>
      </w:r>
      <w:r>
        <w:rPr>
          <w:rFonts w:hint="eastAsia" w:ascii="Times New Roman" w:hAnsi="Times New Roman" w:eastAsia="仿宋_GB2312"/>
          <w:sz w:val="32"/>
          <w:szCs w:val="32"/>
        </w:rPr>
        <w:t>统筹城乡及医养结合发展推动养老提质增效提出明确要求。州党委、政府主要领导高度重视，第一时间作出批示，州人民政府主要领导结合树立和践行正确政绩观学习教育，围绕贯彻上级要求深入县市开展了4天调研。结合上级部署和昌吉州实际，州民政局、卫健委联合起草了《实施方案（审议稿）》，研究拟定了《若干措施（审议稿）》。</w:t>
      </w:r>
    </w:p>
    <w:p w14:paraId="1442C917">
      <w:pPr>
        <w:spacing w:after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二、起草过程</w:t>
      </w:r>
    </w:p>
    <w:p w14:paraId="2A51A1DD">
      <w:pPr>
        <w:spacing w:after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州民政局、卫健委学习国家及自治区养老服务体系建设、医养结合相关文件精神，借鉴山东医养结合、浙江数字居家养老、江西农村党建互助养老及疆内乌鲁木齐、克拉玛依两地政策经验，先后组织二十余场次专题会研究讨论，经党组审议形成两个文件初稿。通过网上公开征求社会意见、书面征求相关单位和全州养老机构意见，共收集意见建议37条，梳理汇总后吸收合理建议31条，6条未采纳建议均围绕城乡互助养老服务设施、街道乡镇养老服务中心覆盖率相关问题，已同相关部门沟通达成一致。州政府分管民政、卫健工作的领导组织财政、发改、医保等多部门集中研究讨论5次</w:t>
      </w:r>
      <w:r>
        <w:rPr>
          <w:rFonts w:hint="eastAsia" w:ascii="Times New Roman" w:hAnsi="Times New Roman" w:eastAsia="仿宋_GB2312"/>
          <w:sz w:val="32"/>
          <w:szCs w:val="32"/>
        </w:rPr>
        <w:t>。目前，已完成为基层减负一致性评估；已在政府门户网站公开征求意见满30日，公示期间未收到相关意见建议；经州市场监督管理局市场公平竞争审查，《实施方案》不涉及经营者经济活动，不属于公平竞争审查范围；《若干措施》不存在无法律依据限制市场准入、退出、影响生产经营成本、排除限制市场竞争的情形；经与州政法委对接，《实施方案》和《若干措施》不</w:t>
      </w:r>
      <w:r>
        <w:rPr>
          <w:rFonts w:ascii="Times New Roman" w:hAnsi="Times New Roman" w:eastAsia="仿宋_GB2312"/>
          <w:sz w:val="32"/>
          <w:szCs w:val="32"/>
        </w:rPr>
        <w:t>涉及</w:t>
      </w:r>
      <w:r>
        <w:rPr>
          <w:rFonts w:hint="eastAsia" w:ascii="Times New Roman" w:hAnsi="Times New Roman" w:eastAsia="仿宋_GB2312"/>
          <w:sz w:val="32"/>
          <w:szCs w:val="32"/>
        </w:rPr>
        <w:t>社会稳定风险评估。</w:t>
      </w:r>
      <w:r>
        <w:rPr>
          <w:rFonts w:ascii="Times New Roman" w:hAnsi="Times New Roman" w:eastAsia="仿宋_GB2312"/>
          <w:sz w:val="32"/>
          <w:szCs w:val="32"/>
        </w:rPr>
        <w:t>并</w:t>
      </w:r>
      <w:r>
        <w:rPr>
          <w:rFonts w:hint="eastAsia" w:ascii="Times New Roman" w:hAnsi="Times New Roman" w:eastAsia="仿宋_GB2312"/>
          <w:sz w:val="32"/>
          <w:szCs w:val="32"/>
        </w:rPr>
        <w:t>通过州</w:t>
      </w:r>
      <w:r>
        <w:rPr>
          <w:rFonts w:ascii="Times New Roman" w:hAnsi="Times New Roman" w:eastAsia="仿宋_GB2312"/>
          <w:sz w:val="32"/>
          <w:szCs w:val="32"/>
        </w:rPr>
        <w:t>司法局合法性审查。</w:t>
      </w:r>
      <w:r>
        <w:rPr>
          <w:rFonts w:hint="eastAsia" w:ascii="Times New Roman" w:hAnsi="Times New Roman" w:eastAsia="仿宋_GB2312"/>
          <w:sz w:val="32"/>
          <w:szCs w:val="32"/>
        </w:rPr>
        <w:t>经修改完善后，形成本方案。</w:t>
      </w:r>
    </w:p>
    <w:p w14:paraId="18511DA4">
      <w:pPr>
        <w:spacing w:after="0"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方正黑体_GBK"/>
          <w:sz w:val="32"/>
          <w:szCs w:val="32"/>
        </w:rPr>
        <w:t>三、主要内容</w:t>
      </w:r>
    </w:p>
    <w:p w14:paraId="27B69750">
      <w:pPr>
        <w:spacing w:after="0" w:line="600" w:lineRule="exact"/>
        <w:ind w:firstLine="643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>《实施方案》</w:t>
      </w:r>
      <w:r>
        <w:rPr>
          <w:rFonts w:ascii="Times New Roman" w:hAnsi="Times New Roman" w:eastAsia="仿宋_GB2312"/>
          <w:sz w:val="32"/>
          <w:szCs w:val="32"/>
        </w:rPr>
        <w:t>正文共分为</w:t>
      </w:r>
      <w:r>
        <w:rPr>
          <w:rFonts w:hint="eastAsia" w:ascii="Times New Roman" w:hAnsi="Times New Roman" w:eastAsia="仿宋_GB2312"/>
          <w:sz w:val="32"/>
          <w:szCs w:val="32"/>
        </w:rPr>
        <w:t>四</w:t>
      </w:r>
      <w:r>
        <w:rPr>
          <w:rFonts w:ascii="Times New Roman" w:hAnsi="Times New Roman" w:eastAsia="仿宋_GB2312"/>
          <w:sz w:val="32"/>
          <w:szCs w:val="32"/>
        </w:rPr>
        <w:t>个部分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ascii="Times New Roman" w:hAnsi="Times New Roman" w:eastAsia="仿宋_GB2312"/>
          <w:b/>
          <w:bCs/>
          <w:sz w:val="32"/>
          <w:szCs w:val="32"/>
        </w:rPr>
        <w:t>第一部分明确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了</w:t>
      </w:r>
      <w:r>
        <w:rPr>
          <w:rFonts w:ascii="Times New Roman" w:hAnsi="Times New Roman" w:eastAsia="仿宋_GB2312"/>
          <w:b/>
          <w:bCs/>
          <w:sz w:val="32"/>
          <w:szCs w:val="32"/>
        </w:rPr>
        <w:t>总体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目标</w:t>
      </w:r>
      <w:r>
        <w:rPr>
          <w:rFonts w:ascii="Times New Roman" w:hAnsi="Times New Roman" w:eastAsia="仿宋_GB2312"/>
          <w:b/>
          <w:bCs/>
          <w:sz w:val="32"/>
          <w:szCs w:val="32"/>
        </w:rPr>
        <w:t>。</w:t>
      </w:r>
      <w:r>
        <w:rPr>
          <w:rFonts w:hint="eastAsia" w:ascii="Times New Roman" w:hAnsi="仿宋_GB2312" w:eastAsia="仿宋_GB2312" w:cs="Times New Roman"/>
          <w:color w:val="000000"/>
          <w:spacing w:val="-5"/>
          <w:kern w:val="0"/>
          <w:sz w:val="32"/>
          <w:szCs w:val="32"/>
        </w:rPr>
        <w:t>坚持以习近平新时代中国特色社会主义思想为指导，坚持民生为本、普惠可及，以统筹城乡、优化供给为主线，通过政策制度“软建设”与设施项目“硬投资”双向发力，构建昌吉州“3+3+3”（县乡村三级网络+居家社区机构三种形态+政府市场社会三方协同）完整养老服务体系。自2026年开始，完善居家为基础、社区为依托、机构为专业支撑养老服务供给格局，健全分级分类、覆盖城乡的医康养结合服务体系。至2029年，养老服务供给能力和服务水平稳步提升，医养结合机构县域全覆盖，基本满足老年人多层次多样化养老服务需求。</w:t>
      </w:r>
      <w:r>
        <w:rPr>
          <w:rFonts w:ascii="Times New Roman" w:hAnsi="Times New Roman" w:eastAsia="仿宋_GB2312"/>
          <w:b/>
          <w:bCs/>
          <w:sz w:val="32"/>
          <w:szCs w:val="32"/>
        </w:rPr>
        <w:t>第二部分明确5项主要任务，共18项具体措施。</w:t>
      </w:r>
      <w:r>
        <w:rPr>
          <w:rFonts w:ascii="Times New Roman" w:hAnsi="Times New Roman" w:eastAsia="仿宋_GB2312"/>
          <w:sz w:val="32"/>
          <w:szCs w:val="32"/>
        </w:rPr>
        <w:t>一是健全城乡三级养老服务网络。</w:t>
      </w:r>
      <w:r>
        <w:rPr>
          <w:rFonts w:hint="eastAsia" w:ascii="Times New Roman" w:hAnsi="Times New Roman" w:eastAsia="仿宋_GB2312"/>
          <w:sz w:val="32"/>
          <w:szCs w:val="32"/>
        </w:rPr>
        <w:t>提出</w:t>
      </w:r>
      <w:r>
        <w:rPr>
          <w:rFonts w:ascii="Times New Roman" w:hAnsi="Times New Roman" w:eastAsia="仿宋_GB2312"/>
          <w:sz w:val="32"/>
          <w:szCs w:val="32"/>
        </w:rPr>
        <w:t>了建立县级综合管理平台、推进街道</w:t>
      </w: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ascii="Times New Roman" w:hAnsi="Times New Roman" w:eastAsia="仿宋_GB2312"/>
          <w:sz w:val="32"/>
          <w:szCs w:val="32"/>
        </w:rPr>
        <w:t>乡镇</w:t>
      </w:r>
      <w:r>
        <w:rPr>
          <w:rFonts w:hint="eastAsia" w:ascii="Times New Roman" w:hAnsi="Times New Roman" w:eastAsia="仿宋_GB2312"/>
          <w:sz w:val="32"/>
          <w:szCs w:val="32"/>
        </w:rPr>
        <w:t>）</w:t>
      </w:r>
      <w:r>
        <w:rPr>
          <w:rFonts w:ascii="Times New Roman" w:hAnsi="Times New Roman" w:eastAsia="仿宋_GB2312"/>
          <w:sz w:val="32"/>
          <w:szCs w:val="32"/>
        </w:rPr>
        <w:t>养老中心建设、发展社区</w:t>
      </w: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ascii="Times New Roman" w:hAnsi="Times New Roman" w:eastAsia="仿宋_GB2312"/>
          <w:sz w:val="32"/>
          <w:szCs w:val="32"/>
        </w:rPr>
        <w:t>村</w:t>
      </w:r>
      <w:r>
        <w:rPr>
          <w:rFonts w:hint="eastAsia" w:ascii="Times New Roman" w:hAnsi="Times New Roman" w:eastAsia="仿宋_GB2312"/>
          <w:sz w:val="32"/>
          <w:szCs w:val="32"/>
        </w:rPr>
        <w:t>）</w:t>
      </w:r>
      <w:r>
        <w:rPr>
          <w:rFonts w:ascii="Times New Roman" w:hAnsi="Times New Roman" w:eastAsia="仿宋_GB2312"/>
          <w:sz w:val="32"/>
          <w:szCs w:val="32"/>
        </w:rPr>
        <w:t>养老服务设施3项措施。</w:t>
      </w:r>
      <w:r>
        <w:rPr>
          <w:rFonts w:ascii="Times New Roman" w:hAnsi="Times New Roman" w:eastAsia="仿宋_GB2312"/>
          <w:b/>
          <w:bCs/>
          <w:sz w:val="32"/>
          <w:szCs w:val="32"/>
        </w:rPr>
        <w:t>二</w:t>
      </w:r>
      <w:r>
        <w:rPr>
          <w:rFonts w:ascii="Times New Roman" w:hAnsi="Times New Roman" w:eastAsia="仿宋_GB2312"/>
          <w:sz w:val="32"/>
          <w:szCs w:val="32"/>
        </w:rPr>
        <w:t>是提升居家社区机构养老照护能力。</w:t>
      </w:r>
      <w:r>
        <w:rPr>
          <w:rFonts w:hint="eastAsia" w:ascii="Times New Roman" w:hAnsi="Times New Roman" w:eastAsia="仿宋_GB2312"/>
          <w:sz w:val="32"/>
          <w:szCs w:val="32"/>
        </w:rPr>
        <w:t>提出了</w:t>
      </w:r>
      <w:r>
        <w:rPr>
          <w:rFonts w:ascii="Times New Roman" w:hAnsi="Times New Roman" w:eastAsia="仿宋_GB2312"/>
          <w:sz w:val="32"/>
          <w:szCs w:val="32"/>
        </w:rPr>
        <w:t>开展居家养老服务提升行动、完善社区养老服务功能、发挥机构养老专业支撑作用3项措施。三是深化医养结合服务供给。</w:t>
      </w:r>
      <w:r>
        <w:rPr>
          <w:rFonts w:hint="eastAsia" w:ascii="Times New Roman" w:hAnsi="Times New Roman" w:eastAsia="仿宋_GB2312"/>
          <w:sz w:val="32"/>
          <w:szCs w:val="32"/>
        </w:rPr>
        <w:t>提出了引导医疗卫生机构拓展医养结合服务功能</w:t>
      </w:r>
      <w:r>
        <w:rPr>
          <w:rFonts w:ascii="Times New Roman" w:hAnsi="Times New Roman" w:eastAsia="仿宋_GB2312"/>
          <w:sz w:val="32"/>
          <w:szCs w:val="32"/>
        </w:rPr>
        <w:t>、深化医养结合协议合作、</w:t>
      </w:r>
      <w:r>
        <w:rPr>
          <w:rFonts w:hint="eastAsia" w:ascii="Times New Roman" w:hAnsi="Times New Roman" w:eastAsia="仿宋_GB2312"/>
          <w:sz w:val="32"/>
          <w:szCs w:val="32"/>
        </w:rPr>
        <w:t>提高中医药医养结合服务可及性</w:t>
      </w:r>
      <w:r>
        <w:rPr>
          <w:rFonts w:ascii="Times New Roman" w:hAnsi="Times New Roman" w:eastAsia="仿宋_GB2312"/>
          <w:sz w:val="32"/>
          <w:szCs w:val="32"/>
        </w:rPr>
        <w:t>3项措施。四是推动养老事业产业协同发展。</w:t>
      </w:r>
      <w:r>
        <w:rPr>
          <w:rFonts w:hint="eastAsia" w:ascii="Times New Roman" w:hAnsi="Times New Roman" w:eastAsia="仿宋_GB2312"/>
          <w:sz w:val="32"/>
          <w:szCs w:val="32"/>
        </w:rPr>
        <w:t>提出了</w:t>
      </w:r>
      <w:r>
        <w:rPr>
          <w:rFonts w:ascii="Times New Roman" w:hAnsi="Times New Roman" w:eastAsia="仿宋_GB2312"/>
          <w:sz w:val="32"/>
          <w:szCs w:val="32"/>
        </w:rPr>
        <w:t>强化政府主导作用、激发市场活力、引导社会参与3项措施。五是强化养老服务要素保障。</w:t>
      </w:r>
      <w:r>
        <w:rPr>
          <w:rFonts w:hint="eastAsia" w:ascii="Times New Roman" w:hAnsi="Times New Roman" w:eastAsia="仿宋_GB2312"/>
          <w:sz w:val="32"/>
          <w:szCs w:val="32"/>
        </w:rPr>
        <w:t>提出了</w:t>
      </w:r>
      <w:r>
        <w:rPr>
          <w:rFonts w:ascii="Times New Roman" w:hAnsi="Times New Roman" w:eastAsia="仿宋_GB2312"/>
          <w:sz w:val="32"/>
          <w:szCs w:val="32"/>
        </w:rPr>
        <w:t>科学规划设施布局、完善财政支持政策、健全多元保障制度、加强人才队伍建设、完善质量体系建设、推进数智赋能养老6项措施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。</w:t>
      </w:r>
      <w:r>
        <w:rPr>
          <w:rFonts w:ascii="Times New Roman" w:hAnsi="Times New Roman" w:eastAsia="仿宋_GB2312"/>
          <w:b/>
          <w:bCs/>
          <w:sz w:val="32"/>
          <w:szCs w:val="32"/>
        </w:rPr>
        <w:t>第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三</w:t>
      </w:r>
      <w:r>
        <w:rPr>
          <w:rFonts w:ascii="Times New Roman" w:hAnsi="Times New Roman" w:eastAsia="仿宋_GB2312"/>
          <w:b/>
          <w:bCs/>
          <w:sz w:val="32"/>
          <w:szCs w:val="32"/>
        </w:rPr>
        <w:t>部分明确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了</w:t>
      </w:r>
      <w:r>
        <w:rPr>
          <w:rFonts w:ascii="Times New Roman" w:hAnsi="Times New Roman" w:eastAsia="仿宋_GB2312"/>
          <w:b/>
          <w:bCs/>
          <w:sz w:val="32"/>
          <w:szCs w:val="32"/>
        </w:rPr>
        <w:t>实施步骤。</w:t>
      </w:r>
      <w:r>
        <w:rPr>
          <w:rFonts w:ascii="Times New Roman" w:hAnsi="Times New Roman" w:eastAsia="仿宋_GB2312"/>
          <w:sz w:val="32"/>
          <w:szCs w:val="32"/>
        </w:rPr>
        <w:t>分启动部署（2026年6月前）、推进实施（2026年7月至2029年12月）、总结评估（2030年1月至3月）三个阶段。</w:t>
      </w:r>
      <w:r>
        <w:rPr>
          <w:rFonts w:ascii="Times New Roman" w:hAnsi="Times New Roman" w:eastAsia="仿宋_GB2312"/>
          <w:b/>
          <w:bCs/>
          <w:sz w:val="32"/>
          <w:szCs w:val="32"/>
        </w:rPr>
        <w:t>第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四</w:t>
      </w:r>
      <w:r>
        <w:rPr>
          <w:rFonts w:ascii="Times New Roman" w:hAnsi="Times New Roman" w:eastAsia="仿宋_GB2312"/>
          <w:b/>
          <w:bCs/>
          <w:sz w:val="32"/>
          <w:szCs w:val="32"/>
        </w:rPr>
        <w:t>部分明确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了工作要求</w:t>
      </w:r>
      <w:r>
        <w:rPr>
          <w:rFonts w:ascii="Times New Roman" w:hAnsi="Times New Roman" w:eastAsia="仿宋_GB2312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提出了</w:t>
      </w:r>
      <w:r>
        <w:rPr>
          <w:rFonts w:ascii="Times New Roman" w:hAnsi="Times New Roman" w:eastAsia="仿宋_GB2312"/>
          <w:sz w:val="32"/>
          <w:szCs w:val="32"/>
        </w:rPr>
        <w:t>坚持党委领导、政府负责、部门协同、县市落实，压实责任，强化监管</w:t>
      </w:r>
      <w:r>
        <w:rPr>
          <w:rFonts w:hint="eastAsia" w:ascii="Times New Roman" w:hAnsi="Times New Roman" w:eastAsia="仿宋_GB2312"/>
          <w:sz w:val="32"/>
          <w:szCs w:val="32"/>
        </w:rPr>
        <w:t>的工作推进机制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4FDFB534">
      <w:pPr>
        <w:spacing w:after="0" w:line="600" w:lineRule="exact"/>
        <w:ind w:firstLine="643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ascii="Times New Roman" w:hAnsi="Times New Roman" w:eastAsia="仿宋_GB2312"/>
          <w:b/>
          <w:bCs/>
          <w:sz w:val="32"/>
          <w:szCs w:val="32"/>
        </w:rPr>
        <w:t>《若干措施》</w:t>
      </w:r>
      <w:r>
        <w:rPr>
          <w:rFonts w:hint="eastAsia" w:ascii="Times New Roman" w:hAnsi="Times New Roman" w:eastAsia="仿宋_GB2312"/>
          <w:sz w:val="32"/>
          <w:szCs w:val="32"/>
        </w:rPr>
        <w:t>坚持投资于物和投资与人相结合，聚焦落实建设补助，推动机构发展，扩大失能老年人照料护理供给；强化运营支持，提升养老机构及医养结合机构服务质效；激励人才建设，稳定服务队伍；强化政策落实，助力减负纾困等方面从支持范围、建设补贴、运营补贴、人员补贴、优惠政策及保障机制6个方面提出支持范围4类、资金支持内容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hint="eastAsia" w:ascii="Times New Roman" w:hAnsi="Times New Roman" w:eastAsia="仿宋_GB2312"/>
          <w:sz w:val="32"/>
          <w:szCs w:val="32"/>
        </w:rPr>
        <w:t>项、扶持政策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sz w:val="32"/>
          <w:szCs w:val="32"/>
        </w:rPr>
        <w:t>项、保障机制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sz w:val="32"/>
          <w:szCs w:val="32"/>
        </w:rPr>
        <w:t>项共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19</w:t>
      </w:r>
      <w:r>
        <w:rPr>
          <w:rFonts w:hint="eastAsia" w:ascii="Times New Roman" w:hAnsi="Times New Roman" w:eastAsia="仿宋_GB2312"/>
          <w:sz w:val="32"/>
          <w:szCs w:val="32"/>
        </w:rPr>
        <w:t>项具体内容。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第一部分</w:t>
      </w:r>
      <w:r>
        <w:rPr>
          <w:rFonts w:ascii="Times New Roman" w:hAnsi="Times New Roman" w:eastAsia="仿宋_GB2312"/>
          <w:b/>
          <w:bCs/>
          <w:sz w:val="32"/>
          <w:szCs w:val="32"/>
        </w:rPr>
        <w:t>明确支持范围，确保可持续发展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提出了加强</w:t>
      </w:r>
      <w:r>
        <w:rPr>
          <w:rFonts w:ascii="Times New Roman" w:hAnsi="Times New Roman" w:eastAsia="仿宋_GB2312"/>
          <w:sz w:val="32"/>
          <w:szCs w:val="32"/>
        </w:rPr>
        <w:t>普惠</w:t>
      </w:r>
      <w:r>
        <w:rPr>
          <w:rFonts w:hint="eastAsia" w:ascii="Times New Roman" w:hAnsi="Times New Roman" w:eastAsia="仿宋_GB2312"/>
          <w:sz w:val="32"/>
          <w:szCs w:val="32"/>
        </w:rPr>
        <w:t>养老服务保障、</w:t>
      </w:r>
      <w:r>
        <w:rPr>
          <w:rFonts w:ascii="Times New Roman" w:hAnsi="Times New Roman" w:eastAsia="仿宋_GB2312"/>
          <w:sz w:val="32"/>
          <w:szCs w:val="32"/>
        </w:rPr>
        <w:t>助推民办运营</w:t>
      </w:r>
      <w:r>
        <w:rPr>
          <w:rFonts w:hint="eastAsia" w:ascii="Times New Roman" w:hAnsi="Times New Roman" w:eastAsia="仿宋_GB2312"/>
          <w:sz w:val="32"/>
          <w:szCs w:val="32"/>
        </w:rPr>
        <w:t>能力建设、支持医养结合融合发展、强化居家和社区养老服务网络。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第二部分</w:t>
      </w:r>
      <w:r>
        <w:rPr>
          <w:rFonts w:ascii="Times New Roman" w:hAnsi="Times New Roman" w:eastAsia="仿宋_GB2312"/>
          <w:b/>
          <w:bCs/>
          <w:sz w:val="32"/>
          <w:szCs w:val="32"/>
        </w:rPr>
        <w:t>落实建设补助，推动机构发展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提出了落实养老机构一次性建设补贴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合医养结合机构建设项目补贴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第三部分强化运营支持，提升服务</w:t>
      </w:r>
      <w:r>
        <w:rPr>
          <w:rFonts w:ascii="Times New Roman" w:hAnsi="Times New Roman" w:eastAsia="仿宋_GB2312"/>
          <w:b/>
          <w:bCs/>
          <w:sz w:val="32"/>
          <w:szCs w:val="32"/>
        </w:rPr>
        <w:t>质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效。</w:t>
      </w:r>
      <w:r>
        <w:rPr>
          <w:rFonts w:hint="eastAsia" w:ascii="Times New Roman" w:hAnsi="Times New Roman" w:eastAsia="仿宋_GB2312"/>
          <w:sz w:val="32"/>
          <w:szCs w:val="32"/>
        </w:rPr>
        <w:t>提出了落实养老机构运营</w:t>
      </w:r>
      <w:r>
        <w:rPr>
          <w:rFonts w:ascii="Times New Roman" w:hAnsi="Times New Roman" w:eastAsia="仿宋_GB2312"/>
          <w:sz w:val="32"/>
          <w:szCs w:val="32"/>
        </w:rPr>
        <w:t>补贴</w:t>
      </w:r>
      <w:r>
        <w:rPr>
          <w:rFonts w:hint="eastAsia" w:ascii="Times New Roman" w:hAnsi="Times New Roman" w:eastAsia="仿宋_GB2312"/>
          <w:sz w:val="32"/>
          <w:szCs w:val="32"/>
        </w:rPr>
        <w:t>（基础补贴、浮动补贴）、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养老机构等级评定补贴、</w:t>
      </w:r>
      <w:r>
        <w:rPr>
          <w:rFonts w:ascii="Times New Roman" w:hAnsi="Times New Roman" w:eastAsia="仿宋_GB2312"/>
          <w:sz w:val="32"/>
          <w:szCs w:val="32"/>
        </w:rPr>
        <w:t>突出</w:t>
      </w:r>
      <w:r>
        <w:rPr>
          <w:rFonts w:hint="eastAsia" w:ascii="Times New Roman" w:hAnsi="Times New Roman" w:eastAsia="仿宋_GB2312"/>
          <w:sz w:val="32"/>
          <w:szCs w:val="32"/>
        </w:rPr>
        <w:t>医养结合机构运营补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贴和完善居家和社区养老服务设施运营补贴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第四部分</w:t>
      </w:r>
      <w:r>
        <w:rPr>
          <w:rFonts w:ascii="Times New Roman" w:hAnsi="Times New Roman" w:eastAsia="仿宋_GB2312"/>
          <w:b/>
          <w:bCs/>
          <w:sz w:val="32"/>
          <w:szCs w:val="32"/>
        </w:rPr>
        <w:t>激励人才建设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，稳定服务队伍。</w:t>
      </w:r>
      <w:r>
        <w:rPr>
          <w:rFonts w:hint="eastAsia" w:ascii="Times New Roman" w:hAnsi="Times New Roman" w:eastAsia="仿宋_GB2312"/>
          <w:sz w:val="32"/>
          <w:szCs w:val="32"/>
        </w:rPr>
        <w:t>提出了建立养老机构从业人员补贴（入职补贴、在职补贴）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、养老机构社保缴费补贴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第五部分</w:t>
      </w:r>
      <w:r>
        <w:rPr>
          <w:rFonts w:ascii="Times New Roman" w:hAnsi="Times New Roman" w:eastAsia="仿宋_GB2312"/>
          <w:b/>
          <w:bCs/>
          <w:sz w:val="32"/>
          <w:szCs w:val="32"/>
        </w:rPr>
        <w:t>强化政策落实，助力减负纾困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提出了执行居民生活类价格、完善养老机构取暖补贴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、完善</w:t>
      </w:r>
      <w:r>
        <w:rPr>
          <w:rFonts w:hint="eastAsia" w:ascii="Times New Roman" w:hAnsi="Times New Roman" w:eastAsia="仿宋_GB2312"/>
          <w:sz w:val="32"/>
          <w:szCs w:val="32"/>
        </w:rPr>
        <w:t>居家和社区养老服务设施基本公共运行费用。</w:t>
      </w:r>
      <w:r>
        <w:rPr>
          <w:rFonts w:hint="eastAsia" w:ascii="Times New Roman" w:hAnsi="Times New Roman" w:eastAsia="仿宋_GB2312"/>
          <w:b/>
          <w:bCs/>
          <w:sz w:val="32"/>
          <w:szCs w:val="32"/>
        </w:rPr>
        <w:t>第六部分健全保障机制，确保措施落地。</w:t>
      </w:r>
      <w:r>
        <w:rPr>
          <w:rFonts w:hint="eastAsia" w:ascii="Times New Roman" w:hAnsi="Times New Roman" w:eastAsia="仿宋_GB2312"/>
          <w:sz w:val="32"/>
          <w:szCs w:val="32"/>
        </w:rPr>
        <w:t>提出了建立智慧养老监管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sz w:val="32"/>
          <w:szCs w:val="32"/>
        </w:rPr>
        <w:t>补贴与养老机构安全责任履行因素挂钩机制、加强资金使用</w:t>
      </w:r>
      <w:r>
        <w:rPr>
          <w:rFonts w:ascii="Times New Roman" w:hAnsi="Times New Roman" w:eastAsia="仿宋_GB2312"/>
          <w:sz w:val="32"/>
          <w:szCs w:val="32"/>
        </w:rPr>
        <w:t>监</w:t>
      </w:r>
      <w:r>
        <w:rPr>
          <w:rFonts w:hint="eastAsia" w:ascii="Times New Roman" w:hAnsi="Times New Roman" w:eastAsia="仿宋_GB2312"/>
          <w:sz w:val="32"/>
          <w:szCs w:val="32"/>
        </w:rPr>
        <w:t>管与加大财政保障力度。</w:t>
      </w:r>
    </w:p>
    <w:p w14:paraId="2D040257">
      <w:pPr>
        <w:spacing w:after="0" w:line="60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16A02BBB-A9BA-4BAE-867D-3FE17CED34E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3B97D2A7-0517-4474-92AE-643D372BE700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728D9FCD-F2C5-4F88-B7BB-8FB3A0190B88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E8D4DCB-3B32-4BA0-81F1-A4A04CF4A67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8AEEB">
    <w:pPr>
      <w:pStyle w:val="11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FAE57B">
                          <w:pPr>
                            <w:pStyle w:val="11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FAE57B">
                    <w:pPr>
                      <w:pStyle w:val="11"/>
                      <w:rPr>
                        <w:rFonts w:hint="eastAsia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198"/>
    <w:rsid w:val="00010744"/>
    <w:rsid w:val="0002327D"/>
    <w:rsid w:val="000452B3"/>
    <w:rsid w:val="0006764C"/>
    <w:rsid w:val="00073445"/>
    <w:rsid w:val="00146CBB"/>
    <w:rsid w:val="001A4D28"/>
    <w:rsid w:val="001A6A0C"/>
    <w:rsid w:val="00200C5D"/>
    <w:rsid w:val="0020270E"/>
    <w:rsid w:val="00206720"/>
    <w:rsid w:val="00263C6B"/>
    <w:rsid w:val="00282890"/>
    <w:rsid w:val="002F78F9"/>
    <w:rsid w:val="003169A9"/>
    <w:rsid w:val="00326413"/>
    <w:rsid w:val="00377439"/>
    <w:rsid w:val="003C1422"/>
    <w:rsid w:val="003E7775"/>
    <w:rsid w:val="004A0E5C"/>
    <w:rsid w:val="00504208"/>
    <w:rsid w:val="00536982"/>
    <w:rsid w:val="00540A3F"/>
    <w:rsid w:val="005C0D27"/>
    <w:rsid w:val="006C0FEE"/>
    <w:rsid w:val="00704198"/>
    <w:rsid w:val="00710953"/>
    <w:rsid w:val="00751DC9"/>
    <w:rsid w:val="00766D8C"/>
    <w:rsid w:val="00781421"/>
    <w:rsid w:val="00782582"/>
    <w:rsid w:val="007F7D73"/>
    <w:rsid w:val="00844809"/>
    <w:rsid w:val="00847539"/>
    <w:rsid w:val="00862AEE"/>
    <w:rsid w:val="00910316"/>
    <w:rsid w:val="00914674"/>
    <w:rsid w:val="009B01FB"/>
    <w:rsid w:val="009F4D88"/>
    <w:rsid w:val="00AB5787"/>
    <w:rsid w:val="00AC1945"/>
    <w:rsid w:val="00AF6638"/>
    <w:rsid w:val="00B413C8"/>
    <w:rsid w:val="00B84551"/>
    <w:rsid w:val="00BE7011"/>
    <w:rsid w:val="00C357D5"/>
    <w:rsid w:val="00C61326"/>
    <w:rsid w:val="00C70E3F"/>
    <w:rsid w:val="00C737D3"/>
    <w:rsid w:val="00C8771C"/>
    <w:rsid w:val="00CB7B68"/>
    <w:rsid w:val="00CD25FF"/>
    <w:rsid w:val="00D135B5"/>
    <w:rsid w:val="00D945F0"/>
    <w:rsid w:val="00DA4E46"/>
    <w:rsid w:val="00E9015A"/>
    <w:rsid w:val="00F36C81"/>
    <w:rsid w:val="00F95C96"/>
    <w:rsid w:val="16A601D5"/>
    <w:rsid w:val="1A944267"/>
    <w:rsid w:val="23FE33A9"/>
    <w:rsid w:val="3916261C"/>
    <w:rsid w:val="4BFB025C"/>
    <w:rsid w:val="50285BDD"/>
    <w:rsid w:val="57BF1A5B"/>
    <w:rsid w:val="6EE74A63"/>
    <w:rsid w:val="6FEFF041"/>
    <w:rsid w:val="762130D5"/>
    <w:rsid w:val="77A3444D"/>
    <w:rsid w:val="7BFFE483"/>
    <w:rsid w:val="7E37D41B"/>
    <w:rsid w:val="7FD57FAC"/>
    <w:rsid w:val="7FDD994E"/>
    <w:rsid w:val="7FF94BFB"/>
    <w:rsid w:val="ACFFAF8A"/>
    <w:rsid w:val="DDBE6188"/>
    <w:rsid w:val="DFCFC3F0"/>
    <w:rsid w:val="EDE3E573"/>
    <w:rsid w:val="FB7714BA"/>
    <w:rsid w:val="FF9BEF1D"/>
    <w:rsid w:val="FFA5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E75B6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明显强调1"/>
    <w:basedOn w:val="16"/>
    <w:qFormat/>
    <w:uiPriority w:val="21"/>
    <w:rPr>
      <w:i/>
      <w:iCs/>
      <w:color w:val="2E75B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E75B6" w:themeColor="accent1" w:themeShade="BF"/>
    </w:rPr>
  </w:style>
  <w:style w:type="character" w:customStyle="1" w:styleId="34">
    <w:name w:val="明显参考1"/>
    <w:basedOn w:val="16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2038</Words>
  <Characters>2075</Characters>
  <Lines>14</Lines>
  <Paragraphs>4</Paragraphs>
  <TotalTime>2</TotalTime>
  <ScaleCrop>false</ScaleCrop>
  <LinksUpToDate>false</LinksUpToDate>
  <CharactersWithSpaces>2075</CharactersWithSpaces>
  <Application>WPS Office_12.1.0.26895_F1E327BC-269C-435d-A152-05C5408002CA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2026-08-14T14:43:00Z</dcterms:created>
  <dc:creator>大腿</dc:creator>
  <cp:lastModifiedBy>小麦啾</cp:lastModifiedBy>
  <cp:lastPrinted>2026-06-11T19:19:00Z</cp:lastPrinted>
  <dcterms:modified xsi:type="dcterms:W3CDTF">2026-08-24T03:35:15Z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D72700F6CE38866DEA312A6AF03580E4</vt:lpwstr>
  </property>
  <property fmtid="{D5CDD505-2E9C-101B-9397-08002B2CF9AE}" pid="4" name="KSOTemplateDocerSaveRecord">
    <vt:lpwstr>eyJoZGlkIjoiZGZmMjg3MDQ2MzExNDk0OWY5M2UwNzBmOWViMDBkMGMiLCJ1c2VySWQiOiIzMjQ5NjUzODcifQ==</vt:lpwstr>
  </property>
</Properties>
</file>