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Ansi="方正小标宋_GBK" w:eastAsia="方正小标宋_GBK"/>
          <w:color w:val="000000"/>
          <w:sz w:val="44"/>
          <w:szCs w:val="44"/>
        </w:rPr>
      </w:pPr>
      <w:r>
        <w:rPr>
          <w:rFonts w:hAnsi="方正小标宋_GBK" w:eastAsia="方正小标宋_GBK"/>
          <w:color w:val="000000"/>
          <w:spacing w:val="-23"/>
          <w:sz w:val="44"/>
          <w:szCs w:val="44"/>
        </w:rPr>
        <w:t>昌吉州统筹城乡推动养老服务提质增效实施方案</w:t>
      </w:r>
    </w:p>
    <w:p>
      <w:pPr>
        <w:spacing w:line="560" w:lineRule="exact"/>
        <w:jc w:val="center"/>
        <w:rPr>
          <w:rFonts w:hint="eastAsia" w:ascii="楷体_GB2312" w:hAnsi="楷体" w:eastAsia="楷体_GB2312"/>
          <w:color w:val="000000"/>
          <w:sz w:val="44"/>
          <w:szCs w:val="44"/>
        </w:rPr>
      </w:pPr>
      <w:r>
        <w:rPr>
          <w:rFonts w:hint="eastAsia" w:ascii="楷体_GB2312" w:hAnsi="楷体" w:eastAsia="楷体_GB2312"/>
          <w:color w:val="000000"/>
          <w:spacing w:val="-5"/>
          <w:sz w:val="32"/>
          <w:szCs w:val="32"/>
        </w:rPr>
        <w:t>(征求意见稿)</w:t>
      </w:r>
    </w:p>
    <w:p>
      <w:pPr>
        <w:spacing w:line="560" w:lineRule="exact"/>
        <w:ind w:firstLine="620" w:firstLineChars="200"/>
        <w:jc w:val="both"/>
        <w:rPr>
          <w:rFonts w:hint="eastAsia" w:hAnsi="仿宋_GB2312" w:eastAsia="仿宋_GB2312"/>
          <w:color w:val="000000"/>
          <w:spacing w:val="-5"/>
          <w:sz w:val="32"/>
          <w:szCs w:val="32"/>
        </w:rPr>
      </w:pPr>
    </w:p>
    <w:p>
      <w:pPr>
        <w:spacing w:line="560" w:lineRule="exact"/>
        <w:ind w:firstLine="620" w:firstLineChars="200"/>
        <w:jc w:val="both"/>
      </w:pPr>
      <w:r>
        <w:rPr>
          <w:rFonts w:hAnsi="仿宋_GB2312" w:eastAsia="仿宋_GB2312"/>
          <w:color w:val="000000"/>
          <w:spacing w:val="-5"/>
          <w:sz w:val="32"/>
          <w:szCs w:val="32"/>
        </w:rPr>
        <w:t>为推进昌吉州养老服务体系建设，促进养老服务从兜底保障向增进福祉拓展，补齐发展短板，实现全体老年人享有基本养老服务，根据国家及自治区</w:t>
      </w:r>
      <w:r>
        <w:rPr>
          <w:rFonts w:hint="eastAsia" w:hAnsi="仿宋_GB2312" w:eastAsia="仿宋_GB2312"/>
          <w:color w:val="000000"/>
          <w:spacing w:val="-5"/>
          <w:sz w:val="32"/>
          <w:szCs w:val="32"/>
        </w:rPr>
        <w:t>工作</w:t>
      </w:r>
      <w:r>
        <w:rPr>
          <w:rFonts w:hAnsi="仿宋_GB2312" w:eastAsia="仿宋_GB2312"/>
          <w:color w:val="000000"/>
          <w:spacing w:val="-5"/>
          <w:sz w:val="32"/>
          <w:szCs w:val="32"/>
        </w:rPr>
        <w:t>要求，结合我州实际</w:t>
      </w:r>
      <w:r>
        <w:rPr>
          <w:rFonts w:hint="eastAsia" w:hAnsi="仿宋_GB2312" w:eastAsia="仿宋_GB2312"/>
          <w:color w:val="000000"/>
          <w:spacing w:val="-5"/>
          <w:sz w:val="32"/>
          <w:szCs w:val="32"/>
        </w:rPr>
        <w:t xml:space="preserve"> </w:t>
      </w:r>
      <w:r>
        <w:rPr>
          <w:rFonts w:hAnsi="仿宋_GB2312" w:eastAsia="仿宋_GB2312"/>
          <w:color w:val="000000"/>
          <w:spacing w:val="-5"/>
          <w:sz w:val="32"/>
          <w:szCs w:val="32"/>
        </w:rPr>
        <w:t>，制定本实施方案。</w:t>
      </w:r>
    </w:p>
    <w:p>
      <w:pPr>
        <w:pStyle w:val="3"/>
        <w:spacing w:line="560" w:lineRule="exact"/>
        <w:ind w:firstLine="620" w:firstLineChars="200"/>
        <w:jc w:val="both"/>
      </w:pPr>
      <w:r>
        <w:rPr>
          <w:rFonts w:hAnsi="黑体" w:eastAsia="黑体"/>
          <w:color w:val="000000"/>
          <w:spacing w:val="-5"/>
        </w:rPr>
        <w:t>一、总体要求</w:t>
      </w:r>
      <w:r>
        <w:rPr>
          <w:rFonts w:hint="eastAsia" w:hAnsi="黑体" w:eastAsia="黑体"/>
          <w:color w:val="000000"/>
          <w:spacing w:val="-5"/>
        </w:rPr>
        <w:t xml:space="preserve"> </w:t>
      </w:r>
    </w:p>
    <w:p>
      <w:pPr>
        <w:spacing w:line="560" w:lineRule="exact"/>
        <w:ind w:firstLine="620" w:firstLineChars="200"/>
        <w:jc w:val="both"/>
      </w:pPr>
      <w:r>
        <w:rPr>
          <w:rFonts w:hAnsi="仿宋_GB2312" w:eastAsia="仿宋_GB2312"/>
          <w:color w:val="000000"/>
          <w:spacing w:val="-5"/>
          <w:sz w:val="32"/>
          <w:szCs w:val="32"/>
        </w:rPr>
        <w:t>坚持以习近平新时代中国特色社会主义思想为指导，深入贯彻新时代党的治疆方略，紧扣铸牢中华民族共同体意识主线。坚持民生为本、普惠可及，完善居家为基础、社区为依托、机构为专业支撑养老服务供给格局，健全分级分类、覆盖城乡</w:t>
      </w:r>
      <w:r>
        <w:rPr>
          <w:rFonts w:hint="eastAsia" w:hAnsi="仿宋_GB2312" w:eastAsia="仿宋_GB2312"/>
          <w:color w:val="000000"/>
          <w:spacing w:val="-5"/>
          <w:sz w:val="32"/>
          <w:szCs w:val="32"/>
        </w:rPr>
        <w:t>的医康养结合服务体系，</w:t>
      </w:r>
      <w:r>
        <w:rPr>
          <w:rFonts w:hAnsi="仿宋_GB2312" w:eastAsia="仿宋_GB2312"/>
          <w:color w:val="000000"/>
          <w:sz w:val="32"/>
          <w:szCs w:val="32"/>
        </w:rPr>
        <w:t>推动养老服务高质量发展。</w:t>
      </w:r>
    </w:p>
    <w:p>
      <w:pPr>
        <w:pStyle w:val="3"/>
        <w:spacing w:line="560" w:lineRule="exact"/>
        <w:ind w:firstLine="620" w:firstLineChars="200"/>
        <w:jc w:val="both"/>
      </w:pPr>
      <w:r>
        <w:rPr>
          <w:rFonts w:hAnsi="黑体" w:eastAsia="黑体"/>
          <w:color w:val="000000"/>
          <w:spacing w:val="-5"/>
        </w:rPr>
        <w:t>二、发展目标</w:t>
      </w:r>
    </w:p>
    <w:p>
      <w:pPr>
        <w:spacing w:line="560" w:lineRule="exact"/>
        <w:ind w:firstLine="620" w:firstLineChars="200"/>
        <w:jc w:val="both"/>
      </w:pPr>
      <w:r>
        <w:rPr>
          <w:rFonts w:hAnsi="仿宋_GB2312" w:eastAsia="仿宋_GB2312"/>
          <w:color w:val="000000"/>
          <w:spacing w:val="-5"/>
          <w:sz w:val="32"/>
          <w:szCs w:val="32"/>
        </w:rPr>
        <w:t>以统筹城乡、优化供给为主线，通过政策制度“软建设”与设施项目“硬投资”双向发力，构建昌吉州“3+3+3”（县乡村三级网络+居家社区机构三种形态+政府市场社会三方协同）完整养老服务体系。到2029年，养老服务供给能力和服务水平稳步提升，医养结合机构县域全覆盖，基本满足老年人多层次多样化养老服务需求。</w:t>
      </w:r>
    </w:p>
    <w:p>
      <w:pPr>
        <w:pStyle w:val="3"/>
        <w:spacing w:line="560" w:lineRule="exact"/>
        <w:ind w:firstLine="620" w:firstLineChars="200"/>
        <w:jc w:val="both"/>
      </w:pPr>
      <w:r>
        <w:rPr>
          <w:rFonts w:hAnsi="黑体" w:eastAsia="黑体"/>
          <w:color w:val="000000"/>
          <w:spacing w:val="-5"/>
        </w:rPr>
        <w:t>三、实施期限</w:t>
      </w:r>
    </w:p>
    <w:p>
      <w:pPr>
        <w:spacing w:line="560" w:lineRule="exact"/>
        <w:ind w:firstLine="620" w:firstLineChars="200"/>
        <w:jc w:val="both"/>
      </w:pPr>
      <w:r>
        <w:rPr>
          <w:rFonts w:hAnsi="仿宋_GB2312" w:eastAsia="仿宋_GB2312"/>
          <w:color w:val="000000"/>
          <w:spacing w:val="-5"/>
          <w:sz w:val="32"/>
          <w:szCs w:val="32"/>
        </w:rPr>
        <w:t>2026年至2029年。</w:t>
      </w:r>
    </w:p>
    <w:p>
      <w:pPr>
        <w:pStyle w:val="3"/>
        <w:spacing w:line="560" w:lineRule="exact"/>
        <w:ind w:firstLine="620" w:firstLineChars="200"/>
        <w:jc w:val="both"/>
      </w:pPr>
      <w:r>
        <w:rPr>
          <w:rFonts w:hAnsi="黑体" w:eastAsia="黑体"/>
          <w:color w:val="000000"/>
          <w:spacing w:val="-5"/>
        </w:rPr>
        <w:t>四、主要任务</w:t>
      </w:r>
    </w:p>
    <w:p>
      <w:pPr>
        <w:pStyle w:val="2"/>
        <w:spacing w:line="560" w:lineRule="exact"/>
        <w:ind w:firstLine="620" w:firstLineChars="200"/>
        <w:jc w:val="both"/>
      </w:pPr>
      <w:r>
        <w:rPr>
          <w:rFonts w:hAnsi="楷体_GB2312" w:eastAsia="楷体_GB2312"/>
          <w:color w:val="000000"/>
          <w:spacing w:val="-5"/>
          <w:sz w:val="32"/>
          <w:szCs w:val="32"/>
        </w:rPr>
        <w:t>（一）健全城乡三级养老服务网络</w:t>
      </w:r>
    </w:p>
    <w:p>
      <w:pPr>
        <w:pStyle w:val="4"/>
        <w:spacing w:line="560" w:lineRule="exact"/>
        <w:ind w:firstLine="623" w:firstLineChars="200"/>
        <w:jc w:val="both"/>
      </w:pPr>
      <w:r>
        <w:rPr>
          <w:rFonts w:hAnsi="仿宋_GB2312" w:eastAsia="仿宋_GB2312"/>
          <w:b/>
          <w:bCs/>
          <w:color w:val="000000"/>
          <w:spacing w:val="-5"/>
          <w:sz w:val="32"/>
          <w:szCs w:val="32"/>
        </w:rPr>
        <w:t>1.建立县（市）级综合养老服务管理平台。</w:t>
      </w:r>
      <w:r>
        <w:rPr>
          <w:rFonts w:hAnsi="仿宋_GB2312" w:eastAsia="仿宋_GB2312"/>
          <w:color w:val="000000"/>
          <w:spacing w:val="-5"/>
          <w:sz w:val="32"/>
          <w:szCs w:val="32"/>
        </w:rPr>
        <w:t>强化县域养老服务统筹管理功能</w:t>
      </w:r>
      <w:r>
        <w:rPr>
          <w:rFonts w:hint="eastAsia" w:hAnsi="仿宋_GB2312" w:eastAsia="仿宋_GB2312"/>
          <w:color w:val="000000"/>
          <w:spacing w:val="-5"/>
          <w:sz w:val="32"/>
          <w:szCs w:val="32"/>
        </w:rPr>
        <w:t>，</w:t>
      </w:r>
      <w:r>
        <w:rPr>
          <w:rFonts w:hAnsi="仿宋_GB2312" w:eastAsia="仿宋_GB2312"/>
          <w:color w:val="000000"/>
          <w:spacing w:val="-5"/>
          <w:sz w:val="32"/>
          <w:szCs w:val="32"/>
        </w:rPr>
        <w:t>依托具备条件的县（市）级公办或公建民营养老机构，以信息化为支撑，统筹各类养老服务资源，强化服务示范、行业指导、应急救助功能，推动医养资源协调对接，2029年底前实现县（市）级综合养老服务管理平台全覆盖。（责任单位：各县（市）人民政府，州民政局</w:t>
      </w:r>
      <w:bookmarkStart w:id="0" w:name="_Hlk231378134"/>
      <w:r>
        <w:rPr>
          <w:rFonts w:hAnsi="仿宋_GB2312" w:eastAsia="仿宋_GB2312"/>
          <w:color w:val="000000"/>
          <w:spacing w:val="-5"/>
          <w:sz w:val="32"/>
          <w:szCs w:val="32"/>
        </w:rPr>
        <w:t>、</w:t>
      </w:r>
      <w:bookmarkEnd w:id="0"/>
      <w:r>
        <w:rPr>
          <w:rFonts w:hAnsi="仿宋_GB2312" w:eastAsia="仿宋_GB2312"/>
          <w:color w:val="000000"/>
          <w:spacing w:val="-5"/>
          <w:sz w:val="32"/>
          <w:szCs w:val="32"/>
        </w:rPr>
        <w:t>卫健委）</w:t>
      </w:r>
    </w:p>
    <w:p>
      <w:pPr>
        <w:pStyle w:val="4"/>
        <w:spacing w:line="560" w:lineRule="exact"/>
        <w:ind w:firstLine="623" w:firstLineChars="200"/>
        <w:jc w:val="both"/>
      </w:pPr>
      <w:r>
        <w:rPr>
          <w:rFonts w:hAnsi="仿宋_GB2312" w:eastAsia="仿宋_GB2312"/>
          <w:b/>
          <w:bCs/>
          <w:color w:val="000000"/>
          <w:spacing w:val="-5"/>
          <w:sz w:val="32"/>
          <w:szCs w:val="32"/>
        </w:rPr>
        <w:t>2.推进街道（乡镇）综合养老中心建设。</w:t>
      </w:r>
      <w:r>
        <w:rPr>
          <w:rFonts w:hAnsi="仿宋_GB2312" w:eastAsia="仿宋_GB2312"/>
          <w:color w:val="000000"/>
          <w:spacing w:val="-5"/>
          <w:sz w:val="32"/>
          <w:szCs w:val="32"/>
        </w:rPr>
        <w:t>结合区域位置、服务半径、老年人需求，建设街道（乡镇）级养老服务中心，由街道（乡镇）</w:t>
      </w:r>
      <w:r>
        <w:rPr>
          <w:rFonts w:hint="eastAsia" w:hAnsi="仿宋_GB2312" w:eastAsia="仿宋_GB2312"/>
          <w:color w:val="000000"/>
          <w:spacing w:val="-5"/>
          <w:sz w:val="32"/>
          <w:szCs w:val="32"/>
        </w:rPr>
        <w:t>负责</w:t>
      </w:r>
      <w:r>
        <w:rPr>
          <w:rFonts w:hAnsi="仿宋_GB2312" w:eastAsia="仿宋_GB2312"/>
          <w:color w:val="000000"/>
          <w:spacing w:val="-5"/>
          <w:sz w:val="32"/>
          <w:szCs w:val="32"/>
        </w:rPr>
        <w:t>管理</w:t>
      </w:r>
      <w:r>
        <w:rPr>
          <w:rFonts w:hint="eastAsia" w:hAnsi="仿宋_GB2312" w:eastAsia="仿宋_GB2312"/>
          <w:color w:val="000000"/>
          <w:spacing w:val="-5"/>
          <w:sz w:val="32"/>
          <w:szCs w:val="32"/>
        </w:rPr>
        <w:t>并</w:t>
      </w:r>
      <w:r>
        <w:rPr>
          <w:rFonts w:hAnsi="仿宋_GB2312" w:eastAsia="仿宋_GB2312"/>
          <w:color w:val="000000"/>
          <w:spacing w:val="-5"/>
          <w:sz w:val="32"/>
          <w:szCs w:val="32"/>
        </w:rPr>
        <w:t>指导社区（村）开展居家养老服务。支持优质民办养老机构转型为区域养老服务中心，鼓励品牌连锁</w:t>
      </w:r>
      <w:r>
        <w:rPr>
          <w:rFonts w:hint="eastAsia" w:hAnsi="仿宋_GB2312" w:eastAsia="仿宋_GB2312"/>
          <w:color w:val="000000"/>
          <w:spacing w:val="-5"/>
          <w:sz w:val="32"/>
          <w:szCs w:val="32"/>
        </w:rPr>
        <w:t>化</w:t>
      </w:r>
      <w:r>
        <w:rPr>
          <w:rFonts w:hAnsi="仿宋_GB2312" w:eastAsia="仿宋_GB2312"/>
          <w:color w:val="000000"/>
          <w:spacing w:val="-5"/>
          <w:sz w:val="32"/>
          <w:szCs w:val="32"/>
        </w:rPr>
        <w:t>第三方机构运营</w:t>
      </w:r>
      <w:r>
        <w:rPr>
          <w:rFonts w:hint="eastAsia" w:hAnsi="仿宋_GB2312" w:eastAsia="仿宋_GB2312"/>
          <w:color w:val="000000"/>
          <w:spacing w:val="-5"/>
          <w:sz w:val="32"/>
          <w:szCs w:val="32"/>
        </w:rPr>
        <w:t>。</w:t>
      </w:r>
      <w:r>
        <w:rPr>
          <w:rFonts w:hAnsi="仿宋_GB2312" w:eastAsia="仿宋_GB2312"/>
          <w:color w:val="000000"/>
          <w:spacing w:val="-5"/>
          <w:sz w:val="32"/>
          <w:szCs w:val="32"/>
        </w:rPr>
        <w:t>2029年底前街道（乡镇）养老服务中心覆盖率不低于80%。（责任单位：各县（市）人民政府，州民政局）</w:t>
      </w:r>
    </w:p>
    <w:p>
      <w:pPr>
        <w:pStyle w:val="4"/>
        <w:spacing w:line="560" w:lineRule="exact"/>
        <w:ind w:firstLine="623" w:firstLineChars="200"/>
        <w:jc w:val="both"/>
      </w:pPr>
      <w:r>
        <w:rPr>
          <w:rFonts w:hAnsi="仿宋_GB2312" w:eastAsia="仿宋_GB2312"/>
          <w:b/>
          <w:bCs/>
          <w:color w:val="000000"/>
          <w:spacing w:val="-5"/>
          <w:sz w:val="32"/>
          <w:szCs w:val="32"/>
        </w:rPr>
        <w:t>3.发展社区（村）养老服务设施。</w:t>
      </w:r>
      <w:r>
        <w:rPr>
          <w:rFonts w:hAnsi="仿宋_GB2312" w:eastAsia="仿宋_GB2312"/>
          <w:color w:val="000000"/>
          <w:spacing w:val="-5"/>
          <w:sz w:val="32"/>
          <w:szCs w:val="32"/>
        </w:rPr>
        <w:t>补齐城乡社区养老服务阵地短板</w:t>
      </w:r>
      <w:r>
        <w:rPr>
          <w:rFonts w:hint="eastAsia" w:hAnsi="仿宋_GB2312" w:eastAsia="仿宋_GB2312"/>
          <w:color w:val="000000"/>
          <w:spacing w:val="-5"/>
          <w:sz w:val="32"/>
          <w:szCs w:val="32"/>
        </w:rPr>
        <w:t>，</w:t>
      </w:r>
      <w:r>
        <w:rPr>
          <w:rFonts w:hAnsi="仿宋_GB2312" w:eastAsia="仿宋_GB2312"/>
          <w:color w:val="000000"/>
          <w:spacing w:val="-5"/>
          <w:sz w:val="32"/>
          <w:szCs w:val="32"/>
        </w:rPr>
        <w:t>整合党群服务中心（“石榴籽”服务站）等现有资源建设为老服务综合体，突出公益属性</w:t>
      </w:r>
      <w:r>
        <w:rPr>
          <w:rFonts w:hint="eastAsia" w:hAnsi="仿宋_GB2312" w:eastAsia="仿宋_GB2312"/>
          <w:color w:val="000000"/>
          <w:spacing w:val="-5"/>
          <w:sz w:val="32"/>
          <w:szCs w:val="32"/>
        </w:rPr>
        <w:t>。</w:t>
      </w:r>
      <w:r>
        <w:rPr>
          <w:rFonts w:hAnsi="仿宋_GB2312" w:eastAsia="仿宋_GB2312"/>
          <w:color w:val="000000"/>
          <w:spacing w:val="-5"/>
          <w:sz w:val="32"/>
          <w:szCs w:val="32"/>
        </w:rPr>
        <w:t>按需建设日间照料、</w:t>
      </w:r>
      <w:r>
        <w:rPr>
          <w:rFonts w:hint="eastAsia" w:hAnsi="仿宋_GB2312" w:eastAsia="仿宋_GB2312"/>
          <w:color w:val="000000"/>
          <w:spacing w:val="-5"/>
          <w:sz w:val="32"/>
          <w:szCs w:val="32"/>
        </w:rPr>
        <w:t>文体娱乐、</w:t>
      </w:r>
      <w:r>
        <w:rPr>
          <w:rFonts w:hAnsi="仿宋_GB2312" w:eastAsia="仿宋_GB2312"/>
          <w:color w:val="000000"/>
          <w:spacing w:val="-5"/>
          <w:sz w:val="32"/>
          <w:szCs w:val="32"/>
        </w:rPr>
        <w:t>助餐、上门服务等功能的嵌入式养老</w:t>
      </w:r>
      <w:r>
        <w:rPr>
          <w:rFonts w:hint="eastAsia" w:hAnsi="仿宋_GB2312" w:eastAsia="仿宋_GB2312"/>
          <w:color w:val="000000"/>
          <w:spacing w:val="-5"/>
          <w:sz w:val="32"/>
          <w:szCs w:val="32"/>
        </w:rPr>
        <w:t>服务</w:t>
      </w:r>
      <w:r>
        <w:rPr>
          <w:rFonts w:hAnsi="仿宋_GB2312" w:eastAsia="仿宋_GB2312"/>
          <w:color w:val="000000"/>
          <w:spacing w:val="-5"/>
          <w:sz w:val="32"/>
          <w:szCs w:val="32"/>
        </w:rPr>
        <w:t>设施。依托村级互助幸福院、闲置校舍，构建“党建+邻里+志愿”农村互助</w:t>
      </w:r>
      <w:r>
        <w:rPr>
          <w:rFonts w:hint="eastAsia" w:hAnsi="仿宋_GB2312" w:eastAsia="仿宋_GB2312"/>
          <w:color w:val="000000"/>
          <w:spacing w:val="-5"/>
          <w:sz w:val="32"/>
          <w:szCs w:val="32"/>
        </w:rPr>
        <w:t>模式</w:t>
      </w:r>
      <w:r>
        <w:rPr>
          <w:rFonts w:hAnsi="仿宋_GB2312" w:eastAsia="仿宋_GB2312"/>
          <w:color w:val="000000"/>
          <w:spacing w:val="-5"/>
          <w:sz w:val="32"/>
          <w:szCs w:val="32"/>
        </w:rPr>
        <w:t>，推广“集中居住、邻里互助”模式。定期组织互助养老活动，按月开展特殊困难老年人探访。2029年底前具备互助功能的城乡养老服务设施覆盖率不低于70%，特殊困难老年人月探访率100%。（责任单位：各县（市）人民政府，州党委组织部、州党委社工部、州民政局、发改委、财政局）</w:t>
      </w:r>
    </w:p>
    <w:p>
      <w:pPr>
        <w:pStyle w:val="2"/>
        <w:spacing w:line="560" w:lineRule="exact"/>
        <w:ind w:firstLine="620" w:firstLineChars="200"/>
        <w:jc w:val="both"/>
      </w:pPr>
      <w:r>
        <w:rPr>
          <w:rFonts w:hAnsi="楷体_GB2312" w:eastAsia="楷体_GB2312"/>
          <w:color w:val="000000"/>
          <w:spacing w:val="-5"/>
          <w:sz w:val="32"/>
          <w:szCs w:val="32"/>
        </w:rPr>
        <w:t>（二）提升居家社区机构养老照护能力</w:t>
      </w:r>
    </w:p>
    <w:p>
      <w:pPr>
        <w:pStyle w:val="4"/>
        <w:spacing w:line="560" w:lineRule="exact"/>
        <w:ind w:firstLine="623" w:firstLineChars="200"/>
        <w:jc w:val="both"/>
      </w:pPr>
      <w:r>
        <w:rPr>
          <w:rFonts w:hAnsi="仿宋_GB2312" w:eastAsia="仿宋_GB2312"/>
          <w:b/>
          <w:bCs/>
          <w:color w:val="000000"/>
          <w:spacing w:val="-5"/>
          <w:sz w:val="32"/>
          <w:szCs w:val="32"/>
        </w:rPr>
        <w:t>4.开展居家养老服务提升行动。</w:t>
      </w:r>
      <w:r>
        <w:rPr>
          <w:rFonts w:hAnsi="仿宋_GB2312" w:eastAsia="仿宋_GB2312"/>
          <w:color w:val="000000"/>
          <w:spacing w:val="-5"/>
          <w:sz w:val="32"/>
          <w:szCs w:val="32"/>
        </w:rPr>
        <w:t>落实中度以上失能老年人养老服务消费补贴</w:t>
      </w:r>
      <w:r>
        <w:rPr>
          <w:rFonts w:hint="eastAsia" w:hAnsi="仿宋_GB2312" w:eastAsia="仿宋_GB2312"/>
          <w:color w:val="000000"/>
          <w:spacing w:val="-5"/>
          <w:sz w:val="32"/>
          <w:szCs w:val="32"/>
        </w:rPr>
        <w:t>。</w:t>
      </w:r>
      <w:r>
        <w:rPr>
          <w:rFonts w:hAnsi="仿宋_GB2312" w:eastAsia="仿宋_GB2312"/>
          <w:color w:val="000000"/>
          <w:spacing w:val="-5"/>
          <w:sz w:val="32"/>
          <w:szCs w:val="32"/>
        </w:rPr>
        <w:t>以基层党组织为引领，整合物业、家政、社会组织力量做实基础服务，推动专业机构资源下沉，探索“家庭养老床位、家庭病床”联动模式，为居家失能老人提供专业服务。推进无障碍环境建设，鼓励老旧小区加装电梯。2029年底前全州完成家庭养老床位建设和适老化改造不少于3000户、老旧小区改造不少于120个、公共养老设施适老化改造不少于20处。（责任单位：各县（市）人民政府，州民政局、卫健委、财政局、住建局、残联）</w:t>
      </w:r>
    </w:p>
    <w:p>
      <w:pPr>
        <w:pStyle w:val="4"/>
        <w:spacing w:line="560" w:lineRule="exact"/>
        <w:ind w:firstLine="623" w:firstLineChars="200"/>
        <w:jc w:val="both"/>
      </w:pPr>
      <w:r>
        <w:rPr>
          <w:rFonts w:hAnsi="仿宋_GB2312" w:eastAsia="仿宋_GB2312"/>
          <w:b/>
          <w:bCs/>
          <w:color w:val="000000"/>
          <w:spacing w:val="-5"/>
          <w:sz w:val="32"/>
          <w:szCs w:val="32"/>
        </w:rPr>
        <w:t>5.</w:t>
      </w:r>
      <w:r>
        <w:rPr>
          <w:rFonts w:hint="eastAsia" w:hAnsi="仿宋_GB2312" w:eastAsia="仿宋_GB2312"/>
          <w:b/>
          <w:bCs/>
          <w:color w:val="000000"/>
          <w:spacing w:val="-5"/>
          <w:sz w:val="32"/>
          <w:szCs w:val="32"/>
        </w:rPr>
        <w:t>完善</w:t>
      </w:r>
      <w:r>
        <w:rPr>
          <w:rFonts w:hAnsi="仿宋_GB2312" w:eastAsia="仿宋_GB2312"/>
          <w:b/>
          <w:bCs/>
          <w:color w:val="000000"/>
          <w:spacing w:val="-5"/>
          <w:sz w:val="32"/>
          <w:szCs w:val="32"/>
        </w:rPr>
        <w:t>社区养老服务</w:t>
      </w:r>
      <w:r>
        <w:rPr>
          <w:rFonts w:hint="eastAsia" w:hAnsi="仿宋_GB2312" w:eastAsia="仿宋_GB2312"/>
          <w:b/>
          <w:bCs/>
          <w:color w:val="000000"/>
          <w:spacing w:val="-5"/>
          <w:sz w:val="32"/>
          <w:szCs w:val="32"/>
        </w:rPr>
        <w:t>功能</w:t>
      </w:r>
      <w:r>
        <w:rPr>
          <w:rFonts w:hAnsi="仿宋_GB2312" w:eastAsia="仿宋_GB2312"/>
          <w:b/>
          <w:bCs/>
          <w:color w:val="000000"/>
          <w:spacing w:val="-5"/>
          <w:sz w:val="32"/>
          <w:szCs w:val="32"/>
        </w:rPr>
        <w:t>。</w:t>
      </w:r>
      <w:r>
        <w:rPr>
          <w:rFonts w:hAnsi="仿宋_GB2312" w:eastAsia="仿宋_GB2312"/>
          <w:color w:val="000000"/>
          <w:spacing w:val="-5"/>
          <w:sz w:val="32"/>
          <w:szCs w:val="32"/>
        </w:rPr>
        <w:t>优化社区居家养老服务供给内容</w:t>
      </w:r>
      <w:r>
        <w:rPr>
          <w:rFonts w:hint="eastAsia" w:hAnsi="仿宋_GB2312" w:eastAsia="仿宋_GB2312"/>
          <w:color w:val="000000"/>
          <w:spacing w:val="-5"/>
          <w:sz w:val="32"/>
          <w:szCs w:val="32"/>
        </w:rPr>
        <w:t>，</w:t>
      </w:r>
      <w:r>
        <w:rPr>
          <w:rFonts w:hAnsi="仿宋_GB2312" w:eastAsia="仿宋_GB2312"/>
          <w:color w:val="000000"/>
          <w:spacing w:val="-5"/>
          <w:sz w:val="32"/>
          <w:szCs w:val="32"/>
        </w:rPr>
        <w:t>以助餐、助浴、助洁、助行、助急、助医“六助”为重点，培育专业化连锁化社区养老服务主体，探索“社区+物业+家政+养老”模式，鼓励社区卫生服务中心嵌入养老</w:t>
      </w:r>
      <w:r>
        <w:rPr>
          <w:rFonts w:hint="eastAsia" w:hAnsi="仿宋_GB2312" w:eastAsia="仿宋_GB2312"/>
          <w:color w:val="000000"/>
          <w:spacing w:val="-5"/>
          <w:sz w:val="32"/>
          <w:szCs w:val="32"/>
        </w:rPr>
        <w:t>服务</w:t>
      </w:r>
      <w:r>
        <w:rPr>
          <w:rFonts w:hAnsi="仿宋_GB2312" w:eastAsia="仿宋_GB2312"/>
          <w:color w:val="000000"/>
          <w:spacing w:val="-5"/>
          <w:sz w:val="32"/>
          <w:szCs w:val="32"/>
        </w:rPr>
        <w:t>功能，提供上门巡诊、康复护理。将社区养老</w:t>
      </w:r>
      <w:r>
        <w:rPr>
          <w:rFonts w:hint="eastAsia" w:hAnsi="仿宋_GB2312" w:eastAsia="仿宋_GB2312"/>
          <w:color w:val="000000"/>
          <w:spacing w:val="-5"/>
          <w:sz w:val="32"/>
          <w:szCs w:val="32"/>
        </w:rPr>
        <w:t>服务</w:t>
      </w:r>
      <w:r>
        <w:rPr>
          <w:rFonts w:hAnsi="仿宋_GB2312" w:eastAsia="仿宋_GB2312"/>
          <w:color w:val="000000"/>
          <w:spacing w:val="-5"/>
          <w:sz w:val="32"/>
          <w:szCs w:val="32"/>
        </w:rPr>
        <w:t>纳入城市一刻钟便民生活圈，结合完整社区建设补全设施，在老年人口密集社区设立老年用品、康复辅具展示租借站点。2029年底前培育社区养老主体不少于10家、建成辅具租借站点20个、争创县级示范性居家社区养老</w:t>
      </w:r>
      <w:r>
        <w:rPr>
          <w:rFonts w:hint="eastAsia" w:hAnsi="仿宋_GB2312" w:eastAsia="仿宋_GB2312"/>
          <w:color w:val="000000"/>
          <w:spacing w:val="-5"/>
          <w:sz w:val="32"/>
          <w:szCs w:val="32"/>
        </w:rPr>
        <w:t>服务</w:t>
      </w:r>
      <w:r>
        <w:rPr>
          <w:rFonts w:hAnsi="仿宋_GB2312" w:eastAsia="仿宋_GB2312"/>
          <w:color w:val="000000"/>
          <w:spacing w:val="-5"/>
          <w:sz w:val="32"/>
          <w:szCs w:val="32"/>
        </w:rPr>
        <w:t>网络5个。（责任单位：各县（市）人民政府，州民政局、卫健委、住建局、商务局、残联）</w:t>
      </w:r>
    </w:p>
    <w:p>
      <w:pPr>
        <w:pStyle w:val="4"/>
        <w:spacing w:line="560" w:lineRule="exact"/>
        <w:ind w:firstLine="623" w:firstLineChars="200"/>
        <w:jc w:val="both"/>
      </w:pPr>
      <w:r>
        <w:rPr>
          <w:rFonts w:hAnsi="仿宋_GB2312" w:eastAsia="仿宋_GB2312"/>
          <w:b/>
          <w:bCs/>
          <w:color w:val="000000"/>
          <w:spacing w:val="-5"/>
          <w:sz w:val="32"/>
          <w:szCs w:val="32"/>
        </w:rPr>
        <w:t>6.发挥机构养老专业支撑作用。</w:t>
      </w:r>
      <w:r>
        <w:rPr>
          <w:rFonts w:hAnsi="仿宋_GB2312" w:eastAsia="仿宋_GB2312"/>
          <w:color w:val="000000"/>
          <w:spacing w:val="-5"/>
          <w:sz w:val="32"/>
          <w:szCs w:val="32"/>
        </w:rPr>
        <w:t>分类提升养老机构专业服务能力</w:t>
      </w:r>
      <w:r>
        <w:rPr>
          <w:rFonts w:hint="eastAsia" w:hAnsi="仿宋_GB2312" w:eastAsia="仿宋_GB2312"/>
          <w:color w:val="000000"/>
          <w:spacing w:val="-5"/>
          <w:sz w:val="32"/>
          <w:szCs w:val="32"/>
        </w:rPr>
        <w:t>，按照需求</w:t>
      </w:r>
      <w:r>
        <w:rPr>
          <w:rFonts w:hAnsi="仿宋_GB2312" w:eastAsia="仿宋_GB2312"/>
          <w:color w:val="000000"/>
          <w:spacing w:val="-5"/>
          <w:sz w:val="32"/>
          <w:szCs w:val="32"/>
        </w:rPr>
        <w:t>分类建设兜底保障型、普惠支持型、完全市场型养老机构</w:t>
      </w:r>
      <w:r>
        <w:rPr>
          <w:rFonts w:hint="eastAsia" w:hAnsi="仿宋_GB2312" w:eastAsia="仿宋_GB2312"/>
          <w:color w:val="000000"/>
          <w:spacing w:val="-5"/>
          <w:sz w:val="32"/>
          <w:szCs w:val="32"/>
        </w:rPr>
        <w:t>。</w:t>
      </w:r>
      <w:r>
        <w:rPr>
          <w:rFonts w:hAnsi="仿宋_GB2312" w:eastAsia="仿宋_GB2312"/>
          <w:color w:val="000000"/>
          <w:spacing w:val="-5"/>
          <w:sz w:val="32"/>
          <w:szCs w:val="32"/>
        </w:rPr>
        <w:t>升级改造兜底机构，提升特殊困难失能老</w:t>
      </w:r>
      <w:r>
        <w:rPr>
          <w:rFonts w:hint="eastAsia" w:hAnsi="仿宋_GB2312" w:eastAsia="仿宋_GB2312"/>
          <w:color w:val="000000"/>
          <w:spacing w:val="-5"/>
          <w:sz w:val="32"/>
          <w:szCs w:val="32"/>
        </w:rPr>
        <w:t>年</w:t>
      </w:r>
      <w:r>
        <w:rPr>
          <w:rFonts w:hAnsi="仿宋_GB2312" w:eastAsia="仿宋_GB2312"/>
          <w:color w:val="000000"/>
          <w:spacing w:val="-5"/>
          <w:sz w:val="32"/>
          <w:szCs w:val="32"/>
        </w:rPr>
        <w:t>人服务质量；发展普惠养老机构，面向中低收入家庭提供可负担、有保障的</w:t>
      </w:r>
      <w:r>
        <w:rPr>
          <w:rFonts w:hint="eastAsia" w:hAnsi="仿宋_GB2312" w:eastAsia="仿宋_GB2312"/>
          <w:color w:val="000000"/>
          <w:spacing w:val="-5"/>
          <w:sz w:val="32"/>
          <w:szCs w:val="32"/>
        </w:rPr>
        <w:t>照护</w:t>
      </w:r>
      <w:r>
        <w:rPr>
          <w:rFonts w:hAnsi="仿宋_GB2312" w:eastAsia="仿宋_GB2312"/>
          <w:color w:val="000000"/>
          <w:spacing w:val="-5"/>
          <w:sz w:val="32"/>
          <w:szCs w:val="32"/>
        </w:rPr>
        <w:t>服务；支持社会力量发展市场化机构，满足多样化需求。探索“老年父母+残疾子女”共同入住模式，推进经济困难失能老人集中照护。2029年底前全州养老机构实现“一床一码”智能化监管全覆盖，护理型床位占比不低于80%，县级公办养老机构失能、认知障碍照护专区建有率100%，每个县（市）至少有1家普惠养老机构。（责任单位：州民政局、财政局、市场监管局、发改委、国资委、卫健委、残联</w:t>
      </w:r>
      <w:r>
        <w:rPr>
          <w:rFonts w:hint="eastAsia" w:hAnsi="仿宋_GB2312" w:eastAsia="仿宋_GB2312"/>
          <w:color w:val="000000"/>
          <w:spacing w:val="-5"/>
          <w:sz w:val="32"/>
          <w:szCs w:val="32"/>
        </w:rPr>
        <w:t>，</w:t>
      </w:r>
      <w:r>
        <w:rPr>
          <w:rFonts w:hAnsi="仿宋_GB2312" w:eastAsia="仿宋_GB2312"/>
          <w:color w:val="000000"/>
          <w:spacing w:val="-5"/>
          <w:sz w:val="32"/>
          <w:szCs w:val="32"/>
        </w:rPr>
        <w:t>各县（市）人民政府）</w:t>
      </w:r>
    </w:p>
    <w:p>
      <w:pPr>
        <w:pStyle w:val="2"/>
        <w:spacing w:line="560" w:lineRule="exact"/>
        <w:ind w:firstLine="620" w:firstLineChars="200"/>
        <w:jc w:val="both"/>
      </w:pPr>
      <w:r>
        <w:rPr>
          <w:rFonts w:hAnsi="楷体_GB2312" w:eastAsia="楷体_GB2312"/>
          <w:color w:val="000000"/>
          <w:spacing w:val="-5"/>
          <w:sz w:val="32"/>
          <w:szCs w:val="32"/>
        </w:rPr>
        <w:t>（三）</w:t>
      </w:r>
      <w:r>
        <w:rPr>
          <w:rFonts w:hint="eastAsia" w:hAnsi="楷体_GB2312" w:eastAsia="楷体_GB2312"/>
          <w:color w:val="000000"/>
          <w:spacing w:val="-5"/>
          <w:sz w:val="32"/>
          <w:szCs w:val="32"/>
        </w:rPr>
        <w:t>深化</w:t>
      </w:r>
      <w:r>
        <w:rPr>
          <w:rFonts w:hAnsi="楷体_GB2312" w:eastAsia="楷体_GB2312"/>
          <w:color w:val="000000"/>
          <w:spacing w:val="-5"/>
          <w:sz w:val="32"/>
          <w:szCs w:val="32"/>
        </w:rPr>
        <w:t>医养结合</w:t>
      </w:r>
      <w:r>
        <w:rPr>
          <w:rFonts w:hint="eastAsia" w:hAnsi="楷体_GB2312" w:eastAsia="楷体_GB2312"/>
          <w:color w:val="000000"/>
          <w:spacing w:val="-5"/>
          <w:sz w:val="32"/>
          <w:szCs w:val="32"/>
        </w:rPr>
        <w:t>服务供给</w:t>
      </w:r>
    </w:p>
    <w:p>
      <w:pPr>
        <w:spacing w:line="560" w:lineRule="exact"/>
        <w:ind w:firstLine="623" w:firstLineChars="200"/>
        <w:jc w:val="both"/>
        <w:rPr>
          <w:rFonts w:hint="eastAsia" w:hAnsi="仿宋_GB2312" w:eastAsia="仿宋_GB2312"/>
          <w:color w:val="000000"/>
          <w:spacing w:val="-5"/>
          <w:sz w:val="32"/>
          <w:szCs w:val="32"/>
        </w:rPr>
      </w:pPr>
      <w:r>
        <w:rPr>
          <w:rFonts w:hint="eastAsia" w:hAnsi="仿宋_GB2312" w:eastAsia="仿宋_GB2312"/>
          <w:b/>
          <w:bCs/>
          <w:color w:val="000000"/>
          <w:spacing w:val="-5"/>
          <w:sz w:val="32"/>
          <w:szCs w:val="32"/>
        </w:rPr>
        <w:t>7.引导医疗卫生机构拓展医养结合服务功能。</w:t>
      </w:r>
      <w:r>
        <w:rPr>
          <w:rFonts w:hint="eastAsia" w:hAnsi="仿宋_GB2312" w:eastAsia="仿宋_GB2312"/>
          <w:color w:val="000000"/>
          <w:spacing w:val="-5"/>
          <w:sz w:val="32"/>
          <w:szCs w:val="32"/>
        </w:rPr>
        <w:t>优化公立医院发展方向和功能定位，支持有条件的医疗卫生机构，通过改扩建方式，实施分区管理，配套智能管理系统、适老化设施等，统筹设置老年病诊疗、康复护理、安宁疗护等功能区域，开展医养结合服务，提供“一站式、全链条、可转介”服务管理，符合条件且具备意愿的医养结合机构原则上均纳入县域医共体或医联体。支持社会力量通过市场化运作方式举办医养结合机构，支持养老机构拓展医养结合服务功能，鼓励走集团化、连锁化发展道路。到2029年，医养结合机构或延伸开展医养结合服务的医疗卫生机构达到10家以上。（责任单位：州卫健委、发改委、国资委、民政局，各县（市）人民政府）</w:t>
      </w:r>
    </w:p>
    <w:p>
      <w:pPr>
        <w:spacing w:line="560" w:lineRule="exact"/>
        <w:ind w:firstLine="623" w:firstLineChars="200"/>
        <w:jc w:val="both"/>
        <w:rPr>
          <w:rFonts w:hint="eastAsia" w:hAnsi="仿宋_GB2312" w:eastAsia="仿宋_GB2312"/>
          <w:color w:val="000000"/>
          <w:spacing w:val="-5"/>
          <w:sz w:val="32"/>
          <w:szCs w:val="32"/>
        </w:rPr>
      </w:pPr>
      <w:r>
        <w:rPr>
          <w:rFonts w:hint="eastAsia" w:hAnsi="仿宋_GB2312" w:eastAsia="仿宋_GB2312"/>
          <w:b/>
          <w:bCs/>
          <w:color w:val="000000"/>
          <w:spacing w:val="-5"/>
          <w:sz w:val="32"/>
          <w:szCs w:val="32"/>
        </w:rPr>
        <w:t>8.深化医养结合协议合作。</w:t>
      </w:r>
      <w:r>
        <w:rPr>
          <w:rFonts w:hint="eastAsia" w:hAnsi="仿宋_GB2312" w:eastAsia="仿宋_GB2312"/>
          <w:color w:val="000000"/>
          <w:spacing w:val="-5"/>
          <w:sz w:val="32"/>
          <w:szCs w:val="32"/>
        </w:rPr>
        <w:t>实施老年健康与医养结合服务项目，全面推开安宁疗护服务。鼓励引导乡级医疗卫生机构开展医养结合服务。推进养老机构与医疗机构签约协作，实现签约服务全覆盖，健全稳定顺畅双向转接绿色通道，鼓励探索个性化签约服务，定期对养老机构、区域养老服务中心开展巡诊和上门护理服务，为村（居）老人提供就近、快捷的医养结合服务。2029年底前每个县市至少有1-2家医疗卫生机构开展上门医疗护理服务，失能等重点老年群体签约服务覆盖率达95%以上，居家老年人城乡社区规范健康管理服务率到70%以上。（责任单位：州卫健委、民政局，各县（市）人民政府）</w:t>
      </w:r>
    </w:p>
    <w:p>
      <w:pPr>
        <w:spacing w:line="560" w:lineRule="exact"/>
        <w:ind w:firstLine="623" w:firstLineChars="200"/>
        <w:jc w:val="both"/>
      </w:pPr>
      <w:r>
        <w:rPr>
          <w:rFonts w:hint="eastAsia" w:hAnsi="仿宋_GB2312" w:eastAsia="仿宋_GB2312"/>
          <w:b/>
          <w:bCs/>
          <w:color w:val="000000"/>
          <w:spacing w:val="-5"/>
          <w:sz w:val="32"/>
          <w:szCs w:val="32"/>
        </w:rPr>
        <w:t>9.提高中医药医养结合服务可及性。</w:t>
      </w:r>
      <w:r>
        <w:rPr>
          <w:rFonts w:hint="eastAsia" w:hAnsi="仿宋_GB2312" w:eastAsia="仿宋_GB2312"/>
          <w:color w:val="000000"/>
          <w:spacing w:val="-5"/>
          <w:sz w:val="32"/>
          <w:szCs w:val="32"/>
        </w:rPr>
        <w:t>将中医诊疗、中医治未病、中医药养生保健等融入医养结合服务全过程，医养结合机构结合实际，规范开展中医适宜技术和中医药服务，鼓励有条件的养老机构应用中医适宜技术，设置以老年病、慢性病防治为主的中医、民族医诊室，加强老年人中医药健康服务管理。引进“新中医”诊疗模式，先行在吉木萨尔县、阜康市、奇台县试点“南京新中医”诊疗模式，逐步在全州推开。2029年底前实现65岁及以上老年人中医药健康管理率达到80%以上。（责任单位：州卫健委、民政局、医保局，各县（市）人民政府）</w:t>
      </w:r>
    </w:p>
    <w:p>
      <w:pPr>
        <w:pStyle w:val="2"/>
        <w:spacing w:line="560" w:lineRule="exact"/>
        <w:ind w:firstLine="620" w:firstLineChars="200"/>
        <w:jc w:val="both"/>
      </w:pPr>
      <w:r>
        <w:rPr>
          <w:rFonts w:hAnsi="楷体_GB2312" w:eastAsia="楷体_GB2312"/>
          <w:color w:val="000000"/>
          <w:spacing w:val="-5"/>
          <w:sz w:val="32"/>
          <w:szCs w:val="32"/>
        </w:rPr>
        <w:t>（四）推动养老事业产业协同发展</w:t>
      </w:r>
    </w:p>
    <w:p>
      <w:pPr>
        <w:pStyle w:val="4"/>
        <w:spacing w:line="560" w:lineRule="exact"/>
        <w:ind w:firstLine="623" w:firstLineChars="200"/>
        <w:jc w:val="both"/>
      </w:pPr>
      <w:r>
        <w:rPr>
          <w:rFonts w:hAnsi="仿宋_GB2312" w:eastAsia="仿宋_GB2312"/>
          <w:b/>
          <w:bCs/>
          <w:color w:val="000000"/>
          <w:spacing w:val="-5"/>
          <w:sz w:val="32"/>
          <w:szCs w:val="32"/>
        </w:rPr>
        <w:t>1</w:t>
      </w:r>
      <w:r>
        <w:rPr>
          <w:rFonts w:hint="eastAsia" w:hAnsi="仿宋_GB2312" w:eastAsia="仿宋_GB2312"/>
          <w:b/>
          <w:bCs/>
          <w:color w:val="000000"/>
          <w:spacing w:val="-5"/>
          <w:sz w:val="32"/>
          <w:szCs w:val="32"/>
        </w:rPr>
        <w:t>0</w:t>
      </w:r>
      <w:r>
        <w:rPr>
          <w:rFonts w:hAnsi="仿宋_GB2312" w:eastAsia="仿宋_GB2312"/>
          <w:b/>
          <w:bCs/>
          <w:color w:val="000000"/>
          <w:spacing w:val="-5"/>
          <w:sz w:val="32"/>
          <w:szCs w:val="32"/>
        </w:rPr>
        <w:t>.强化政府主导作用。</w:t>
      </w:r>
      <w:r>
        <w:rPr>
          <w:rFonts w:hAnsi="仿宋_GB2312" w:eastAsia="仿宋_GB2312"/>
          <w:color w:val="000000"/>
          <w:spacing w:val="-5"/>
          <w:sz w:val="32"/>
          <w:szCs w:val="32"/>
        </w:rPr>
        <w:t>落实政府对养老服务发展的规划引导责任</w:t>
      </w:r>
      <w:r>
        <w:rPr>
          <w:rFonts w:hint="eastAsia" w:hAnsi="仿宋_GB2312" w:eastAsia="仿宋_GB2312"/>
          <w:color w:val="000000"/>
          <w:spacing w:val="-5"/>
          <w:sz w:val="32"/>
          <w:szCs w:val="32"/>
        </w:rPr>
        <w:t>，</w:t>
      </w:r>
      <w:r>
        <w:rPr>
          <w:rFonts w:hAnsi="仿宋_GB2312" w:eastAsia="仿宋_GB2312"/>
          <w:color w:val="000000"/>
          <w:spacing w:val="-5"/>
          <w:sz w:val="32"/>
          <w:szCs w:val="32"/>
        </w:rPr>
        <w:t>县（市）人民政府做好规划引导、政策支持和监督管理，完善基本养老服务清单动态调整机制，落实养老支持配套措施，保障民营资本与国有资本同等待遇，探索乌昌养老补贴异地结算和资源对接。2029年底前出台公办、普惠养老机构</w:t>
      </w:r>
      <w:r>
        <w:rPr>
          <w:rFonts w:hint="eastAsia" w:hAnsi="仿宋_GB2312" w:eastAsia="仿宋_GB2312"/>
          <w:color w:val="000000"/>
          <w:spacing w:val="-5"/>
          <w:sz w:val="32"/>
          <w:szCs w:val="32"/>
        </w:rPr>
        <w:t>基本</w:t>
      </w:r>
      <w:r>
        <w:rPr>
          <w:rFonts w:hAnsi="仿宋_GB2312" w:eastAsia="仿宋_GB2312"/>
          <w:color w:val="000000"/>
          <w:spacing w:val="-5"/>
          <w:sz w:val="32"/>
          <w:szCs w:val="32"/>
        </w:rPr>
        <w:t>收费</w:t>
      </w:r>
      <w:r>
        <w:rPr>
          <w:rFonts w:hint="eastAsia" w:hAnsi="仿宋_GB2312" w:eastAsia="仿宋_GB2312"/>
          <w:color w:val="000000"/>
          <w:spacing w:val="-5"/>
          <w:sz w:val="32"/>
          <w:szCs w:val="32"/>
        </w:rPr>
        <w:t>定价</w:t>
      </w:r>
      <w:r>
        <w:rPr>
          <w:rFonts w:hAnsi="仿宋_GB2312" w:eastAsia="仿宋_GB2312"/>
          <w:color w:val="000000"/>
          <w:spacing w:val="-5"/>
          <w:sz w:val="32"/>
          <w:szCs w:val="32"/>
        </w:rPr>
        <w:t>标准。（责任单位：各县（市）人民政府，州发改委、民政局、财政局、医保局、卫健委）</w:t>
      </w:r>
    </w:p>
    <w:p>
      <w:pPr>
        <w:pStyle w:val="4"/>
        <w:spacing w:line="560" w:lineRule="exact"/>
        <w:ind w:firstLine="623" w:firstLineChars="200"/>
        <w:jc w:val="both"/>
      </w:pPr>
      <w:r>
        <w:rPr>
          <w:rFonts w:hAnsi="仿宋_GB2312" w:eastAsia="仿宋_GB2312"/>
          <w:b/>
          <w:bCs/>
          <w:color w:val="000000"/>
          <w:spacing w:val="-5"/>
          <w:sz w:val="32"/>
          <w:szCs w:val="32"/>
        </w:rPr>
        <w:t>1</w:t>
      </w:r>
      <w:r>
        <w:rPr>
          <w:rFonts w:hint="eastAsia" w:hAnsi="仿宋_GB2312" w:eastAsia="仿宋_GB2312"/>
          <w:b/>
          <w:bCs/>
          <w:color w:val="000000"/>
          <w:spacing w:val="-5"/>
          <w:sz w:val="32"/>
          <w:szCs w:val="32"/>
        </w:rPr>
        <w:t>1</w:t>
      </w:r>
      <w:r>
        <w:rPr>
          <w:rFonts w:hAnsi="仿宋_GB2312" w:eastAsia="仿宋_GB2312"/>
          <w:b/>
          <w:bCs/>
          <w:color w:val="000000"/>
          <w:spacing w:val="-5"/>
          <w:sz w:val="32"/>
          <w:szCs w:val="32"/>
        </w:rPr>
        <w:t>.激发市场活力。</w:t>
      </w:r>
      <w:r>
        <w:rPr>
          <w:rFonts w:hAnsi="仿宋_GB2312" w:eastAsia="仿宋_GB2312"/>
          <w:color w:val="000000"/>
          <w:spacing w:val="-5"/>
          <w:sz w:val="32"/>
          <w:szCs w:val="32"/>
        </w:rPr>
        <w:t>调动各类社会资源参与养老服务发展</w:t>
      </w:r>
      <w:r>
        <w:rPr>
          <w:rFonts w:hint="eastAsia" w:hAnsi="仿宋_GB2312" w:eastAsia="仿宋_GB2312"/>
          <w:color w:val="000000"/>
          <w:spacing w:val="-5"/>
          <w:sz w:val="32"/>
          <w:szCs w:val="32"/>
        </w:rPr>
        <w:t>，</w:t>
      </w:r>
      <w:r>
        <w:rPr>
          <w:rFonts w:hAnsi="仿宋_GB2312" w:eastAsia="仿宋_GB2312"/>
          <w:color w:val="000000"/>
          <w:spacing w:val="-5"/>
          <w:sz w:val="32"/>
          <w:szCs w:val="32"/>
        </w:rPr>
        <w:t>深化公办养老机构改革，探索“公建国管民营”模式，落实自治区公建设施委托社会运营相关规定，鼓励在大型商场、老</w:t>
      </w:r>
      <w:r>
        <w:rPr>
          <w:rFonts w:hint="eastAsia" w:hAnsi="仿宋_GB2312" w:eastAsia="仿宋_GB2312"/>
          <w:color w:val="000000"/>
          <w:spacing w:val="-5"/>
          <w:sz w:val="32"/>
          <w:szCs w:val="32"/>
        </w:rPr>
        <w:t>年</w:t>
      </w:r>
      <w:r>
        <w:rPr>
          <w:rFonts w:hAnsi="仿宋_GB2312" w:eastAsia="仿宋_GB2312"/>
          <w:color w:val="000000"/>
          <w:spacing w:val="-5"/>
          <w:sz w:val="32"/>
          <w:szCs w:val="32"/>
        </w:rPr>
        <w:t>人聚居区开设适老化产品体验展示区，开发“自然遗产+康养”“乡村休闲+康养”旅居路线，丰富养老服务消费供给。（责任单位：州民政局、商务局、国资委、机关事务管理局、文旅局，各县（市）人民政府）</w:t>
      </w:r>
    </w:p>
    <w:p>
      <w:pPr>
        <w:pStyle w:val="4"/>
        <w:spacing w:line="560" w:lineRule="exact"/>
        <w:ind w:firstLine="623" w:firstLineChars="200"/>
        <w:jc w:val="both"/>
      </w:pPr>
      <w:r>
        <w:rPr>
          <w:rFonts w:hAnsi="仿宋_GB2312" w:eastAsia="仿宋_GB2312"/>
          <w:b/>
          <w:bCs/>
          <w:color w:val="000000"/>
          <w:spacing w:val="-5"/>
          <w:sz w:val="32"/>
          <w:szCs w:val="32"/>
        </w:rPr>
        <w:t>1</w:t>
      </w:r>
      <w:r>
        <w:rPr>
          <w:rFonts w:hint="eastAsia" w:hAnsi="仿宋_GB2312" w:eastAsia="仿宋_GB2312"/>
          <w:b/>
          <w:bCs/>
          <w:color w:val="000000"/>
          <w:spacing w:val="-5"/>
          <w:sz w:val="32"/>
          <w:szCs w:val="32"/>
        </w:rPr>
        <w:t>2</w:t>
      </w:r>
      <w:r>
        <w:rPr>
          <w:rFonts w:hAnsi="仿宋_GB2312" w:eastAsia="仿宋_GB2312"/>
          <w:b/>
          <w:bCs/>
          <w:color w:val="000000"/>
          <w:spacing w:val="-5"/>
          <w:sz w:val="32"/>
          <w:szCs w:val="32"/>
        </w:rPr>
        <w:t>.引导社会参与。</w:t>
      </w:r>
      <w:r>
        <w:rPr>
          <w:rFonts w:hAnsi="仿宋_GB2312" w:eastAsia="仿宋_GB2312"/>
          <w:color w:val="000000"/>
          <w:spacing w:val="-5"/>
          <w:sz w:val="32"/>
          <w:szCs w:val="32"/>
        </w:rPr>
        <w:t>调动社会力量参与养老服务发展的积极性</w:t>
      </w:r>
      <w:r>
        <w:rPr>
          <w:rFonts w:hint="eastAsia" w:hAnsi="仿宋_GB2312" w:eastAsia="仿宋_GB2312"/>
          <w:color w:val="000000"/>
          <w:spacing w:val="-5"/>
          <w:sz w:val="32"/>
          <w:szCs w:val="32"/>
        </w:rPr>
        <w:t>。</w:t>
      </w:r>
      <w:r>
        <w:rPr>
          <w:rFonts w:hAnsi="仿宋_GB2312" w:eastAsia="仿宋_GB2312"/>
          <w:color w:val="000000"/>
          <w:spacing w:val="-5"/>
          <w:sz w:val="32"/>
          <w:szCs w:val="32"/>
        </w:rPr>
        <w:t>建立老年教育协同发展机制，</w:t>
      </w:r>
      <w:r>
        <w:rPr>
          <w:rFonts w:hint="eastAsia" w:hAnsi="仿宋_GB2312" w:eastAsia="仿宋_GB2312"/>
          <w:color w:val="000000"/>
          <w:spacing w:val="-5"/>
          <w:sz w:val="32"/>
          <w:szCs w:val="32"/>
        </w:rPr>
        <w:t>完善</w:t>
      </w:r>
      <w:r>
        <w:rPr>
          <w:rFonts w:hAnsi="仿宋_GB2312" w:eastAsia="仿宋_GB2312"/>
          <w:color w:val="000000"/>
          <w:spacing w:val="-5"/>
          <w:sz w:val="32"/>
          <w:szCs w:val="32"/>
        </w:rPr>
        <w:t>州、县（市）老年大学</w:t>
      </w:r>
      <w:r>
        <w:rPr>
          <w:rFonts w:hint="eastAsia" w:hAnsi="仿宋_GB2312" w:eastAsia="仿宋_GB2312"/>
          <w:color w:val="000000"/>
          <w:spacing w:val="-5"/>
          <w:sz w:val="32"/>
          <w:szCs w:val="32"/>
        </w:rPr>
        <w:t>服务功能</w:t>
      </w:r>
      <w:r>
        <w:rPr>
          <w:rFonts w:hAnsi="仿宋_GB2312" w:eastAsia="仿宋_GB2312"/>
          <w:color w:val="000000"/>
          <w:spacing w:val="-5"/>
          <w:sz w:val="32"/>
          <w:szCs w:val="32"/>
        </w:rPr>
        <w:t>，支持社会力量举办老年大学，引导鼓励昌吉职业技术学院、昌吉开放大学、县（市）职业学校等院校参与老年教育。发挥基层老年协会服务老年人和参与社会治理的积极作用，链接社会力量赋能养老服务改革。深入实施“银龄行动”，鼓励引导“银龄人才”积极参与教育、卫生、科技、农业、法律、文体</w:t>
      </w:r>
      <w:r>
        <w:rPr>
          <w:rFonts w:hint="eastAsia" w:hAnsi="仿宋_GB2312" w:eastAsia="仿宋_GB2312"/>
          <w:color w:val="000000"/>
          <w:spacing w:val="-5"/>
          <w:sz w:val="32"/>
          <w:szCs w:val="32"/>
        </w:rPr>
        <w:t>等</w:t>
      </w:r>
      <w:r>
        <w:rPr>
          <w:rFonts w:hAnsi="仿宋_GB2312" w:eastAsia="仿宋_GB2312"/>
          <w:color w:val="000000"/>
          <w:spacing w:val="-5"/>
          <w:sz w:val="32"/>
          <w:szCs w:val="32"/>
        </w:rPr>
        <w:t>事业发展。2029年底前健全州、县、乡、村四级老年协会和老年教育网络，实现基层老年教育全覆盖，每个县（市）至少有1家常态化运营的标准化老年活动中心。（责任单位：州民政局、教育局、人社局、老干部局、司法局、农业农村局、州党委社工部、州党委宣传部，各县（市）人民政府）</w:t>
      </w:r>
    </w:p>
    <w:p>
      <w:pPr>
        <w:pStyle w:val="2"/>
        <w:spacing w:line="560" w:lineRule="exact"/>
        <w:ind w:firstLine="620" w:firstLineChars="200"/>
        <w:jc w:val="both"/>
      </w:pPr>
      <w:r>
        <w:rPr>
          <w:rFonts w:hAnsi="楷体_GB2312" w:eastAsia="楷体_GB2312"/>
          <w:color w:val="000000"/>
          <w:spacing w:val="-5"/>
          <w:sz w:val="32"/>
          <w:szCs w:val="32"/>
        </w:rPr>
        <w:t>（五）强化养老服务要素保障</w:t>
      </w:r>
    </w:p>
    <w:p>
      <w:pPr>
        <w:pStyle w:val="4"/>
        <w:spacing w:line="560" w:lineRule="exact"/>
        <w:ind w:firstLine="623" w:firstLineChars="200"/>
        <w:jc w:val="both"/>
      </w:pPr>
      <w:r>
        <w:rPr>
          <w:rFonts w:hAnsi="仿宋_GB2312" w:eastAsia="仿宋_GB2312"/>
          <w:b/>
          <w:bCs/>
          <w:color w:val="000000"/>
          <w:spacing w:val="-5"/>
          <w:sz w:val="32"/>
          <w:szCs w:val="32"/>
        </w:rPr>
        <w:t>1</w:t>
      </w:r>
      <w:r>
        <w:rPr>
          <w:rFonts w:hint="eastAsia" w:hAnsi="仿宋_GB2312" w:eastAsia="仿宋_GB2312"/>
          <w:b/>
          <w:bCs/>
          <w:color w:val="000000"/>
          <w:spacing w:val="-5"/>
          <w:sz w:val="32"/>
          <w:szCs w:val="32"/>
        </w:rPr>
        <w:t>3</w:t>
      </w:r>
      <w:r>
        <w:rPr>
          <w:rFonts w:hAnsi="仿宋_GB2312" w:eastAsia="仿宋_GB2312"/>
          <w:b/>
          <w:bCs/>
          <w:color w:val="000000"/>
          <w:spacing w:val="-5"/>
          <w:sz w:val="32"/>
          <w:szCs w:val="32"/>
        </w:rPr>
        <w:t>.科学规划设施布局。</w:t>
      </w:r>
      <w:r>
        <w:rPr>
          <w:rFonts w:hAnsi="仿宋_GB2312" w:eastAsia="仿宋_GB2312"/>
          <w:color w:val="000000"/>
          <w:spacing w:val="-5"/>
          <w:sz w:val="32"/>
          <w:szCs w:val="32"/>
        </w:rPr>
        <w:t>落实养老服务设施用地规划保障要求</w:t>
      </w:r>
      <w:r>
        <w:rPr>
          <w:rFonts w:hint="eastAsia" w:hAnsi="仿宋_GB2312" w:eastAsia="仿宋_GB2312"/>
          <w:color w:val="000000"/>
          <w:spacing w:val="-5"/>
          <w:sz w:val="32"/>
          <w:szCs w:val="32"/>
        </w:rPr>
        <w:t>。</w:t>
      </w:r>
      <w:r>
        <w:rPr>
          <w:rFonts w:hAnsi="仿宋_GB2312" w:eastAsia="仿宋_GB2312"/>
          <w:color w:val="000000"/>
          <w:spacing w:val="-5"/>
          <w:sz w:val="32"/>
          <w:szCs w:val="32"/>
        </w:rPr>
        <w:t>严格落实人均养老用地不少于0.1平方米标准，落实</w:t>
      </w:r>
      <w:r>
        <w:rPr>
          <w:rFonts w:hint="eastAsia" w:hAnsi="仿宋_GB2312" w:eastAsia="仿宋_GB2312"/>
          <w:color w:val="000000"/>
          <w:spacing w:val="-5"/>
          <w:sz w:val="32"/>
          <w:szCs w:val="32"/>
        </w:rPr>
        <w:t>城市</w:t>
      </w:r>
      <w:r>
        <w:rPr>
          <w:rFonts w:hAnsi="仿宋_GB2312" w:eastAsia="仿宋_GB2312"/>
          <w:color w:val="000000"/>
          <w:spacing w:val="-5"/>
          <w:sz w:val="32"/>
          <w:szCs w:val="32"/>
        </w:rPr>
        <w:t>新建小区配套养老设施“四同步”要求，</w:t>
      </w:r>
      <w:r>
        <w:rPr>
          <w:rFonts w:hint="eastAsia" w:hAnsi="仿宋_GB2312" w:eastAsia="仿宋_GB2312"/>
          <w:color w:val="000000"/>
          <w:spacing w:val="-5"/>
          <w:sz w:val="32"/>
          <w:szCs w:val="32"/>
        </w:rPr>
        <w:t>鼓励利用闲置资源开展医养结合服务。</w:t>
      </w:r>
      <w:r>
        <w:rPr>
          <w:rFonts w:hAnsi="仿宋_GB2312" w:eastAsia="仿宋_GB2312"/>
          <w:color w:val="000000"/>
          <w:spacing w:val="-5"/>
          <w:sz w:val="32"/>
          <w:szCs w:val="32"/>
        </w:rPr>
        <w:t>将农村养老设施纳入乡镇国土空间或村庄规划。（责任单位：各县（市）人民政府，州自然资源局、住建局、农业农村局、民政局、卫健委）</w:t>
      </w:r>
    </w:p>
    <w:p>
      <w:pPr>
        <w:pStyle w:val="4"/>
        <w:spacing w:line="560" w:lineRule="exact"/>
        <w:ind w:firstLine="623" w:firstLineChars="200"/>
        <w:jc w:val="both"/>
      </w:pPr>
      <w:r>
        <w:rPr>
          <w:rFonts w:hAnsi="仿宋_GB2312" w:eastAsia="仿宋_GB2312"/>
          <w:b/>
          <w:bCs/>
          <w:color w:val="000000"/>
          <w:spacing w:val="-5"/>
          <w:sz w:val="32"/>
          <w:szCs w:val="32"/>
        </w:rPr>
        <w:t>1</w:t>
      </w:r>
      <w:r>
        <w:rPr>
          <w:rFonts w:hint="eastAsia" w:hAnsi="仿宋_GB2312" w:eastAsia="仿宋_GB2312"/>
          <w:b/>
          <w:bCs/>
          <w:color w:val="000000"/>
          <w:spacing w:val="-5"/>
          <w:sz w:val="32"/>
          <w:szCs w:val="32"/>
        </w:rPr>
        <w:t>4</w:t>
      </w:r>
      <w:r>
        <w:rPr>
          <w:rFonts w:hAnsi="仿宋_GB2312" w:eastAsia="仿宋_GB2312"/>
          <w:b/>
          <w:bCs/>
          <w:color w:val="000000"/>
          <w:spacing w:val="-5"/>
          <w:sz w:val="32"/>
          <w:szCs w:val="32"/>
        </w:rPr>
        <w:t>.完善财政支持政策。</w:t>
      </w:r>
      <w:r>
        <w:rPr>
          <w:rFonts w:hAnsi="仿宋_GB2312" w:eastAsia="仿宋_GB2312"/>
          <w:color w:val="000000"/>
          <w:spacing w:val="-5"/>
          <w:sz w:val="32"/>
          <w:szCs w:val="32"/>
        </w:rPr>
        <w:t>强化养老服务发展财政保障力度</w:t>
      </w:r>
      <w:r>
        <w:rPr>
          <w:rFonts w:hint="eastAsia" w:hAnsi="仿宋_GB2312" w:eastAsia="仿宋_GB2312"/>
          <w:color w:val="000000"/>
          <w:spacing w:val="-5"/>
          <w:sz w:val="32"/>
          <w:szCs w:val="32"/>
        </w:rPr>
        <w:t>，</w:t>
      </w:r>
      <w:r>
        <w:rPr>
          <w:rFonts w:hAnsi="仿宋_GB2312" w:eastAsia="仿宋_GB2312"/>
          <w:color w:val="000000"/>
          <w:spacing w:val="-5"/>
          <w:sz w:val="32"/>
          <w:szCs w:val="32"/>
        </w:rPr>
        <w:t>聚焦机构建设、医</w:t>
      </w:r>
      <w:r>
        <w:rPr>
          <w:rFonts w:hint="eastAsia" w:hAnsi="仿宋_GB2312" w:eastAsia="仿宋_GB2312"/>
          <w:color w:val="000000"/>
          <w:spacing w:val="-5"/>
          <w:sz w:val="32"/>
          <w:szCs w:val="32"/>
        </w:rPr>
        <w:t>康</w:t>
      </w:r>
      <w:r>
        <w:rPr>
          <w:rFonts w:hAnsi="仿宋_GB2312" w:eastAsia="仿宋_GB2312"/>
          <w:color w:val="000000"/>
          <w:spacing w:val="-5"/>
          <w:sz w:val="32"/>
          <w:szCs w:val="32"/>
        </w:rPr>
        <w:t>养</w:t>
      </w:r>
      <w:r>
        <w:rPr>
          <w:rFonts w:hint="eastAsia" w:hAnsi="仿宋_GB2312" w:eastAsia="仿宋_GB2312"/>
          <w:color w:val="000000"/>
          <w:spacing w:val="-5"/>
          <w:sz w:val="32"/>
          <w:szCs w:val="32"/>
        </w:rPr>
        <w:t>结合</w:t>
      </w:r>
      <w:r>
        <w:rPr>
          <w:rFonts w:hAnsi="仿宋_GB2312" w:eastAsia="仿宋_GB2312"/>
          <w:color w:val="000000"/>
          <w:spacing w:val="-5"/>
          <w:sz w:val="32"/>
          <w:szCs w:val="32"/>
        </w:rPr>
        <w:t>发展、人才培养等重点领域加大财政投入，州本级福利彩票公益金用于养老服务的占比不低于60%，研究出台支持养老发展的具体措施，落实税费减免、水电气优惠等政策。（责任单位：各县（市）人民政府，州财政局、发改委</w:t>
      </w:r>
      <w:bookmarkStart w:id="1" w:name="_Hlk231380313"/>
      <w:r>
        <w:rPr>
          <w:rFonts w:hAnsi="仿宋_GB2312" w:eastAsia="仿宋_GB2312"/>
          <w:color w:val="000000"/>
          <w:spacing w:val="-5"/>
          <w:sz w:val="32"/>
          <w:szCs w:val="32"/>
        </w:rPr>
        <w:t>、</w:t>
      </w:r>
      <w:bookmarkEnd w:id="1"/>
      <w:r>
        <w:rPr>
          <w:rFonts w:hint="eastAsia" w:hAnsi="仿宋_GB2312" w:eastAsia="仿宋_GB2312"/>
          <w:color w:val="000000"/>
          <w:spacing w:val="-5"/>
          <w:sz w:val="32"/>
          <w:szCs w:val="32"/>
        </w:rPr>
        <w:t>市场监管局</w:t>
      </w:r>
      <w:r>
        <w:rPr>
          <w:rFonts w:hAnsi="仿宋_GB2312" w:eastAsia="仿宋_GB2312"/>
          <w:color w:val="000000"/>
          <w:spacing w:val="-5"/>
          <w:sz w:val="32"/>
          <w:szCs w:val="32"/>
        </w:rPr>
        <w:t>、住建局、民政局、卫健委）</w:t>
      </w:r>
    </w:p>
    <w:p>
      <w:pPr>
        <w:pStyle w:val="4"/>
        <w:spacing w:line="560" w:lineRule="exact"/>
        <w:ind w:firstLine="623" w:firstLineChars="200"/>
        <w:jc w:val="both"/>
      </w:pPr>
      <w:r>
        <w:rPr>
          <w:rFonts w:hAnsi="仿宋_GB2312" w:eastAsia="仿宋_GB2312"/>
          <w:b/>
          <w:bCs/>
          <w:color w:val="000000"/>
          <w:spacing w:val="-5"/>
          <w:sz w:val="32"/>
          <w:szCs w:val="32"/>
        </w:rPr>
        <w:t>1</w:t>
      </w:r>
      <w:r>
        <w:rPr>
          <w:rFonts w:hint="eastAsia" w:hAnsi="仿宋_GB2312" w:eastAsia="仿宋_GB2312"/>
          <w:b/>
          <w:bCs/>
          <w:color w:val="000000"/>
          <w:spacing w:val="-5"/>
          <w:sz w:val="32"/>
          <w:szCs w:val="32"/>
        </w:rPr>
        <w:t>5</w:t>
      </w:r>
      <w:r>
        <w:rPr>
          <w:rFonts w:hAnsi="仿宋_GB2312" w:eastAsia="仿宋_GB2312"/>
          <w:b/>
          <w:bCs/>
          <w:color w:val="000000"/>
          <w:spacing w:val="-5"/>
          <w:sz w:val="32"/>
          <w:szCs w:val="32"/>
        </w:rPr>
        <w:t>.健全多元保障制度。</w:t>
      </w:r>
      <w:r>
        <w:rPr>
          <w:rFonts w:hAnsi="仿宋_GB2312" w:eastAsia="仿宋_GB2312"/>
          <w:color w:val="000000"/>
          <w:spacing w:val="-5"/>
          <w:sz w:val="32"/>
          <w:szCs w:val="32"/>
        </w:rPr>
        <w:t>加强老年人社会救助、社会福利、社会保障和基本养老服务清单政策衔接。深化医保支付改革，落实上门护理、家庭病床收费政策，</w:t>
      </w:r>
      <w:r>
        <w:rPr>
          <w:rFonts w:hint="eastAsia" w:hAnsi="仿宋_GB2312" w:eastAsia="仿宋_GB2312"/>
          <w:color w:val="000000"/>
          <w:spacing w:val="-5"/>
          <w:sz w:val="32"/>
          <w:szCs w:val="32"/>
        </w:rPr>
        <w:t>探索医养服务标准评价互认、人员培训、流动机制互通运营模式，</w:t>
      </w:r>
      <w:r>
        <w:rPr>
          <w:rFonts w:hAnsi="仿宋_GB2312" w:eastAsia="仿宋_GB2312"/>
          <w:color w:val="000000"/>
          <w:spacing w:val="-5"/>
          <w:sz w:val="32"/>
          <w:szCs w:val="32"/>
        </w:rPr>
        <w:t>支持商业保险开发老年医养保险产品，鼓励村集体经济、个人或企业为城乡居民养老保险</w:t>
      </w:r>
      <w:r>
        <w:rPr>
          <w:rFonts w:hint="eastAsia" w:hAnsi="仿宋_GB2312" w:eastAsia="仿宋_GB2312"/>
          <w:color w:val="000000"/>
          <w:spacing w:val="-5"/>
          <w:sz w:val="32"/>
          <w:szCs w:val="32"/>
        </w:rPr>
        <w:t>、医疗保险</w:t>
      </w:r>
      <w:r>
        <w:rPr>
          <w:rFonts w:hAnsi="仿宋_GB2312" w:eastAsia="仿宋_GB2312"/>
          <w:color w:val="000000"/>
          <w:spacing w:val="-5"/>
          <w:sz w:val="32"/>
          <w:szCs w:val="32"/>
        </w:rPr>
        <w:t>和长期护理保险参保人进行缴费补助资助。加快落实覆盖全民、统筹城乡、可持续的长期护理保险制度，扩大长护险支付范围。2029年底前基本形成适应昌吉州经济发展水平和老龄化发展趋势的长期护理保险制度体系和养老金可持续增长机制。（责任单位：州医保局、人社局、财政局、卫健委，各县（市）人民政府）</w:t>
      </w:r>
    </w:p>
    <w:p>
      <w:pPr>
        <w:pStyle w:val="4"/>
        <w:spacing w:line="560" w:lineRule="exact"/>
        <w:ind w:firstLine="623" w:firstLineChars="200"/>
        <w:jc w:val="both"/>
      </w:pPr>
      <w:r>
        <w:rPr>
          <w:rFonts w:hAnsi="仿宋_GB2312" w:eastAsia="仿宋_GB2312"/>
          <w:b/>
          <w:bCs/>
          <w:color w:val="000000"/>
          <w:spacing w:val="-5"/>
          <w:sz w:val="32"/>
          <w:szCs w:val="32"/>
        </w:rPr>
        <w:t>1</w:t>
      </w:r>
      <w:r>
        <w:rPr>
          <w:rFonts w:hint="eastAsia" w:hAnsi="仿宋_GB2312" w:eastAsia="仿宋_GB2312"/>
          <w:b/>
          <w:bCs/>
          <w:color w:val="000000"/>
          <w:spacing w:val="-5"/>
          <w:sz w:val="32"/>
          <w:szCs w:val="32"/>
        </w:rPr>
        <w:t>6</w:t>
      </w:r>
      <w:r>
        <w:rPr>
          <w:rFonts w:hAnsi="仿宋_GB2312" w:eastAsia="仿宋_GB2312"/>
          <w:b/>
          <w:bCs/>
          <w:color w:val="000000"/>
          <w:spacing w:val="-5"/>
          <w:sz w:val="32"/>
          <w:szCs w:val="32"/>
        </w:rPr>
        <w:t>.加强人才队伍建设。</w:t>
      </w:r>
      <w:r>
        <w:rPr>
          <w:rFonts w:hAnsi="仿宋_GB2312" w:eastAsia="仿宋_GB2312"/>
          <w:color w:val="000000"/>
          <w:spacing w:val="-5"/>
          <w:sz w:val="32"/>
          <w:szCs w:val="32"/>
        </w:rPr>
        <w:t>支持昌吉职业技术学院、昌吉开放大学及县（市）职业院校等设置养老服务</w:t>
      </w:r>
      <w:r>
        <w:rPr>
          <w:rFonts w:hint="eastAsia" w:hAnsi="仿宋_GB2312" w:eastAsia="仿宋_GB2312"/>
          <w:color w:val="000000"/>
          <w:spacing w:val="-5"/>
          <w:sz w:val="32"/>
          <w:szCs w:val="32"/>
        </w:rPr>
        <w:t>及医康养结合</w:t>
      </w:r>
      <w:r>
        <w:rPr>
          <w:rFonts w:hAnsi="仿宋_GB2312" w:eastAsia="仿宋_GB2312"/>
          <w:color w:val="000000"/>
          <w:spacing w:val="-5"/>
          <w:sz w:val="32"/>
          <w:szCs w:val="32"/>
        </w:rPr>
        <w:t>相关专业或课程</w:t>
      </w:r>
      <w:r>
        <w:rPr>
          <w:rFonts w:hint="eastAsia" w:hAnsi="仿宋_GB2312" w:eastAsia="仿宋_GB2312"/>
          <w:color w:val="000000"/>
          <w:spacing w:val="-5"/>
          <w:sz w:val="32"/>
          <w:szCs w:val="32"/>
        </w:rPr>
        <w:t>。</w:t>
      </w:r>
      <w:r>
        <w:rPr>
          <w:rFonts w:hAnsi="仿宋_GB2312" w:eastAsia="仿宋_GB2312"/>
          <w:color w:val="000000"/>
          <w:spacing w:val="-5"/>
          <w:sz w:val="32"/>
          <w:szCs w:val="32"/>
        </w:rPr>
        <w:t>推进校企合作实践教育基地、产教融合实训基地建设。鼓励医务人员到医养结合机构执业，保障人员待遇。充分借力智力援疆引才机制，开展养老服务领域对口指导工作。鼓励引导养老从业人员参加全国社会工作者职业资格评价。加快推进老年人能力评估师、长期照护师和养老护理员技能培训。有计划将家政服务人员、社区助老员等群体纳入培训范围，提升专业化服务水平，充实长期护理人才队伍。2029年底前累计培养专业人才不少于1000名，养老机构护理员持证率不低于95%，评估机构达20家以上。（责任单位：州教育局、州党委组织部、州医保局、人社局、民政局、卫健委，各县（市）人民政府）</w:t>
      </w:r>
    </w:p>
    <w:p>
      <w:pPr>
        <w:pStyle w:val="4"/>
        <w:spacing w:line="560" w:lineRule="exact"/>
        <w:ind w:firstLine="623" w:firstLineChars="200"/>
        <w:jc w:val="both"/>
      </w:pPr>
      <w:r>
        <w:rPr>
          <w:rFonts w:hAnsi="仿宋_GB2312" w:eastAsia="仿宋_GB2312"/>
          <w:b/>
          <w:bCs/>
          <w:color w:val="000000"/>
          <w:spacing w:val="-5"/>
          <w:sz w:val="32"/>
          <w:szCs w:val="32"/>
        </w:rPr>
        <w:t>1</w:t>
      </w:r>
      <w:r>
        <w:rPr>
          <w:rFonts w:hint="eastAsia" w:hAnsi="仿宋_GB2312" w:eastAsia="仿宋_GB2312"/>
          <w:b/>
          <w:bCs/>
          <w:color w:val="000000"/>
          <w:spacing w:val="-5"/>
          <w:sz w:val="32"/>
          <w:szCs w:val="32"/>
        </w:rPr>
        <w:t>7</w:t>
      </w:r>
      <w:r>
        <w:rPr>
          <w:rFonts w:hAnsi="仿宋_GB2312" w:eastAsia="仿宋_GB2312"/>
          <w:b/>
          <w:bCs/>
          <w:color w:val="000000"/>
          <w:spacing w:val="-5"/>
          <w:sz w:val="32"/>
          <w:szCs w:val="32"/>
        </w:rPr>
        <w:t>.完善质量体系建设。</w:t>
      </w:r>
      <w:r>
        <w:rPr>
          <w:rFonts w:hAnsi="仿宋_GB2312" w:eastAsia="仿宋_GB2312"/>
          <w:color w:val="000000"/>
          <w:spacing w:val="-5"/>
          <w:sz w:val="32"/>
          <w:szCs w:val="32"/>
        </w:rPr>
        <w:t>提升养老服务标准化规范化水平</w:t>
      </w:r>
      <w:r>
        <w:rPr>
          <w:rFonts w:hint="eastAsia" w:hAnsi="仿宋_GB2312" w:eastAsia="仿宋_GB2312"/>
          <w:color w:val="000000"/>
          <w:spacing w:val="-5"/>
          <w:sz w:val="32"/>
          <w:szCs w:val="32"/>
        </w:rPr>
        <w:t>，</w:t>
      </w:r>
      <w:r>
        <w:rPr>
          <w:rFonts w:hAnsi="仿宋_GB2312" w:eastAsia="仿宋_GB2312"/>
          <w:color w:val="000000"/>
          <w:spacing w:val="-5"/>
          <w:sz w:val="32"/>
          <w:szCs w:val="32"/>
        </w:rPr>
        <w:t>推进养老机构等级评定，建立星级机构结对帮扶、城乡支援合作机制，落实医养结合机构审批登记、管理和服务等标准规范，确保“医疗、养老”达到双资质、双规范要求。2029年底前全州养老机构星级覆盖率达90%以上，力争培育1家五级养老机构，每个县（市）至少有1家三级以上养老机构。（责任单位：州民政局、卫健委、市场监管局，各县（市）人民政府）</w:t>
      </w:r>
    </w:p>
    <w:p>
      <w:pPr>
        <w:pStyle w:val="4"/>
        <w:spacing w:line="560" w:lineRule="exact"/>
        <w:ind w:firstLine="623" w:firstLineChars="200"/>
        <w:jc w:val="both"/>
      </w:pPr>
      <w:r>
        <w:rPr>
          <w:rFonts w:hAnsi="仿宋_GB2312" w:eastAsia="仿宋_GB2312"/>
          <w:b/>
          <w:bCs/>
          <w:color w:val="000000"/>
          <w:spacing w:val="-5"/>
          <w:sz w:val="32"/>
          <w:szCs w:val="32"/>
        </w:rPr>
        <w:t>1</w:t>
      </w:r>
      <w:r>
        <w:rPr>
          <w:rFonts w:hint="eastAsia" w:hAnsi="仿宋_GB2312" w:eastAsia="仿宋_GB2312"/>
          <w:b/>
          <w:bCs/>
          <w:color w:val="000000"/>
          <w:spacing w:val="-5"/>
          <w:sz w:val="32"/>
          <w:szCs w:val="32"/>
        </w:rPr>
        <w:t>8</w:t>
      </w:r>
      <w:r>
        <w:rPr>
          <w:rFonts w:hAnsi="仿宋_GB2312" w:eastAsia="仿宋_GB2312"/>
          <w:b/>
          <w:bCs/>
          <w:color w:val="000000"/>
          <w:spacing w:val="-5"/>
          <w:sz w:val="32"/>
          <w:szCs w:val="32"/>
        </w:rPr>
        <w:t>.推进数智赋能养老</w:t>
      </w:r>
      <w:r>
        <w:rPr>
          <w:rFonts w:hint="eastAsia" w:hAnsi="仿宋_GB2312" w:eastAsia="仿宋_GB2312"/>
          <w:b/>
          <w:bCs/>
          <w:color w:val="000000"/>
          <w:spacing w:val="-5"/>
          <w:sz w:val="32"/>
          <w:szCs w:val="32"/>
        </w:rPr>
        <w:t>。</w:t>
      </w:r>
      <w:r>
        <w:rPr>
          <w:rFonts w:hAnsi="仿宋_GB2312" w:eastAsia="仿宋_GB2312"/>
          <w:color w:val="000000"/>
          <w:spacing w:val="-5"/>
          <w:sz w:val="32"/>
          <w:szCs w:val="32"/>
        </w:rPr>
        <w:t>升级智慧养老服务平台，整合民政、卫健、人社等涉老数据</w:t>
      </w:r>
      <w:r>
        <w:rPr>
          <w:rFonts w:hint="eastAsia" w:hAnsi="仿宋_GB2312" w:eastAsia="仿宋_GB2312"/>
          <w:color w:val="000000"/>
          <w:spacing w:val="-5"/>
          <w:sz w:val="32"/>
          <w:szCs w:val="32"/>
        </w:rPr>
        <w:t>，</w:t>
      </w:r>
      <w:r>
        <w:rPr>
          <w:rFonts w:hAnsi="仿宋_GB2312" w:eastAsia="仿宋_GB2312"/>
          <w:color w:val="000000"/>
          <w:spacing w:val="-5"/>
          <w:sz w:val="32"/>
          <w:szCs w:val="32"/>
        </w:rPr>
        <w:t>完善便民服务、机构管理、监督调度三大功能体系，开展特殊困难老年人智能哨兵护老行动，落实养老</w:t>
      </w:r>
      <w:r>
        <w:rPr>
          <w:rFonts w:hint="eastAsia" w:hAnsi="仿宋_GB2312" w:eastAsia="仿宋_GB2312"/>
          <w:color w:val="000000"/>
          <w:spacing w:val="-5"/>
          <w:sz w:val="32"/>
          <w:szCs w:val="32"/>
        </w:rPr>
        <w:t>、医养结合</w:t>
      </w:r>
      <w:r>
        <w:rPr>
          <w:rFonts w:hAnsi="仿宋_GB2312" w:eastAsia="仿宋_GB2312"/>
          <w:color w:val="000000"/>
          <w:spacing w:val="-5"/>
          <w:sz w:val="32"/>
          <w:szCs w:val="32"/>
        </w:rPr>
        <w:t>机构消防、食品安全“互联网+AI监管”。2029年底前实现县级消防安全管理中心全覆盖。（责任单位：州民政局、数发局、工信局、卫健委、人社局，各县（市）人民政府）</w:t>
      </w:r>
    </w:p>
    <w:p>
      <w:pPr>
        <w:pStyle w:val="3"/>
        <w:spacing w:line="560" w:lineRule="exact"/>
        <w:ind w:firstLine="620" w:firstLineChars="200"/>
        <w:jc w:val="both"/>
      </w:pPr>
      <w:r>
        <w:rPr>
          <w:rFonts w:hAnsi="黑体" w:eastAsia="黑体"/>
          <w:color w:val="000000"/>
          <w:spacing w:val="-5"/>
        </w:rPr>
        <w:t>五、实施步骤</w:t>
      </w:r>
    </w:p>
    <w:p>
      <w:pPr>
        <w:pStyle w:val="2"/>
        <w:spacing w:line="560" w:lineRule="exact"/>
        <w:ind w:firstLine="620" w:firstLineChars="200"/>
        <w:jc w:val="both"/>
      </w:pPr>
      <w:r>
        <w:rPr>
          <w:rFonts w:hAnsi="楷体_GB2312" w:eastAsia="楷体_GB2312"/>
          <w:color w:val="000000"/>
          <w:spacing w:val="-5"/>
          <w:sz w:val="32"/>
          <w:szCs w:val="32"/>
        </w:rPr>
        <w:t>（一）启动部署阶段（2026年6月前）。</w:t>
      </w:r>
      <w:r>
        <w:rPr>
          <w:rFonts w:hAnsi="仿宋_GB2312" w:eastAsia="仿宋_GB2312"/>
          <w:color w:val="000000"/>
          <w:spacing w:val="-5"/>
          <w:sz w:val="32"/>
          <w:szCs w:val="32"/>
        </w:rPr>
        <w:t>各县（市）开展养老服务摸底调查，细化任务措施，明确工作路径，各部门做好业务指导，层层分解任务。</w:t>
      </w:r>
    </w:p>
    <w:p>
      <w:pPr>
        <w:pStyle w:val="2"/>
        <w:spacing w:line="560" w:lineRule="exact"/>
        <w:ind w:firstLine="620" w:firstLineChars="200"/>
        <w:jc w:val="both"/>
      </w:pPr>
      <w:r>
        <w:rPr>
          <w:rFonts w:hAnsi="楷体_GB2312" w:eastAsia="楷体_GB2312"/>
          <w:color w:val="000000"/>
          <w:spacing w:val="-5"/>
          <w:sz w:val="32"/>
          <w:szCs w:val="32"/>
        </w:rPr>
        <w:t>（二）推进实施阶段（2026年7月至2029年12月）。</w:t>
      </w:r>
      <w:r>
        <w:rPr>
          <w:rFonts w:hAnsi="仿宋_GB2312" w:eastAsia="仿宋_GB2312"/>
          <w:color w:val="000000"/>
          <w:spacing w:val="-5"/>
          <w:sz w:val="32"/>
          <w:szCs w:val="32"/>
        </w:rPr>
        <w:t>各县（市）、各部门对标方案推进重点任务，保障项目落地，动态监测进展，及时研究解决问题。</w:t>
      </w:r>
    </w:p>
    <w:p>
      <w:pPr>
        <w:pStyle w:val="2"/>
        <w:spacing w:line="560" w:lineRule="exact"/>
        <w:ind w:firstLine="620" w:firstLineChars="200"/>
        <w:jc w:val="both"/>
      </w:pPr>
      <w:r>
        <w:rPr>
          <w:rFonts w:hAnsi="楷体_GB2312" w:eastAsia="楷体_GB2312"/>
          <w:color w:val="000000"/>
          <w:spacing w:val="-5"/>
          <w:sz w:val="32"/>
          <w:szCs w:val="32"/>
        </w:rPr>
        <w:t>（三）总结评估阶段（2030年1月至3月）。</w:t>
      </w:r>
      <w:r>
        <w:rPr>
          <w:rFonts w:hAnsi="仿宋_GB2312" w:eastAsia="仿宋_GB2312"/>
          <w:color w:val="000000"/>
          <w:spacing w:val="-5"/>
          <w:sz w:val="32"/>
          <w:szCs w:val="32"/>
        </w:rPr>
        <w:t>各县（市）、各部门结合</w:t>
      </w:r>
      <w:r>
        <w:rPr>
          <w:rFonts w:hint="eastAsia" w:hAnsi="仿宋_GB2312" w:eastAsia="仿宋_GB2312"/>
          <w:color w:val="000000"/>
          <w:spacing w:val="-5"/>
          <w:sz w:val="32"/>
          <w:szCs w:val="32"/>
        </w:rPr>
        <w:t>“</w:t>
      </w:r>
      <w:r>
        <w:rPr>
          <w:rFonts w:hAnsi="仿宋_GB2312" w:eastAsia="仿宋_GB2312"/>
          <w:color w:val="000000"/>
          <w:spacing w:val="-5"/>
          <w:sz w:val="32"/>
          <w:szCs w:val="32"/>
        </w:rPr>
        <w:t>十五五</w:t>
      </w:r>
      <w:r>
        <w:rPr>
          <w:rFonts w:hint="eastAsia" w:hAnsi="仿宋_GB2312" w:eastAsia="仿宋_GB2312"/>
          <w:color w:val="000000"/>
          <w:spacing w:val="-5"/>
          <w:sz w:val="32"/>
          <w:szCs w:val="32"/>
        </w:rPr>
        <w:t>”</w:t>
      </w:r>
      <w:r>
        <w:rPr>
          <w:rFonts w:hAnsi="仿宋_GB2312" w:eastAsia="仿宋_GB2312"/>
          <w:color w:val="000000"/>
          <w:spacing w:val="-5"/>
          <w:sz w:val="32"/>
          <w:szCs w:val="32"/>
        </w:rPr>
        <w:t>总结开展自评，州级组织全面评估，提炼经验模式，宣传推广形成示范。</w:t>
      </w:r>
    </w:p>
    <w:p>
      <w:pPr>
        <w:pStyle w:val="3"/>
        <w:spacing w:line="560" w:lineRule="exact"/>
        <w:ind w:firstLine="620" w:firstLineChars="200"/>
        <w:jc w:val="both"/>
      </w:pPr>
      <w:r>
        <w:rPr>
          <w:rFonts w:hAnsi="黑体" w:eastAsia="黑体"/>
          <w:color w:val="000000"/>
          <w:spacing w:val="-5"/>
        </w:rPr>
        <w:t>六、组织保障</w:t>
      </w:r>
    </w:p>
    <w:p>
      <w:pPr>
        <w:pStyle w:val="2"/>
        <w:spacing w:line="560" w:lineRule="exact"/>
        <w:ind w:firstLine="620" w:firstLineChars="200"/>
        <w:jc w:val="both"/>
      </w:pPr>
      <w:r>
        <w:rPr>
          <w:rFonts w:hAnsi="楷体_GB2312" w:eastAsia="楷体_GB2312"/>
          <w:color w:val="000000"/>
          <w:spacing w:val="-5"/>
          <w:sz w:val="32"/>
          <w:szCs w:val="32"/>
        </w:rPr>
        <w:t>（一）加强组织领导。</w:t>
      </w:r>
      <w:r>
        <w:rPr>
          <w:rFonts w:hAnsi="仿宋_GB2312" w:eastAsia="仿宋_GB2312"/>
          <w:color w:val="000000"/>
          <w:spacing w:val="-5"/>
          <w:sz w:val="32"/>
          <w:szCs w:val="32"/>
        </w:rPr>
        <w:t>坚持党委领导、政府负责、部门协同、县市落实，建立由州民政局、卫健委牵头，多部门参与的工作推进机制，统筹方案落实。</w:t>
      </w:r>
    </w:p>
    <w:p>
      <w:pPr>
        <w:pStyle w:val="2"/>
        <w:spacing w:line="560" w:lineRule="exact"/>
        <w:ind w:firstLine="620" w:firstLineChars="200"/>
        <w:jc w:val="both"/>
      </w:pPr>
      <w:r>
        <w:rPr>
          <w:rFonts w:hAnsi="楷体_GB2312" w:eastAsia="楷体_GB2312"/>
          <w:color w:val="000000"/>
          <w:spacing w:val="-5"/>
          <w:sz w:val="32"/>
          <w:szCs w:val="32"/>
        </w:rPr>
        <w:t>（二）压实县市责任。</w:t>
      </w:r>
      <w:r>
        <w:rPr>
          <w:rFonts w:hAnsi="仿宋_GB2312" w:eastAsia="仿宋_GB2312"/>
          <w:color w:val="000000"/>
          <w:spacing w:val="-5"/>
          <w:sz w:val="32"/>
          <w:szCs w:val="32"/>
        </w:rPr>
        <w:t>各县（市）人民政府是</w:t>
      </w:r>
      <w:r>
        <w:rPr>
          <w:rFonts w:hint="eastAsia" w:hAnsi="仿宋_GB2312" w:eastAsia="仿宋_GB2312"/>
          <w:color w:val="000000"/>
          <w:spacing w:val="-5"/>
          <w:sz w:val="32"/>
          <w:szCs w:val="32"/>
        </w:rPr>
        <w:t>统筹城乡发展</w:t>
      </w:r>
      <w:r>
        <w:rPr>
          <w:rFonts w:hAnsi="仿宋_GB2312" w:eastAsia="仿宋_GB2312"/>
          <w:color w:val="000000"/>
          <w:spacing w:val="-5"/>
          <w:sz w:val="32"/>
          <w:szCs w:val="32"/>
        </w:rPr>
        <w:t>推动养老服务提质增效的责任主体，</w:t>
      </w:r>
      <w:r>
        <w:rPr>
          <w:rFonts w:hint="eastAsia" w:hAnsi="仿宋_GB2312" w:eastAsia="仿宋_GB2312"/>
          <w:color w:val="000000"/>
          <w:spacing w:val="-5"/>
          <w:sz w:val="32"/>
          <w:szCs w:val="32"/>
        </w:rPr>
        <w:t>要</w:t>
      </w:r>
      <w:r>
        <w:rPr>
          <w:rFonts w:hAnsi="仿宋_GB2312" w:eastAsia="仿宋_GB2312"/>
          <w:color w:val="000000"/>
          <w:spacing w:val="-5"/>
          <w:sz w:val="32"/>
          <w:szCs w:val="32"/>
        </w:rPr>
        <w:t>制定本地落实计划，明确时间表、路线图、责任人，按任务项目化要求推进，确保指标如期完成。</w:t>
      </w:r>
    </w:p>
    <w:p>
      <w:pPr>
        <w:pStyle w:val="2"/>
        <w:spacing w:line="560" w:lineRule="exact"/>
        <w:ind w:firstLine="620" w:firstLineChars="200"/>
        <w:jc w:val="both"/>
      </w:pPr>
      <w:r>
        <w:rPr>
          <w:rFonts w:hAnsi="楷体_GB2312" w:eastAsia="楷体_GB2312"/>
          <w:color w:val="000000"/>
          <w:spacing w:val="-5"/>
          <w:sz w:val="32"/>
          <w:szCs w:val="32"/>
        </w:rPr>
        <w:t>（三）强化综合监管。</w:t>
      </w:r>
      <w:r>
        <w:rPr>
          <w:rFonts w:hAnsi="仿宋_GB2312" w:eastAsia="仿宋_GB2312"/>
          <w:color w:val="000000"/>
          <w:spacing w:val="-5"/>
          <w:sz w:val="32"/>
          <w:szCs w:val="32"/>
        </w:rPr>
        <w:t>健全服务、价格、安全、项目全链条监管体系，规范市场秩序，严管服务质量和预收费，落实公办</w:t>
      </w:r>
      <w:r>
        <w:rPr>
          <w:rFonts w:hint="eastAsia" w:hAnsi="仿宋_GB2312" w:eastAsia="仿宋_GB2312"/>
          <w:color w:val="000000"/>
          <w:spacing w:val="-5"/>
          <w:sz w:val="32"/>
          <w:szCs w:val="32"/>
        </w:rPr>
        <w:t>、</w:t>
      </w:r>
      <w:r>
        <w:rPr>
          <w:rFonts w:hAnsi="仿宋_GB2312" w:eastAsia="仿宋_GB2312"/>
          <w:color w:val="000000"/>
          <w:spacing w:val="-5"/>
          <w:sz w:val="32"/>
          <w:szCs w:val="32"/>
        </w:rPr>
        <w:t>普惠机构收费标准，强化价格监测，筑牢安全底线，规范项目资金管理，保障运营合规高效。</w:t>
      </w:r>
    </w:p>
    <w:p>
      <w:pPr>
        <w:pStyle w:val="2"/>
        <w:spacing w:line="560" w:lineRule="exact"/>
        <w:ind w:firstLine="620" w:firstLineChars="200"/>
        <w:jc w:val="both"/>
        <w:rPr>
          <w:rFonts w:hint="eastAsia" w:hAnsi="仿宋_GB2312" w:eastAsia="仿宋_GB2312"/>
          <w:color w:val="000000"/>
          <w:spacing w:val="-5"/>
          <w:sz w:val="32"/>
          <w:szCs w:val="32"/>
        </w:rPr>
      </w:pPr>
      <w:r>
        <w:rPr>
          <w:rFonts w:hAnsi="楷体_GB2312" w:eastAsia="楷体_GB2312"/>
          <w:color w:val="000000"/>
          <w:spacing w:val="-5"/>
          <w:sz w:val="32"/>
          <w:szCs w:val="32"/>
        </w:rPr>
        <w:t>（四）加强总结宣传。</w:t>
      </w:r>
      <w:r>
        <w:rPr>
          <w:rFonts w:hAnsi="仿宋_GB2312" w:eastAsia="仿宋_GB2312"/>
          <w:color w:val="000000"/>
          <w:spacing w:val="-5"/>
          <w:sz w:val="32"/>
          <w:szCs w:val="32"/>
        </w:rPr>
        <w:t>梳理总结先进做法，提炼可复制经验模式，多渠道宣传，营造全社会支持养老</w:t>
      </w:r>
      <w:r>
        <w:rPr>
          <w:rFonts w:hint="eastAsia" w:hAnsi="仿宋_GB2312" w:eastAsia="仿宋_GB2312"/>
          <w:color w:val="000000"/>
          <w:spacing w:val="-5"/>
          <w:sz w:val="32"/>
          <w:szCs w:val="32"/>
        </w:rPr>
        <w:t>服务</w:t>
      </w:r>
      <w:r>
        <w:rPr>
          <w:rFonts w:hAnsi="仿宋_GB2312" w:eastAsia="仿宋_GB2312"/>
          <w:color w:val="000000"/>
          <w:spacing w:val="-5"/>
          <w:sz w:val="32"/>
          <w:szCs w:val="32"/>
        </w:rPr>
        <w:t>工作的氛围，发挥创新引领作用。</w:t>
      </w:r>
    </w:p>
    <w:p>
      <w:pPr>
        <w:pStyle w:val="2"/>
        <w:spacing w:line="560" w:lineRule="exact"/>
        <w:ind w:firstLine="620" w:firstLineChars="200"/>
        <w:jc w:val="both"/>
        <w:rPr>
          <w:rFonts w:hint="eastAsia" w:hAnsi="仿宋_GB2312" w:eastAsia="仿宋_GB2312"/>
          <w:color w:val="000000"/>
          <w:spacing w:val="-5"/>
          <w:sz w:val="32"/>
          <w:szCs w:val="32"/>
        </w:rPr>
      </w:pPr>
    </w:p>
    <w:p>
      <w:pPr>
        <w:pStyle w:val="2"/>
        <w:spacing w:line="560" w:lineRule="exact"/>
        <w:ind w:firstLine="620" w:firstLineChars="200"/>
        <w:jc w:val="both"/>
        <w:rPr>
          <w:rFonts w:hint="eastAsia" w:hAnsi="仿宋_GB2312" w:eastAsia="仿宋_GB2312"/>
          <w:color w:val="000000"/>
          <w:spacing w:val="-5"/>
          <w:sz w:val="32"/>
          <w:szCs w:val="32"/>
        </w:rPr>
      </w:pPr>
      <w:r>
        <w:rPr>
          <w:rFonts w:hint="eastAsia" w:hAnsi="仿宋_GB2312" w:eastAsia="仿宋_GB2312"/>
          <w:color w:val="000000"/>
          <w:spacing w:val="-5"/>
          <w:sz w:val="32"/>
          <w:szCs w:val="32"/>
        </w:rPr>
        <w:t>附件：</w:t>
      </w:r>
      <w:r>
        <w:rPr>
          <w:rFonts w:hAnsi="仿宋_GB2312" w:eastAsia="仿宋_GB2312"/>
          <w:color w:val="000000"/>
          <w:spacing w:val="-5"/>
          <w:sz w:val="32"/>
          <w:szCs w:val="32"/>
        </w:rPr>
        <w:t>昌吉州支持</w:t>
      </w:r>
      <w:r>
        <w:rPr>
          <w:rFonts w:hint="eastAsia" w:hAnsi="仿宋_GB2312" w:eastAsia="仿宋_GB2312"/>
          <w:color w:val="000000"/>
          <w:spacing w:val="-5"/>
          <w:sz w:val="32"/>
          <w:szCs w:val="32"/>
        </w:rPr>
        <w:t>养老</w:t>
      </w:r>
      <w:r>
        <w:rPr>
          <w:rFonts w:hAnsi="仿宋_GB2312" w:eastAsia="仿宋_GB2312"/>
          <w:color w:val="000000"/>
          <w:spacing w:val="-5"/>
          <w:sz w:val="32"/>
          <w:szCs w:val="32"/>
        </w:rPr>
        <w:t>服务发展的若干措施</w:t>
      </w:r>
    </w:p>
    <w:p>
      <w:pPr>
        <w:pStyle w:val="2"/>
        <w:spacing w:line="560" w:lineRule="exact"/>
        <w:ind w:firstLine="620" w:firstLineChars="200"/>
        <w:jc w:val="both"/>
        <w:rPr>
          <w:rFonts w:hint="eastAsia" w:hAnsi="仿宋_GB2312" w:eastAsia="仿宋_GB2312"/>
          <w:color w:val="000000"/>
          <w:spacing w:val="-5"/>
          <w:sz w:val="32"/>
          <w:szCs w:val="32"/>
        </w:rPr>
      </w:pPr>
    </w:p>
    <w:p>
      <w:pPr>
        <w:pStyle w:val="2"/>
        <w:spacing w:line="560" w:lineRule="exact"/>
        <w:ind w:firstLine="620" w:firstLineChars="200"/>
        <w:jc w:val="both"/>
        <w:rPr>
          <w:rFonts w:hint="eastAsia" w:hAnsi="仿宋_GB2312" w:eastAsia="仿宋_GB2312"/>
          <w:color w:val="000000"/>
          <w:spacing w:val="-5"/>
          <w:sz w:val="32"/>
          <w:szCs w:val="32"/>
        </w:rPr>
      </w:pPr>
    </w:p>
    <w:p>
      <w:pPr>
        <w:pStyle w:val="2"/>
        <w:spacing w:line="560" w:lineRule="exact"/>
        <w:ind w:firstLine="620" w:firstLineChars="200"/>
        <w:jc w:val="both"/>
        <w:rPr>
          <w:rFonts w:hint="eastAsia" w:hAnsi="仿宋_GB2312" w:eastAsia="仿宋_GB2312"/>
          <w:color w:val="000000"/>
          <w:spacing w:val="-5"/>
          <w:sz w:val="32"/>
          <w:szCs w:val="32"/>
        </w:rPr>
      </w:pPr>
    </w:p>
    <w:p>
      <w:pPr>
        <w:pStyle w:val="2"/>
        <w:spacing w:line="560" w:lineRule="exact"/>
        <w:ind w:firstLine="620" w:firstLineChars="200"/>
        <w:jc w:val="both"/>
        <w:rPr>
          <w:rFonts w:hint="eastAsia" w:hAnsi="仿宋_GB2312" w:eastAsia="仿宋_GB2312"/>
          <w:color w:val="000000"/>
          <w:spacing w:val="-5"/>
          <w:sz w:val="32"/>
          <w:szCs w:val="32"/>
        </w:rPr>
      </w:pPr>
    </w:p>
    <w:p>
      <w:pPr>
        <w:pStyle w:val="2"/>
        <w:spacing w:line="560" w:lineRule="exact"/>
        <w:ind w:firstLine="620" w:firstLineChars="200"/>
        <w:jc w:val="both"/>
        <w:rPr>
          <w:rFonts w:hint="eastAsia" w:hAnsi="仿宋_GB2312" w:eastAsia="仿宋_GB2312"/>
          <w:color w:val="000000"/>
          <w:spacing w:val="-5"/>
          <w:sz w:val="32"/>
          <w:szCs w:val="32"/>
        </w:rPr>
      </w:pPr>
    </w:p>
    <w:p>
      <w:pPr>
        <w:pStyle w:val="2"/>
        <w:spacing w:line="560" w:lineRule="exact"/>
        <w:ind w:firstLine="620" w:firstLineChars="200"/>
        <w:jc w:val="both"/>
        <w:rPr>
          <w:rFonts w:hint="eastAsia" w:hAnsi="仿宋_GB2312" w:eastAsia="仿宋_GB2312"/>
          <w:color w:val="000000"/>
          <w:spacing w:val="-5"/>
          <w:sz w:val="32"/>
          <w:szCs w:val="32"/>
        </w:rPr>
      </w:pPr>
    </w:p>
    <w:p>
      <w:pPr>
        <w:spacing w:line="560" w:lineRule="exact"/>
        <w:rPr>
          <w:rFonts w:hint="eastAsia" w:ascii="仿宋_GB2312" w:hAnsi="仿宋_GB2312" w:eastAsia="仿宋_GB2312" w:cs="仿宋_GB2312"/>
          <w:sz w:val="32"/>
          <w:szCs w:val="32"/>
        </w:rPr>
      </w:pPr>
    </w:p>
    <w:p>
      <w:pPr>
        <w:spacing w:line="560" w:lineRule="exact"/>
        <w:rPr>
          <w:rFonts w:hint="eastAsia" w:ascii="方正小标宋_GBK" w:hAnsi="方正小标宋_GBK" w:eastAsia="方正小标宋_GBK" w:cs="方正小标宋_GBK"/>
          <w:sz w:val="44"/>
          <w:szCs w:val="44"/>
        </w:rPr>
      </w:pPr>
      <w:r>
        <w:rPr>
          <w:rFonts w:hint="eastAsia" w:ascii="仿宋_GB2312" w:hAnsi="仿宋_GB2312" w:eastAsia="仿宋_GB2312" w:cs="仿宋_GB2312"/>
          <w:sz w:val="32"/>
          <w:szCs w:val="32"/>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eastAsia="方正小标宋_GBK"/>
          <w:sz w:val="44"/>
          <w:szCs w:val="44"/>
        </w:rPr>
      </w:pPr>
      <w:r>
        <w:rPr>
          <w:rFonts w:eastAsia="方正小标宋_GBK"/>
          <w:sz w:val="44"/>
          <w:szCs w:val="44"/>
        </w:rPr>
        <w:t>昌吉州支持养老服务发展若干措施</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0"/>
          <w:sz w:val="32"/>
          <w:szCs w:val="32"/>
          <w:highlight w:val="none"/>
          <w:u w:val="none"/>
        </w:rPr>
      </w:pPr>
      <w:r>
        <w:rPr>
          <w:rFonts w:hint="default" w:ascii="Times New Roman" w:hAnsi="Times New Roman" w:eastAsia="仿宋_GB2312" w:cs="Times New Roman"/>
          <w:color w:val="auto"/>
          <w:spacing w:val="0"/>
          <w:sz w:val="32"/>
          <w:szCs w:val="32"/>
          <w:highlight w:val="none"/>
          <w:u w:val="none"/>
        </w:rPr>
        <w:t>为</w:t>
      </w:r>
      <w:r>
        <w:rPr>
          <w:rFonts w:hint="default" w:ascii="Times New Roman" w:hAnsi="Times New Roman" w:eastAsia="仿宋_GB2312" w:cs="Times New Roman"/>
          <w:color w:val="auto"/>
          <w:spacing w:val="0"/>
          <w:sz w:val="32"/>
          <w:szCs w:val="32"/>
          <w:highlight w:val="none"/>
          <w:u w:val="none"/>
          <w:lang w:eastAsia="zh-CN"/>
        </w:rPr>
        <w:t>构建昌吉州域“3+3+3”（三级网络+三类形态+三方协同）完整养老服务体系，</w:t>
      </w:r>
      <w:r>
        <w:rPr>
          <w:rFonts w:hint="default" w:ascii="Times New Roman" w:hAnsi="Times New Roman" w:eastAsia="仿宋_GB2312" w:cs="Times New Roman"/>
          <w:color w:val="auto"/>
          <w:spacing w:val="0"/>
          <w:sz w:val="32"/>
          <w:szCs w:val="32"/>
          <w:highlight w:val="none"/>
          <w:u w:val="none"/>
        </w:rPr>
        <w:t>促进我州养老机构、居家和社区养老服务设施</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可持续运营，</w:t>
      </w:r>
      <w:r>
        <w:rPr>
          <w:rFonts w:hint="default" w:ascii="Times New Roman" w:hAnsi="Times New Roman" w:eastAsia="仿宋_GB2312" w:cs="Times New Roman"/>
          <w:color w:val="auto"/>
          <w:spacing w:val="0"/>
          <w:sz w:val="32"/>
          <w:szCs w:val="32"/>
          <w:highlight w:val="none"/>
          <w:u w:val="none"/>
        </w:rPr>
        <w:t>提升</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基本养老</w:t>
      </w:r>
      <w:r>
        <w:rPr>
          <w:rFonts w:hint="default" w:ascii="Times New Roman" w:hAnsi="Times New Roman" w:eastAsia="仿宋_GB2312" w:cs="Times New Roman"/>
          <w:i w:val="0"/>
          <w:caps w:val="0"/>
          <w:color w:val="auto"/>
          <w:spacing w:val="0"/>
          <w:kern w:val="0"/>
          <w:sz w:val="32"/>
          <w:szCs w:val="32"/>
          <w:shd w:val="clear" w:color="auto" w:fill="FFFFFF"/>
          <w:lang w:eastAsia="zh-CN" w:bidi="ar"/>
        </w:rPr>
        <w:t>服务</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供给能力</w:t>
      </w:r>
      <w:r>
        <w:rPr>
          <w:rFonts w:hint="default" w:ascii="Times New Roman" w:hAnsi="Times New Roman" w:eastAsia="仿宋_GB2312" w:cs="Times New Roman"/>
          <w:i w:val="0"/>
          <w:caps w:val="0"/>
          <w:color w:val="auto"/>
          <w:spacing w:val="0"/>
          <w:kern w:val="0"/>
          <w:sz w:val="32"/>
          <w:szCs w:val="32"/>
          <w:shd w:val="clear" w:color="auto" w:fill="FFFFFF"/>
          <w:lang w:eastAsia="zh-CN" w:bidi="ar"/>
        </w:rPr>
        <w:t>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服务水平，</w:t>
      </w:r>
      <w:r>
        <w:rPr>
          <w:rFonts w:hint="default" w:ascii="Times New Roman" w:hAnsi="Times New Roman" w:eastAsia="仿宋_GB2312" w:cs="Times New Roman"/>
          <w:color w:val="auto"/>
          <w:spacing w:val="0"/>
          <w:sz w:val="32"/>
          <w:szCs w:val="32"/>
          <w:highlight w:val="none"/>
          <w:u w:val="none"/>
        </w:rPr>
        <w:t>坚持投资于物和投资于人相结合，进一步</w:t>
      </w:r>
      <w:r>
        <w:rPr>
          <w:rFonts w:hint="default" w:ascii="Times New Roman" w:hAnsi="Times New Roman" w:eastAsia="仿宋_GB2312" w:cs="Times New Roman"/>
          <w:color w:val="auto"/>
          <w:spacing w:val="0"/>
          <w:sz w:val="32"/>
          <w:szCs w:val="32"/>
          <w:highlight w:val="none"/>
          <w:u w:val="none"/>
          <w:lang w:eastAsia="zh-CN"/>
        </w:rPr>
        <w:t>鼓励</w:t>
      </w:r>
      <w:r>
        <w:rPr>
          <w:rFonts w:hint="default" w:ascii="Times New Roman" w:hAnsi="Times New Roman" w:eastAsia="仿宋_GB2312" w:cs="Times New Roman"/>
          <w:color w:val="auto"/>
          <w:spacing w:val="0"/>
          <w:sz w:val="32"/>
          <w:szCs w:val="32"/>
          <w:highlight w:val="none"/>
          <w:u w:val="none"/>
        </w:rPr>
        <w:t>社会力量积极参与养老服务，根据《关于开展医养结合促进行动的通知》《新疆维吾尔自治区人民政府印发&lt;关于进一步支持养老服务发展十条措施&gt;的通知》</w:t>
      </w:r>
      <w:r>
        <w:rPr>
          <w:rFonts w:hint="default" w:ascii="Times New Roman" w:hAnsi="Times New Roman" w:eastAsia="仿宋_GB2312" w:cs="Times New Roman"/>
          <w:color w:val="auto"/>
          <w:spacing w:val="0"/>
          <w:sz w:val="32"/>
          <w:szCs w:val="32"/>
          <w:highlight w:val="none"/>
          <w:u w:val="none"/>
          <w:lang w:val="en-US" w:eastAsia="zh-CN"/>
        </w:rPr>
        <w:t>《新疆维吾尔自治区民办养老机构资助办法》</w:t>
      </w:r>
      <w:r>
        <w:rPr>
          <w:rFonts w:hint="default" w:ascii="Times New Roman" w:hAnsi="Times New Roman" w:eastAsia="仿宋_GB2312" w:cs="Times New Roman"/>
          <w:color w:val="auto"/>
          <w:spacing w:val="0"/>
          <w:sz w:val="32"/>
          <w:szCs w:val="32"/>
          <w:highlight w:val="none"/>
          <w:u w:val="none"/>
        </w:rPr>
        <w:t>文件精神，现提出以下措施：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方正黑体_GBK" w:hAnsi="方正黑体_GBK" w:eastAsia="方正黑体_GBK" w:cs="方正黑体_GBK"/>
          <w:b w:val="0"/>
          <w:bCs w:val="0"/>
          <w:color w:val="auto"/>
          <w:spacing w:val="0"/>
          <w:sz w:val="32"/>
          <w:szCs w:val="32"/>
          <w:highlight w:val="none"/>
          <w:u w:val="none"/>
        </w:rPr>
      </w:pPr>
      <w:r>
        <w:rPr>
          <w:rFonts w:hint="default" w:ascii="方正黑体_GBK" w:hAnsi="方正黑体_GBK" w:eastAsia="方正黑体_GBK" w:cs="方正黑体_GBK"/>
          <w:b w:val="0"/>
          <w:bCs w:val="0"/>
          <w:color w:val="auto"/>
          <w:spacing w:val="0"/>
          <w:sz w:val="32"/>
          <w:szCs w:val="32"/>
          <w:highlight w:val="none"/>
          <w:u w:val="none"/>
        </w:rPr>
        <w:t>一、明确支持范围，确保可持续发展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pacing w:val="0"/>
          <w:sz w:val="32"/>
          <w:szCs w:val="32"/>
          <w:highlight w:val="none"/>
          <w:u w:val="none"/>
        </w:rPr>
      </w:pPr>
      <w:r>
        <w:rPr>
          <w:rFonts w:hint="eastAsia" w:ascii="楷体_GB2312" w:hAnsi="楷体_GB2312" w:eastAsia="楷体_GB2312" w:cs="楷体_GB2312"/>
          <w:b w:val="0"/>
          <w:bCs w:val="0"/>
          <w:color w:val="auto"/>
          <w:spacing w:val="0"/>
          <w:sz w:val="32"/>
          <w:szCs w:val="32"/>
          <w:highlight w:val="none"/>
          <w:u w:val="none"/>
        </w:rPr>
        <w:t>（一）加强</w:t>
      </w:r>
      <w:r>
        <w:rPr>
          <w:rFonts w:hint="default" w:ascii="楷体_GB2312" w:hAnsi="楷体_GB2312" w:eastAsia="楷体_GB2312" w:cs="楷体_GB2312"/>
          <w:b w:val="0"/>
          <w:bCs w:val="0"/>
          <w:color w:val="auto"/>
          <w:spacing w:val="0"/>
          <w:sz w:val="32"/>
          <w:szCs w:val="32"/>
          <w:highlight w:val="none"/>
          <w:u w:val="none"/>
        </w:rPr>
        <w:t>普惠</w:t>
      </w:r>
      <w:r>
        <w:rPr>
          <w:rFonts w:hint="eastAsia" w:ascii="楷体_GB2312" w:hAnsi="楷体_GB2312" w:eastAsia="楷体_GB2312" w:cs="楷体_GB2312"/>
          <w:b w:val="0"/>
          <w:bCs w:val="0"/>
          <w:color w:val="auto"/>
          <w:spacing w:val="0"/>
          <w:sz w:val="32"/>
          <w:szCs w:val="32"/>
          <w:highlight w:val="none"/>
          <w:u w:val="none"/>
        </w:rPr>
        <w:t>养老服务保障。</w:t>
      </w:r>
      <w:r>
        <w:rPr>
          <w:rFonts w:hint="eastAsia" w:ascii="仿宋_GB2312" w:hAnsi="仿宋_GB2312" w:eastAsia="仿宋_GB2312" w:cs="仿宋_GB2312"/>
          <w:b w:val="0"/>
          <w:bCs w:val="0"/>
          <w:color w:val="auto"/>
          <w:spacing w:val="0"/>
          <w:sz w:val="32"/>
          <w:szCs w:val="32"/>
          <w:highlight w:val="none"/>
          <w:u w:val="none"/>
        </w:rPr>
        <w:t>重点支持</w:t>
      </w:r>
      <w:r>
        <w:rPr>
          <w:rFonts w:hint="eastAsia" w:ascii="仿宋_GB2312" w:hAnsi="仿宋_GB2312" w:eastAsia="仿宋_GB2312" w:cs="仿宋_GB2312"/>
          <w:color w:val="auto"/>
          <w:spacing w:val="0"/>
          <w:sz w:val="32"/>
          <w:szCs w:val="32"/>
          <w:highlight w:val="none"/>
          <w:u w:val="none"/>
        </w:rPr>
        <w:t>由政府建设，委托社会力量</w:t>
      </w:r>
      <w:r>
        <w:rPr>
          <w:rFonts w:hint="eastAsia" w:ascii="仿宋_GB2312" w:hAnsi="仿宋_GB2312" w:eastAsia="仿宋_GB2312" w:cs="仿宋_GB2312"/>
          <w:color w:val="auto"/>
          <w:spacing w:val="0"/>
          <w:sz w:val="32"/>
          <w:szCs w:val="32"/>
          <w:highlight w:val="none"/>
          <w:u w:val="none"/>
          <w:lang w:eastAsia="zh-CN"/>
        </w:rPr>
        <w:t>运营且</w:t>
      </w:r>
      <w:r>
        <w:rPr>
          <w:rFonts w:hint="eastAsia" w:ascii="仿宋_GB2312" w:hAnsi="仿宋_GB2312" w:eastAsia="仿宋_GB2312" w:cs="仿宋_GB2312"/>
          <w:color w:val="auto"/>
          <w:spacing w:val="0"/>
          <w:sz w:val="32"/>
          <w:szCs w:val="32"/>
          <w:highlight w:val="none"/>
          <w:u w:val="none"/>
        </w:rPr>
        <w:t>面向社会收住老年人的公建民营养老机构</w:t>
      </w:r>
      <w:r>
        <w:rPr>
          <w:rFonts w:hint="default" w:ascii="仿宋_GB2312" w:hAnsi="仿宋_GB2312" w:eastAsia="仿宋_GB2312" w:cs="仿宋_GB2312"/>
          <w:color w:val="auto"/>
          <w:spacing w:val="0"/>
          <w:sz w:val="32"/>
          <w:szCs w:val="32"/>
          <w:highlight w:val="none"/>
          <w:u w:val="none"/>
        </w:rPr>
        <w:t>。扩大普惠养老服务供给，健全普惠可及的养老服务体系。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pacing w:val="0"/>
          <w:sz w:val="32"/>
          <w:szCs w:val="32"/>
          <w:highlight w:val="none"/>
          <w:u w:val="none"/>
          <w:lang w:eastAsia="zh-CN"/>
        </w:rPr>
      </w:pPr>
      <w:r>
        <w:rPr>
          <w:rFonts w:hint="eastAsia" w:ascii="楷体_GB2312" w:hAnsi="楷体_GB2312" w:eastAsia="楷体_GB2312" w:cs="楷体_GB2312"/>
          <w:b w:val="0"/>
          <w:bCs w:val="0"/>
          <w:color w:val="auto"/>
          <w:spacing w:val="0"/>
          <w:sz w:val="32"/>
          <w:szCs w:val="32"/>
          <w:highlight w:val="none"/>
          <w:u w:val="none"/>
        </w:rPr>
        <w:t>（二）聚焦</w:t>
      </w:r>
      <w:r>
        <w:rPr>
          <w:rFonts w:hint="default" w:ascii="楷体_GB2312" w:hAnsi="楷体_GB2312" w:eastAsia="楷体_GB2312" w:cs="楷体_GB2312"/>
          <w:b w:val="0"/>
          <w:bCs w:val="0"/>
          <w:color w:val="auto"/>
          <w:spacing w:val="0"/>
          <w:sz w:val="32"/>
          <w:szCs w:val="32"/>
          <w:highlight w:val="none"/>
          <w:u w:val="none"/>
        </w:rPr>
        <w:t>民办运营</w:t>
      </w:r>
      <w:r>
        <w:rPr>
          <w:rFonts w:hint="eastAsia" w:ascii="楷体_GB2312" w:hAnsi="楷体_GB2312" w:eastAsia="楷体_GB2312" w:cs="楷体_GB2312"/>
          <w:b w:val="0"/>
          <w:bCs w:val="0"/>
          <w:color w:val="auto"/>
          <w:spacing w:val="0"/>
          <w:sz w:val="32"/>
          <w:szCs w:val="32"/>
          <w:highlight w:val="none"/>
          <w:u w:val="none"/>
        </w:rPr>
        <w:t>能力建设。</w:t>
      </w:r>
      <w:r>
        <w:rPr>
          <w:rFonts w:hint="default" w:ascii="仿宋_GB2312" w:hAnsi="仿宋_GB2312" w:eastAsia="仿宋_GB2312" w:cs="仿宋_GB2312"/>
          <w:b w:val="0"/>
          <w:bCs w:val="0"/>
          <w:color w:val="auto"/>
          <w:spacing w:val="0"/>
          <w:sz w:val="32"/>
          <w:szCs w:val="32"/>
          <w:highlight w:val="none"/>
          <w:u w:val="none"/>
        </w:rPr>
        <w:t>促进</w:t>
      </w:r>
      <w:r>
        <w:rPr>
          <w:rFonts w:hint="eastAsia" w:ascii="仿宋_GB2312" w:hAnsi="仿宋_GB2312" w:eastAsia="仿宋_GB2312" w:cs="仿宋_GB2312"/>
          <w:color w:val="auto"/>
          <w:spacing w:val="0"/>
          <w:sz w:val="32"/>
          <w:szCs w:val="32"/>
          <w:highlight w:val="none"/>
          <w:u w:val="none"/>
        </w:rPr>
        <w:t>社会主体兴办、登记为民</w:t>
      </w:r>
      <w:r>
        <w:rPr>
          <w:rFonts w:hint="eastAsia" w:ascii="仿宋_GB2312" w:hAnsi="仿宋_GB2312" w:eastAsia="仿宋_GB2312" w:cs="仿宋_GB2312"/>
          <w:color w:val="auto"/>
          <w:spacing w:val="0"/>
          <w:sz w:val="32"/>
          <w:szCs w:val="32"/>
          <w:highlight w:val="none"/>
          <w:u w:val="none"/>
          <w:lang w:eastAsia="zh-CN"/>
        </w:rPr>
        <w:t>办非企业单位</w:t>
      </w:r>
      <w:r>
        <w:rPr>
          <w:rFonts w:hint="eastAsia" w:ascii="仿宋_GB2312" w:hAnsi="仿宋_GB2312" w:eastAsia="仿宋_GB2312" w:cs="仿宋_GB2312"/>
          <w:color w:val="auto"/>
          <w:spacing w:val="0"/>
          <w:sz w:val="32"/>
          <w:szCs w:val="32"/>
          <w:highlight w:val="none"/>
          <w:u w:val="none"/>
        </w:rPr>
        <w:t>或</w:t>
      </w:r>
      <w:r>
        <w:rPr>
          <w:rFonts w:hint="eastAsia" w:ascii="仿宋_GB2312" w:hAnsi="仿宋_GB2312" w:eastAsia="仿宋_GB2312" w:cs="仿宋_GB2312"/>
          <w:color w:val="auto"/>
          <w:spacing w:val="-6"/>
          <w:sz w:val="32"/>
          <w:szCs w:val="32"/>
          <w:highlight w:val="none"/>
          <w:u w:val="none"/>
        </w:rPr>
        <w:t>企业法人的</w:t>
      </w:r>
      <w:r>
        <w:rPr>
          <w:rFonts w:hint="default" w:ascii="仿宋_GB2312" w:hAnsi="仿宋_GB2312" w:eastAsia="仿宋_GB2312" w:cs="仿宋_GB2312"/>
          <w:color w:val="auto"/>
          <w:spacing w:val="-6"/>
          <w:sz w:val="32"/>
          <w:szCs w:val="32"/>
          <w:highlight w:val="none"/>
          <w:u w:val="none"/>
        </w:rPr>
        <w:t>养老机构</w:t>
      </w:r>
      <w:r>
        <w:rPr>
          <w:rFonts w:hint="eastAsia" w:ascii="仿宋_GB2312" w:hAnsi="仿宋_GB2312" w:eastAsia="仿宋_GB2312" w:cs="仿宋_GB2312"/>
          <w:b w:val="0"/>
          <w:bCs w:val="0"/>
          <w:color w:val="auto"/>
          <w:spacing w:val="0"/>
          <w:sz w:val="32"/>
          <w:szCs w:val="32"/>
          <w:highlight w:val="none"/>
          <w:u w:val="none"/>
        </w:rPr>
        <w:t>良性持续运营</w:t>
      </w:r>
      <w:r>
        <w:rPr>
          <w:rFonts w:hint="default" w:ascii="仿宋_GB2312" w:hAnsi="仿宋_GB2312" w:eastAsia="仿宋_GB2312" w:cs="仿宋_GB2312"/>
          <w:b w:val="0"/>
          <w:bCs w:val="0"/>
          <w:color w:val="auto"/>
          <w:spacing w:val="0"/>
          <w:sz w:val="32"/>
          <w:szCs w:val="32"/>
          <w:highlight w:val="none"/>
          <w:u w:val="none"/>
        </w:rPr>
        <w:t>。</w:t>
      </w:r>
      <w:r>
        <w:rPr>
          <w:rFonts w:hint="eastAsia" w:ascii="仿宋_GB2312" w:hAnsi="仿宋_GB2312" w:eastAsia="仿宋_GB2312" w:cs="仿宋_GB2312"/>
          <w:b w:val="0"/>
          <w:bCs w:val="0"/>
          <w:color w:val="auto"/>
          <w:spacing w:val="0"/>
          <w:sz w:val="32"/>
          <w:szCs w:val="32"/>
          <w:highlight w:val="none"/>
          <w:u w:val="none"/>
        </w:rPr>
        <w:t>提升服务能力</w:t>
      </w:r>
      <w:r>
        <w:rPr>
          <w:rFonts w:hint="default" w:ascii="仿宋_GB2312" w:hAnsi="仿宋_GB2312" w:eastAsia="仿宋_GB2312" w:cs="仿宋_GB2312"/>
          <w:b w:val="0"/>
          <w:bCs w:val="0"/>
          <w:color w:val="auto"/>
          <w:spacing w:val="0"/>
          <w:sz w:val="32"/>
          <w:szCs w:val="32"/>
          <w:highlight w:val="none"/>
          <w:u w:val="none"/>
        </w:rPr>
        <w:t>，</w:t>
      </w:r>
      <w:r>
        <w:rPr>
          <w:rFonts w:hint="default" w:ascii="仿宋_GB2312" w:hAnsi="仿宋_GB2312" w:eastAsia="仿宋_GB2312" w:cs="仿宋_GB2312"/>
          <w:color w:val="auto"/>
          <w:spacing w:val="0"/>
          <w:sz w:val="32"/>
          <w:szCs w:val="32"/>
          <w:highlight w:val="none"/>
          <w:u w:val="none"/>
          <w:lang w:eastAsia="zh-CN"/>
        </w:rPr>
        <w:t>激发养老服务市场内生动力。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pacing w:val="0"/>
          <w:sz w:val="32"/>
          <w:szCs w:val="32"/>
          <w:highlight w:val="none"/>
          <w:u w:val="none"/>
        </w:rPr>
      </w:pPr>
      <w:r>
        <w:rPr>
          <w:rFonts w:hint="eastAsia" w:ascii="楷体_GB2312" w:hAnsi="楷体_GB2312" w:eastAsia="楷体_GB2312" w:cs="楷体_GB2312"/>
          <w:b w:val="0"/>
          <w:bCs w:val="0"/>
          <w:color w:val="auto"/>
          <w:spacing w:val="0"/>
          <w:sz w:val="32"/>
          <w:szCs w:val="32"/>
          <w:highlight w:val="none"/>
          <w:u w:val="none"/>
        </w:rPr>
        <w:t>（三）支持医养结合融合发展。</w:t>
      </w:r>
      <w:r>
        <w:rPr>
          <w:rFonts w:hint="eastAsia" w:ascii="仿宋_GB2312" w:hAnsi="仿宋_GB2312" w:eastAsia="仿宋_GB2312" w:cs="仿宋_GB2312"/>
          <w:b w:val="0"/>
          <w:bCs w:val="0"/>
          <w:color w:val="auto"/>
          <w:spacing w:val="0"/>
          <w:sz w:val="32"/>
          <w:szCs w:val="32"/>
          <w:highlight w:val="none"/>
          <w:u w:val="none"/>
        </w:rPr>
        <w:t>推动</w:t>
      </w:r>
      <w:r>
        <w:rPr>
          <w:rFonts w:hint="eastAsia" w:ascii="仿宋_GB2312" w:hAnsi="仿宋_GB2312" w:eastAsia="仿宋_GB2312" w:cs="仿宋_GB2312"/>
          <w:color w:val="auto"/>
          <w:spacing w:val="0"/>
          <w:sz w:val="32"/>
          <w:szCs w:val="32"/>
          <w:highlight w:val="none"/>
          <w:u w:val="none"/>
        </w:rPr>
        <w:t>同时具备医疗卫生资质、进行养老机构备案的医疗卫生机构或养老机构</w:t>
      </w:r>
      <w:r>
        <w:rPr>
          <w:rFonts w:hint="default" w:ascii="仿宋_GB2312" w:hAnsi="仿宋_GB2312" w:eastAsia="仿宋_GB2312" w:cs="仿宋_GB2312"/>
          <w:color w:val="auto"/>
          <w:spacing w:val="0"/>
          <w:sz w:val="32"/>
          <w:szCs w:val="32"/>
          <w:highlight w:val="none"/>
          <w:u w:val="none"/>
        </w:rPr>
        <w:t>发展，实现资源共享、服务衔接，满足失能老年人照护刚性需求。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pacing w:val="0"/>
          <w:sz w:val="32"/>
          <w:szCs w:val="32"/>
          <w:highlight w:val="none"/>
          <w:u w:val="none"/>
        </w:rPr>
      </w:pPr>
      <w:r>
        <w:rPr>
          <w:rFonts w:hint="default" w:ascii="楷体_GB2312" w:hAnsi="楷体_GB2312" w:eastAsia="楷体_GB2312" w:cs="楷体_GB2312"/>
          <w:b w:val="0"/>
          <w:bCs w:val="0"/>
          <w:color w:val="auto"/>
          <w:spacing w:val="0"/>
          <w:sz w:val="32"/>
          <w:szCs w:val="32"/>
          <w:highlight w:val="none"/>
          <w:u w:val="none"/>
        </w:rPr>
        <w:t>（四）</w:t>
      </w:r>
      <w:r>
        <w:rPr>
          <w:rFonts w:hint="eastAsia" w:ascii="楷体_GB2312" w:hAnsi="楷体_GB2312" w:eastAsia="楷体_GB2312" w:cs="楷体_GB2312"/>
          <w:b w:val="0"/>
          <w:bCs w:val="0"/>
          <w:color w:val="auto"/>
          <w:spacing w:val="0"/>
          <w:sz w:val="32"/>
          <w:szCs w:val="32"/>
          <w:highlight w:val="none"/>
          <w:u w:val="none"/>
        </w:rPr>
        <w:t>强化</w:t>
      </w:r>
      <w:r>
        <w:rPr>
          <w:rFonts w:hint="eastAsia" w:ascii="楷体_GB2312" w:hAnsi="楷体_GB2312" w:eastAsia="楷体_GB2312" w:cs="楷体_GB2312"/>
          <w:color w:val="auto"/>
          <w:spacing w:val="0"/>
          <w:sz w:val="32"/>
          <w:szCs w:val="32"/>
          <w:highlight w:val="none"/>
          <w:u w:val="none"/>
        </w:rPr>
        <w:t>居家和</w:t>
      </w:r>
      <w:r>
        <w:rPr>
          <w:rFonts w:hint="eastAsia" w:ascii="楷体_GB2312" w:hAnsi="楷体_GB2312" w:eastAsia="楷体_GB2312" w:cs="楷体_GB2312"/>
          <w:b w:val="0"/>
          <w:bCs w:val="0"/>
          <w:color w:val="auto"/>
          <w:spacing w:val="0"/>
          <w:sz w:val="32"/>
          <w:szCs w:val="32"/>
          <w:highlight w:val="none"/>
          <w:u w:val="none"/>
        </w:rPr>
        <w:t>社区养老服务网络。</w:t>
      </w:r>
      <w:r>
        <w:rPr>
          <w:rFonts w:hint="eastAsia" w:ascii="仿宋_GB2312" w:hAnsi="仿宋_GB2312" w:eastAsia="仿宋_GB2312" w:cs="仿宋_GB2312"/>
          <w:b w:val="0"/>
          <w:bCs w:val="0"/>
          <w:color w:val="auto"/>
          <w:spacing w:val="0"/>
          <w:sz w:val="32"/>
          <w:szCs w:val="32"/>
          <w:highlight w:val="none"/>
          <w:u w:val="none"/>
        </w:rPr>
        <w:t>统筹支持街道（乡镇）</w:t>
      </w:r>
      <w:r>
        <w:rPr>
          <w:rFonts w:hint="default" w:ascii="仿宋_GB2312" w:hAnsi="仿宋_GB2312" w:eastAsia="仿宋_GB2312" w:cs="仿宋_GB2312"/>
          <w:b w:val="0"/>
          <w:bCs w:val="0"/>
          <w:color w:val="auto"/>
          <w:spacing w:val="0"/>
          <w:sz w:val="32"/>
          <w:szCs w:val="32"/>
          <w:highlight w:val="none"/>
          <w:u w:val="none"/>
        </w:rPr>
        <w:t>区域</w:t>
      </w:r>
      <w:r>
        <w:rPr>
          <w:rFonts w:hint="eastAsia" w:ascii="仿宋_GB2312" w:hAnsi="仿宋_GB2312" w:eastAsia="仿宋_GB2312" w:cs="仿宋_GB2312"/>
          <w:b w:val="0"/>
          <w:bCs w:val="0"/>
          <w:color w:val="auto"/>
          <w:spacing w:val="0"/>
          <w:sz w:val="32"/>
          <w:szCs w:val="32"/>
          <w:highlight w:val="none"/>
          <w:u w:val="none"/>
        </w:rPr>
        <w:t>养老服务中心、</w:t>
      </w:r>
      <w:r>
        <w:rPr>
          <w:rFonts w:hint="eastAsia" w:ascii="仿宋_GB2312" w:hAnsi="仿宋_GB2312" w:eastAsia="仿宋_GB2312" w:cs="仿宋_GB2312"/>
          <w:color w:val="auto"/>
          <w:spacing w:val="0"/>
          <w:sz w:val="32"/>
          <w:szCs w:val="32"/>
          <w:highlight w:val="none"/>
          <w:u w:val="none"/>
        </w:rPr>
        <w:t>社区日间照料中心、</w:t>
      </w:r>
      <w:r>
        <w:rPr>
          <w:rFonts w:hint="eastAsia" w:ascii="仿宋_GB2312" w:hAnsi="仿宋_GB2312" w:eastAsia="仿宋_GB2312" w:cs="仿宋_GB2312"/>
          <w:b w:val="0"/>
          <w:bCs w:val="0"/>
          <w:color w:val="auto"/>
          <w:spacing w:val="0"/>
          <w:sz w:val="32"/>
          <w:szCs w:val="32"/>
          <w:highlight w:val="none"/>
          <w:u w:val="none"/>
        </w:rPr>
        <w:t>村级互助幸福院等</w:t>
      </w:r>
      <w:r>
        <w:rPr>
          <w:rFonts w:hint="default" w:ascii="仿宋_GB2312" w:hAnsi="仿宋_GB2312" w:eastAsia="仿宋_GB2312" w:cs="仿宋_GB2312"/>
          <w:b w:val="0"/>
          <w:bCs w:val="0"/>
          <w:color w:val="auto"/>
          <w:spacing w:val="0"/>
          <w:sz w:val="32"/>
          <w:szCs w:val="32"/>
          <w:highlight w:val="none"/>
          <w:u w:val="none"/>
        </w:rPr>
        <w:t>居家和</w:t>
      </w:r>
      <w:r>
        <w:rPr>
          <w:rFonts w:hint="eastAsia" w:ascii="仿宋_GB2312" w:hAnsi="仿宋_GB2312" w:eastAsia="仿宋_GB2312" w:cs="仿宋_GB2312"/>
          <w:b w:val="0"/>
          <w:bCs w:val="0"/>
          <w:color w:val="auto"/>
          <w:spacing w:val="0"/>
          <w:sz w:val="32"/>
          <w:szCs w:val="32"/>
          <w:highlight w:val="none"/>
          <w:u w:val="none"/>
        </w:rPr>
        <w:t>社区养老服务设施的可持续运营，</w:t>
      </w:r>
      <w:r>
        <w:rPr>
          <w:rFonts w:hint="default" w:ascii="仿宋_GB2312" w:hAnsi="仿宋_GB2312" w:eastAsia="仿宋_GB2312" w:cs="仿宋_GB2312"/>
          <w:b w:val="0"/>
          <w:bCs w:val="0"/>
          <w:color w:val="auto"/>
          <w:spacing w:val="0"/>
          <w:sz w:val="32"/>
          <w:szCs w:val="32"/>
          <w:highlight w:val="none"/>
          <w:u w:val="none"/>
        </w:rPr>
        <w:t>支持物业服务企业、家政服务公司等企业运营，</w:t>
      </w:r>
      <w:r>
        <w:rPr>
          <w:rFonts w:hint="eastAsia" w:ascii="仿宋_GB2312" w:hAnsi="仿宋_GB2312" w:eastAsia="仿宋_GB2312" w:cs="仿宋_GB2312"/>
          <w:b w:val="0"/>
          <w:bCs w:val="0"/>
          <w:color w:val="auto"/>
          <w:spacing w:val="0"/>
          <w:sz w:val="32"/>
          <w:szCs w:val="32"/>
          <w:highlight w:val="none"/>
          <w:u w:val="none"/>
        </w:rPr>
        <w:t>引导其规范经营管理、拓展服务功能，夯实居家社区养老服务基础。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00" w:firstLineChars="250"/>
        <w:jc w:val="both"/>
        <w:textAlignment w:val="auto"/>
        <w:rPr>
          <w:rFonts w:hint="default" w:ascii="方正黑体_GBK" w:hAnsi="方正黑体_GBK" w:eastAsia="方正黑体_GBK" w:cs="方正黑体_GBK"/>
          <w:b w:val="0"/>
          <w:bCs w:val="0"/>
          <w:color w:val="auto"/>
          <w:spacing w:val="0"/>
          <w:sz w:val="32"/>
          <w:szCs w:val="32"/>
          <w:highlight w:val="none"/>
          <w:u w:val="none"/>
        </w:rPr>
      </w:pPr>
      <w:r>
        <w:rPr>
          <w:rFonts w:hint="default" w:ascii="方正黑体_GBK" w:hAnsi="方正黑体_GBK" w:eastAsia="方正黑体_GBK" w:cs="方正黑体_GBK"/>
          <w:b w:val="0"/>
          <w:bCs w:val="0"/>
          <w:color w:val="auto"/>
          <w:spacing w:val="0"/>
          <w:sz w:val="32"/>
          <w:szCs w:val="32"/>
          <w:highlight w:val="none"/>
          <w:u w:val="none"/>
        </w:rPr>
        <w:t>二、落实建设补助，推动机构发展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00" w:firstLineChars="250"/>
        <w:jc w:val="both"/>
        <w:textAlignment w:val="auto"/>
        <w:rPr>
          <w:rFonts w:hint="default" w:ascii="Times New Roman" w:hAnsi="Times New Roman" w:eastAsia="仿宋_GB2312" w:cs="Times New Roman"/>
          <w:b w:val="0"/>
          <w:bCs w:val="0"/>
          <w:color w:val="auto"/>
          <w:spacing w:val="0"/>
          <w:w w:val="95"/>
          <w:sz w:val="32"/>
          <w:szCs w:val="32"/>
          <w:highlight w:val="none"/>
          <w:u w:val="none"/>
        </w:rPr>
      </w:pPr>
      <w:r>
        <w:rPr>
          <w:rFonts w:hint="eastAsia" w:ascii="楷体_GB2312" w:hAnsi="楷体_GB2312" w:eastAsia="楷体_GB2312" w:cs="楷体_GB2312"/>
          <w:color w:val="auto"/>
          <w:spacing w:val="0"/>
          <w:sz w:val="32"/>
          <w:szCs w:val="32"/>
          <w:highlight w:val="none"/>
          <w:u w:val="none"/>
        </w:rPr>
        <w:t>（五）落实养老机构一次性建设补贴。</w:t>
      </w:r>
      <w:r>
        <w:rPr>
          <w:rFonts w:hint="default" w:ascii="Times New Roman" w:hAnsi="Times New Roman" w:eastAsia="仿宋_GB2312" w:cs="Times New Roman"/>
          <w:color w:val="auto"/>
          <w:spacing w:val="0"/>
          <w:sz w:val="32"/>
          <w:szCs w:val="32"/>
          <w:highlight w:val="none"/>
          <w:u w:val="none"/>
        </w:rPr>
        <w:t>核定床位100张（含）以上的，</w:t>
      </w:r>
      <w:r>
        <w:rPr>
          <w:rFonts w:hint="default" w:ascii="Times New Roman" w:hAnsi="Times New Roman" w:eastAsia="仿宋_GB2312" w:cs="Times New Roman"/>
          <w:b w:val="0"/>
          <w:bCs w:val="0"/>
          <w:color w:val="auto"/>
          <w:spacing w:val="0"/>
          <w:sz w:val="32"/>
          <w:szCs w:val="32"/>
          <w:highlight w:val="none"/>
          <w:u w:val="none"/>
        </w:rPr>
        <w:t>由自治区财政给予每张床位5000元的一次性建设补</w:t>
      </w:r>
      <w:r>
        <w:rPr>
          <w:rFonts w:hint="default" w:ascii="Times New Roman" w:hAnsi="Times New Roman" w:eastAsia="仿宋_GB2312" w:cs="Times New Roman"/>
          <w:b w:val="0"/>
          <w:bCs w:val="0"/>
          <w:color w:val="auto"/>
          <w:spacing w:val="0"/>
          <w:sz w:val="32"/>
          <w:szCs w:val="32"/>
          <w:highlight w:val="none"/>
          <w:u w:val="none"/>
          <w:lang w:eastAsia="zh-CN"/>
        </w:rPr>
        <w:t>贴</w:t>
      </w:r>
      <w:r>
        <w:rPr>
          <w:rFonts w:hint="default" w:ascii="Times New Roman" w:hAnsi="Times New Roman" w:eastAsia="仿宋_GB2312" w:cs="Times New Roman"/>
          <w:b w:val="0"/>
          <w:bCs w:val="0"/>
          <w:color w:val="auto"/>
          <w:spacing w:val="0"/>
          <w:sz w:val="32"/>
          <w:szCs w:val="32"/>
          <w:highlight w:val="none"/>
          <w:u w:val="none"/>
        </w:rPr>
        <w:t>。自建养老机构按50%</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30%</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20%的比例，分3年拨付；租赁房</w:t>
      </w:r>
      <w:r>
        <w:rPr>
          <w:rFonts w:hint="default" w:ascii="Times New Roman" w:hAnsi="Times New Roman" w:eastAsia="仿宋_GB2312" w:cs="Times New Roman"/>
          <w:b w:val="0"/>
          <w:bCs w:val="0"/>
          <w:color w:val="auto"/>
          <w:spacing w:val="0"/>
          <w:w w:val="95"/>
          <w:sz w:val="32"/>
          <w:szCs w:val="32"/>
          <w:highlight w:val="none"/>
          <w:u w:val="none"/>
        </w:rPr>
        <w:t xml:space="preserve">屋且租期在5年以上的养老机构，按每年20%的比例，分5年拨付。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pacing w:val="0"/>
          <w:w w:val="95"/>
          <w:sz w:val="32"/>
          <w:szCs w:val="32"/>
          <w:highlight w:val="none"/>
          <w:u w:val="none"/>
        </w:rPr>
      </w:pPr>
      <w:r>
        <w:rPr>
          <w:rFonts w:hint="default" w:ascii="Times New Roman" w:hAnsi="Times New Roman" w:eastAsia="仿宋_GB2312" w:cs="Times New Roman"/>
          <w:b w:val="0"/>
          <w:bCs w:val="0"/>
          <w:color w:val="auto"/>
          <w:spacing w:val="0"/>
          <w:sz w:val="32"/>
          <w:szCs w:val="32"/>
          <w:highlight w:val="none"/>
          <w:u w:val="none"/>
        </w:rPr>
        <w:t>核定床位</w:t>
      </w:r>
      <w:r>
        <w:rPr>
          <w:rFonts w:hint="default" w:ascii="Times New Roman" w:hAnsi="Times New Roman" w:eastAsia="仿宋_GB2312" w:cs="Times New Roman"/>
          <w:b w:val="0"/>
          <w:bCs w:val="0"/>
          <w:color w:val="auto"/>
          <w:spacing w:val="0"/>
          <w:sz w:val="32"/>
          <w:szCs w:val="32"/>
          <w:highlight w:val="none"/>
          <w:u w:val="none"/>
          <w:lang w:val="en-US" w:eastAsia="zh-CN"/>
        </w:rPr>
        <w:t>100</w:t>
      </w:r>
      <w:r>
        <w:rPr>
          <w:rFonts w:hint="default" w:ascii="Times New Roman" w:hAnsi="Times New Roman" w:eastAsia="仿宋_GB2312" w:cs="Times New Roman"/>
          <w:b w:val="0"/>
          <w:bCs w:val="0"/>
          <w:color w:val="auto"/>
          <w:spacing w:val="0"/>
          <w:sz w:val="32"/>
          <w:szCs w:val="32"/>
          <w:highlight w:val="none"/>
          <w:u w:val="none"/>
        </w:rPr>
        <w:t>张</w:t>
      </w:r>
      <w:r>
        <w:rPr>
          <w:rFonts w:hint="default" w:ascii="Times New Roman" w:hAnsi="Times New Roman" w:eastAsia="仿宋_GB2312" w:cs="Times New Roman"/>
          <w:b w:val="0"/>
          <w:bCs w:val="0"/>
          <w:color w:val="auto"/>
          <w:spacing w:val="0"/>
          <w:sz w:val="32"/>
          <w:szCs w:val="32"/>
          <w:highlight w:val="none"/>
          <w:u w:val="none"/>
          <w:lang w:eastAsia="zh-CN"/>
        </w:rPr>
        <w:t>以下，</w:t>
      </w:r>
      <w:r>
        <w:rPr>
          <w:rFonts w:hint="default" w:ascii="Times New Roman" w:hAnsi="Times New Roman" w:eastAsia="仿宋_GB2312" w:cs="Times New Roman"/>
          <w:b w:val="0"/>
          <w:bCs w:val="0"/>
          <w:color w:val="auto"/>
          <w:spacing w:val="0"/>
          <w:sz w:val="32"/>
          <w:szCs w:val="32"/>
          <w:highlight w:val="none"/>
          <w:u w:val="none"/>
        </w:rPr>
        <w:t>30张（含）以上的，由自治</w:t>
      </w:r>
      <w:r>
        <w:rPr>
          <w:rFonts w:hint="default" w:ascii="Times New Roman" w:hAnsi="Times New Roman" w:eastAsia="仿宋_GB2312" w:cs="Times New Roman"/>
          <w:b w:val="0"/>
          <w:bCs w:val="0"/>
          <w:color w:val="auto"/>
          <w:spacing w:val="0"/>
          <w:w w:val="95"/>
          <w:sz w:val="32"/>
          <w:szCs w:val="32"/>
          <w:highlight w:val="none"/>
          <w:u w:val="none"/>
        </w:rPr>
        <w:t>州财政</w:t>
      </w:r>
      <w:r>
        <w:rPr>
          <w:rFonts w:hint="default" w:ascii="Times New Roman" w:hAnsi="Times New Roman" w:eastAsia="仿宋_GB2312" w:cs="Times New Roman"/>
          <w:b w:val="0"/>
          <w:bCs w:val="0"/>
          <w:color w:val="auto"/>
          <w:sz w:val="32"/>
          <w:szCs w:val="32"/>
          <w:u w:val="none"/>
          <w:lang w:val="en-US" w:eastAsia="zh-CN"/>
        </w:rPr>
        <w:t>给予</w:t>
      </w:r>
      <w:r>
        <w:rPr>
          <w:rFonts w:hint="default" w:ascii="Times New Roman" w:hAnsi="Times New Roman" w:eastAsia="仿宋_GB2312" w:cs="Times New Roman"/>
          <w:b w:val="0"/>
          <w:bCs w:val="0"/>
          <w:color w:val="auto"/>
          <w:sz w:val="32"/>
          <w:szCs w:val="32"/>
          <w:u w:val="none"/>
          <w:lang w:eastAsia="zh-CN"/>
        </w:rPr>
        <w:t>每张床位3000元</w:t>
      </w:r>
      <w:r>
        <w:rPr>
          <w:rFonts w:hint="default" w:ascii="Times New Roman" w:hAnsi="Times New Roman" w:eastAsia="仿宋_GB2312" w:cs="Times New Roman"/>
          <w:b w:val="0"/>
          <w:bCs w:val="0"/>
          <w:color w:val="auto"/>
          <w:sz w:val="32"/>
          <w:szCs w:val="32"/>
          <w:u w:val="none"/>
          <w:lang w:val="en-US" w:eastAsia="zh-CN"/>
        </w:rPr>
        <w:t>一次性建设补贴</w:t>
      </w:r>
      <w:r>
        <w:rPr>
          <w:rFonts w:hint="default" w:ascii="Times New Roman" w:hAnsi="Times New Roman" w:eastAsia="仿宋_GB2312" w:cs="Times New Roman"/>
          <w:b w:val="0"/>
          <w:bCs w:val="0"/>
          <w:color w:val="auto"/>
          <w:spacing w:val="0"/>
          <w:sz w:val="32"/>
          <w:szCs w:val="32"/>
          <w:highlight w:val="none"/>
          <w:u w:val="none"/>
        </w:rPr>
        <w:t>。自建养老机构按50%</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30%</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20%的比例，分3年拨付；租赁房</w:t>
      </w:r>
      <w:r>
        <w:rPr>
          <w:rFonts w:hint="default" w:ascii="Times New Roman" w:hAnsi="Times New Roman" w:eastAsia="仿宋_GB2312" w:cs="Times New Roman"/>
          <w:b w:val="0"/>
          <w:bCs w:val="0"/>
          <w:color w:val="auto"/>
          <w:spacing w:val="0"/>
          <w:w w:val="95"/>
          <w:sz w:val="32"/>
          <w:szCs w:val="32"/>
          <w:highlight w:val="none"/>
          <w:u w:val="none"/>
        </w:rPr>
        <w:t>屋且租期在5年以上的养老机构，按每年20%的比例，分5年拨付。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0"/>
          <w:sz w:val="32"/>
          <w:szCs w:val="32"/>
          <w:highlight w:val="none"/>
          <w:u w:val="none"/>
        </w:rPr>
      </w:pPr>
      <w:r>
        <w:rPr>
          <w:rFonts w:hint="eastAsia" w:ascii="楷体_GB2312" w:hAnsi="楷体_GB2312" w:eastAsia="楷体_GB2312" w:cs="楷体_GB2312"/>
          <w:b w:val="0"/>
          <w:bCs w:val="0"/>
          <w:color w:val="auto"/>
          <w:spacing w:val="0"/>
          <w:sz w:val="32"/>
          <w:szCs w:val="32"/>
          <w:highlight w:val="none"/>
          <w:u w:val="none"/>
        </w:rPr>
        <w:t>（六）</w:t>
      </w:r>
      <w:r>
        <w:rPr>
          <w:rFonts w:hint="default" w:ascii="楷体_GB2312" w:hAnsi="楷体_GB2312" w:eastAsia="楷体_GB2312" w:cs="楷体_GB2312"/>
          <w:b w:val="0"/>
          <w:bCs w:val="0"/>
          <w:color w:val="auto"/>
          <w:spacing w:val="0"/>
          <w:sz w:val="32"/>
          <w:szCs w:val="32"/>
          <w:highlight w:val="none"/>
          <w:u w:val="none"/>
        </w:rPr>
        <w:t>突出</w:t>
      </w:r>
      <w:r>
        <w:rPr>
          <w:rFonts w:hint="eastAsia" w:ascii="楷体_GB2312" w:hAnsi="楷体_GB2312" w:eastAsia="楷体_GB2312" w:cs="楷体_GB2312"/>
          <w:b w:val="0"/>
          <w:bCs w:val="0"/>
          <w:color w:val="auto"/>
          <w:spacing w:val="0"/>
          <w:sz w:val="32"/>
          <w:szCs w:val="32"/>
          <w:highlight w:val="none"/>
          <w:u w:val="none"/>
        </w:rPr>
        <w:t>医养结合机构建设项目补贴</w:t>
      </w:r>
      <w:r>
        <w:rPr>
          <w:rFonts w:hint="default" w:ascii="楷体_GB2312" w:hAnsi="楷体_GB2312" w:eastAsia="楷体_GB2312" w:cs="楷体_GB2312"/>
          <w:b w:val="0"/>
          <w:bCs w:val="0"/>
          <w:color w:val="auto"/>
          <w:spacing w:val="0"/>
          <w:sz w:val="32"/>
          <w:szCs w:val="32"/>
          <w:highlight w:val="none"/>
          <w:u w:val="none"/>
        </w:rPr>
        <w:t>力度</w:t>
      </w:r>
      <w:r>
        <w:rPr>
          <w:rFonts w:hint="eastAsia" w:ascii="楷体_GB2312" w:hAnsi="楷体_GB2312" w:eastAsia="楷体_GB2312" w:cs="楷体_GB2312"/>
          <w:b w:val="0"/>
          <w:bCs w:val="0"/>
          <w:color w:val="auto"/>
          <w:spacing w:val="0"/>
          <w:sz w:val="32"/>
          <w:szCs w:val="32"/>
          <w:highlight w:val="none"/>
          <w:u w:val="none"/>
        </w:rPr>
        <w:t>。</w:t>
      </w:r>
      <w:r>
        <w:rPr>
          <w:rFonts w:hint="default" w:ascii="Times New Roman" w:hAnsi="Times New Roman" w:eastAsia="仿宋_GB2312" w:cs="Times New Roman"/>
          <w:b w:val="0"/>
          <w:bCs w:val="0"/>
          <w:color w:val="auto"/>
          <w:spacing w:val="0"/>
          <w:sz w:val="32"/>
          <w:szCs w:val="32"/>
          <w:highlight w:val="none"/>
          <w:u w:val="none"/>
        </w:rPr>
        <w:t>由政府投资兴办的街道（乡镇）</w:t>
      </w:r>
      <w:r>
        <w:rPr>
          <w:rFonts w:hint="default" w:ascii="Times New Roman" w:hAnsi="Times New Roman" w:eastAsia="仿宋_GB2312" w:cs="Times New Roman"/>
          <w:color w:val="auto"/>
          <w:spacing w:val="0"/>
          <w:sz w:val="32"/>
          <w:szCs w:val="32"/>
          <w:highlight w:val="none"/>
          <w:u w:val="none"/>
        </w:rPr>
        <w:t>医疗卫生机构新建、改扩建医养结合机构的，设置床位20张以上的，由自治州财政</w:t>
      </w:r>
      <w:r>
        <w:rPr>
          <w:rFonts w:hint="default" w:ascii="Times New Roman" w:hAnsi="Times New Roman" w:eastAsia="仿宋_GB2312" w:cs="Times New Roman"/>
          <w:b w:val="0"/>
          <w:bCs w:val="0"/>
          <w:color w:val="auto"/>
          <w:spacing w:val="0"/>
          <w:sz w:val="32"/>
          <w:szCs w:val="32"/>
          <w:highlight w:val="none"/>
          <w:u w:val="none"/>
        </w:rPr>
        <w:t>一次性给予</w:t>
      </w:r>
      <w:r>
        <w:rPr>
          <w:rFonts w:hint="default" w:ascii="Times New Roman" w:hAnsi="Times New Roman" w:eastAsia="仿宋_GB2312" w:cs="Times New Roman"/>
          <w:color w:val="auto"/>
          <w:spacing w:val="0"/>
          <w:sz w:val="32"/>
          <w:szCs w:val="32"/>
          <w:highlight w:val="none"/>
          <w:u w:val="none"/>
        </w:rPr>
        <w:t>200万元建设项目补贴。2027年至2029年期间，纳入项目库管理，按照建设项目有关规定进行申报、审核。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方正黑体_GBK" w:hAnsi="方正黑体_GBK" w:eastAsia="方正黑体_GBK" w:cs="方正黑体_GBK"/>
          <w:b w:val="0"/>
          <w:bCs w:val="0"/>
          <w:color w:val="auto"/>
          <w:spacing w:val="0"/>
          <w:sz w:val="32"/>
          <w:szCs w:val="32"/>
          <w:highlight w:val="none"/>
          <w:u w:val="none"/>
        </w:rPr>
      </w:pPr>
      <w:r>
        <w:rPr>
          <w:rFonts w:hint="default" w:ascii="方正黑体_GBK" w:hAnsi="方正黑体_GBK" w:eastAsia="方正黑体_GBK" w:cs="方正黑体_GBK"/>
          <w:b w:val="0"/>
          <w:bCs w:val="0"/>
          <w:color w:val="auto"/>
          <w:spacing w:val="0"/>
          <w:sz w:val="32"/>
          <w:szCs w:val="32"/>
          <w:highlight w:val="none"/>
          <w:u w:val="none"/>
        </w:rPr>
        <w:t>三、</w:t>
      </w:r>
      <w:r>
        <w:rPr>
          <w:rFonts w:hint="eastAsia" w:ascii="方正黑体_GBK" w:hAnsi="方正黑体_GBK" w:eastAsia="方正黑体_GBK" w:cs="方正黑体_GBK"/>
          <w:b w:val="0"/>
          <w:bCs w:val="0"/>
          <w:color w:val="auto"/>
          <w:spacing w:val="0"/>
          <w:sz w:val="32"/>
          <w:szCs w:val="32"/>
          <w:highlight w:val="none"/>
          <w:u w:val="none"/>
        </w:rPr>
        <w:t>强化运营支持，提升服务</w:t>
      </w:r>
      <w:r>
        <w:rPr>
          <w:rFonts w:hint="default" w:ascii="方正黑体_GBK" w:hAnsi="方正黑体_GBK" w:eastAsia="方正黑体_GBK" w:cs="方正黑体_GBK"/>
          <w:b w:val="0"/>
          <w:bCs w:val="0"/>
          <w:color w:val="auto"/>
          <w:spacing w:val="0"/>
          <w:sz w:val="32"/>
          <w:szCs w:val="32"/>
          <w:highlight w:val="none"/>
          <w:u w:val="none"/>
        </w:rPr>
        <w:t>质</w:t>
      </w:r>
      <w:r>
        <w:rPr>
          <w:rFonts w:hint="eastAsia" w:ascii="方正黑体_GBK" w:hAnsi="方正黑体_GBK" w:eastAsia="方正黑体_GBK" w:cs="方正黑体_GBK"/>
          <w:b w:val="0"/>
          <w:bCs w:val="0"/>
          <w:color w:val="auto"/>
          <w:spacing w:val="0"/>
          <w:sz w:val="32"/>
          <w:szCs w:val="32"/>
          <w:highlight w:val="none"/>
          <w:u w:val="none"/>
        </w:rPr>
        <w:t>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b w:val="0"/>
          <w:bCs w:val="0"/>
          <w:color w:val="auto"/>
          <w:spacing w:val="0"/>
          <w:sz w:val="32"/>
          <w:szCs w:val="32"/>
          <w:highlight w:val="none"/>
          <w:u w:val="none"/>
        </w:rPr>
      </w:pPr>
      <w:r>
        <w:rPr>
          <w:rFonts w:hint="eastAsia" w:ascii="楷体_GB2312" w:hAnsi="楷体_GB2312" w:eastAsia="楷体_GB2312" w:cs="楷体_GB2312"/>
          <w:b w:val="0"/>
          <w:bCs w:val="0"/>
          <w:color w:val="auto"/>
          <w:spacing w:val="0"/>
          <w:sz w:val="32"/>
          <w:szCs w:val="32"/>
          <w:highlight w:val="none"/>
          <w:u w:val="none"/>
        </w:rPr>
        <w:t>（七）落实养老机构运营</w:t>
      </w:r>
      <w:r>
        <w:rPr>
          <w:rFonts w:hint="default" w:ascii="楷体_GB2312" w:hAnsi="楷体_GB2312" w:eastAsia="楷体_GB2312" w:cs="楷体_GB2312"/>
          <w:b w:val="0"/>
          <w:bCs w:val="0"/>
          <w:color w:val="auto"/>
          <w:spacing w:val="0"/>
          <w:sz w:val="32"/>
          <w:szCs w:val="32"/>
          <w:highlight w:val="none"/>
          <w:u w:val="none"/>
        </w:rPr>
        <w:t>补贴。</w:t>
      </w:r>
      <w:r>
        <w:rPr>
          <w:rFonts w:hint="default" w:ascii="Times New Roman" w:hAnsi="Times New Roman" w:eastAsia="仿宋_GB2312" w:cs="Times New Roman"/>
          <w:color w:val="auto"/>
          <w:spacing w:val="0"/>
          <w:sz w:val="32"/>
          <w:szCs w:val="32"/>
          <w:highlight w:val="none"/>
          <w:u w:val="none"/>
        </w:rPr>
        <w:t>对公建民营、民办养老机构</w:t>
      </w:r>
      <w:r>
        <w:rPr>
          <w:rFonts w:hint="default" w:ascii="Times New Roman" w:hAnsi="Times New Roman" w:eastAsia="仿宋_GB2312" w:cs="Times New Roman"/>
          <w:b w:val="0"/>
          <w:bCs w:val="0"/>
          <w:color w:val="auto"/>
          <w:spacing w:val="0"/>
          <w:sz w:val="32"/>
          <w:szCs w:val="32"/>
          <w:highlight w:val="none"/>
          <w:u w:val="none"/>
        </w:rPr>
        <w:t>核定</w:t>
      </w:r>
      <w:r>
        <w:rPr>
          <w:rFonts w:hint="default" w:ascii="Times New Roman" w:hAnsi="Times New Roman" w:eastAsia="仿宋_GB2312" w:cs="Times New Roman"/>
          <w:color w:val="auto"/>
          <w:spacing w:val="0"/>
          <w:sz w:val="32"/>
          <w:szCs w:val="32"/>
          <w:highlight w:val="none"/>
          <w:u w:val="none"/>
        </w:rPr>
        <w:t>床位30张（含）以上的，可申请基础补贴、浮动补贴。</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val="0"/>
          <w:bCs w:val="0"/>
          <w:color w:val="auto"/>
          <w:sz w:val="32"/>
          <w:szCs w:val="32"/>
          <w:u w:val="none"/>
          <w:lang w:eastAsia="zh-CN"/>
        </w:rPr>
      </w:pPr>
      <w:r>
        <w:rPr>
          <w:rFonts w:hint="eastAsia" w:ascii="仿宋_GB2312" w:hAnsi="仿宋_GB2312" w:eastAsia="仿宋_GB2312" w:cs="仿宋_GB2312"/>
          <w:b/>
          <w:bCs/>
          <w:color w:val="auto"/>
          <w:spacing w:val="0"/>
          <w:sz w:val="32"/>
          <w:szCs w:val="32"/>
          <w:highlight w:val="none"/>
          <w:u w:val="none"/>
        </w:rPr>
        <w:t>基础补贴。</w:t>
      </w:r>
      <w:r>
        <w:rPr>
          <w:rFonts w:hint="default" w:ascii="Times New Roman" w:hAnsi="Times New Roman" w:eastAsia="仿宋_GB2312" w:cs="Times New Roman"/>
          <w:color w:val="auto"/>
          <w:spacing w:val="0"/>
          <w:sz w:val="32"/>
          <w:szCs w:val="32"/>
          <w:highlight w:val="none"/>
          <w:u w:val="none"/>
          <w:lang w:eastAsia="zh-CN"/>
        </w:rPr>
        <w:t>入住</w:t>
      </w:r>
      <w:r>
        <w:rPr>
          <w:rFonts w:hint="default" w:ascii="Times New Roman" w:hAnsi="Times New Roman" w:eastAsia="仿宋_GB2312" w:cs="Times New Roman"/>
          <w:color w:val="auto"/>
          <w:spacing w:val="0"/>
          <w:sz w:val="32"/>
          <w:szCs w:val="32"/>
          <w:highlight w:val="none"/>
          <w:u w:val="none"/>
        </w:rPr>
        <w:t>老年人按照收住的中度、重度和完全失能老年人能</w:t>
      </w:r>
      <w:r>
        <w:rPr>
          <w:rFonts w:hint="default" w:ascii="Times New Roman" w:hAnsi="Times New Roman" w:eastAsia="仿宋_GB2312" w:cs="Times New Roman"/>
          <w:color w:val="auto"/>
          <w:spacing w:val="-6"/>
          <w:sz w:val="32"/>
          <w:szCs w:val="32"/>
          <w:highlight w:val="none"/>
          <w:u w:val="none"/>
        </w:rPr>
        <w:t>力等级</w:t>
      </w:r>
      <w:r>
        <w:rPr>
          <w:rFonts w:hint="default" w:ascii="Times New Roman" w:hAnsi="Times New Roman" w:eastAsia="仿宋_GB2312" w:cs="Times New Roman"/>
          <w:color w:val="auto"/>
          <w:spacing w:val="-6"/>
          <w:sz w:val="32"/>
          <w:szCs w:val="32"/>
          <w:highlight w:val="none"/>
          <w:u w:val="none"/>
          <w:lang w:eastAsia="zh-CN"/>
        </w:rPr>
        <w:t>给予基础补贴，</w:t>
      </w:r>
      <w:r>
        <w:rPr>
          <w:rFonts w:hint="default" w:ascii="Times New Roman" w:hAnsi="Times New Roman" w:eastAsia="仿宋_GB2312" w:cs="Times New Roman"/>
          <w:color w:val="auto"/>
          <w:spacing w:val="-6"/>
          <w:sz w:val="32"/>
          <w:szCs w:val="32"/>
          <w:highlight w:val="none"/>
          <w:u w:val="none"/>
        </w:rPr>
        <w:t>分别按照</w:t>
      </w:r>
      <w:r>
        <w:rPr>
          <w:rFonts w:hint="default" w:ascii="Times New Roman" w:hAnsi="Times New Roman" w:eastAsia="仿宋_GB2312" w:cs="Times New Roman"/>
          <w:b w:val="0"/>
          <w:bCs w:val="0"/>
          <w:color w:val="auto"/>
          <w:spacing w:val="-6"/>
          <w:sz w:val="32"/>
          <w:szCs w:val="32"/>
          <w:highlight w:val="none"/>
          <w:u w:val="none"/>
        </w:rPr>
        <w:t>每人每月</w:t>
      </w:r>
      <w:r>
        <w:rPr>
          <w:rFonts w:hint="default" w:ascii="Times New Roman" w:hAnsi="Times New Roman" w:eastAsia="仿宋_GB2312" w:cs="Times New Roman"/>
          <w:b w:val="0"/>
          <w:bCs w:val="0"/>
          <w:color w:val="auto"/>
          <w:spacing w:val="-6"/>
          <w:sz w:val="32"/>
          <w:szCs w:val="32"/>
          <w:highlight w:val="none"/>
          <w:u w:val="none"/>
          <w:lang w:val="en-US" w:eastAsia="zh-CN"/>
        </w:rPr>
        <w:t>80元、100元、120</w:t>
      </w:r>
      <w:r>
        <w:rPr>
          <w:rFonts w:hint="default" w:ascii="Times New Roman" w:hAnsi="Times New Roman" w:eastAsia="仿宋_GB2312" w:cs="Times New Roman"/>
          <w:b w:val="0"/>
          <w:bCs w:val="0"/>
          <w:color w:val="auto"/>
          <w:spacing w:val="-6"/>
          <w:sz w:val="32"/>
          <w:szCs w:val="32"/>
          <w:highlight w:val="none"/>
          <w:u w:val="none"/>
        </w:rPr>
        <w:t>元</w:t>
      </w:r>
      <w:r>
        <w:rPr>
          <w:rFonts w:hint="default" w:ascii="Times New Roman" w:hAnsi="Times New Roman" w:eastAsia="仿宋_GB2312" w:cs="Times New Roman"/>
          <w:color w:val="auto"/>
          <w:spacing w:val="-6"/>
          <w:sz w:val="32"/>
          <w:szCs w:val="32"/>
          <w:highlight w:val="none"/>
          <w:u w:val="none"/>
        </w:rPr>
        <w:t>进行差异化补贴</w:t>
      </w:r>
      <w:r>
        <w:rPr>
          <w:rFonts w:hint="default" w:ascii="Times New Roman" w:hAnsi="Times New Roman" w:eastAsia="仿宋_GB2312" w:cs="Times New Roman"/>
          <w:color w:val="auto"/>
          <w:spacing w:val="-6"/>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所需经费由自治区财政和</w:t>
      </w:r>
      <w:r>
        <w:rPr>
          <w:rFonts w:hint="default" w:ascii="Times New Roman" w:hAnsi="Times New Roman" w:eastAsia="仿宋_GB2312" w:cs="Times New Roman"/>
          <w:b w:val="0"/>
          <w:bCs w:val="0"/>
          <w:color w:val="auto"/>
          <w:sz w:val="32"/>
          <w:szCs w:val="32"/>
          <w:u w:val="none"/>
          <w:lang w:val="en-US" w:eastAsia="zh-CN"/>
        </w:rPr>
        <w:t>养老机构</w:t>
      </w:r>
      <w:r>
        <w:rPr>
          <w:rFonts w:hint="default" w:ascii="Times New Roman" w:hAnsi="Times New Roman" w:eastAsia="仿宋_GB2312" w:cs="Times New Roman"/>
          <w:b w:val="0"/>
          <w:bCs w:val="0"/>
          <w:color w:val="auto"/>
          <w:sz w:val="32"/>
          <w:szCs w:val="32"/>
          <w:u w:val="none"/>
          <w:lang w:eastAsia="zh-CN"/>
        </w:rPr>
        <w:t>备案</w:t>
      </w:r>
      <w:r>
        <w:rPr>
          <w:rFonts w:hint="default" w:ascii="Times New Roman" w:hAnsi="Times New Roman" w:eastAsia="仿宋_GB2312" w:cs="Times New Roman"/>
          <w:b w:val="0"/>
          <w:bCs w:val="0"/>
          <w:color w:val="auto"/>
          <w:sz w:val="32"/>
          <w:szCs w:val="32"/>
          <w:u w:val="none"/>
          <w:lang w:val="en-US" w:eastAsia="zh-CN"/>
        </w:rPr>
        <w:t>所属</w:t>
      </w:r>
      <w:r>
        <w:rPr>
          <w:rFonts w:hint="default" w:ascii="Times New Roman" w:hAnsi="Times New Roman" w:eastAsia="仿宋_GB2312" w:cs="Times New Roman"/>
          <w:b w:val="0"/>
          <w:bCs w:val="0"/>
          <w:color w:val="auto"/>
          <w:spacing w:val="0"/>
          <w:sz w:val="32"/>
          <w:szCs w:val="32"/>
          <w:highlight w:val="none"/>
          <w:u w:val="none"/>
        </w:rPr>
        <w:t>地（州或县市）</w:t>
      </w:r>
      <w:r>
        <w:rPr>
          <w:rFonts w:hint="default" w:ascii="Times New Roman" w:hAnsi="Times New Roman" w:eastAsia="仿宋_GB2312" w:cs="Times New Roman"/>
          <w:b w:val="0"/>
          <w:bCs w:val="0"/>
          <w:color w:val="auto"/>
          <w:sz w:val="32"/>
          <w:szCs w:val="32"/>
          <w:u w:val="none"/>
          <w:lang w:val="en-US" w:eastAsia="zh-CN"/>
        </w:rPr>
        <w:t>财政各承担50%</w:t>
      </w:r>
      <w:r>
        <w:rPr>
          <w:rFonts w:hint="default" w:ascii="Times New Roman" w:hAnsi="Times New Roman" w:eastAsia="仿宋_GB2312" w:cs="Times New Roman"/>
          <w:b w:val="0"/>
          <w:bCs w:val="0"/>
          <w:color w:val="auto"/>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val="0"/>
          <w:bCs w:val="0"/>
          <w:color w:val="auto"/>
          <w:spacing w:val="0"/>
          <w:sz w:val="32"/>
          <w:szCs w:val="32"/>
          <w:highlight w:val="none"/>
          <w:u w:val="none"/>
          <w:lang w:eastAsia="zh-CN"/>
        </w:rPr>
      </w:pPr>
      <w:r>
        <w:rPr>
          <w:rFonts w:hint="eastAsia" w:ascii="仿宋_GB2312" w:hAnsi="仿宋_GB2312" w:eastAsia="仿宋_GB2312" w:cs="仿宋_GB2312"/>
          <w:b/>
          <w:bCs/>
          <w:color w:val="auto"/>
          <w:spacing w:val="0"/>
          <w:sz w:val="32"/>
          <w:szCs w:val="32"/>
          <w:highlight w:val="none"/>
          <w:u w:val="none"/>
        </w:rPr>
        <w:t>浮动补贴。</w:t>
      </w:r>
      <w:r>
        <w:rPr>
          <w:rFonts w:hint="default" w:ascii="Times New Roman" w:hAnsi="Times New Roman" w:eastAsia="仿宋_GB2312" w:cs="Times New Roman"/>
          <w:b w:val="0"/>
          <w:bCs w:val="0"/>
          <w:color w:val="auto"/>
          <w:spacing w:val="0"/>
          <w:sz w:val="32"/>
          <w:szCs w:val="32"/>
          <w:highlight w:val="none"/>
          <w:u w:val="none"/>
        </w:rPr>
        <w:t>对</w:t>
      </w:r>
      <w:r>
        <w:rPr>
          <w:rFonts w:hint="default" w:ascii="Times New Roman" w:hAnsi="Times New Roman" w:eastAsia="仿宋_GB2312" w:cs="Times New Roman"/>
          <w:b w:val="0"/>
          <w:bCs w:val="0"/>
          <w:color w:val="auto"/>
          <w:spacing w:val="0"/>
          <w:sz w:val="32"/>
          <w:szCs w:val="32"/>
          <w:highlight w:val="none"/>
          <w:u w:val="none"/>
          <w:lang w:eastAsia="zh-CN"/>
        </w:rPr>
        <w:t>认定为普惠支持型养老机构且</w:t>
      </w:r>
      <w:r>
        <w:rPr>
          <w:rFonts w:hint="default" w:ascii="Times New Roman" w:hAnsi="Times New Roman" w:eastAsia="仿宋_GB2312" w:cs="Times New Roman"/>
          <w:b w:val="0"/>
          <w:bCs w:val="0"/>
          <w:color w:val="auto"/>
          <w:spacing w:val="0"/>
          <w:sz w:val="32"/>
          <w:szCs w:val="32"/>
          <w:highlight w:val="none"/>
          <w:u w:val="none"/>
        </w:rPr>
        <w:t>评定为一级至五级的</w:t>
      </w:r>
      <w:r>
        <w:rPr>
          <w:rFonts w:hint="default" w:ascii="Times New Roman" w:hAnsi="Times New Roman" w:eastAsia="仿宋_GB2312" w:cs="Times New Roman"/>
          <w:color w:val="auto"/>
          <w:spacing w:val="0"/>
          <w:sz w:val="32"/>
          <w:szCs w:val="32"/>
          <w:highlight w:val="none"/>
          <w:u w:val="none"/>
        </w:rPr>
        <w:t>，</w:t>
      </w:r>
      <w:r>
        <w:rPr>
          <w:rFonts w:hint="default" w:ascii="Times New Roman" w:hAnsi="Times New Roman" w:eastAsia="仿宋_GB2312" w:cs="Times New Roman"/>
          <w:color w:val="auto"/>
          <w:spacing w:val="0"/>
          <w:sz w:val="32"/>
          <w:szCs w:val="32"/>
          <w:highlight w:val="none"/>
          <w:u w:val="none"/>
          <w:lang w:eastAsia="zh-CN"/>
        </w:rPr>
        <w:t>在对收住</w:t>
      </w:r>
      <w:r>
        <w:rPr>
          <w:rFonts w:hint="default" w:ascii="Times New Roman" w:hAnsi="Times New Roman" w:eastAsia="仿宋_GB2312" w:cs="Times New Roman"/>
          <w:color w:val="auto"/>
          <w:spacing w:val="0"/>
          <w:sz w:val="32"/>
          <w:szCs w:val="32"/>
          <w:highlight w:val="none"/>
          <w:u w:val="none"/>
        </w:rPr>
        <w:t>中度以上失能老年人</w:t>
      </w:r>
      <w:r>
        <w:rPr>
          <w:rFonts w:hint="default" w:ascii="Times New Roman" w:hAnsi="Times New Roman" w:eastAsia="仿宋_GB2312" w:cs="Times New Roman"/>
          <w:color w:val="auto"/>
          <w:spacing w:val="0"/>
          <w:sz w:val="32"/>
          <w:szCs w:val="32"/>
          <w:highlight w:val="none"/>
          <w:u w:val="none"/>
          <w:lang w:eastAsia="zh-CN"/>
        </w:rPr>
        <w:t>基础补贴上给予浮动补贴</w:t>
      </w:r>
      <w:r>
        <w:rPr>
          <w:rFonts w:hint="default" w:ascii="Times New Roman" w:hAnsi="Times New Roman" w:eastAsia="仿宋_GB2312" w:cs="Times New Roman"/>
          <w:color w:val="auto"/>
          <w:spacing w:val="0"/>
          <w:sz w:val="32"/>
          <w:szCs w:val="32"/>
          <w:highlight w:val="none"/>
          <w:u w:val="none"/>
        </w:rPr>
        <w:t>，分别按照</w:t>
      </w:r>
      <w:r>
        <w:rPr>
          <w:rFonts w:hint="default" w:ascii="Times New Roman" w:hAnsi="Times New Roman" w:eastAsia="仿宋_GB2312" w:cs="Times New Roman"/>
          <w:b w:val="0"/>
          <w:bCs w:val="0"/>
          <w:color w:val="auto"/>
          <w:spacing w:val="0"/>
          <w:sz w:val="32"/>
          <w:szCs w:val="32"/>
          <w:highlight w:val="none"/>
          <w:u w:val="none"/>
        </w:rPr>
        <w:t>评定为一级养老机构的</w:t>
      </w:r>
      <w:r>
        <w:rPr>
          <w:rFonts w:hint="default" w:ascii="Times New Roman" w:hAnsi="Times New Roman" w:eastAsia="仿宋_GB2312" w:cs="Times New Roman"/>
          <w:color w:val="auto"/>
          <w:spacing w:val="0"/>
          <w:sz w:val="32"/>
          <w:szCs w:val="32"/>
          <w:highlight w:val="none"/>
          <w:u w:val="none"/>
        </w:rPr>
        <w:t>每人每月10元、</w:t>
      </w:r>
      <w:r>
        <w:rPr>
          <w:rFonts w:hint="default" w:ascii="Times New Roman" w:hAnsi="Times New Roman" w:eastAsia="仿宋_GB2312" w:cs="Times New Roman"/>
          <w:b w:val="0"/>
          <w:bCs w:val="0"/>
          <w:color w:val="auto"/>
          <w:spacing w:val="0"/>
          <w:sz w:val="32"/>
          <w:szCs w:val="32"/>
          <w:highlight w:val="none"/>
          <w:u w:val="none"/>
        </w:rPr>
        <w:t>评定为二级养老机构的</w:t>
      </w:r>
      <w:r>
        <w:rPr>
          <w:rFonts w:hint="default" w:ascii="Times New Roman" w:hAnsi="Times New Roman" w:eastAsia="仿宋_GB2312" w:cs="Times New Roman"/>
          <w:color w:val="auto"/>
          <w:spacing w:val="0"/>
          <w:sz w:val="32"/>
          <w:szCs w:val="32"/>
          <w:highlight w:val="none"/>
          <w:u w:val="none"/>
        </w:rPr>
        <w:t>每人每月20元、</w:t>
      </w:r>
      <w:r>
        <w:rPr>
          <w:rFonts w:hint="default" w:ascii="Times New Roman" w:hAnsi="Times New Roman" w:eastAsia="仿宋_GB2312" w:cs="Times New Roman"/>
          <w:b w:val="0"/>
          <w:bCs w:val="0"/>
          <w:color w:val="auto"/>
          <w:spacing w:val="0"/>
          <w:sz w:val="32"/>
          <w:szCs w:val="32"/>
          <w:highlight w:val="none"/>
          <w:u w:val="none"/>
        </w:rPr>
        <w:t>评定为三级养老机构的</w:t>
      </w:r>
      <w:r>
        <w:rPr>
          <w:rFonts w:hint="default" w:ascii="Times New Roman" w:hAnsi="Times New Roman" w:eastAsia="仿宋_GB2312" w:cs="Times New Roman"/>
          <w:color w:val="auto"/>
          <w:spacing w:val="0"/>
          <w:sz w:val="32"/>
          <w:szCs w:val="32"/>
          <w:highlight w:val="none"/>
          <w:u w:val="none"/>
        </w:rPr>
        <w:t>每人每月30元、</w:t>
      </w:r>
      <w:r>
        <w:rPr>
          <w:rFonts w:hint="default" w:ascii="Times New Roman" w:hAnsi="Times New Roman" w:eastAsia="仿宋_GB2312" w:cs="Times New Roman"/>
          <w:b w:val="0"/>
          <w:bCs w:val="0"/>
          <w:color w:val="auto"/>
          <w:spacing w:val="0"/>
          <w:sz w:val="32"/>
          <w:szCs w:val="32"/>
          <w:highlight w:val="none"/>
          <w:u w:val="none"/>
        </w:rPr>
        <w:t>评定为四级养老机构的</w:t>
      </w:r>
      <w:r>
        <w:rPr>
          <w:rFonts w:hint="default" w:ascii="Times New Roman" w:hAnsi="Times New Roman" w:eastAsia="仿宋_GB2312" w:cs="Times New Roman"/>
          <w:color w:val="auto"/>
          <w:spacing w:val="0"/>
          <w:sz w:val="32"/>
          <w:szCs w:val="32"/>
          <w:highlight w:val="none"/>
          <w:u w:val="none"/>
        </w:rPr>
        <w:t>每人每月40元、</w:t>
      </w:r>
      <w:r>
        <w:rPr>
          <w:rFonts w:hint="default" w:ascii="Times New Roman" w:hAnsi="Times New Roman" w:eastAsia="仿宋_GB2312" w:cs="Times New Roman"/>
          <w:b w:val="0"/>
          <w:bCs w:val="0"/>
          <w:color w:val="auto"/>
          <w:spacing w:val="0"/>
          <w:sz w:val="32"/>
          <w:szCs w:val="32"/>
          <w:highlight w:val="none"/>
          <w:u w:val="none"/>
        </w:rPr>
        <w:t>评定为五级养老机构的</w:t>
      </w:r>
      <w:r>
        <w:rPr>
          <w:rFonts w:hint="default" w:ascii="Times New Roman" w:hAnsi="Times New Roman" w:eastAsia="仿宋_GB2312" w:cs="Times New Roman"/>
          <w:color w:val="auto"/>
          <w:spacing w:val="0"/>
          <w:sz w:val="32"/>
          <w:szCs w:val="32"/>
          <w:highlight w:val="none"/>
          <w:u w:val="none"/>
        </w:rPr>
        <w:t>每人每月50元进行补贴。</w:t>
      </w:r>
      <w:r>
        <w:rPr>
          <w:rFonts w:hint="default" w:ascii="Times New Roman" w:hAnsi="Times New Roman" w:eastAsia="仿宋_GB2312" w:cs="Times New Roman"/>
          <w:b w:val="0"/>
          <w:bCs w:val="0"/>
          <w:color w:val="auto"/>
          <w:spacing w:val="0"/>
          <w:sz w:val="32"/>
          <w:szCs w:val="32"/>
          <w:highlight w:val="none"/>
          <w:u w:val="none"/>
          <w:lang w:eastAsia="zh-CN"/>
        </w:rPr>
        <w:t>资金由</w:t>
      </w:r>
      <w:r>
        <w:rPr>
          <w:rFonts w:hint="default" w:ascii="Times New Roman" w:hAnsi="Times New Roman" w:eastAsia="仿宋_GB2312" w:cs="Times New Roman"/>
          <w:b w:val="0"/>
          <w:bCs w:val="0"/>
          <w:color w:val="auto"/>
          <w:spacing w:val="0"/>
          <w:sz w:val="32"/>
          <w:szCs w:val="32"/>
          <w:highlight w:val="none"/>
          <w:u w:val="none"/>
        </w:rPr>
        <w:t>自治州</w:t>
      </w:r>
      <w:r>
        <w:rPr>
          <w:rFonts w:hint="default" w:ascii="Times New Roman" w:hAnsi="Times New Roman" w:eastAsia="仿宋_GB2312" w:cs="Times New Roman"/>
          <w:b w:val="0"/>
          <w:bCs w:val="0"/>
          <w:color w:val="auto"/>
          <w:sz w:val="32"/>
          <w:szCs w:val="32"/>
          <w:u w:val="none"/>
          <w:lang w:val="en-US" w:eastAsia="zh-CN"/>
        </w:rPr>
        <w:t>财政</w:t>
      </w:r>
      <w:r>
        <w:rPr>
          <w:rFonts w:hint="default" w:ascii="Times New Roman" w:hAnsi="Times New Roman" w:eastAsia="仿宋_GB2312" w:cs="Times New Roman"/>
          <w:b w:val="0"/>
          <w:bCs w:val="0"/>
          <w:color w:val="auto"/>
          <w:spacing w:val="0"/>
          <w:sz w:val="32"/>
          <w:szCs w:val="32"/>
          <w:highlight w:val="none"/>
          <w:u w:val="none"/>
          <w:lang w:eastAsia="zh-CN"/>
        </w:rPr>
        <w:t>承担。</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150"/>
        <w:jc w:val="both"/>
        <w:textAlignment w:val="auto"/>
        <w:rPr>
          <w:rFonts w:hint="default" w:ascii="Times New Roman" w:hAnsi="Times New Roman" w:eastAsia="仿宋_GB2312" w:cs="Times New Roman"/>
          <w:b w:val="0"/>
          <w:bCs w:val="0"/>
          <w:color w:val="auto"/>
          <w:spacing w:val="0"/>
          <w:sz w:val="32"/>
          <w:szCs w:val="32"/>
          <w:highlight w:val="none"/>
          <w:u w:val="none"/>
        </w:rPr>
      </w:pPr>
      <w:r>
        <w:rPr>
          <w:rFonts w:hint="eastAsia" w:ascii="楷体_GB2312" w:hAnsi="楷体_GB2312" w:eastAsia="楷体_GB2312" w:cs="楷体_GB2312"/>
          <w:color w:val="auto"/>
          <w:spacing w:val="0"/>
          <w:sz w:val="32"/>
          <w:szCs w:val="32"/>
          <w:highlight w:val="none"/>
          <w:u w:val="none"/>
          <w:lang w:eastAsia="zh-CN"/>
        </w:rPr>
        <w:t>（</w:t>
      </w:r>
      <w:r>
        <w:rPr>
          <w:rFonts w:hint="default" w:ascii="楷体_GB2312" w:hAnsi="楷体_GB2312" w:eastAsia="楷体_GB2312" w:cs="楷体_GB2312"/>
          <w:color w:val="auto"/>
          <w:spacing w:val="0"/>
          <w:sz w:val="32"/>
          <w:szCs w:val="32"/>
          <w:highlight w:val="none"/>
          <w:u w:val="none"/>
          <w:lang w:eastAsia="zh-CN"/>
        </w:rPr>
        <w:t>八</w:t>
      </w:r>
      <w:r>
        <w:rPr>
          <w:rFonts w:hint="eastAsia" w:ascii="楷体_GB2312" w:hAnsi="楷体_GB2312" w:eastAsia="楷体_GB2312" w:cs="楷体_GB2312"/>
          <w:color w:val="auto"/>
          <w:spacing w:val="0"/>
          <w:sz w:val="32"/>
          <w:szCs w:val="32"/>
          <w:highlight w:val="none"/>
          <w:u w:val="none"/>
          <w:lang w:eastAsia="zh-CN"/>
        </w:rPr>
        <w:t>）</w:t>
      </w:r>
      <w:r>
        <w:rPr>
          <w:rFonts w:hint="default" w:ascii="楷体_GB2312" w:hAnsi="楷体_GB2312" w:eastAsia="楷体_GB2312" w:cs="楷体_GB2312"/>
          <w:color w:val="auto"/>
          <w:spacing w:val="0"/>
          <w:sz w:val="32"/>
          <w:szCs w:val="32"/>
          <w:highlight w:val="none"/>
          <w:u w:val="none"/>
          <w:lang w:eastAsia="zh-CN"/>
        </w:rPr>
        <w:t>完善</w:t>
      </w:r>
      <w:r>
        <w:rPr>
          <w:rFonts w:hint="eastAsia" w:ascii="楷体_GB2312" w:hAnsi="楷体_GB2312" w:eastAsia="楷体_GB2312" w:cs="楷体_GB2312"/>
          <w:color w:val="auto"/>
          <w:spacing w:val="0"/>
          <w:sz w:val="32"/>
          <w:szCs w:val="32"/>
          <w:highlight w:val="none"/>
          <w:u w:val="none"/>
          <w:lang w:eastAsia="zh-CN"/>
        </w:rPr>
        <w:t>养老机构等级评定补贴。</w:t>
      </w:r>
      <w:r>
        <w:rPr>
          <w:rFonts w:hint="default" w:ascii="Times New Roman" w:hAnsi="Times New Roman" w:eastAsia="仿宋_GB2312" w:cs="Times New Roman"/>
          <w:b w:val="0"/>
          <w:bCs w:val="0"/>
          <w:color w:val="auto"/>
          <w:spacing w:val="0"/>
          <w:sz w:val="32"/>
          <w:szCs w:val="32"/>
          <w:highlight w:val="none"/>
          <w:u w:val="none"/>
          <w:lang w:eastAsia="zh-CN"/>
        </w:rPr>
        <w:t>对</w:t>
      </w:r>
      <w:r>
        <w:rPr>
          <w:rFonts w:hint="default" w:ascii="Times New Roman" w:hAnsi="Times New Roman" w:eastAsia="仿宋_GB2312" w:cs="Times New Roman"/>
          <w:b w:val="0"/>
          <w:bCs w:val="0"/>
          <w:color w:val="auto"/>
          <w:spacing w:val="0"/>
          <w:sz w:val="32"/>
          <w:szCs w:val="32"/>
          <w:highlight w:val="none"/>
          <w:u w:val="none"/>
          <w:lang w:val="en-US" w:eastAsia="zh-CN"/>
        </w:rPr>
        <w:t>自愿申请参加养老机构等级评定</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lang w:val="en-US" w:eastAsia="zh-CN"/>
        </w:rPr>
        <w:t>根据</w:t>
      </w:r>
      <w:r>
        <w:rPr>
          <w:rFonts w:hint="default" w:ascii="Times New Roman" w:hAnsi="Times New Roman" w:eastAsia="仿宋_GB2312" w:cs="Times New Roman"/>
          <w:b w:val="0"/>
          <w:bCs w:val="0"/>
          <w:color w:val="auto"/>
          <w:spacing w:val="0"/>
          <w:sz w:val="32"/>
          <w:szCs w:val="32"/>
          <w:highlight w:val="none"/>
          <w:u w:val="none"/>
        </w:rPr>
        <w:t>国家《养老机构等级划分与评定</w:t>
      </w:r>
      <w:r>
        <w:rPr>
          <w:rFonts w:hint="default" w:ascii="Times New Roman" w:hAnsi="Times New Roman" w:eastAsia="仿宋_GB2312" w:cs="Times New Roman"/>
          <w:b w:val="0"/>
          <w:bCs w:val="0"/>
          <w:color w:val="auto"/>
          <w:spacing w:val="0"/>
          <w:sz w:val="32"/>
          <w:szCs w:val="32"/>
          <w:highlight w:val="none"/>
          <w:u w:val="none"/>
          <w:lang w:val="en-US" w:eastAsia="zh-CN"/>
        </w:rPr>
        <w:t>标准</w:t>
      </w:r>
      <w:r>
        <w:rPr>
          <w:rFonts w:hint="default" w:ascii="Times New Roman" w:hAnsi="Times New Roman" w:eastAsia="仿宋_GB2312" w:cs="Times New Roman"/>
          <w:b w:val="0"/>
          <w:bCs w:val="0"/>
          <w:color w:val="auto"/>
          <w:spacing w:val="0"/>
          <w:sz w:val="32"/>
          <w:szCs w:val="32"/>
          <w:highlight w:val="none"/>
          <w:u w:val="none"/>
        </w:rPr>
        <w:t>》（GB/T 37276-2018）进行评分，</w:t>
      </w:r>
      <w:r>
        <w:rPr>
          <w:rFonts w:hint="default" w:ascii="Times New Roman" w:hAnsi="Times New Roman" w:eastAsia="仿宋_GB2312" w:cs="Times New Roman"/>
          <w:b w:val="0"/>
          <w:bCs w:val="0"/>
          <w:color w:val="auto"/>
          <w:spacing w:val="0"/>
          <w:sz w:val="32"/>
          <w:szCs w:val="32"/>
          <w:highlight w:val="none"/>
          <w:u w:val="none"/>
          <w:lang w:val="en-US" w:eastAsia="zh-CN"/>
        </w:rPr>
        <w:t>经自治区</w:t>
      </w:r>
      <w:r>
        <w:rPr>
          <w:rFonts w:hint="default" w:ascii="Times New Roman" w:hAnsi="Times New Roman" w:eastAsia="仿宋_GB2312" w:cs="Times New Roman"/>
          <w:b w:val="0"/>
          <w:bCs w:val="0"/>
          <w:color w:val="auto"/>
          <w:spacing w:val="0"/>
          <w:sz w:val="32"/>
          <w:szCs w:val="32"/>
          <w:highlight w:val="none"/>
          <w:u w:val="none"/>
          <w:lang w:eastAsia="zh-CN"/>
        </w:rPr>
        <w:t>、州</w:t>
      </w:r>
      <w:r>
        <w:rPr>
          <w:rFonts w:hint="default" w:ascii="Times New Roman" w:hAnsi="Times New Roman" w:eastAsia="仿宋_GB2312" w:cs="Times New Roman"/>
          <w:b w:val="0"/>
          <w:bCs w:val="0"/>
          <w:color w:val="auto"/>
          <w:spacing w:val="0"/>
          <w:sz w:val="32"/>
          <w:szCs w:val="32"/>
          <w:highlight w:val="none"/>
          <w:u w:val="none"/>
          <w:lang w:val="en-US" w:eastAsia="zh-CN"/>
        </w:rPr>
        <w:t>养老机构等级评定委员会评定为</w:t>
      </w:r>
      <w:r>
        <w:rPr>
          <w:rFonts w:hint="default" w:ascii="Times New Roman" w:hAnsi="Times New Roman" w:eastAsia="仿宋_GB2312" w:cs="Times New Roman"/>
          <w:b w:val="0"/>
          <w:bCs w:val="0"/>
          <w:color w:val="auto"/>
          <w:spacing w:val="0"/>
          <w:sz w:val="32"/>
          <w:szCs w:val="32"/>
          <w:highlight w:val="none"/>
          <w:u w:val="none"/>
        </w:rPr>
        <w:t>一级、二级、三级、四级和五级</w:t>
      </w:r>
      <w:r>
        <w:rPr>
          <w:rFonts w:hint="default" w:ascii="Times New Roman" w:hAnsi="Times New Roman" w:eastAsia="仿宋_GB2312" w:cs="Times New Roman"/>
          <w:b w:val="0"/>
          <w:bCs w:val="0"/>
          <w:color w:val="auto"/>
          <w:spacing w:val="0"/>
          <w:sz w:val="32"/>
          <w:szCs w:val="32"/>
          <w:highlight w:val="none"/>
          <w:u w:val="none"/>
          <w:lang w:val="en-US" w:eastAsia="zh-CN"/>
        </w:rPr>
        <w:t>的养老机构。</w:t>
      </w:r>
      <w:r>
        <w:rPr>
          <w:rFonts w:hint="default" w:ascii="Times New Roman" w:hAnsi="Times New Roman" w:eastAsia="仿宋_GB2312" w:cs="Times New Roman"/>
          <w:b w:val="0"/>
          <w:bCs w:val="0"/>
          <w:color w:val="auto"/>
          <w:spacing w:val="0"/>
          <w:sz w:val="32"/>
          <w:szCs w:val="32"/>
          <w:highlight w:val="none"/>
          <w:u w:val="none"/>
        </w:rPr>
        <w:t>按照评定结果对相关养老</w:t>
      </w:r>
      <w:r>
        <w:rPr>
          <w:rFonts w:hint="default" w:ascii="Times New Roman" w:hAnsi="Times New Roman" w:eastAsia="仿宋_GB2312" w:cs="Times New Roman"/>
          <w:b w:val="0"/>
          <w:bCs w:val="0"/>
          <w:color w:val="auto"/>
          <w:spacing w:val="0"/>
          <w:sz w:val="32"/>
          <w:szCs w:val="32"/>
          <w:highlight w:val="none"/>
          <w:u w:val="none"/>
          <w:lang w:val="en-US" w:eastAsia="zh-CN"/>
        </w:rPr>
        <w:t>机构</w:t>
      </w:r>
      <w:r>
        <w:rPr>
          <w:rFonts w:hint="default" w:ascii="Times New Roman" w:hAnsi="Times New Roman" w:eastAsia="仿宋_GB2312" w:cs="Times New Roman"/>
          <w:b w:val="0"/>
          <w:bCs w:val="0"/>
          <w:color w:val="auto"/>
          <w:spacing w:val="0"/>
          <w:sz w:val="32"/>
          <w:szCs w:val="32"/>
          <w:highlight w:val="none"/>
          <w:u w:val="none"/>
        </w:rPr>
        <w:t>进行</w:t>
      </w:r>
      <w:r>
        <w:rPr>
          <w:rFonts w:hint="default" w:ascii="Times New Roman" w:hAnsi="Times New Roman" w:eastAsia="仿宋_GB2312" w:cs="Times New Roman"/>
          <w:b w:val="0"/>
          <w:bCs w:val="0"/>
          <w:color w:val="auto"/>
          <w:spacing w:val="0"/>
          <w:sz w:val="32"/>
          <w:szCs w:val="32"/>
          <w:highlight w:val="none"/>
          <w:u w:val="none"/>
          <w:lang w:val="en-US" w:eastAsia="zh-CN"/>
        </w:rPr>
        <w:t>一次性</w:t>
      </w:r>
      <w:r>
        <w:rPr>
          <w:rFonts w:hint="default" w:ascii="Times New Roman" w:hAnsi="Times New Roman" w:eastAsia="仿宋_GB2312" w:cs="Times New Roman"/>
          <w:b w:val="0"/>
          <w:bCs w:val="0"/>
          <w:color w:val="auto"/>
          <w:spacing w:val="0"/>
          <w:sz w:val="32"/>
          <w:szCs w:val="32"/>
          <w:highlight w:val="none"/>
          <w:u w:val="none"/>
        </w:rPr>
        <w:t>补助，补助标准为：一级</w:t>
      </w:r>
      <w:r>
        <w:rPr>
          <w:rFonts w:hint="default" w:ascii="Times New Roman" w:hAnsi="Times New Roman" w:eastAsia="仿宋_GB2312" w:cs="Times New Roman"/>
          <w:b w:val="0"/>
          <w:bCs w:val="0"/>
          <w:color w:val="auto"/>
          <w:spacing w:val="0"/>
          <w:sz w:val="32"/>
          <w:szCs w:val="32"/>
          <w:highlight w:val="none"/>
          <w:u w:val="none"/>
          <w:lang w:eastAsia="zh-CN"/>
        </w:rPr>
        <w:t>5万</w:t>
      </w:r>
      <w:r>
        <w:rPr>
          <w:rFonts w:hint="default" w:ascii="Times New Roman" w:hAnsi="Times New Roman" w:eastAsia="仿宋_GB2312" w:cs="Times New Roman"/>
          <w:b w:val="0"/>
          <w:bCs w:val="0"/>
          <w:color w:val="auto"/>
          <w:spacing w:val="0"/>
          <w:sz w:val="32"/>
          <w:szCs w:val="32"/>
          <w:highlight w:val="none"/>
          <w:u w:val="none"/>
        </w:rPr>
        <w:t>元、二级</w:t>
      </w:r>
      <w:r>
        <w:rPr>
          <w:rFonts w:hint="default" w:ascii="Times New Roman" w:hAnsi="Times New Roman" w:eastAsia="仿宋_GB2312" w:cs="Times New Roman"/>
          <w:b w:val="0"/>
          <w:bCs w:val="0"/>
          <w:color w:val="auto"/>
          <w:spacing w:val="0"/>
          <w:sz w:val="32"/>
          <w:szCs w:val="32"/>
          <w:highlight w:val="none"/>
          <w:u w:val="none"/>
          <w:lang w:eastAsia="zh-CN"/>
        </w:rPr>
        <w:t>10</w:t>
      </w:r>
      <w:r>
        <w:rPr>
          <w:rFonts w:hint="default" w:ascii="Times New Roman" w:hAnsi="Times New Roman" w:eastAsia="仿宋_GB2312" w:cs="Times New Roman"/>
          <w:b w:val="0"/>
          <w:bCs w:val="0"/>
          <w:color w:val="auto"/>
          <w:spacing w:val="0"/>
          <w:sz w:val="32"/>
          <w:szCs w:val="32"/>
          <w:highlight w:val="none"/>
          <w:u w:val="none"/>
        </w:rPr>
        <w:t>万元、三级</w:t>
      </w:r>
      <w:r>
        <w:rPr>
          <w:rFonts w:hint="default" w:ascii="Times New Roman" w:hAnsi="Times New Roman" w:eastAsia="仿宋_GB2312" w:cs="Times New Roman"/>
          <w:b w:val="0"/>
          <w:bCs w:val="0"/>
          <w:color w:val="auto"/>
          <w:spacing w:val="0"/>
          <w:sz w:val="32"/>
          <w:szCs w:val="32"/>
          <w:highlight w:val="none"/>
          <w:u w:val="none"/>
          <w:lang w:eastAsia="zh-CN"/>
        </w:rPr>
        <w:t>15</w:t>
      </w:r>
      <w:r>
        <w:rPr>
          <w:rFonts w:hint="default" w:ascii="Times New Roman" w:hAnsi="Times New Roman" w:eastAsia="仿宋_GB2312" w:cs="Times New Roman"/>
          <w:b w:val="0"/>
          <w:bCs w:val="0"/>
          <w:color w:val="auto"/>
          <w:spacing w:val="0"/>
          <w:sz w:val="32"/>
          <w:szCs w:val="32"/>
          <w:highlight w:val="none"/>
          <w:u w:val="none"/>
        </w:rPr>
        <w:t>万元</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四级</w:t>
      </w:r>
      <w:r>
        <w:rPr>
          <w:rFonts w:hint="default" w:ascii="Times New Roman" w:hAnsi="Times New Roman" w:eastAsia="仿宋_GB2312" w:cs="Times New Roman"/>
          <w:b w:val="0"/>
          <w:bCs w:val="0"/>
          <w:color w:val="auto"/>
          <w:spacing w:val="0"/>
          <w:sz w:val="32"/>
          <w:szCs w:val="32"/>
          <w:highlight w:val="none"/>
          <w:u w:val="none"/>
          <w:lang w:eastAsia="zh-CN"/>
        </w:rPr>
        <w:t>20</w:t>
      </w:r>
      <w:r>
        <w:rPr>
          <w:rFonts w:hint="default" w:ascii="Times New Roman" w:hAnsi="Times New Roman" w:eastAsia="仿宋_GB2312" w:cs="Times New Roman"/>
          <w:b w:val="0"/>
          <w:bCs w:val="0"/>
          <w:color w:val="auto"/>
          <w:spacing w:val="0"/>
          <w:sz w:val="32"/>
          <w:szCs w:val="32"/>
          <w:highlight w:val="none"/>
          <w:u w:val="none"/>
        </w:rPr>
        <w:t>万元、五级</w:t>
      </w:r>
      <w:r>
        <w:rPr>
          <w:rFonts w:hint="default" w:ascii="Times New Roman" w:hAnsi="Times New Roman" w:eastAsia="仿宋_GB2312" w:cs="Times New Roman"/>
          <w:b w:val="0"/>
          <w:bCs w:val="0"/>
          <w:color w:val="auto"/>
          <w:spacing w:val="0"/>
          <w:sz w:val="32"/>
          <w:szCs w:val="32"/>
          <w:highlight w:val="none"/>
          <w:u w:val="none"/>
          <w:lang w:eastAsia="zh-CN"/>
        </w:rPr>
        <w:t>30</w:t>
      </w:r>
      <w:r>
        <w:rPr>
          <w:rFonts w:hint="default" w:ascii="Times New Roman" w:hAnsi="Times New Roman" w:eastAsia="仿宋_GB2312" w:cs="Times New Roman"/>
          <w:b w:val="0"/>
          <w:bCs w:val="0"/>
          <w:color w:val="auto"/>
          <w:spacing w:val="0"/>
          <w:sz w:val="32"/>
          <w:szCs w:val="32"/>
          <w:highlight w:val="none"/>
          <w:u w:val="none"/>
        </w:rPr>
        <w:t>万元。</w:t>
      </w:r>
      <w:r>
        <w:rPr>
          <w:rFonts w:hint="default" w:ascii="Times New Roman" w:hAnsi="Times New Roman" w:eastAsia="仿宋_GB2312" w:cs="Times New Roman"/>
          <w:b w:val="0"/>
          <w:bCs w:val="0"/>
          <w:color w:val="auto"/>
          <w:spacing w:val="0"/>
          <w:sz w:val="32"/>
          <w:szCs w:val="32"/>
          <w:highlight w:val="none"/>
          <w:u w:val="none"/>
          <w:lang w:val="en-US" w:eastAsia="zh-CN"/>
        </w:rPr>
        <w:t>等级评定结果到期后，重新评定为同一等级的，不再另行补贴，重新评定为更高等级的，按照更高等级补贴标准给予补差。</w:t>
      </w:r>
      <w:r>
        <w:rPr>
          <w:rFonts w:hint="default" w:ascii="Times New Roman" w:hAnsi="Times New Roman" w:eastAsia="仿宋_GB2312" w:cs="Times New Roman"/>
          <w:b w:val="0"/>
          <w:bCs w:val="0"/>
          <w:color w:val="auto"/>
          <w:spacing w:val="0"/>
          <w:sz w:val="32"/>
          <w:szCs w:val="32"/>
          <w:highlight w:val="none"/>
          <w:u w:val="none"/>
        </w:rPr>
        <w:t>资金由自治州财政承担。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pacing w:val="0"/>
          <w:sz w:val="32"/>
          <w:szCs w:val="32"/>
          <w:highlight w:val="none"/>
          <w:u w:val="none"/>
        </w:rPr>
      </w:pPr>
      <w:r>
        <w:rPr>
          <w:rFonts w:hint="eastAsia" w:ascii="楷体_GB2312" w:hAnsi="楷体_GB2312" w:eastAsia="楷体_GB2312" w:cs="楷体_GB2312"/>
          <w:color w:val="auto"/>
          <w:spacing w:val="0"/>
          <w:sz w:val="32"/>
          <w:szCs w:val="32"/>
          <w:highlight w:val="none"/>
          <w:u w:val="none"/>
        </w:rPr>
        <w:t>（</w:t>
      </w:r>
      <w:r>
        <w:rPr>
          <w:rFonts w:hint="default" w:ascii="楷体_GB2312" w:hAnsi="楷体_GB2312" w:eastAsia="楷体_GB2312" w:cs="楷体_GB2312"/>
          <w:color w:val="auto"/>
          <w:spacing w:val="0"/>
          <w:sz w:val="32"/>
          <w:szCs w:val="32"/>
          <w:highlight w:val="none"/>
          <w:u w:val="none"/>
        </w:rPr>
        <w:t>九</w:t>
      </w:r>
      <w:r>
        <w:rPr>
          <w:rFonts w:hint="eastAsia" w:ascii="楷体_GB2312" w:hAnsi="楷体_GB2312" w:eastAsia="楷体_GB2312" w:cs="楷体_GB2312"/>
          <w:color w:val="auto"/>
          <w:spacing w:val="0"/>
          <w:sz w:val="32"/>
          <w:szCs w:val="32"/>
          <w:highlight w:val="none"/>
          <w:u w:val="none"/>
        </w:rPr>
        <w:t>）</w:t>
      </w:r>
      <w:r>
        <w:rPr>
          <w:rFonts w:hint="default" w:ascii="楷体_GB2312" w:hAnsi="楷体_GB2312" w:eastAsia="楷体_GB2312" w:cs="楷体_GB2312"/>
          <w:color w:val="auto"/>
          <w:spacing w:val="0"/>
          <w:sz w:val="32"/>
          <w:szCs w:val="32"/>
          <w:highlight w:val="none"/>
          <w:u w:val="none"/>
        </w:rPr>
        <w:t>突出</w:t>
      </w:r>
      <w:r>
        <w:rPr>
          <w:rFonts w:hint="eastAsia" w:ascii="楷体_GB2312" w:hAnsi="楷体_GB2312" w:eastAsia="楷体_GB2312" w:cs="楷体_GB2312"/>
          <w:color w:val="auto"/>
          <w:spacing w:val="0"/>
          <w:sz w:val="32"/>
          <w:szCs w:val="32"/>
          <w:highlight w:val="none"/>
          <w:u w:val="none"/>
          <w:lang w:eastAsia="zh-CN"/>
        </w:rPr>
        <w:t>医养结合机构补贴。</w:t>
      </w:r>
      <w:r>
        <w:rPr>
          <w:rFonts w:hint="default" w:ascii="Times New Roman" w:hAnsi="Times New Roman" w:eastAsia="仿宋_GB2312" w:cs="Times New Roman"/>
          <w:b w:val="0"/>
          <w:bCs w:val="0"/>
          <w:color w:val="auto"/>
          <w:spacing w:val="0"/>
          <w:sz w:val="32"/>
          <w:szCs w:val="32"/>
          <w:highlight w:val="none"/>
          <w:u w:val="none"/>
          <w:lang w:val="en-US" w:eastAsia="zh-CN"/>
        </w:rPr>
        <w:t>医养结合机构</w:t>
      </w:r>
      <w:r>
        <w:rPr>
          <w:rFonts w:hint="default" w:ascii="Times New Roman" w:hAnsi="Times New Roman" w:eastAsia="仿宋_GB2312" w:cs="Times New Roman"/>
          <w:b w:val="0"/>
          <w:bCs w:val="0"/>
          <w:color w:val="auto"/>
          <w:spacing w:val="0"/>
          <w:sz w:val="32"/>
          <w:szCs w:val="32"/>
          <w:highlight w:val="none"/>
          <w:u w:val="none"/>
        </w:rPr>
        <w:t>核定</w:t>
      </w:r>
      <w:r>
        <w:rPr>
          <w:rFonts w:hint="default" w:ascii="Times New Roman" w:hAnsi="Times New Roman" w:eastAsia="仿宋_GB2312" w:cs="Times New Roman"/>
          <w:b w:val="0"/>
          <w:bCs w:val="0"/>
          <w:color w:val="auto"/>
          <w:spacing w:val="0"/>
          <w:sz w:val="32"/>
          <w:szCs w:val="32"/>
          <w:highlight w:val="none"/>
          <w:u w:val="none"/>
          <w:lang w:eastAsia="zh-CN"/>
        </w:rPr>
        <w:t>床位20张（含）以上，已实际收住服务对象的，认定为医疗保障定点医疗机构</w:t>
      </w:r>
      <w:r>
        <w:rPr>
          <w:rFonts w:hint="default" w:ascii="Times New Roman" w:hAnsi="Times New Roman" w:eastAsia="仿宋_GB2312" w:cs="Times New Roman"/>
          <w:b w:val="0"/>
          <w:bCs w:val="0"/>
          <w:color w:val="auto"/>
          <w:spacing w:val="0"/>
          <w:sz w:val="32"/>
          <w:szCs w:val="32"/>
          <w:highlight w:val="none"/>
          <w:u w:val="none"/>
          <w:lang w:val="en-US" w:eastAsia="zh-CN"/>
        </w:rPr>
        <w:t>的，给予一次性补贴10万元；未</w:t>
      </w:r>
      <w:r>
        <w:rPr>
          <w:rFonts w:hint="default" w:ascii="Times New Roman" w:hAnsi="Times New Roman" w:eastAsia="仿宋_GB2312" w:cs="Times New Roman"/>
          <w:b w:val="0"/>
          <w:bCs w:val="0"/>
          <w:color w:val="auto"/>
          <w:spacing w:val="0"/>
          <w:sz w:val="32"/>
          <w:szCs w:val="32"/>
          <w:highlight w:val="none"/>
          <w:u w:val="none"/>
          <w:lang w:eastAsia="zh-CN"/>
        </w:rPr>
        <w:t>认定</w:t>
      </w:r>
      <w:r>
        <w:rPr>
          <w:rFonts w:hint="default" w:ascii="Times New Roman" w:hAnsi="Times New Roman" w:eastAsia="仿宋_GB2312" w:cs="Times New Roman"/>
          <w:b w:val="0"/>
          <w:bCs w:val="0"/>
          <w:color w:val="auto"/>
          <w:spacing w:val="0"/>
          <w:sz w:val="32"/>
          <w:szCs w:val="32"/>
          <w:highlight w:val="none"/>
          <w:u w:val="none"/>
          <w:lang w:val="en-US" w:eastAsia="zh-CN"/>
        </w:rPr>
        <w:t>的给予一次性补贴5万元，取得</w:t>
      </w:r>
      <w:r>
        <w:rPr>
          <w:rFonts w:hint="default" w:ascii="Times New Roman" w:hAnsi="Times New Roman" w:eastAsia="仿宋_GB2312" w:cs="Times New Roman"/>
          <w:b w:val="0"/>
          <w:bCs w:val="0"/>
          <w:color w:val="auto"/>
          <w:spacing w:val="0"/>
          <w:sz w:val="32"/>
          <w:szCs w:val="32"/>
          <w:highlight w:val="none"/>
          <w:u w:val="none"/>
          <w:lang w:eastAsia="zh-CN"/>
        </w:rPr>
        <w:t>医疗保障定点医疗机构资格</w:t>
      </w:r>
      <w:r>
        <w:rPr>
          <w:rFonts w:hint="default" w:ascii="Times New Roman" w:hAnsi="Times New Roman" w:eastAsia="仿宋_GB2312" w:cs="Times New Roman"/>
          <w:b w:val="0"/>
          <w:bCs w:val="0"/>
          <w:color w:val="auto"/>
          <w:spacing w:val="0"/>
          <w:sz w:val="32"/>
          <w:szCs w:val="32"/>
          <w:highlight w:val="none"/>
          <w:u w:val="none"/>
          <w:lang w:val="en-US" w:eastAsia="zh-CN"/>
        </w:rPr>
        <w:t>后，给予一次性补差5万元。</w:t>
      </w:r>
      <w:r>
        <w:rPr>
          <w:rFonts w:hint="default" w:ascii="Times New Roman" w:hAnsi="Times New Roman" w:eastAsia="仿宋_GB2312" w:cs="Times New Roman"/>
          <w:b w:val="0"/>
          <w:bCs w:val="0"/>
          <w:color w:val="auto"/>
          <w:spacing w:val="0"/>
          <w:sz w:val="32"/>
          <w:szCs w:val="32"/>
          <w:highlight w:val="none"/>
          <w:u w:val="none"/>
          <w:lang w:eastAsia="zh-CN"/>
        </w:rPr>
        <w:t>资金由</w:t>
      </w:r>
      <w:r>
        <w:rPr>
          <w:rFonts w:hint="default" w:ascii="Times New Roman" w:hAnsi="Times New Roman" w:eastAsia="仿宋_GB2312" w:cs="Times New Roman"/>
          <w:b w:val="0"/>
          <w:bCs w:val="0"/>
          <w:color w:val="auto"/>
          <w:spacing w:val="0"/>
          <w:sz w:val="32"/>
          <w:szCs w:val="32"/>
          <w:highlight w:val="none"/>
          <w:u w:val="none"/>
        </w:rPr>
        <w:t>自治州</w:t>
      </w:r>
      <w:r>
        <w:rPr>
          <w:rFonts w:hint="default" w:ascii="Times New Roman" w:hAnsi="Times New Roman" w:eastAsia="仿宋_GB2312" w:cs="Times New Roman"/>
          <w:b w:val="0"/>
          <w:bCs w:val="0"/>
          <w:color w:val="auto"/>
          <w:spacing w:val="0"/>
          <w:sz w:val="32"/>
          <w:szCs w:val="32"/>
          <w:highlight w:val="none"/>
          <w:u w:val="none"/>
          <w:lang w:val="en-US" w:eastAsia="zh-CN"/>
        </w:rPr>
        <w:t>财政</w:t>
      </w:r>
      <w:r>
        <w:rPr>
          <w:rFonts w:hint="default" w:ascii="Times New Roman" w:hAnsi="Times New Roman" w:eastAsia="仿宋_GB2312" w:cs="Times New Roman"/>
          <w:b w:val="0"/>
          <w:bCs w:val="0"/>
          <w:color w:val="auto"/>
          <w:spacing w:val="0"/>
          <w:sz w:val="32"/>
          <w:szCs w:val="32"/>
          <w:highlight w:val="none"/>
          <w:u w:val="none"/>
          <w:lang w:eastAsia="zh-CN"/>
        </w:rPr>
        <w:t>承担。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pacing w:val="0"/>
          <w:sz w:val="32"/>
          <w:szCs w:val="32"/>
          <w:highlight w:val="none"/>
          <w:u w:val="none"/>
        </w:rPr>
      </w:pPr>
      <w:r>
        <w:rPr>
          <w:rFonts w:hint="eastAsia" w:ascii="楷体_GB2312" w:hAnsi="楷体_GB2312" w:eastAsia="楷体_GB2312" w:cs="楷体_GB2312"/>
          <w:color w:val="auto"/>
          <w:spacing w:val="0"/>
          <w:sz w:val="32"/>
          <w:szCs w:val="32"/>
          <w:highlight w:val="none"/>
          <w:u w:val="none"/>
        </w:rPr>
        <w:t>（十）完善居家和社区养老服务设施</w:t>
      </w:r>
      <w:r>
        <w:rPr>
          <w:rFonts w:hint="eastAsia" w:ascii="楷体_GB2312" w:hAnsi="楷体_GB2312" w:eastAsia="楷体_GB2312" w:cs="楷体_GB2312"/>
          <w:color w:val="auto"/>
          <w:spacing w:val="-6"/>
          <w:sz w:val="32"/>
          <w:szCs w:val="32"/>
          <w:highlight w:val="none"/>
          <w:u w:val="none"/>
        </w:rPr>
        <w:t>运营</w:t>
      </w:r>
      <w:r>
        <w:rPr>
          <w:rFonts w:hint="eastAsia" w:ascii="楷体_GB2312" w:hAnsi="楷体_GB2312" w:eastAsia="楷体_GB2312" w:cs="楷体_GB2312"/>
          <w:color w:val="auto"/>
          <w:spacing w:val="0"/>
          <w:sz w:val="32"/>
          <w:szCs w:val="32"/>
          <w:highlight w:val="none"/>
          <w:u w:val="none"/>
        </w:rPr>
        <w:t>补贴</w:t>
      </w:r>
      <w:r>
        <w:rPr>
          <w:rFonts w:hint="default" w:ascii="楷体_GB2312" w:hAnsi="楷体_GB2312" w:eastAsia="楷体_GB2312" w:cs="楷体_GB2312"/>
          <w:color w:val="auto"/>
          <w:spacing w:val="0"/>
          <w:sz w:val="32"/>
          <w:szCs w:val="32"/>
          <w:highlight w:val="none"/>
          <w:u w:val="none"/>
        </w:rPr>
        <w:t>。</w:t>
      </w:r>
      <w:r>
        <w:rPr>
          <w:rFonts w:hint="eastAsia" w:ascii="仿宋_GB2312" w:hAnsi="仿宋_GB2312" w:eastAsia="仿宋_GB2312" w:cs="仿宋_GB2312"/>
          <w:color w:val="auto"/>
          <w:spacing w:val="0"/>
          <w:sz w:val="32"/>
          <w:szCs w:val="32"/>
          <w:highlight w:val="none"/>
          <w:u w:val="none"/>
        </w:rPr>
        <w:t>对</w:t>
      </w:r>
      <w:r>
        <w:rPr>
          <w:rFonts w:hint="eastAsia" w:ascii="仿宋_GB2312" w:hAnsi="仿宋_GB2312" w:eastAsia="仿宋_GB2312" w:cs="仿宋_GB2312"/>
          <w:b w:val="0"/>
          <w:bCs w:val="0"/>
          <w:color w:val="auto"/>
          <w:spacing w:val="0"/>
          <w:sz w:val="32"/>
          <w:szCs w:val="32"/>
          <w:highlight w:val="none"/>
          <w:u w:val="none"/>
        </w:rPr>
        <w:t>纳入县（市）级民政部门统一登记管理的街道（乡镇）</w:t>
      </w:r>
      <w:r>
        <w:rPr>
          <w:rFonts w:hint="default" w:ascii="仿宋_GB2312" w:hAnsi="仿宋_GB2312" w:eastAsia="仿宋_GB2312" w:cs="仿宋_GB2312"/>
          <w:b w:val="0"/>
          <w:bCs w:val="0"/>
          <w:color w:val="auto"/>
          <w:spacing w:val="0"/>
          <w:sz w:val="32"/>
          <w:szCs w:val="32"/>
          <w:highlight w:val="none"/>
          <w:u w:val="none"/>
        </w:rPr>
        <w:t>区域</w:t>
      </w:r>
      <w:r>
        <w:rPr>
          <w:rFonts w:hint="eastAsia" w:ascii="仿宋_GB2312" w:hAnsi="仿宋_GB2312" w:eastAsia="仿宋_GB2312" w:cs="仿宋_GB2312"/>
          <w:b w:val="0"/>
          <w:bCs w:val="0"/>
          <w:color w:val="auto"/>
          <w:spacing w:val="0"/>
          <w:sz w:val="32"/>
          <w:szCs w:val="32"/>
          <w:highlight w:val="none"/>
          <w:u w:val="none"/>
        </w:rPr>
        <w:t>养老服务中心、</w:t>
      </w:r>
      <w:r>
        <w:rPr>
          <w:rFonts w:hint="eastAsia" w:ascii="仿宋_GB2312" w:hAnsi="仿宋_GB2312" w:eastAsia="仿宋_GB2312" w:cs="仿宋_GB2312"/>
          <w:color w:val="auto"/>
          <w:spacing w:val="0"/>
          <w:sz w:val="32"/>
          <w:szCs w:val="32"/>
          <w:highlight w:val="none"/>
          <w:u w:val="none"/>
        </w:rPr>
        <w:t>社区日间照料中心、</w:t>
      </w:r>
      <w:r>
        <w:rPr>
          <w:rFonts w:hint="eastAsia" w:ascii="仿宋_GB2312" w:hAnsi="仿宋_GB2312" w:eastAsia="仿宋_GB2312" w:cs="仿宋_GB2312"/>
          <w:b w:val="0"/>
          <w:bCs w:val="0"/>
          <w:color w:val="auto"/>
          <w:spacing w:val="0"/>
          <w:sz w:val="32"/>
          <w:szCs w:val="32"/>
          <w:highlight w:val="none"/>
          <w:u w:val="none"/>
        </w:rPr>
        <w:t>村级互助幸福院等社区养老服务设施。</w:t>
      </w:r>
      <w:r>
        <w:rPr>
          <w:rFonts w:hint="default" w:ascii="仿宋_GB2312" w:hAnsi="仿宋_GB2312" w:eastAsia="仿宋_GB2312" w:cs="仿宋_GB2312"/>
          <w:b w:val="0"/>
          <w:bCs w:val="0"/>
          <w:color w:val="auto"/>
          <w:spacing w:val="0"/>
          <w:sz w:val="32"/>
          <w:szCs w:val="32"/>
          <w:highlight w:val="none"/>
          <w:u w:val="none"/>
        </w:rPr>
        <w:t>由物业服务企业、家政服务公司、养老服务公司等企业、社会团体、个人或其他社会力量等运营，</w:t>
      </w:r>
      <w:r>
        <w:rPr>
          <w:rFonts w:hint="default" w:ascii="Times New Roman" w:hAnsi="Times New Roman" w:eastAsia="仿宋_GB2312" w:cs="Times New Roman"/>
          <w:b w:val="0"/>
          <w:bCs w:val="0"/>
          <w:color w:val="auto"/>
          <w:spacing w:val="0"/>
          <w:sz w:val="32"/>
          <w:szCs w:val="32"/>
          <w:highlight w:val="none"/>
          <w:u w:val="none"/>
          <w:lang w:eastAsia="zh-CN"/>
        </w:rPr>
        <w:t>持续满一年以上配备固定工作人员，能常态化为老年人提供助餐（含上门送餐）服务，每月服务天数不少于20天的居家和社区养老服务设施可申请年度运营补助。城市居家和社区养老服务设施每个补助5万元/年，农村互助养老服务设施每个补助2万元/年。资金由</w:t>
      </w:r>
      <w:r>
        <w:rPr>
          <w:rFonts w:hint="default" w:ascii="Times New Roman" w:hAnsi="Times New Roman" w:eastAsia="仿宋_GB2312" w:cs="Times New Roman"/>
          <w:b w:val="0"/>
          <w:bCs w:val="0"/>
          <w:color w:val="auto"/>
          <w:spacing w:val="0"/>
          <w:sz w:val="32"/>
          <w:szCs w:val="32"/>
          <w:highlight w:val="none"/>
          <w:u w:val="none"/>
        </w:rPr>
        <w:t>自治州</w:t>
      </w:r>
      <w:r>
        <w:rPr>
          <w:rFonts w:hint="default" w:ascii="Times New Roman" w:hAnsi="Times New Roman" w:eastAsia="仿宋_GB2312" w:cs="Times New Roman"/>
          <w:b w:val="0"/>
          <w:bCs w:val="0"/>
          <w:color w:val="auto"/>
          <w:spacing w:val="0"/>
          <w:sz w:val="32"/>
          <w:szCs w:val="32"/>
          <w:highlight w:val="none"/>
          <w:u w:val="none"/>
          <w:lang w:val="en-US" w:eastAsia="zh-CN"/>
        </w:rPr>
        <w:t>财政</w:t>
      </w:r>
      <w:r>
        <w:rPr>
          <w:rFonts w:hint="default" w:ascii="Times New Roman" w:hAnsi="Times New Roman" w:eastAsia="仿宋_GB2312" w:cs="Times New Roman"/>
          <w:b w:val="0"/>
          <w:bCs w:val="0"/>
          <w:color w:val="auto"/>
          <w:spacing w:val="0"/>
          <w:sz w:val="32"/>
          <w:szCs w:val="32"/>
          <w:highlight w:val="none"/>
          <w:u w:val="none"/>
          <w:lang w:eastAsia="zh-CN"/>
        </w:rPr>
        <w:t>承担。</w:t>
      </w:r>
    </w:p>
    <w:p>
      <w:pPr>
        <w:keepNext w:val="0"/>
        <w:keepLines w:val="0"/>
        <w:pageBreakBefore w:val="0"/>
        <w:widowControl w:val="0"/>
        <w:kinsoku/>
        <w:wordWrap/>
        <w:overflowPunct/>
        <w:topLinePunct w:val="0"/>
        <w:autoSpaceDE/>
        <w:autoSpaceDN/>
        <w:bidi w:val="0"/>
        <w:adjustRightInd/>
        <w:snapToGrid/>
        <w:spacing w:line="560" w:lineRule="exact"/>
        <w:ind w:firstLine="800" w:firstLineChars="250"/>
        <w:jc w:val="both"/>
        <w:textAlignment w:val="auto"/>
        <w:rPr>
          <w:rFonts w:hint="default" w:ascii="方正黑体_GBK" w:hAnsi="方正黑体_GBK" w:eastAsia="方正黑体_GBK" w:cs="方正黑体_GBK"/>
          <w:b w:val="0"/>
          <w:bCs w:val="0"/>
          <w:color w:val="auto"/>
          <w:spacing w:val="0"/>
          <w:sz w:val="32"/>
          <w:szCs w:val="32"/>
          <w:highlight w:val="none"/>
          <w:u w:val="none"/>
        </w:rPr>
      </w:pPr>
      <w:r>
        <w:rPr>
          <w:rFonts w:hint="default" w:ascii="方正黑体_GBK" w:hAnsi="方正黑体_GBK" w:eastAsia="方正黑体_GBK" w:cs="方正黑体_GBK"/>
          <w:b w:val="0"/>
          <w:bCs w:val="0"/>
          <w:color w:val="auto"/>
          <w:spacing w:val="0"/>
          <w:sz w:val="32"/>
          <w:szCs w:val="32"/>
          <w:highlight w:val="none"/>
          <w:u w:val="none"/>
        </w:rPr>
        <w:t>四、激励人才建设</w:t>
      </w:r>
      <w:r>
        <w:rPr>
          <w:rFonts w:hint="eastAsia" w:ascii="方正黑体_GBK" w:hAnsi="方正黑体_GBK" w:eastAsia="方正黑体_GBK" w:cs="方正黑体_GBK"/>
          <w:b w:val="0"/>
          <w:bCs w:val="0"/>
          <w:color w:val="auto"/>
          <w:spacing w:val="0"/>
          <w:sz w:val="32"/>
          <w:szCs w:val="32"/>
          <w:highlight w:val="none"/>
          <w:u w:val="none"/>
        </w:rPr>
        <w:t>，稳定服务队伍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楷体_GB2312" w:hAnsi="楷体_GB2312" w:eastAsia="楷体_GB2312" w:cs="楷体_GB2312"/>
          <w:b w:val="0"/>
          <w:bCs w:val="0"/>
          <w:color w:val="auto"/>
          <w:spacing w:val="0"/>
          <w:sz w:val="32"/>
          <w:szCs w:val="32"/>
          <w:highlight w:val="none"/>
          <w:u w:val="none"/>
        </w:rPr>
        <w:t>（十</w:t>
      </w:r>
      <w:r>
        <w:rPr>
          <w:rFonts w:hint="default" w:ascii="楷体_GB2312" w:hAnsi="楷体_GB2312" w:eastAsia="楷体_GB2312" w:cs="楷体_GB2312"/>
          <w:b w:val="0"/>
          <w:bCs w:val="0"/>
          <w:color w:val="auto"/>
          <w:spacing w:val="0"/>
          <w:sz w:val="32"/>
          <w:szCs w:val="32"/>
          <w:highlight w:val="none"/>
          <w:u w:val="none"/>
        </w:rPr>
        <w:t>一</w:t>
      </w:r>
      <w:r>
        <w:rPr>
          <w:rFonts w:hint="eastAsia" w:ascii="楷体_GB2312" w:hAnsi="楷体_GB2312" w:eastAsia="楷体_GB2312" w:cs="楷体_GB2312"/>
          <w:b w:val="0"/>
          <w:bCs w:val="0"/>
          <w:color w:val="auto"/>
          <w:spacing w:val="0"/>
          <w:sz w:val="32"/>
          <w:szCs w:val="32"/>
          <w:highlight w:val="none"/>
          <w:u w:val="none"/>
        </w:rPr>
        <w:t>）建立</w:t>
      </w:r>
      <w:r>
        <w:rPr>
          <w:rFonts w:hint="eastAsia" w:ascii="楷体_GB2312" w:hAnsi="楷体_GB2312" w:eastAsia="楷体_GB2312" w:cs="楷体_GB2312"/>
          <w:color w:val="auto"/>
          <w:spacing w:val="0"/>
          <w:sz w:val="32"/>
          <w:szCs w:val="32"/>
          <w:highlight w:val="none"/>
          <w:u w:val="none"/>
        </w:rPr>
        <w:t>养老机构从业人员</w:t>
      </w:r>
      <w:r>
        <w:rPr>
          <w:rFonts w:hint="eastAsia" w:ascii="楷体_GB2312" w:hAnsi="楷体_GB2312" w:eastAsia="楷体_GB2312" w:cs="楷体_GB2312"/>
          <w:color w:val="auto"/>
          <w:spacing w:val="0"/>
          <w:sz w:val="32"/>
          <w:szCs w:val="32"/>
          <w:highlight w:val="none"/>
          <w:u w:val="none"/>
          <w:lang w:eastAsia="zh-CN"/>
        </w:rPr>
        <w:t>补贴。</w:t>
      </w:r>
      <w:r>
        <w:rPr>
          <w:rFonts w:hint="eastAsia" w:ascii="仿宋_GB2312" w:hAnsi="仿宋_GB2312" w:eastAsia="仿宋_GB2312" w:cs="仿宋_GB2312"/>
          <w:b w:val="0"/>
          <w:bCs w:val="0"/>
          <w:color w:val="auto"/>
          <w:spacing w:val="0"/>
          <w:sz w:val="32"/>
          <w:szCs w:val="32"/>
          <w:highlight w:val="none"/>
          <w:u w:val="none"/>
        </w:rPr>
        <w:t>对</w:t>
      </w:r>
      <w:r>
        <w:rPr>
          <w:rFonts w:hint="eastAsia" w:ascii="仿宋_GB2312" w:hAnsi="仿宋_GB2312" w:eastAsia="仿宋_GB2312" w:cs="仿宋_GB2312"/>
          <w:color w:val="auto"/>
          <w:spacing w:val="0"/>
          <w:sz w:val="32"/>
          <w:szCs w:val="32"/>
          <w:highlight w:val="none"/>
          <w:u w:val="none"/>
        </w:rPr>
        <w:t>养老机构</w:t>
      </w:r>
      <w:r>
        <w:rPr>
          <w:rFonts w:hint="eastAsia" w:ascii="仿宋_GB2312" w:hAnsi="仿宋_GB2312" w:eastAsia="仿宋_GB2312" w:cs="仿宋_GB2312"/>
          <w:color w:val="auto"/>
          <w:sz w:val="32"/>
          <w:szCs w:val="32"/>
          <w:u w:val="none"/>
          <w:lang w:val="en-US" w:eastAsia="zh-CN"/>
        </w:rPr>
        <w:t>中从事医疗、康复、护理的养老护理人员</w:t>
      </w:r>
      <w:r>
        <w:rPr>
          <w:rFonts w:hint="default"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eastAsia="zh-CN"/>
        </w:rPr>
        <w:t>可申领入职补贴、在职补贴。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val="0"/>
          <w:bCs w:val="0"/>
          <w:color w:val="auto"/>
          <w:spacing w:val="0"/>
          <w:sz w:val="32"/>
          <w:szCs w:val="32"/>
          <w:highlight w:val="none"/>
          <w:u w:val="none"/>
        </w:rPr>
      </w:pPr>
      <w:r>
        <w:rPr>
          <w:rFonts w:hint="default" w:ascii="Times New Roman" w:hAnsi="Times New Roman" w:eastAsia="仿宋_GB2312" w:cs="Times New Roman"/>
          <w:b/>
          <w:bCs/>
          <w:color w:val="auto"/>
          <w:spacing w:val="0"/>
          <w:sz w:val="32"/>
          <w:szCs w:val="32"/>
          <w:highlight w:val="none"/>
          <w:u w:val="none"/>
          <w:lang w:val="en-US" w:eastAsia="zh-CN"/>
        </w:rPr>
        <w:t>入职</w:t>
      </w:r>
      <w:r>
        <w:rPr>
          <w:rFonts w:hint="default" w:ascii="Times New Roman" w:hAnsi="Times New Roman" w:eastAsia="仿宋_GB2312" w:cs="Times New Roman"/>
          <w:b/>
          <w:bCs/>
          <w:color w:val="auto"/>
          <w:spacing w:val="0"/>
          <w:sz w:val="32"/>
          <w:szCs w:val="32"/>
          <w:highlight w:val="none"/>
          <w:u w:val="none"/>
          <w:lang w:eastAsia="zh-CN"/>
        </w:rPr>
        <w:t>补贴。</w:t>
      </w:r>
      <w:r>
        <w:rPr>
          <w:rFonts w:hint="default" w:ascii="Times New Roman" w:hAnsi="Times New Roman" w:eastAsia="仿宋_GB2312" w:cs="Times New Roman"/>
          <w:b w:val="0"/>
          <w:bCs w:val="0"/>
          <w:color w:val="auto"/>
          <w:spacing w:val="0"/>
          <w:sz w:val="32"/>
          <w:szCs w:val="32"/>
          <w:highlight w:val="none"/>
          <w:u w:val="none"/>
          <w:lang w:eastAsia="zh-CN"/>
        </w:rPr>
        <w:t>对</w:t>
      </w:r>
      <w:r>
        <w:rPr>
          <w:rFonts w:hint="default" w:ascii="Times New Roman" w:hAnsi="Times New Roman" w:eastAsia="仿宋_GB2312" w:cs="Times New Roman"/>
          <w:b w:val="0"/>
          <w:bCs w:val="0"/>
          <w:color w:val="auto"/>
          <w:spacing w:val="0"/>
          <w:sz w:val="32"/>
          <w:szCs w:val="32"/>
          <w:highlight w:val="none"/>
          <w:u w:val="none"/>
        </w:rPr>
        <w:t>本科及以上学历补贴3万元；专科学历补贴2万元；中专学历补贴1万元。按20%、30%、50%比例分3年拨付。符合条件者每人只享受一次入职补贴，补贴经费发放期间离职的，未拨付部分不再发放；已获入职补贴后取得更高学历的，未拨付年限按更高学历补贴标准拨付，已拨付年限不补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bCs/>
          <w:color w:val="auto"/>
          <w:spacing w:val="0"/>
          <w:sz w:val="32"/>
          <w:szCs w:val="32"/>
          <w:highlight w:val="none"/>
          <w:u w:val="none"/>
        </w:rPr>
        <w:t>在职补贴。</w:t>
      </w:r>
      <w:r>
        <w:rPr>
          <w:rFonts w:hint="default" w:ascii="Times New Roman" w:hAnsi="Times New Roman" w:eastAsia="仿宋_GB2312" w:cs="Times New Roman"/>
          <w:b w:val="0"/>
          <w:bCs w:val="0"/>
          <w:color w:val="auto"/>
          <w:spacing w:val="0"/>
          <w:sz w:val="32"/>
          <w:szCs w:val="32"/>
          <w:highlight w:val="none"/>
          <w:u w:val="none"/>
        </w:rPr>
        <w:t>州域内从事养老护理工作满3年的，给予5000元在职补贴。持养老护理员职业技能等级初级、中级和高级及以上证书的，在补贴基础上分别增加1000元、2000元和4000元的补贴资金。首次申领后，每满3年，符合条件者可再次申领，补贴涉及的职业技能等级，以当期核定的最高等级为准。资金由</w:t>
      </w:r>
      <w:r>
        <w:rPr>
          <w:rFonts w:hint="default" w:ascii="Times New Roman" w:hAnsi="Times New Roman" w:eastAsia="仿宋_GB2312" w:cs="Times New Roman"/>
          <w:b w:val="0"/>
          <w:bCs w:val="0"/>
          <w:color w:val="auto"/>
          <w:sz w:val="32"/>
          <w:szCs w:val="32"/>
          <w:u w:val="none"/>
          <w:lang w:eastAsia="zh-CN"/>
        </w:rPr>
        <w:t>州、县（市）财政各承担50%。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u w:val="none"/>
          <w:lang w:eastAsia="zh-CN"/>
        </w:rPr>
      </w:pPr>
      <w:r>
        <w:rPr>
          <w:rFonts w:hint="eastAsia" w:ascii="楷体_GB2312" w:hAnsi="楷体_GB2312" w:eastAsia="楷体_GB2312" w:cs="楷体_GB2312"/>
          <w:b w:val="0"/>
          <w:bCs w:val="0"/>
          <w:color w:val="auto"/>
          <w:spacing w:val="0"/>
          <w:sz w:val="32"/>
          <w:szCs w:val="32"/>
          <w:highlight w:val="none"/>
          <w:u w:val="none"/>
        </w:rPr>
        <w:t>（十二）</w:t>
      </w:r>
      <w:r>
        <w:rPr>
          <w:rFonts w:hint="default" w:ascii="楷体_GB2312" w:hAnsi="楷体_GB2312" w:eastAsia="楷体_GB2312" w:cs="楷体_GB2312"/>
          <w:b w:val="0"/>
          <w:bCs w:val="0"/>
          <w:color w:val="auto"/>
          <w:spacing w:val="0"/>
          <w:sz w:val="32"/>
          <w:szCs w:val="32"/>
          <w:highlight w:val="none"/>
          <w:u w:val="none"/>
        </w:rPr>
        <w:t>完善养老机构社保缴费补贴。</w:t>
      </w:r>
      <w:r>
        <w:rPr>
          <w:rFonts w:hint="default" w:ascii="Times New Roman" w:hAnsi="Times New Roman" w:eastAsia="仿宋_GB2312" w:cs="Times New Roman"/>
          <w:b w:val="0"/>
          <w:bCs w:val="0"/>
          <w:color w:val="auto"/>
          <w:spacing w:val="0"/>
          <w:sz w:val="32"/>
          <w:szCs w:val="32"/>
          <w:highlight w:val="none"/>
          <w:u w:val="none"/>
        </w:rPr>
        <w:t>对与公建民营、民办养老机构签订一年以上劳动合同、在岗从事养老服务工作、并按规定缴纳社会保险费的人员，根据其签订劳动合同期限，对其所在养老机构给予50%的单位实缴社保金额补贴。资金由</w:t>
      </w:r>
      <w:r>
        <w:rPr>
          <w:rFonts w:hint="default" w:ascii="Times New Roman" w:hAnsi="Times New Roman" w:eastAsia="仿宋_GB2312" w:cs="Times New Roman"/>
          <w:b w:val="0"/>
          <w:bCs w:val="0"/>
          <w:color w:val="auto"/>
          <w:sz w:val="32"/>
          <w:szCs w:val="32"/>
          <w:u w:val="none"/>
          <w:lang w:eastAsia="zh-CN"/>
        </w:rPr>
        <w:t>县（市）财政承担。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00" w:firstLineChars="250"/>
        <w:jc w:val="both"/>
        <w:textAlignment w:val="auto"/>
        <w:rPr>
          <w:rFonts w:hint="default" w:ascii="黑体" w:hAnsi="黑体" w:eastAsia="黑体" w:cs="黑体"/>
          <w:b w:val="0"/>
          <w:bCs w:val="0"/>
          <w:color w:val="auto"/>
          <w:spacing w:val="0"/>
          <w:sz w:val="32"/>
          <w:szCs w:val="32"/>
          <w:highlight w:val="none"/>
          <w:u w:val="none"/>
        </w:rPr>
      </w:pPr>
      <w:r>
        <w:rPr>
          <w:rFonts w:hint="default" w:ascii="黑体" w:hAnsi="黑体" w:eastAsia="黑体" w:cs="黑体"/>
          <w:b w:val="0"/>
          <w:bCs w:val="0"/>
          <w:color w:val="auto"/>
          <w:spacing w:val="0"/>
          <w:sz w:val="32"/>
          <w:szCs w:val="32"/>
          <w:highlight w:val="none"/>
          <w:u w:val="none"/>
        </w:rPr>
        <w:t>五、强化政策落实，助力减负纾困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pacing w:val="0"/>
          <w:sz w:val="32"/>
          <w:szCs w:val="32"/>
          <w:highlight w:val="none"/>
          <w:u w:val="none"/>
          <w:lang w:val="en-US" w:eastAsia="zh-CN"/>
        </w:rPr>
      </w:pPr>
      <w:r>
        <w:rPr>
          <w:rFonts w:hint="eastAsia" w:ascii="楷体_GB2312" w:hAnsi="楷体_GB2312" w:eastAsia="楷体_GB2312" w:cs="楷体_GB2312"/>
          <w:b w:val="0"/>
          <w:bCs w:val="0"/>
          <w:i w:val="0"/>
          <w:caps w:val="0"/>
          <w:color w:val="auto"/>
          <w:spacing w:val="0"/>
          <w:sz w:val="32"/>
          <w:szCs w:val="32"/>
          <w:u w:val="none"/>
          <w:shd w:val="clear" w:color="auto" w:fill="FFFFFF"/>
        </w:rPr>
        <w:t>（十三）执行居民生活类价格。</w:t>
      </w:r>
      <w:r>
        <w:rPr>
          <w:rFonts w:hint="eastAsia" w:ascii="仿宋_GB2312" w:hAnsi="仿宋_GB2312" w:eastAsia="仿宋_GB2312" w:cs="仿宋_GB2312"/>
          <w:b w:val="0"/>
          <w:bCs w:val="0"/>
          <w:i w:val="0"/>
          <w:caps w:val="0"/>
          <w:color w:val="auto"/>
          <w:spacing w:val="0"/>
          <w:sz w:val="32"/>
          <w:szCs w:val="32"/>
          <w:u w:val="none"/>
          <w:shd w:val="clear" w:color="auto" w:fill="FFFFFF"/>
        </w:rPr>
        <w:t>对依法备案的养老机构，</w:t>
      </w:r>
      <w:r>
        <w:rPr>
          <w:rFonts w:hint="eastAsia" w:ascii="仿宋_GB2312" w:hAnsi="仿宋_GB2312" w:eastAsia="仿宋_GB2312" w:cs="仿宋_GB2312"/>
          <w:b w:val="0"/>
          <w:bCs w:val="0"/>
          <w:color w:val="auto"/>
          <w:spacing w:val="0"/>
          <w:sz w:val="32"/>
          <w:szCs w:val="32"/>
          <w:highlight w:val="none"/>
          <w:u w:val="none"/>
          <w:lang w:val="en-US" w:eastAsia="zh-CN"/>
        </w:rPr>
        <w:t>用电、用水、</w:t>
      </w:r>
      <w:r>
        <w:rPr>
          <w:rFonts w:hint="eastAsia" w:ascii="仿宋_GB2312" w:hAnsi="仿宋_GB2312" w:eastAsia="仿宋_GB2312" w:cs="仿宋_GB2312"/>
          <w:b w:val="0"/>
          <w:bCs w:val="0"/>
          <w:color w:val="auto"/>
          <w:spacing w:val="0"/>
          <w:sz w:val="32"/>
          <w:szCs w:val="32"/>
          <w:highlight w:val="none"/>
          <w:u w:val="none"/>
          <w:lang w:eastAsia="zh-CN"/>
        </w:rPr>
        <w:t>用暖、燃</w:t>
      </w:r>
      <w:r>
        <w:rPr>
          <w:rFonts w:hint="eastAsia" w:ascii="仿宋_GB2312" w:hAnsi="仿宋_GB2312" w:eastAsia="仿宋_GB2312" w:cs="仿宋_GB2312"/>
          <w:b w:val="0"/>
          <w:bCs w:val="0"/>
          <w:color w:val="auto"/>
          <w:spacing w:val="0"/>
          <w:sz w:val="32"/>
          <w:szCs w:val="32"/>
          <w:highlight w:val="none"/>
          <w:u w:val="none"/>
          <w:lang w:val="en-US" w:eastAsia="zh-CN"/>
        </w:rPr>
        <w:t>气按居民生活类价格执行。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u w:val="none"/>
          <w:lang w:eastAsia="zh-CN"/>
        </w:rPr>
      </w:pPr>
      <w:r>
        <w:rPr>
          <w:rFonts w:hint="eastAsia" w:ascii="楷体_GB2312" w:hAnsi="楷体_GB2312" w:eastAsia="楷体_GB2312" w:cs="楷体_GB2312"/>
          <w:b w:val="0"/>
          <w:bCs w:val="0"/>
          <w:color w:val="auto"/>
          <w:spacing w:val="0"/>
          <w:sz w:val="32"/>
          <w:szCs w:val="32"/>
          <w:highlight w:val="none"/>
          <w:u w:val="none"/>
          <w:lang w:eastAsia="zh-CN"/>
        </w:rPr>
        <w:t>（十四）</w:t>
      </w:r>
      <w:r>
        <w:rPr>
          <w:rFonts w:hint="default" w:ascii="楷体_GB2312" w:hAnsi="楷体_GB2312" w:eastAsia="楷体_GB2312" w:cs="楷体_GB2312"/>
          <w:b w:val="0"/>
          <w:bCs w:val="0"/>
          <w:color w:val="auto"/>
          <w:spacing w:val="0"/>
          <w:sz w:val="32"/>
          <w:szCs w:val="32"/>
          <w:highlight w:val="none"/>
          <w:u w:val="none"/>
          <w:lang w:eastAsia="zh-CN"/>
        </w:rPr>
        <w:t>完善养老机构</w:t>
      </w:r>
      <w:r>
        <w:rPr>
          <w:rFonts w:hint="eastAsia" w:ascii="楷体_GB2312" w:hAnsi="楷体_GB2312" w:eastAsia="楷体_GB2312" w:cs="楷体_GB2312"/>
          <w:b w:val="0"/>
          <w:bCs w:val="0"/>
          <w:color w:val="auto"/>
          <w:spacing w:val="0"/>
          <w:sz w:val="32"/>
          <w:szCs w:val="32"/>
          <w:highlight w:val="none"/>
          <w:u w:val="none"/>
          <w:lang w:eastAsia="zh-CN"/>
        </w:rPr>
        <w:t>取暖补贴。</w:t>
      </w:r>
      <w:r>
        <w:rPr>
          <w:rFonts w:hint="default" w:ascii="Times New Roman" w:hAnsi="Times New Roman" w:eastAsia="仿宋_GB2312" w:cs="Times New Roman"/>
          <w:b w:val="0"/>
          <w:bCs w:val="0"/>
          <w:color w:val="auto"/>
          <w:spacing w:val="0"/>
          <w:sz w:val="32"/>
          <w:szCs w:val="32"/>
          <w:highlight w:val="none"/>
          <w:u w:val="none"/>
          <w:lang w:eastAsia="zh-CN"/>
        </w:rPr>
        <w:t>对公建民营、民办养老机构，建筑面积低于《老年养老院建设标准》（建标〔2010〕194号）的养老机构，每年按照实缴暖气费用的50%给予补贴；对建筑面积高于《老年养老院建设标准》的养老机构，每年按照标准面积核算暖气费用的50%给予补贴。</w:t>
      </w:r>
      <w:r>
        <w:rPr>
          <w:rFonts w:hint="default" w:ascii="Times New Roman" w:hAnsi="Times New Roman" w:eastAsia="仿宋_GB2312" w:cs="Times New Roman"/>
          <w:b w:val="0"/>
          <w:bCs w:val="0"/>
          <w:color w:val="auto"/>
          <w:spacing w:val="0"/>
          <w:sz w:val="32"/>
          <w:szCs w:val="32"/>
          <w:highlight w:val="none"/>
          <w:u w:val="none"/>
        </w:rPr>
        <w:t>资金由</w:t>
      </w:r>
      <w:r>
        <w:rPr>
          <w:rFonts w:hint="default" w:ascii="Times New Roman" w:hAnsi="Times New Roman" w:eastAsia="仿宋_GB2312" w:cs="Times New Roman"/>
          <w:b w:val="0"/>
          <w:bCs w:val="0"/>
          <w:color w:val="auto"/>
          <w:sz w:val="32"/>
          <w:szCs w:val="32"/>
          <w:u w:val="none"/>
          <w:lang w:eastAsia="zh-CN"/>
        </w:rPr>
        <w:t>县（市）财政承担。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pacing w:val="0"/>
          <w:sz w:val="32"/>
          <w:szCs w:val="32"/>
          <w:highlight w:val="none"/>
          <w:u w:val="none"/>
        </w:rPr>
      </w:pPr>
      <w:r>
        <w:rPr>
          <w:rFonts w:hint="eastAsia" w:ascii="楷体_GB2312" w:hAnsi="楷体_GB2312" w:eastAsia="楷体_GB2312" w:cs="楷体_GB2312"/>
          <w:color w:val="auto"/>
          <w:spacing w:val="0"/>
          <w:sz w:val="32"/>
          <w:szCs w:val="32"/>
          <w:highlight w:val="none"/>
          <w:u w:val="none"/>
        </w:rPr>
        <w:t>（十五）</w:t>
      </w:r>
      <w:r>
        <w:rPr>
          <w:rFonts w:hint="default" w:ascii="楷体_GB2312" w:hAnsi="楷体_GB2312" w:eastAsia="楷体_GB2312" w:cs="楷体_GB2312"/>
          <w:color w:val="auto"/>
          <w:spacing w:val="0"/>
          <w:sz w:val="32"/>
          <w:szCs w:val="32"/>
          <w:highlight w:val="none"/>
          <w:u w:val="none"/>
        </w:rPr>
        <w:t>完善</w:t>
      </w:r>
      <w:r>
        <w:rPr>
          <w:rFonts w:hint="eastAsia" w:ascii="楷体_GB2312" w:hAnsi="楷体_GB2312" w:eastAsia="楷体_GB2312" w:cs="楷体_GB2312"/>
          <w:color w:val="auto"/>
          <w:spacing w:val="0"/>
          <w:sz w:val="32"/>
          <w:szCs w:val="32"/>
          <w:highlight w:val="none"/>
          <w:u w:val="none"/>
        </w:rPr>
        <w:t>居家和社区养老服务设施基本公共运行费用</w:t>
      </w:r>
      <w:r>
        <w:rPr>
          <w:rFonts w:hint="default" w:ascii="楷体_GB2312" w:hAnsi="楷体_GB2312" w:eastAsia="楷体_GB2312" w:cs="楷体_GB2312"/>
          <w:color w:val="auto"/>
          <w:spacing w:val="0"/>
          <w:sz w:val="32"/>
          <w:szCs w:val="32"/>
          <w:highlight w:val="none"/>
          <w:u w:val="none"/>
        </w:rPr>
        <w:t>补贴。</w:t>
      </w:r>
      <w:r>
        <w:rPr>
          <w:rFonts w:hint="eastAsia" w:ascii="仿宋_GB2312" w:hAnsi="仿宋_GB2312" w:eastAsia="仿宋_GB2312" w:cs="仿宋_GB2312"/>
          <w:color w:val="auto"/>
          <w:spacing w:val="0"/>
          <w:sz w:val="32"/>
          <w:szCs w:val="32"/>
          <w:highlight w:val="none"/>
          <w:u w:val="none"/>
        </w:rPr>
        <w:t>坚持养老服务设施公益属性，对</w:t>
      </w:r>
      <w:r>
        <w:rPr>
          <w:rFonts w:hint="eastAsia" w:ascii="仿宋_GB2312" w:hAnsi="仿宋_GB2312" w:eastAsia="仿宋_GB2312" w:cs="仿宋_GB2312"/>
          <w:b w:val="0"/>
          <w:bCs w:val="0"/>
          <w:color w:val="auto"/>
          <w:spacing w:val="0"/>
          <w:sz w:val="32"/>
          <w:szCs w:val="32"/>
          <w:highlight w:val="none"/>
          <w:u w:val="none"/>
        </w:rPr>
        <w:t>纳入县（市）级民政部门统一登记管理的街道（乡镇）</w:t>
      </w:r>
      <w:r>
        <w:rPr>
          <w:rFonts w:hint="default" w:ascii="仿宋_GB2312" w:hAnsi="仿宋_GB2312" w:eastAsia="仿宋_GB2312" w:cs="仿宋_GB2312"/>
          <w:b w:val="0"/>
          <w:bCs w:val="0"/>
          <w:color w:val="auto"/>
          <w:spacing w:val="0"/>
          <w:sz w:val="32"/>
          <w:szCs w:val="32"/>
          <w:highlight w:val="none"/>
          <w:u w:val="none"/>
        </w:rPr>
        <w:t>区域</w:t>
      </w:r>
      <w:r>
        <w:rPr>
          <w:rFonts w:hint="eastAsia" w:ascii="仿宋_GB2312" w:hAnsi="仿宋_GB2312" w:eastAsia="仿宋_GB2312" w:cs="仿宋_GB2312"/>
          <w:b w:val="0"/>
          <w:bCs w:val="0"/>
          <w:color w:val="auto"/>
          <w:spacing w:val="0"/>
          <w:sz w:val="32"/>
          <w:szCs w:val="32"/>
          <w:highlight w:val="none"/>
          <w:u w:val="none"/>
        </w:rPr>
        <w:t>养老服务中心、</w:t>
      </w:r>
      <w:r>
        <w:rPr>
          <w:rFonts w:hint="eastAsia" w:ascii="仿宋_GB2312" w:hAnsi="仿宋_GB2312" w:eastAsia="仿宋_GB2312" w:cs="仿宋_GB2312"/>
          <w:color w:val="auto"/>
          <w:spacing w:val="0"/>
          <w:sz w:val="32"/>
          <w:szCs w:val="32"/>
          <w:highlight w:val="none"/>
          <w:u w:val="none"/>
        </w:rPr>
        <w:t>社区日间照料中心、</w:t>
      </w:r>
      <w:r>
        <w:rPr>
          <w:rFonts w:hint="eastAsia" w:ascii="仿宋_GB2312" w:hAnsi="仿宋_GB2312" w:eastAsia="仿宋_GB2312" w:cs="仿宋_GB2312"/>
          <w:b w:val="0"/>
          <w:bCs w:val="0"/>
          <w:color w:val="auto"/>
          <w:spacing w:val="0"/>
          <w:sz w:val="32"/>
          <w:szCs w:val="32"/>
          <w:highlight w:val="none"/>
          <w:u w:val="none"/>
        </w:rPr>
        <w:t>村级互助幸福院等</w:t>
      </w:r>
      <w:r>
        <w:rPr>
          <w:rFonts w:hint="default" w:ascii="仿宋_GB2312" w:hAnsi="仿宋_GB2312" w:eastAsia="仿宋_GB2312" w:cs="仿宋_GB2312"/>
          <w:b w:val="0"/>
          <w:bCs w:val="0"/>
          <w:color w:val="auto"/>
          <w:spacing w:val="0"/>
          <w:sz w:val="32"/>
          <w:szCs w:val="32"/>
          <w:highlight w:val="none"/>
          <w:u w:val="none"/>
        </w:rPr>
        <w:t>居家和</w:t>
      </w:r>
      <w:r>
        <w:rPr>
          <w:rFonts w:hint="eastAsia" w:ascii="仿宋_GB2312" w:hAnsi="仿宋_GB2312" w:eastAsia="仿宋_GB2312" w:cs="仿宋_GB2312"/>
          <w:b w:val="0"/>
          <w:bCs w:val="0"/>
          <w:color w:val="auto"/>
          <w:spacing w:val="0"/>
          <w:sz w:val="32"/>
          <w:szCs w:val="32"/>
          <w:highlight w:val="none"/>
          <w:u w:val="none"/>
        </w:rPr>
        <w:t>社区养老服务设施，</w:t>
      </w:r>
      <w:r>
        <w:rPr>
          <w:rFonts w:hint="eastAsia" w:ascii="仿宋_GB2312" w:hAnsi="仿宋_GB2312" w:eastAsia="仿宋_GB2312" w:cs="仿宋_GB2312"/>
          <w:color w:val="auto"/>
          <w:spacing w:val="0"/>
          <w:sz w:val="32"/>
          <w:szCs w:val="32"/>
          <w:highlight w:val="none"/>
          <w:u w:val="none"/>
        </w:rPr>
        <w:t>运营中产生的水、电、暖、燃气等基本公共运行费用</w:t>
      </w:r>
      <w:r>
        <w:rPr>
          <w:rFonts w:hint="default" w:ascii="仿宋_GB2312" w:hAnsi="仿宋_GB2312" w:eastAsia="仿宋_GB2312" w:cs="仿宋_GB2312"/>
          <w:color w:val="auto"/>
          <w:spacing w:val="0"/>
          <w:sz w:val="32"/>
          <w:szCs w:val="32"/>
          <w:highlight w:val="none"/>
          <w:u w:val="none"/>
        </w:rPr>
        <w:t>由</w:t>
      </w:r>
      <w:r>
        <w:rPr>
          <w:rFonts w:hint="eastAsia" w:ascii="仿宋_GB2312" w:hAnsi="仿宋_GB2312" w:eastAsia="仿宋_GB2312" w:cs="仿宋_GB2312"/>
          <w:color w:val="auto"/>
          <w:spacing w:val="0"/>
          <w:sz w:val="32"/>
          <w:szCs w:val="32"/>
          <w:highlight w:val="none"/>
          <w:u w:val="none"/>
        </w:rPr>
        <w:t>县</w:t>
      </w:r>
      <w:r>
        <w:rPr>
          <w:rFonts w:hint="default" w:ascii="仿宋_GB2312" w:hAnsi="仿宋_GB2312" w:eastAsia="仿宋_GB2312" w:cs="仿宋_GB2312"/>
          <w:color w:val="auto"/>
          <w:spacing w:val="0"/>
          <w:sz w:val="32"/>
          <w:szCs w:val="32"/>
          <w:highlight w:val="none"/>
          <w:u w:val="none"/>
        </w:rPr>
        <w:t>（</w:t>
      </w:r>
      <w:r>
        <w:rPr>
          <w:rFonts w:hint="eastAsia" w:ascii="仿宋_GB2312" w:hAnsi="仿宋_GB2312" w:eastAsia="仿宋_GB2312" w:cs="仿宋_GB2312"/>
          <w:color w:val="auto"/>
          <w:spacing w:val="0"/>
          <w:sz w:val="32"/>
          <w:szCs w:val="32"/>
          <w:highlight w:val="none"/>
          <w:u w:val="none"/>
        </w:rPr>
        <w:t>市</w:t>
      </w:r>
      <w:r>
        <w:rPr>
          <w:rFonts w:hint="default" w:ascii="仿宋_GB2312" w:hAnsi="仿宋_GB2312" w:eastAsia="仿宋_GB2312" w:cs="仿宋_GB2312"/>
          <w:color w:val="auto"/>
          <w:spacing w:val="0"/>
          <w:sz w:val="32"/>
          <w:szCs w:val="32"/>
          <w:highlight w:val="none"/>
          <w:u w:val="none"/>
        </w:rPr>
        <w:t>）</w:t>
      </w:r>
      <w:r>
        <w:rPr>
          <w:rFonts w:hint="eastAsia" w:ascii="仿宋_GB2312" w:hAnsi="仿宋_GB2312" w:eastAsia="仿宋_GB2312" w:cs="仿宋_GB2312"/>
          <w:color w:val="auto"/>
          <w:spacing w:val="0"/>
          <w:sz w:val="32"/>
          <w:szCs w:val="32"/>
          <w:highlight w:val="none"/>
          <w:u w:val="none"/>
        </w:rPr>
        <w:t>财政承担。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黑体_GBK" w:hAnsi="方正黑体_GBK" w:eastAsia="方正黑体_GBK" w:cs="方正黑体_GBK"/>
          <w:color w:val="auto"/>
          <w:spacing w:val="0"/>
          <w:sz w:val="32"/>
          <w:szCs w:val="32"/>
          <w:highlight w:val="none"/>
          <w:u w:val="none"/>
        </w:rPr>
      </w:pPr>
      <w:r>
        <w:rPr>
          <w:rFonts w:hint="default" w:ascii="方正黑体_GBK" w:hAnsi="方正黑体_GBK" w:eastAsia="方正黑体_GBK" w:cs="方正黑体_GBK"/>
          <w:color w:val="auto"/>
          <w:spacing w:val="0"/>
          <w:sz w:val="32"/>
          <w:szCs w:val="32"/>
          <w:highlight w:val="none"/>
          <w:u w:val="none"/>
        </w:rPr>
        <w:t>六、</w:t>
      </w:r>
      <w:r>
        <w:rPr>
          <w:rFonts w:hint="eastAsia" w:ascii="方正黑体_GBK" w:hAnsi="方正黑体_GBK" w:eastAsia="方正黑体_GBK" w:cs="方正黑体_GBK"/>
          <w:color w:val="auto"/>
          <w:spacing w:val="0"/>
          <w:sz w:val="32"/>
          <w:szCs w:val="32"/>
          <w:highlight w:val="none"/>
          <w:u w:val="none"/>
        </w:rPr>
        <w:t>健全保障机制，确保措施落地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150"/>
        <w:jc w:val="both"/>
        <w:textAlignment w:val="auto"/>
        <w:rPr>
          <w:rFonts w:hint="default" w:ascii="Times New Roman" w:hAnsi="Times New Roman" w:eastAsia="仿宋_GB2312" w:cs="Times New Roman"/>
          <w:color w:val="auto"/>
          <w:spacing w:val="0"/>
          <w:sz w:val="32"/>
          <w:szCs w:val="32"/>
          <w:highlight w:val="none"/>
          <w:u w:val="none"/>
          <w:lang w:eastAsia="zh-CN"/>
        </w:rPr>
      </w:pPr>
      <w:r>
        <w:rPr>
          <w:rFonts w:hint="eastAsia" w:ascii="楷体_GB2312" w:hAnsi="楷体_GB2312" w:eastAsia="楷体_GB2312" w:cs="楷体_GB2312"/>
          <w:color w:val="auto"/>
          <w:spacing w:val="0"/>
          <w:sz w:val="32"/>
          <w:szCs w:val="32"/>
          <w:highlight w:val="none"/>
          <w:u w:val="none"/>
        </w:rPr>
        <w:t>（十</w:t>
      </w:r>
      <w:r>
        <w:rPr>
          <w:rFonts w:hint="default" w:ascii="楷体_GB2312" w:hAnsi="楷体_GB2312" w:eastAsia="楷体_GB2312" w:cs="楷体_GB2312"/>
          <w:color w:val="auto"/>
          <w:spacing w:val="0"/>
          <w:sz w:val="32"/>
          <w:szCs w:val="32"/>
          <w:highlight w:val="none"/>
          <w:u w:val="none"/>
        </w:rPr>
        <w:t>六</w:t>
      </w:r>
      <w:r>
        <w:rPr>
          <w:rFonts w:hint="eastAsia" w:ascii="楷体_GB2312" w:hAnsi="楷体_GB2312" w:eastAsia="楷体_GB2312" w:cs="楷体_GB2312"/>
          <w:color w:val="auto"/>
          <w:spacing w:val="0"/>
          <w:sz w:val="32"/>
          <w:szCs w:val="32"/>
          <w:highlight w:val="none"/>
          <w:u w:val="none"/>
        </w:rPr>
        <w:t>）</w:t>
      </w:r>
      <w:r>
        <w:rPr>
          <w:rFonts w:hint="eastAsia" w:ascii="楷体_GB2312" w:hAnsi="Times New Roman" w:eastAsia="楷体_GB2312" w:cs="楷体_GB2312"/>
          <w:b w:val="0"/>
          <w:bCs/>
          <w:i w:val="0"/>
          <w:caps w:val="0"/>
          <w:color w:val="auto"/>
          <w:spacing w:val="0"/>
          <w:sz w:val="32"/>
          <w:szCs w:val="32"/>
          <w:shd w:val="clear" w:color="auto" w:fill="FFFFFF"/>
        </w:rPr>
        <w:t>加大财政保障力度。</w:t>
      </w:r>
      <w:r>
        <w:rPr>
          <w:rFonts w:hint="default" w:ascii="Times New Roman" w:hAnsi="Times New Roman" w:eastAsia="仿宋_GB2312" w:cs="Times New Roman"/>
          <w:color w:val="auto"/>
          <w:spacing w:val="0"/>
          <w:sz w:val="32"/>
          <w:szCs w:val="32"/>
          <w:highlight w:val="none"/>
          <w:u w:val="none"/>
        </w:rPr>
        <w:t>各级财政部门</w:t>
      </w:r>
      <w:r>
        <w:rPr>
          <w:rFonts w:hint="default" w:ascii="Times New Roman" w:hAnsi="Times New Roman" w:eastAsia="仿宋_GB2312" w:cs="Times New Roman"/>
          <w:color w:val="auto"/>
          <w:spacing w:val="0"/>
          <w:sz w:val="32"/>
          <w:szCs w:val="32"/>
          <w:highlight w:val="none"/>
          <w:u w:val="none"/>
          <w:lang w:eastAsia="zh-CN"/>
        </w:rPr>
        <w:t>要</w:t>
      </w:r>
      <w:r>
        <w:rPr>
          <w:rFonts w:hint="default" w:ascii="Times New Roman" w:hAnsi="Times New Roman" w:eastAsia="仿宋_GB2312" w:cs="Times New Roman"/>
          <w:color w:val="auto"/>
          <w:sz w:val="32"/>
          <w:szCs w:val="32"/>
          <w:u w:val="none"/>
          <w:lang w:val="en-US" w:eastAsia="zh-CN"/>
        </w:rPr>
        <w:t>按现行预算管理制度做好经费保障</w:t>
      </w:r>
      <w:r>
        <w:rPr>
          <w:rFonts w:hint="default" w:ascii="Times New Roman" w:hAnsi="Times New Roman" w:eastAsia="仿宋_GB2312" w:cs="Times New Roman"/>
          <w:color w:val="auto"/>
          <w:spacing w:val="0"/>
          <w:sz w:val="32"/>
          <w:szCs w:val="32"/>
          <w:highlight w:val="none"/>
          <w:u w:val="none"/>
        </w:rPr>
        <w:t>。每年1月1日至12月31日为一个补贴年度。</w:t>
      </w:r>
      <w:r>
        <w:rPr>
          <w:rFonts w:hint="default" w:ascii="Times New Roman" w:hAnsi="Times New Roman" w:eastAsia="仿宋_GB2312" w:cs="Times New Roman"/>
          <w:color w:val="auto"/>
          <w:spacing w:val="0"/>
          <w:sz w:val="32"/>
          <w:szCs w:val="32"/>
          <w:highlight w:val="none"/>
          <w:u w:val="none"/>
          <w:lang w:eastAsia="zh-CN"/>
        </w:rPr>
        <w:t>预算下达后据实发放，若资金有结余，结转至次年使用；若资金不足，次年申报补齐。本措施自2026年月日起施行，有效期5年。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150"/>
        <w:jc w:val="both"/>
        <w:textAlignment w:val="auto"/>
        <w:rPr>
          <w:rFonts w:hint="default" w:ascii="Times New Roman" w:hAnsi="Times New Roman" w:eastAsia="仿宋_GB2312" w:cs="Times New Roman"/>
          <w:b w:val="0"/>
          <w:bCs w:val="0"/>
          <w:strike/>
          <w:dstrike w:val="0"/>
          <w:color w:val="auto"/>
          <w:spacing w:val="0"/>
          <w:sz w:val="32"/>
          <w:szCs w:val="32"/>
          <w:highlight w:val="none"/>
          <w:u w:val="none"/>
        </w:rPr>
      </w:pPr>
      <w:r>
        <w:rPr>
          <w:rFonts w:hint="eastAsia" w:ascii="楷体_GB2312" w:hAnsi="Times New Roman" w:eastAsia="楷体_GB2312" w:cs="楷体_GB2312"/>
          <w:b w:val="0"/>
          <w:bCs/>
          <w:i w:val="0"/>
          <w:caps w:val="0"/>
          <w:color w:val="auto"/>
          <w:spacing w:val="0"/>
          <w:sz w:val="32"/>
          <w:szCs w:val="32"/>
          <w:shd w:val="clear" w:color="auto" w:fill="FFFFFF"/>
        </w:rPr>
        <w:t>（十</w:t>
      </w:r>
      <w:r>
        <w:rPr>
          <w:rFonts w:hint="default" w:ascii="楷体_GB2312" w:hAnsi="Times New Roman" w:eastAsia="楷体_GB2312" w:cs="楷体_GB2312"/>
          <w:b w:val="0"/>
          <w:bCs/>
          <w:i w:val="0"/>
          <w:caps w:val="0"/>
          <w:color w:val="auto"/>
          <w:spacing w:val="0"/>
          <w:sz w:val="32"/>
          <w:szCs w:val="32"/>
          <w:shd w:val="clear" w:color="auto" w:fill="FFFFFF"/>
        </w:rPr>
        <w:t>七</w:t>
      </w:r>
      <w:r>
        <w:rPr>
          <w:rFonts w:hint="eastAsia" w:ascii="楷体_GB2312" w:hAnsi="Times New Roman" w:eastAsia="楷体_GB2312" w:cs="楷体_GB2312"/>
          <w:b w:val="0"/>
          <w:bCs/>
          <w:i w:val="0"/>
          <w:caps w:val="0"/>
          <w:color w:val="auto"/>
          <w:spacing w:val="0"/>
          <w:sz w:val="32"/>
          <w:szCs w:val="32"/>
          <w:shd w:val="clear" w:color="auto" w:fill="FFFFFF"/>
        </w:rPr>
        <w:t>）</w:t>
      </w:r>
      <w:r>
        <w:rPr>
          <w:rFonts w:hint="eastAsia" w:ascii="楷体_GB2312" w:hAnsi="楷体_GB2312" w:eastAsia="楷体_GB2312" w:cs="楷体_GB2312"/>
          <w:color w:val="auto"/>
          <w:spacing w:val="0"/>
          <w:sz w:val="32"/>
          <w:szCs w:val="32"/>
          <w:highlight w:val="none"/>
          <w:u w:val="none"/>
        </w:rPr>
        <w:t>建立</w:t>
      </w:r>
      <w:bookmarkStart w:id="2" w:name="_GoBack"/>
      <w:r>
        <w:rPr>
          <w:rFonts w:hint="default" w:ascii="楷体_GB2312" w:hAnsi="楷体_GB2312" w:eastAsia="楷体_GB2312" w:cs="楷体_GB2312"/>
          <w:color w:val="auto"/>
          <w:spacing w:val="0"/>
          <w:sz w:val="32"/>
          <w:szCs w:val="32"/>
          <w:highlight w:val="none"/>
          <w:u w:val="none"/>
        </w:rPr>
        <w:t>智慧养老监管</w:t>
      </w:r>
      <w:bookmarkEnd w:id="2"/>
      <w:r>
        <w:rPr>
          <w:rFonts w:hint="eastAsia" w:ascii="楷体_GB2312" w:hAnsi="楷体_GB2312" w:eastAsia="楷体_GB2312" w:cs="楷体_GB2312"/>
          <w:color w:val="auto"/>
          <w:spacing w:val="0"/>
          <w:sz w:val="32"/>
          <w:szCs w:val="32"/>
          <w:highlight w:val="none"/>
          <w:u w:val="none"/>
        </w:rPr>
        <w:t>机制。</w:t>
      </w:r>
      <w:r>
        <w:rPr>
          <w:rFonts w:hint="default" w:ascii="Times New Roman" w:hAnsi="Times New Roman" w:eastAsia="仿宋_GB2312" w:cs="Times New Roman"/>
          <w:b w:val="0"/>
          <w:bCs w:val="0"/>
          <w:color w:val="auto"/>
          <w:spacing w:val="0"/>
          <w:sz w:val="32"/>
          <w:szCs w:val="32"/>
          <w:highlight w:val="none"/>
          <w:u w:val="none"/>
        </w:rPr>
        <w:t>试点开展养老机构“一床一码”改革工作，动态监管，2029年底前实现全覆盖。</w:t>
      </w:r>
      <w:r>
        <w:rPr>
          <w:rFonts w:hint="default" w:ascii="Times New Roman" w:hAnsi="Times New Roman" w:eastAsia="仿宋_GB2312" w:cs="Times New Roman"/>
          <w:color w:val="auto"/>
          <w:spacing w:val="0"/>
          <w:sz w:val="32"/>
          <w:szCs w:val="32"/>
          <w:highlight w:val="none"/>
          <w:u w:val="none"/>
        </w:rPr>
        <w:t>州级智慧养老信息服务平台归集的数据是养老机构资助资金的发放依据。养老机构基本信息、备案信息、人员配备、老年人出（入）院记录和老年人身体机能状况等相关数据应按规定及时归集至州级智慧养老平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pacing w:val="0"/>
          <w:sz w:val="32"/>
          <w:szCs w:val="32"/>
          <w:highlight w:val="none"/>
          <w:u w:val="none"/>
          <w:lang w:eastAsia="zh-CN"/>
        </w:rPr>
      </w:pPr>
      <w:r>
        <w:rPr>
          <w:rFonts w:hint="eastAsia" w:ascii="楷体_GB2312" w:hAnsi="楷体_GB2312" w:eastAsia="楷体_GB2312" w:cs="楷体_GB2312"/>
          <w:b w:val="0"/>
          <w:bCs w:val="0"/>
          <w:color w:val="auto"/>
          <w:spacing w:val="0"/>
          <w:sz w:val="32"/>
          <w:szCs w:val="32"/>
          <w:highlight w:val="none"/>
          <w:u w:val="none"/>
        </w:rPr>
        <w:t>（十</w:t>
      </w:r>
      <w:r>
        <w:rPr>
          <w:rFonts w:hint="default" w:ascii="楷体_GB2312" w:hAnsi="楷体_GB2312" w:eastAsia="楷体_GB2312" w:cs="楷体_GB2312"/>
          <w:b w:val="0"/>
          <w:bCs w:val="0"/>
          <w:color w:val="auto"/>
          <w:spacing w:val="0"/>
          <w:sz w:val="32"/>
          <w:szCs w:val="32"/>
          <w:highlight w:val="none"/>
          <w:u w:val="none"/>
        </w:rPr>
        <w:t>八</w:t>
      </w:r>
      <w:r>
        <w:rPr>
          <w:rFonts w:hint="eastAsia" w:ascii="楷体_GB2312" w:hAnsi="楷体_GB2312" w:eastAsia="楷体_GB2312" w:cs="楷体_GB2312"/>
          <w:b w:val="0"/>
          <w:bCs w:val="0"/>
          <w:color w:val="auto"/>
          <w:spacing w:val="0"/>
          <w:sz w:val="32"/>
          <w:szCs w:val="32"/>
          <w:highlight w:val="none"/>
          <w:u w:val="none"/>
        </w:rPr>
        <w:t>）加强资金使用</w:t>
      </w:r>
      <w:r>
        <w:rPr>
          <w:rFonts w:hint="default" w:ascii="楷体_GB2312" w:hAnsi="楷体_GB2312" w:eastAsia="楷体_GB2312" w:cs="楷体_GB2312"/>
          <w:b w:val="0"/>
          <w:bCs w:val="0"/>
          <w:color w:val="auto"/>
          <w:spacing w:val="0"/>
          <w:sz w:val="32"/>
          <w:szCs w:val="32"/>
          <w:highlight w:val="none"/>
          <w:u w:val="none"/>
        </w:rPr>
        <w:t>监</w:t>
      </w:r>
      <w:r>
        <w:rPr>
          <w:rFonts w:hint="eastAsia" w:ascii="楷体_GB2312" w:hAnsi="Times New Roman" w:eastAsia="楷体_GB2312" w:cs="楷体_GB2312"/>
          <w:b w:val="0"/>
          <w:bCs/>
          <w:i w:val="0"/>
          <w:caps w:val="0"/>
          <w:color w:val="auto"/>
          <w:spacing w:val="0"/>
          <w:sz w:val="32"/>
          <w:szCs w:val="32"/>
          <w:shd w:val="clear" w:color="auto" w:fill="FFFFFF"/>
        </w:rPr>
        <w:t>管。</w:t>
      </w:r>
      <w:r>
        <w:rPr>
          <w:rFonts w:hint="default" w:ascii="仿宋_GB2312" w:hAnsi="仿宋_GB2312" w:eastAsia="仿宋_GB2312" w:cs="仿宋_GB2312"/>
          <w:color w:val="auto"/>
          <w:spacing w:val="0"/>
          <w:sz w:val="32"/>
          <w:szCs w:val="32"/>
          <w:highlight w:val="none"/>
          <w:u w:val="none"/>
        </w:rPr>
        <w:t>补贴</w:t>
      </w:r>
      <w:r>
        <w:rPr>
          <w:rFonts w:hint="eastAsia" w:ascii="仿宋_GB2312" w:hAnsi="仿宋_GB2312" w:eastAsia="仿宋_GB2312" w:cs="仿宋_GB2312"/>
          <w:color w:val="auto"/>
          <w:spacing w:val="0"/>
          <w:sz w:val="32"/>
          <w:szCs w:val="32"/>
          <w:highlight w:val="none"/>
          <w:u w:val="none"/>
        </w:rPr>
        <w:t>资金可用于养老机构</w:t>
      </w:r>
      <w:r>
        <w:rPr>
          <w:rFonts w:hint="default" w:ascii="仿宋_GB2312" w:hAnsi="仿宋_GB2312" w:eastAsia="仿宋_GB2312" w:cs="仿宋_GB2312"/>
          <w:color w:val="auto"/>
          <w:spacing w:val="0"/>
          <w:sz w:val="32"/>
          <w:szCs w:val="32"/>
          <w:highlight w:val="none"/>
          <w:u w:val="none"/>
        </w:rPr>
        <w:t>（设施）</w:t>
      </w:r>
      <w:r>
        <w:rPr>
          <w:rFonts w:hint="eastAsia" w:ascii="仿宋_GB2312" w:hAnsi="仿宋_GB2312" w:eastAsia="仿宋_GB2312" w:cs="仿宋_GB2312"/>
          <w:color w:val="auto"/>
          <w:spacing w:val="0"/>
          <w:sz w:val="32"/>
          <w:szCs w:val="32"/>
          <w:highlight w:val="none"/>
          <w:u w:val="none"/>
        </w:rPr>
        <w:t>基础设施建设和改造</w:t>
      </w:r>
      <w:r>
        <w:rPr>
          <w:rFonts w:hint="eastAsia" w:ascii="仿宋_GB2312" w:hAnsi="仿宋_GB2312" w:eastAsia="仿宋_GB2312" w:cs="仿宋_GB2312"/>
          <w:color w:val="auto"/>
          <w:spacing w:val="0"/>
          <w:sz w:val="32"/>
          <w:szCs w:val="32"/>
          <w:highlight w:val="none"/>
          <w:u w:val="none"/>
          <w:lang w:eastAsia="zh-CN"/>
        </w:rPr>
        <w:t>、</w:t>
      </w:r>
      <w:r>
        <w:rPr>
          <w:rFonts w:hint="eastAsia" w:ascii="仿宋_GB2312" w:hAnsi="仿宋_GB2312" w:eastAsia="仿宋_GB2312" w:cs="仿宋_GB2312"/>
          <w:color w:val="auto"/>
          <w:spacing w:val="0"/>
          <w:sz w:val="32"/>
          <w:szCs w:val="32"/>
          <w:highlight w:val="none"/>
          <w:u w:val="none"/>
        </w:rPr>
        <w:t>设施</w:t>
      </w:r>
      <w:r>
        <w:rPr>
          <w:rFonts w:hint="eastAsia" w:ascii="仿宋_GB2312" w:hAnsi="仿宋_GB2312" w:eastAsia="仿宋_GB2312" w:cs="仿宋_GB2312"/>
          <w:color w:val="auto"/>
          <w:spacing w:val="0"/>
          <w:sz w:val="32"/>
          <w:szCs w:val="32"/>
          <w:highlight w:val="none"/>
          <w:u w:val="none"/>
          <w:lang w:eastAsia="zh-CN"/>
        </w:rPr>
        <w:t>设备</w:t>
      </w:r>
      <w:r>
        <w:rPr>
          <w:rFonts w:hint="eastAsia" w:ascii="仿宋_GB2312" w:hAnsi="仿宋_GB2312" w:eastAsia="仿宋_GB2312" w:cs="仿宋_GB2312"/>
          <w:color w:val="auto"/>
          <w:spacing w:val="0"/>
          <w:sz w:val="32"/>
          <w:szCs w:val="32"/>
          <w:highlight w:val="none"/>
          <w:u w:val="none"/>
        </w:rPr>
        <w:t>更新</w:t>
      </w:r>
      <w:r>
        <w:rPr>
          <w:rFonts w:hint="eastAsia" w:ascii="仿宋_GB2312" w:hAnsi="仿宋_GB2312" w:eastAsia="仿宋_GB2312" w:cs="仿宋_GB2312"/>
          <w:color w:val="auto"/>
          <w:spacing w:val="0"/>
          <w:sz w:val="32"/>
          <w:szCs w:val="32"/>
          <w:highlight w:val="none"/>
          <w:u w:val="none"/>
          <w:lang w:eastAsia="zh-CN"/>
        </w:rPr>
        <w:t>和维保及</w:t>
      </w:r>
      <w:r>
        <w:rPr>
          <w:rFonts w:hint="eastAsia" w:ascii="仿宋_GB2312" w:hAnsi="仿宋_GB2312" w:eastAsia="仿宋_GB2312" w:cs="仿宋_GB2312"/>
          <w:color w:val="auto"/>
          <w:spacing w:val="0"/>
          <w:sz w:val="32"/>
          <w:szCs w:val="32"/>
          <w:highlight w:val="none"/>
          <w:u w:val="none"/>
        </w:rPr>
        <w:t>其他有益于改善入住老</w:t>
      </w:r>
      <w:r>
        <w:rPr>
          <w:rFonts w:hint="eastAsia" w:ascii="仿宋_GB2312" w:hAnsi="仿宋_GB2312" w:eastAsia="仿宋_GB2312" w:cs="仿宋_GB2312"/>
          <w:color w:val="auto"/>
          <w:spacing w:val="0"/>
          <w:sz w:val="32"/>
          <w:szCs w:val="32"/>
          <w:highlight w:val="none"/>
          <w:u w:val="none"/>
          <w:lang w:eastAsia="zh-CN"/>
        </w:rPr>
        <w:t>年</w:t>
      </w:r>
      <w:r>
        <w:rPr>
          <w:rFonts w:hint="eastAsia" w:ascii="仿宋_GB2312" w:hAnsi="仿宋_GB2312" w:eastAsia="仿宋_GB2312" w:cs="仿宋_GB2312"/>
          <w:color w:val="auto"/>
          <w:spacing w:val="0"/>
          <w:sz w:val="32"/>
          <w:szCs w:val="32"/>
          <w:highlight w:val="none"/>
          <w:u w:val="none"/>
        </w:rPr>
        <w:t>人生活质量的项目</w:t>
      </w:r>
      <w:r>
        <w:rPr>
          <w:rFonts w:hint="eastAsia" w:ascii="仿宋_GB2312" w:hAnsi="仿宋_GB2312" w:eastAsia="仿宋_GB2312" w:cs="仿宋_GB2312"/>
          <w:color w:val="auto"/>
          <w:spacing w:val="0"/>
          <w:sz w:val="32"/>
          <w:szCs w:val="32"/>
          <w:highlight w:val="none"/>
          <w:u w:val="none"/>
          <w:lang w:eastAsia="zh-CN"/>
        </w:rPr>
        <w:t>。</w:t>
      </w:r>
      <w:r>
        <w:rPr>
          <w:rFonts w:hint="eastAsia" w:ascii="仿宋_GB2312" w:hAnsi="仿宋_GB2312" w:eastAsia="仿宋_GB2312" w:cs="仿宋_GB2312"/>
          <w:color w:val="auto"/>
          <w:spacing w:val="0"/>
          <w:sz w:val="32"/>
          <w:szCs w:val="32"/>
          <w:highlight w:val="none"/>
          <w:u w:val="none"/>
        </w:rPr>
        <w:t>资助资金要专款专用，养老机构</w:t>
      </w:r>
      <w:r>
        <w:rPr>
          <w:rFonts w:hint="default" w:ascii="仿宋_GB2312" w:hAnsi="仿宋_GB2312" w:eastAsia="仿宋_GB2312" w:cs="仿宋_GB2312"/>
          <w:color w:val="auto"/>
          <w:spacing w:val="0"/>
          <w:sz w:val="32"/>
          <w:szCs w:val="32"/>
          <w:highlight w:val="none"/>
          <w:u w:val="none"/>
        </w:rPr>
        <w:t>（设施）</w:t>
      </w:r>
      <w:r>
        <w:rPr>
          <w:rFonts w:hint="eastAsia" w:ascii="仿宋_GB2312" w:hAnsi="仿宋_GB2312" w:eastAsia="仿宋_GB2312" w:cs="仿宋_GB2312"/>
          <w:color w:val="auto"/>
          <w:spacing w:val="0"/>
          <w:sz w:val="32"/>
          <w:szCs w:val="32"/>
          <w:highlight w:val="none"/>
          <w:u w:val="none"/>
        </w:rPr>
        <w:t>要</w:t>
      </w:r>
      <w:r>
        <w:rPr>
          <w:rFonts w:hint="eastAsia" w:ascii="仿宋_GB2312" w:hAnsi="仿宋_GB2312" w:eastAsia="仿宋_GB2312" w:cs="仿宋_GB2312"/>
          <w:color w:val="auto"/>
          <w:spacing w:val="0"/>
          <w:sz w:val="32"/>
          <w:szCs w:val="32"/>
          <w:highlight w:val="none"/>
          <w:u w:val="none"/>
          <w:lang w:eastAsia="zh-CN"/>
        </w:rPr>
        <w:t>建立专账并实行单独核算，</w:t>
      </w:r>
      <w:r>
        <w:rPr>
          <w:rFonts w:hint="eastAsia" w:ascii="仿宋_GB2312" w:hAnsi="仿宋_GB2312" w:eastAsia="仿宋_GB2312" w:cs="仿宋_GB2312"/>
          <w:color w:val="auto"/>
          <w:spacing w:val="0"/>
          <w:sz w:val="32"/>
          <w:szCs w:val="32"/>
          <w:highlight w:val="none"/>
          <w:u w:val="none"/>
        </w:rPr>
        <w:t>任何单位、个人不得截留、转移和挪用。</w:t>
      </w:r>
    </w:p>
    <w:p>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hAnsi="仿宋_GB2312" w:eastAsia="仿宋_GB2312" w:cs="仿宋_GB2312"/>
          <w:spacing w:val="0"/>
          <w:sz w:val="32"/>
          <w:szCs w:val="32"/>
          <w:highlight w:val="none"/>
        </w:rPr>
      </w:pPr>
      <w:r>
        <w:rPr>
          <w:rFonts w:hint="eastAsia" w:ascii="楷体_GB2312" w:hAnsi="楷体_GB2312" w:eastAsia="楷体_GB2312" w:cs="楷体_GB2312"/>
          <w:color w:val="auto"/>
          <w:spacing w:val="0"/>
          <w:sz w:val="32"/>
          <w:szCs w:val="32"/>
          <w:highlight w:val="none"/>
          <w:u w:val="none"/>
          <w:lang w:eastAsia="zh-CN"/>
        </w:rPr>
        <w:t>（十九）</w:t>
      </w:r>
      <w:r>
        <w:rPr>
          <w:rFonts w:hint="eastAsia" w:ascii="楷体_GB2312" w:hAnsi="楷体_GB2312" w:eastAsia="楷体_GB2312" w:cs="楷体_GB2312"/>
          <w:b w:val="0"/>
          <w:bCs w:val="0"/>
          <w:sz w:val="32"/>
          <w:szCs w:val="32"/>
          <w:lang w:val="en-US" w:eastAsia="zh-CN"/>
        </w:rPr>
        <w:t>建立补贴与养老机构安全责任履行因素挂钩机制。</w:t>
      </w:r>
      <w:r>
        <w:rPr>
          <w:rFonts w:hint="eastAsia" w:ascii="仿宋_GB2312" w:hAnsi="仿宋_GB2312" w:eastAsia="仿宋_GB2312" w:cs="仿宋_GB2312"/>
          <w:spacing w:val="0"/>
          <w:sz w:val="32"/>
          <w:szCs w:val="32"/>
          <w:highlight w:val="none"/>
        </w:rPr>
        <w:t>申请资助年度内</w:t>
      </w:r>
      <w:r>
        <w:rPr>
          <w:rFonts w:hint="default" w:ascii="仿宋_GB2312" w:hAnsi="仿宋_GB2312" w:eastAsia="仿宋_GB2312" w:cs="仿宋_GB2312"/>
          <w:spacing w:val="0"/>
          <w:sz w:val="32"/>
          <w:szCs w:val="32"/>
          <w:highlight w:val="none"/>
        </w:rPr>
        <w:t>养老机构（设施）</w:t>
      </w:r>
      <w:r>
        <w:rPr>
          <w:rFonts w:hint="eastAsia" w:ascii="仿宋_GB2312" w:hAnsi="仿宋_GB2312" w:eastAsia="仿宋_GB2312" w:cs="仿宋_GB2312"/>
          <w:spacing w:val="0"/>
          <w:sz w:val="32"/>
          <w:szCs w:val="32"/>
          <w:highlight w:val="none"/>
        </w:rPr>
        <w:t>无火灾、食物中毒、人员走失、经司法程序认定养老机构</w:t>
      </w:r>
      <w:r>
        <w:rPr>
          <w:rFonts w:hint="default" w:ascii="仿宋_GB2312" w:hAnsi="仿宋_GB2312" w:eastAsia="仿宋_GB2312" w:cs="仿宋_GB2312"/>
          <w:spacing w:val="0"/>
          <w:sz w:val="32"/>
          <w:szCs w:val="32"/>
          <w:highlight w:val="none"/>
        </w:rPr>
        <w:t>（设施）</w:t>
      </w:r>
      <w:r>
        <w:rPr>
          <w:rFonts w:hint="eastAsia" w:ascii="仿宋_GB2312" w:hAnsi="仿宋_GB2312" w:eastAsia="仿宋_GB2312" w:cs="仿宋_GB2312"/>
          <w:spacing w:val="0"/>
          <w:sz w:val="32"/>
          <w:szCs w:val="32"/>
          <w:highlight w:val="none"/>
        </w:rPr>
        <w:t>应承担责任的人身伤害等严重责任事故</w:t>
      </w:r>
      <w:r>
        <w:rPr>
          <w:rFonts w:hint="eastAsia" w:ascii="仿宋_GB2312" w:hAnsi="仿宋_GB2312" w:eastAsia="仿宋_GB2312" w:cs="仿宋_GB2312"/>
          <w:b w:val="0"/>
          <w:bCs w:val="0"/>
          <w:spacing w:val="0"/>
          <w:sz w:val="32"/>
          <w:szCs w:val="32"/>
          <w:highlight w:val="none"/>
          <w:lang w:eastAsia="zh-CN"/>
        </w:rPr>
        <w:t>且无</w:t>
      </w:r>
      <w:r>
        <w:rPr>
          <w:rFonts w:hint="eastAsia" w:ascii="仿宋_GB2312" w:hAnsi="仿宋_GB2312" w:eastAsia="仿宋_GB2312" w:cs="仿宋_GB2312"/>
          <w:spacing w:val="0"/>
          <w:sz w:val="32"/>
          <w:szCs w:val="32"/>
          <w:highlight w:val="none"/>
        </w:rPr>
        <w:t>重大服务纠纷的可以享受资金补贴。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eastAsia" w:ascii="仿宋_GB2312" w:hAnsi="仿宋_GB2312" w:eastAsia="仿宋_GB2312" w:cs="仿宋_GB2312"/>
          <w:color w:val="auto"/>
          <w:spacing w:val="0"/>
          <w:sz w:val="32"/>
          <w:szCs w:val="32"/>
          <w:highlight w:val="none"/>
          <w:u w:val="none"/>
          <w:lang w:val="en-US" w:eastAsia="zh-CN"/>
        </w:rPr>
        <w:t>为确保</w:t>
      </w:r>
      <w:r>
        <w:rPr>
          <w:rFonts w:hint="default" w:ascii="仿宋_GB2312" w:hAnsi="仿宋_GB2312" w:eastAsia="仿宋_GB2312" w:cs="仿宋_GB2312"/>
          <w:color w:val="auto"/>
          <w:spacing w:val="0"/>
          <w:sz w:val="32"/>
          <w:szCs w:val="32"/>
          <w:highlight w:val="none"/>
          <w:u w:val="none"/>
          <w:lang w:eastAsia="zh-CN"/>
        </w:rPr>
        <w:t>支持发展</w:t>
      </w:r>
      <w:r>
        <w:rPr>
          <w:rFonts w:hint="eastAsia" w:ascii="仿宋_GB2312" w:hAnsi="仿宋_GB2312" w:eastAsia="仿宋_GB2312" w:cs="仿宋_GB2312"/>
          <w:color w:val="auto"/>
          <w:spacing w:val="0"/>
          <w:sz w:val="32"/>
          <w:szCs w:val="32"/>
          <w:highlight w:val="none"/>
          <w:u w:val="none"/>
          <w:lang w:val="en-US" w:eastAsia="zh-CN"/>
        </w:rPr>
        <w:t>养老机构（设施）各项措施落地见效，民政、</w:t>
      </w:r>
      <w:r>
        <w:rPr>
          <w:rFonts w:hint="default" w:ascii="仿宋_GB2312" w:hAnsi="仿宋_GB2312" w:eastAsia="仿宋_GB2312" w:cs="仿宋_GB2312"/>
          <w:color w:val="auto"/>
          <w:spacing w:val="0"/>
          <w:sz w:val="32"/>
          <w:szCs w:val="32"/>
          <w:highlight w:val="none"/>
          <w:u w:val="none"/>
          <w:lang w:eastAsia="zh-CN"/>
        </w:rPr>
        <w:t>卫健、</w:t>
      </w:r>
      <w:r>
        <w:rPr>
          <w:rFonts w:hint="eastAsia" w:ascii="仿宋_GB2312" w:hAnsi="仿宋_GB2312" w:eastAsia="仿宋_GB2312" w:cs="仿宋_GB2312"/>
          <w:color w:val="auto"/>
          <w:spacing w:val="0"/>
          <w:sz w:val="32"/>
          <w:szCs w:val="32"/>
          <w:highlight w:val="none"/>
          <w:u w:val="none"/>
          <w:lang w:val="en-US" w:eastAsia="zh-CN"/>
        </w:rPr>
        <w:t>财政</w:t>
      </w:r>
      <w:r>
        <w:rPr>
          <w:rFonts w:hint="default" w:ascii="仿宋_GB2312" w:hAnsi="仿宋_GB2312" w:eastAsia="仿宋_GB2312" w:cs="仿宋_GB2312"/>
          <w:color w:val="auto"/>
          <w:spacing w:val="0"/>
          <w:sz w:val="32"/>
          <w:szCs w:val="32"/>
          <w:highlight w:val="none"/>
          <w:u w:val="none"/>
          <w:lang w:eastAsia="zh-CN"/>
        </w:rPr>
        <w:t>、</w:t>
      </w:r>
      <w:r>
        <w:rPr>
          <w:rFonts w:hint="eastAsia" w:ascii="仿宋_GB2312" w:hAnsi="仿宋_GB2312" w:eastAsia="仿宋_GB2312" w:cs="仿宋_GB2312"/>
          <w:color w:val="auto"/>
          <w:spacing w:val="0"/>
          <w:sz w:val="32"/>
          <w:szCs w:val="32"/>
          <w:highlight w:val="none"/>
          <w:u w:val="none"/>
          <w:lang w:val="en-US" w:eastAsia="zh-CN"/>
        </w:rPr>
        <w:t>发改、市场监督管理</w:t>
      </w:r>
      <w:r>
        <w:rPr>
          <w:rFonts w:hint="default" w:ascii="仿宋_GB2312" w:hAnsi="仿宋_GB2312" w:eastAsia="仿宋_GB2312" w:cs="仿宋_GB2312"/>
          <w:color w:val="auto"/>
          <w:spacing w:val="0"/>
          <w:sz w:val="32"/>
          <w:szCs w:val="32"/>
          <w:highlight w:val="none"/>
          <w:u w:val="none"/>
          <w:lang w:eastAsia="zh-CN"/>
        </w:rPr>
        <w:t>、住建、商务部门</w:t>
      </w:r>
      <w:r>
        <w:rPr>
          <w:rFonts w:hint="eastAsia" w:ascii="仿宋_GB2312" w:hAnsi="仿宋_GB2312" w:eastAsia="仿宋_GB2312" w:cs="仿宋_GB2312"/>
          <w:color w:val="auto"/>
          <w:spacing w:val="0"/>
          <w:sz w:val="32"/>
          <w:szCs w:val="32"/>
          <w:highlight w:val="none"/>
          <w:u w:val="none"/>
          <w:lang w:val="en-US" w:eastAsia="zh-CN"/>
        </w:rPr>
        <w:t>要建立联合工作机制，负责政策的统一解释、统筹协调与督导推进，通过定期会商、信息共享、联合检查等方式，及时研判并破解政策实施过程中的堵点、难点问题，推动支持政策落地见效。</w:t>
      </w:r>
    </w:p>
    <w:p>
      <w:pPr>
        <w:spacing w:line="550" w:lineRule="exact"/>
        <w:ind w:firstLine="640" w:firstLineChars="200"/>
        <w:rPr>
          <w:rFonts w:eastAsia="仿宋_GB2312" w:cs="仿宋_GB2312"/>
          <w:sz w:val="32"/>
          <w:szCs w:val="32"/>
        </w:rPr>
      </w:pPr>
    </w:p>
    <w:p/>
    <w:p>
      <w:pPr>
        <w:pStyle w:val="2"/>
        <w:spacing w:line="560" w:lineRule="exact"/>
        <w:ind w:firstLine="620" w:firstLineChars="200"/>
        <w:jc w:val="both"/>
        <w:rPr>
          <w:rFonts w:hint="eastAsia" w:hAnsi="仿宋_GB2312" w:eastAsia="仿宋_GB2312"/>
          <w:color w:val="000000"/>
          <w:spacing w:val="-5"/>
          <w:sz w:val="32"/>
          <w:szCs w:val="32"/>
        </w:rPr>
      </w:pPr>
    </w:p>
    <w:sectPr>
      <w:footerReference r:id="rId3" w:type="default"/>
      <w:footerReference r:id="rId4" w:type="even"/>
      <w:pgSz w:w="11906" w:h="16838"/>
      <w:pgMar w:top="2098" w:right="1474" w:bottom="1985" w:left="1588"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华文仿宋">
    <w:altName w:val="仿宋"/>
    <w:panose1 w:val="02010600040101010101"/>
    <w:charset w:val="86"/>
    <w:family w:val="auto"/>
    <w:pitch w:val="default"/>
    <w:sig w:usb0="00000000" w:usb1="00000000" w:usb2="00000010" w:usb3="00000000" w:csb0="0004009F"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97"/>
      <w:ind w:right="280"/>
      <w:jc w:val="right"/>
    </w:pPr>
    <w:r>
      <w:rPr>
        <w:rFonts w:ascii="宋体" w:hAnsi="宋体" w:eastAsia="宋体" w:cs="宋体"/>
        <w:sz w:val="28"/>
        <w:szCs w:val="28"/>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PAGE</w:instrText>
    </w:r>
    <w:r>
      <w:rPr>
        <w:rFonts w:ascii="宋体" w:hAnsi="宋体" w:eastAsia="宋体" w:cs="宋体"/>
        <w:sz w:val="28"/>
        <w:szCs w:val="28"/>
      </w:rPr>
      <w:fldChar w:fldCharType="separate"/>
    </w:r>
    <w:r>
      <w:rPr>
        <w:rFonts w:hint="eastAsia" w:ascii="宋体" w:hAnsi="宋体" w:eastAsia="宋体" w:cs="宋体"/>
        <w:sz w:val="28"/>
        <w:szCs w:val="28"/>
      </w:rPr>
      <w:t>1</w:t>
    </w:r>
    <w:r>
      <w:rPr>
        <w:rFonts w:ascii="宋体" w:hAnsi="宋体" w:eastAsia="宋体" w:cs="宋体"/>
        <w:sz w:val="28"/>
        <w:szCs w:val="28"/>
      </w:rPr>
      <w:fldChar w:fldCharType="end"/>
    </w:r>
    <w:r>
      <w:rPr>
        <w:rFonts w:ascii="宋体" w:hAnsi="宋体" w:eastAsia="宋体" w:cs="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97"/>
      <w:ind w:left="280"/>
    </w:pPr>
    <w:r>
      <w:rPr>
        <w:rFonts w:ascii="宋体" w:hAnsi="宋体" w:eastAsia="宋体" w:cs="宋体"/>
        <w:sz w:val="28"/>
        <w:szCs w:val="28"/>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PAGE</w:instrText>
    </w:r>
    <w:r>
      <w:rPr>
        <w:rFonts w:ascii="宋体" w:hAnsi="宋体" w:eastAsia="宋体" w:cs="宋体"/>
        <w:sz w:val="28"/>
        <w:szCs w:val="28"/>
      </w:rPr>
      <w:fldChar w:fldCharType="separate"/>
    </w:r>
    <w:r>
      <w:rPr>
        <w:rFonts w:hint="eastAsia" w:ascii="宋体" w:hAnsi="宋体" w:eastAsia="宋体" w:cs="宋体"/>
        <w:sz w:val="28"/>
        <w:szCs w:val="28"/>
      </w:rPr>
      <w:t>2</w:t>
    </w:r>
    <w:r>
      <w:rPr>
        <w:rFonts w:ascii="宋体" w:hAnsi="宋体" w:eastAsia="宋体" w:cs="宋体"/>
        <w:sz w:val="28"/>
        <w:szCs w:val="28"/>
      </w:rPr>
      <w:fldChar w:fldCharType="end"/>
    </w:r>
    <w:r>
      <w:rPr>
        <w:rFonts w:ascii="宋体" w:hAnsi="宋体" w:eastAsia="宋体" w:cs="宋体"/>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0"/>
  <w:bordersDoNotSurroundFooter w:val="0"/>
  <w:documentProtection w:enforcement="0"/>
  <w:defaultTabStop w:val="420"/>
  <w:evenAndOddHeaders w:val="1"/>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B30"/>
    <w:rsid w:val="00011ED9"/>
    <w:rsid w:val="00014D6A"/>
    <w:rsid w:val="00030A62"/>
    <w:rsid w:val="0004249D"/>
    <w:rsid w:val="00052E60"/>
    <w:rsid w:val="00091A0B"/>
    <w:rsid w:val="000A12BD"/>
    <w:rsid w:val="00120867"/>
    <w:rsid w:val="00133972"/>
    <w:rsid w:val="001812E8"/>
    <w:rsid w:val="001D6D23"/>
    <w:rsid w:val="001F438F"/>
    <w:rsid w:val="002168D4"/>
    <w:rsid w:val="00277062"/>
    <w:rsid w:val="002921DF"/>
    <w:rsid w:val="002A0CA9"/>
    <w:rsid w:val="002C302B"/>
    <w:rsid w:val="002D5AB2"/>
    <w:rsid w:val="002F0B09"/>
    <w:rsid w:val="003020C1"/>
    <w:rsid w:val="00390F6A"/>
    <w:rsid w:val="003D76CC"/>
    <w:rsid w:val="00413D65"/>
    <w:rsid w:val="00416026"/>
    <w:rsid w:val="00466C17"/>
    <w:rsid w:val="00487FEC"/>
    <w:rsid w:val="00491BF7"/>
    <w:rsid w:val="00551132"/>
    <w:rsid w:val="00585A69"/>
    <w:rsid w:val="00591CC5"/>
    <w:rsid w:val="005E1049"/>
    <w:rsid w:val="00610B85"/>
    <w:rsid w:val="00613875"/>
    <w:rsid w:val="00616928"/>
    <w:rsid w:val="00635CE2"/>
    <w:rsid w:val="006E7A26"/>
    <w:rsid w:val="00722F95"/>
    <w:rsid w:val="007A2448"/>
    <w:rsid w:val="007A5BC4"/>
    <w:rsid w:val="007A7A1F"/>
    <w:rsid w:val="007D1B5E"/>
    <w:rsid w:val="00817E6E"/>
    <w:rsid w:val="00837B35"/>
    <w:rsid w:val="009074D1"/>
    <w:rsid w:val="00983915"/>
    <w:rsid w:val="009D36A5"/>
    <w:rsid w:val="009E3B30"/>
    <w:rsid w:val="009E6153"/>
    <w:rsid w:val="00A203E7"/>
    <w:rsid w:val="00A33437"/>
    <w:rsid w:val="00A9315E"/>
    <w:rsid w:val="00B46B4B"/>
    <w:rsid w:val="00B914D0"/>
    <w:rsid w:val="00C512AA"/>
    <w:rsid w:val="00C635D0"/>
    <w:rsid w:val="00C81609"/>
    <w:rsid w:val="00CA1E38"/>
    <w:rsid w:val="00CA6E9A"/>
    <w:rsid w:val="00CF04A0"/>
    <w:rsid w:val="00CF4E34"/>
    <w:rsid w:val="00D9174E"/>
    <w:rsid w:val="00DA1D65"/>
    <w:rsid w:val="00DA4E46"/>
    <w:rsid w:val="00DA69CA"/>
    <w:rsid w:val="00E17ADC"/>
    <w:rsid w:val="00E25F3F"/>
    <w:rsid w:val="00E91633"/>
    <w:rsid w:val="00EA5ADF"/>
    <w:rsid w:val="00ED0387"/>
    <w:rsid w:val="00FC3D1F"/>
    <w:rsid w:val="00FF3840"/>
    <w:rsid w:val="40AA41ED"/>
    <w:rsid w:val="4F8F2493"/>
    <w:rsid w:val="6C8D38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cs="Times New Roman" w:eastAsiaTheme="minorEastAsia"/>
      <w:lang w:val="en-US" w:eastAsia="zh-CN" w:bidi="ar-SA"/>
    </w:rPr>
  </w:style>
  <w:style w:type="paragraph" w:styleId="3">
    <w:name w:val="heading 1"/>
    <w:next w:val="1"/>
    <w:qFormat/>
    <w:uiPriority w:val="9"/>
    <w:pPr>
      <w:outlineLvl w:val="0"/>
    </w:pPr>
    <w:rPr>
      <w:rFonts w:ascii="Times New Roman" w:hAnsi="Times New Roman" w:cs="Times New Roman" w:eastAsiaTheme="minorEastAsia"/>
      <w:color w:val="2E74B5"/>
      <w:sz w:val="32"/>
      <w:szCs w:val="32"/>
      <w:lang w:val="en-US" w:eastAsia="zh-CN" w:bidi="ar-SA"/>
    </w:rPr>
  </w:style>
  <w:style w:type="paragraph" w:styleId="2">
    <w:name w:val="heading 2"/>
    <w:basedOn w:val="1"/>
    <w:next w:val="1"/>
    <w:unhideWhenUsed/>
    <w:qFormat/>
    <w:uiPriority w:val="9"/>
    <w:pPr>
      <w:outlineLvl w:val="1"/>
    </w:pPr>
    <w:rPr>
      <w:rFonts w:ascii="Times New Roman" w:hAnsi="Times New Roman" w:cs="Times New Roman" w:eastAsiaTheme="minorEastAsia"/>
      <w:color w:val="2E74B5"/>
      <w:sz w:val="26"/>
      <w:szCs w:val="26"/>
      <w:lang w:val="en-US" w:eastAsia="zh-CN" w:bidi="ar-SA"/>
    </w:rPr>
  </w:style>
  <w:style w:type="paragraph" w:styleId="4">
    <w:name w:val="heading 3"/>
    <w:next w:val="1"/>
    <w:unhideWhenUsed/>
    <w:qFormat/>
    <w:uiPriority w:val="9"/>
    <w:pPr>
      <w:outlineLvl w:val="2"/>
    </w:pPr>
    <w:rPr>
      <w:rFonts w:ascii="Times New Roman" w:hAnsi="Times New Roman" w:cs="Times New Roman" w:eastAsiaTheme="minorEastAsia"/>
      <w:color w:val="1F4D78"/>
      <w:sz w:val="24"/>
      <w:szCs w:val="24"/>
      <w:lang w:val="en-US" w:eastAsia="zh-CN" w:bidi="ar-SA"/>
    </w:rPr>
  </w:style>
  <w:style w:type="paragraph" w:styleId="5">
    <w:name w:val="heading 4"/>
    <w:next w:val="1"/>
    <w:semiHidden/>
    <w:unhideWhenUsed/>
    <w:qFormat/>
    <w:uiPriority w:val="9"/>
    <w:pPr>
      <w:outlineLvl w:val="3"/>
    </w:pPr>
    <w:rPr>
      <w:rFonts w:ascii="Times New Roman" w:hAnsi="Times New Roman" w:cs="Times New Roman" w:eastAsiaTheme="minorEastAsia"/>
      <w:i/>
      <w:iCs/>
      <w:color w:val="2E74B5"/>
      <w:lang w:val="en-US" w:eastAsia="zh-CN" w:bidi="ar-SA"/>
    </w:rPr>
  </w:style>
  <w:style w:type="paragraph" w:styleId="6">
    <w:name w:val="heading 5"/>
    <w:next w:val="1"/>
    <w:semiHidden/>
    <w:unhideWhenUsed/>
    <w:qFormat/>
    <w:uiPriority w:val="9"/>
    <w:pPr>
      <w:outlineLvl w:val="4"/>
    </w:pPr>
    <w:rPr>
      <w:rFonts w:ascii="Times New Roman" w:hAnsi="Times New Roman" w:cs="Times New Roman" w:eastAsiaTheme="minorEastAsia"/>
      <w:color w:val="2E74B5"/>
      <w:lang w:val="en-US" w:eastAsia="zh-CN" w:bidi="ar-SA"/>
    </w:rPr>
  </w:style>
  <w:style w:type="paragraph" w:styleId="7">
    <w:name w:val="heading 6"/>
    <w:next w:val="1"/>
    <w:semiHidden/>
    <w:unhideWhenUsed/>
    <w:qFormat/>
    <w:uiPriority w:val="9"/>
    <w:pPr>
      <w:outlineLvl w:val="5"/>
    </w:pPr>
    <w:rPr>
      <w:rFonts w:ascii="Times New Roman" w:hAnsi="Times New Roman" w:cs="Times New Roman" w:eastAsiaTheme="minorEastAsia"/>
      <w:color w:val="1F4D78"/>
      <w:lang w:val="en-US" w:eastAsia="zh-CN" w:bidi="ar-SA"/>
    </w:rPr>
  </w:style>
  <w:style w:type="character" w:default="1" w:styleId="16">
    <w:name w:val="Default Paragraph Font"/>
    <w:semiHidden/>
    <w:unhideWhenUsed/>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8">
    <w:name w:val="Body Text Indent"/>
    <w:basedOn w:val="1"/>
    <w:link w:val="24"/>
    <w:semiHidden/>
    <w:unhideWhenUsed/>
    <w:qFormat/>
    <w:uiPriority w:val="99"/>
    <w:pPr>
      <w:spacing w:after="120"/>
      <w:ind w:left="420" w:leftChars="200"/>
    </w:pPr>
  </w:style>
  <w:style w:type="paragraph" w:styleId="9">
    <w:name w:val="endnote text"/>
    <w:link w:val="23"/>
    <w:semiHidden/>
    <w:unhideWhenUsed/>
    <w:qFormat/>
    <w:uiPriority w:val="99"/>
    <w:rPr>
      <w:rFonts w:ascii="Times New Roman" w:hAnsi="Times New Roman" w:cs="Times New Roman" w:eastAsiaTheme="minorEastAsia"/>
      <w:lang w:val="en-US" w:eastAsia="zh-CN" w:bidi="ar-SA"/>
    </w:rPr>
  </w:style>
  <w:style w:type="paragraph" w:styleId="10">
    <w:name w:val="footer"/>
    <w:basedOn w:val="1"/>
    <w:link w:val="27"/>
    <w:unhideWhenUsed/>
    <w:qFormat/>
    <w:uiPriority w:val="99"/>
    <w:pPr>
      <w:tabs>
        <w:tab w:val="center" w:pos="4153"/>
        <w:tab w:val="right" w:pos="8306"/>
      </w:tabs>
      <w:snapToGrid w:val="0"/>
    </w:pPr>
    <w:rPr>
      <w:sz w:val="18"/>
      <w:szCs w:val="18"/>
    </w:rPr>
  </w:style>
  <w:style w:type="paragraph" w:styleId="11">
    <w:name w:val="header"/>
    <w:basedOn w:val="1"/>
    <w:link w:val="26"/>
    <w:unhideWhenUsed/>
    <w:qFormat/>
    <w:uiPriority w:val="99"/>
    <w:pPr>
      <w:tabs>
        <w:tab w:val="center" w:pos="4153"/>
        <w:tab w:val="right" w:pos="8306"/>
      </w:tabs>
      <w:snapToGrid w:val="0"/>
      <w:jc w:val="center"/>
    </w:pPr>
    <w:rPr>
      <w:sz w:val="18"/>
      <w:szCs w:val="18"/>
    </w:rPr>
  </w:style>
  <w:style w:type="paragraph" w:styleId="12">
    <w:name w:val="footnote text"/>
    <w:link w:val="22"/>
    <w:semiHidden/>
    <w:unhideWhenUsed/>
    <w:qFormat/>
    <w:uiPriority w:val="99"/>
    <w:rPr>
      <w:rFonts w:ascii="Times New Roman" w:hAnsi="Times New Roman" w:cs="Times New Roman" w:eastAsiaTheme="minorEastAsia"/>
      <w:lang w:val="en-US" w:eastAsia="zh-CN" w:bidi="ar-SA"/>
    </w:rPr>
  </w:style>
  <w:style w:type="paragraph" w:styleId="13">
    <w:name w:val="Title"/>
    <w:qFormat/>
    <w:uiPriority w:val="10"/>
    <w:rPr>
      <w:rFonts w:ascii="Times New Roman" w:hAnsi="Times New Roman" w:cs="Times New Roman" w:eastAsiaTheme="minorEastAsia"/>
      <w:sz w:val="56"/>
      <w:szCs w:val="56"/>
      <w:lang w:val="en-US" w:eastAsia="zh-CN" w:bidi="ar-SA"/>
    </w:rPr>
  </w:style>
  <w:style w:type="paragraph" w:styleId="14">
    <w:name w:val="Body Text First Indent 2"/>
    <w:basedOn w:val="8"/>
    <w:next w:val="1"/>
    <w:link w:val="25"/>
    <w:qFormat/>
    <w:uiPriority w:val="0"/>
    <w:pPr>
      <w:spacing w:before="100" w:beforeAutospacing="1"/>
      <w:ind w:firstLine="420" w:firstLineChars="200"/>
      <w:jc w:val="both"/>
    </w:pPr>
    <w:rPr>
      <w:rFonts w:ascii="Calibri" w:hAnsi="Calibri" w:eastAsia="华文仿宋"/>
      <w:kern w:val="2"/>
      <w:sz w:val="21"/>
      <w:szCs w:val="24"/>
    </w:rPr>
  </w:style>
  <w:style w:type="character" w:styleId="17">
    <w:name w:val="endnote reference"/>
    <w:semiHidden/>
    <w:unhideWhenUsed/>
    <w:qFormat/>
    <w:uiPriority w:val="99"/>
    <w:rPr>
      <w:vertAlign w:val="superscript"/>
    </w:rPr>
  </w:style>
  <w:style w:type="character" w:styleId="18">
    <w:name w:val="Hyperlink"/>
    <w:unhideWhenUsed/>
    <w:qFormat/>
    <w:uiPriority w:val="99"/>
    <w:rPr>
      <w:color w:val="0563C1"/>
      <w:u w:val="single"/>
    </w:rPr>
  </w:style>
  <w:style w:type="character" w:styleId="19">
    <w:name w:val="footnote reference"/>
    <w:semiHidden/>
    <w:unhideWhenUsed/>
    <w:qFormat/>
    <w:uiPriority w:val="99"/>
    <w:rPr>
      <w:vertAlign w:val="superscript"/>
    </w:rPr>
  </w:style>
  <w:style w:type="paragraph" w:customStyle="1" w:styleId="20">
    <w:name w:val="要点1"/>
    <w:qFormat/>
    <w:uiPriority w:val="0"/>
    <w:rPr>
      <w:rFonts w:ascii="Times New Roman" w:hAnsi="Times New Roman" w:cs="Times New Roman" w:eastAsiaTheme="minorEastAsia"/>
      <w:b/>
      <w:bCs/>
      <w:lang w:val="en-US" w:eastAsia="zh-CN" w:bidi="ar-SA"/>
    </w:rPr>
  </w:style>
  <w:style w:type="paragraph" w:styleId="21">
    <w:name w:val="List Paragraph"/>
    <w:qFormat/>
    <w:uiPriority w:val="0"/>
    <w:rPr>
      <w:rFonts w:ascii="Times New Roman" w:hAnsi="Times New Roman" w:cs="Times New Roman" w:eastAsiaTheme="minorEastAsia"/>
      <w:lang w:val="en-US" w:eastAsia="zh-CN" w:bidi="ar-SA"/>
    </w:rPr>
  </w:style>
  <w:style w:type="character" w:customStyle="1" w:styleId="22">
    <w:name w:val="脚注文本 字符"/>
    <w:link w:val="12"/>
    <w:semiHidden/>
    <w:unhideWhenUsed/>
    <w:qFormat/>
    <w:uiPriority w:val="99"/>
    <w:rPr>
      <w:sz w:val="20"/>
      <w:szCs w:val="20"/>
    </w:rPr>
  </w:style>
  <w:style w:type="character" w:customStyle="1" w:styleId="23">
    <w:name w:val="尾注文本 字符"/>
    <w:link w:val="9"/>
    <w:semiHidden/>
    <w:unhideWhenUsed/>
    <w:qFormat/>
    <w:uiPriority w:val="99"/>
    <w:rPr>
      <w:sz w:val="20"/>
      <w:szCs w:val="20"/>
    </w:rPr>
  </w:style>
  <w:style w:type="character" w:customStyle="1" w:styleId="24">
    <w:name w:val="正文文本缩进 字符"/>
    <w:basedOn w:val="16"/>
    <w:link w:val="8"/>
    <w:semiHidden/>
    <w:qFormat/>
    <w:uiPriority w:val="99"/>
  </w:style>
  <w:style w:type="character" w:customStyle="1" w:styleId="25">
    <w:name w:val="正文文本首行缩进 2 字符"/>
    <w:basedOn w:val="24"/>
    <w:link w:val="14"/>
    <w:qFormat/>
    <w:uiPriority w:val="0"/>
    <w:rPr>
      <w:rFonts w:ascii="Calibri" w:hAnsi="Calibri" w:eastAsia="华文仿宋"/>
      <w:kern w:val="2"/>
      <w:sz w:val="21"/>
      <w:szCs w:val="24"/>
    </w:rPr>
  </w:style>
  <w:style w:type="character" w:customStyle="1" w:styleId="26">
    <w:name w:val="页眉 字符"/>
    <w:basedOn w:val="16"/>
    <w:link w:val="11"/>
    <w:qFormat/>
    <w:uiPriority w:val="99"/>
    <w:rPr>
      <w:sz w:val="18"/>
      <w:szCs w:val="18"/>
    </w:rPr>
  </w:style>
  <w:style w:type="character" w:customStyle="1" w:styleId="27">
    <w:name w:val="页脚 字符"/>
    <w:basedOn w:val="16"/>
    <w:link w:val="10"/>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1190</Words>
  <Characters>6783</Characters>
  <Lines>56</Lines>
  <Paragraphs>15</Paragraphs>
  <TotalTime>1</TotalTime>
  <ScaleCrop>false</ScaleCrop>
  <LinksUpToDate>false</LinksUpToDate>
  <CharactersWithSpaces>7958</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2026-08-14T14:24:00Z</dcterms:created>
  <dc:creator>Un-named</dc:creator>
  <cp:lastModifiedBy>Administrator</cp:lastModifiedBy>
  <dcterms:modified xsi:type="dcterms:W3CDTF">2026-08-16T11:00:36Z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