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93260">
      <w:pPr>
        <w:pStyle w:val="2"/>
        <w:jc w:val="left"/>
        <w:rPr>
          <w:sz w:val="32"/>
          <w:szCs w:val="32"/>
        </w:rPr>
      </w:pPr>
      <w:bookmarkStart w:id="293" w:name="_GoBack"/>
      <w:bookmarkEnd w:id="293"/>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14:paraId="5826B8D1">
      <w:pPr>
        <w:pStyle w:val="2"/>
      </w:pPr>
    </w:p>
    <w:p w14:paraId="6FCC27F5">
      <w:pPr>
        <w:pStyle w:val="2"/>
      </w:pPr>
    </w:p>
    <w:p w14:paraId="6458960D">
      <w:pPr>
        <w:pStyle w:val="2"/>
      </w:pPr>
    </w:p>
    <w:p w14:paraId="5DBC4CE4">
      <w:pPr>
        <w:pStyle w:val="2"/>
        <w:rPr>
          <w:b w:val="0"/>
          <w:bCs w:val="0"/>
        </w:rPr>
      </w:pPr>
    </w:p>
    <w:p w14:paraId="24BE3E1C">
      <w:pPr>
        <w:pStyle w:val="2"/>
        <w:rPr>
          <w:b w:val="0"/>
          <w:bCs w:val="0"/>
        </w:rPr>
      </w:pPr>
    </w:p>
    <w:p w14:paraId="33EDBB7E">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昌吉回族自治州“十五五”生态环境</w:t>
      </w:r>
    </w:p>
    <w:p w14:paraId="5F599B2F">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保护规划</w:t>
      </w:r>
    </w:p>
    <w:p w14:paraId="5C4A83CE">
      <w:pPr>
        <w:pStyle w:val="2"/>
        <w:adjustRightInd w:val="0"/>
        <w:snapToGrid w:val="0"/>
        <w:spacing w:line="360" w:lineRule="auto"/>
        <w:ind w:left="0" w:right="0"/>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rPr>
        <w:t>（征求意见稿）</w:t>
      </w:r>
    </w:p>
    <w:p w14:paraId="6F022B17">
      <w:pPr>
        <w:pStyle w:val="2"/>
        <w:ind w:firstLine="480"/>
        <w:rPr>
          <w:rFonts w:eastAsia="宋体" w:cs="Times New Roman"/>
        </w:rPr>
      </w:pPr>
    </w:p>
    <w:p w14:paraId="01833E2F">
      <w:pPr>
        <w:pStyle w:val="2"/>
        <w:ind w:firstLine="480"/>
        <w:rPr>
          <w:rFonts w:eastAsia="宋体" w:cs="Times New Roman"/>
        </w:rPr>
      </w:pPr>
    </w:p>
    <w:p w14:paraId="35DDA307">
      <w:pPr>
        <w:pStyle w:val="2"/>
        <w:ind w:firstLine="480"/>
        <w:rPr>
          <w:rFonts w:ascii="Times New Roman" w:hAnsi="Times New Roman" w:cs="Times New Roman"/>
        </w:rPr>
      </w:pPr>
    </w:p>
    <w:p w14:paraId="61AE8ABF">
      <w:pPr>
        <w:pStyle w:val="2"/>
        <w:ind w:firstLine="480"/>
        <w:rPr>
          <w:rFonts w:ascii="Times New Roman" w:hAnsi="Times New Roman" w:cs="Times New Roman"/>
        </w:rPr>
      </w:pPr>
    </w:p>
    <w:p w14:paraId="1E063421">
      <w:pPr>
        <w:pStyle w:val="2"/>
        <w:ind w:firstLine="480"/>
        <w:rPr>
          <w:rFonts w:ascii="Times New Roman" w:hAnsi="Times New Roman" w:cs="Times New Roman"/>
        </w:rPr>
      </w:pPr>
    </w:p>
    <w:p w14:paraId="635B3F47">
      <w:pPr>
        <w:pStyle w:val="2"/>
        <w:ind w:firstLine="480"/>
        <w:rPr>
          <w:rFonts w:ascii="Times New Roman" w:hAnsi="Times New Roman" w:cs="Times New Roman"/>
        </w:rPr>
      </w:pPr>
    </w:p>
    <w:p w14:paraId="6103183E">
      <w:pPr>
        <w:pStyle w:val="2"/>
        <w:ind w:firstLine="480"/>
        <w:rPr>
          <w:rFonts w:ascii="Times New Roman" w:hAnsi="Times New Roman" w:cs="Times New Roman"/>
        </w:rPr>
      </w:pPr>
    </w:p>
    <w:p w14:paraId="2943D3A4">
      <w:pPr>
        <w:pStyle w:val="2"/>
        <w:ind w:firstLine="480"/>
        <w:rPr>
          <w:rFonts w:ascii="Times New Roman" w:hAnsi="Times New Roman" w:cs="Times New Roman"/>
        </w:rPr>
      </w:pPr>
    </w:p>
    <w:p w14:paraId="3656D20E">
      <w:pPr>
        <w:pStyle w:val="2"/>
        <w:ind w:firstLine="480"/>
        <w:rPr>
          <w:rFonts w:ascii="Times New Roman" w:hAnsi="Times New Roman" w:cs="Times New Roman"/>
        </w:rPr>
      </w:pPr>
    </w:p>
    <w:p w14:paraId="63DBEE3A">
      <w:pPr>
        <w:pStyle w:val="2"/>
        <w:ind w:firstLine="480"/>
        <w:rPr>
          <w:rFonts w:ascii="Times New Roman" w:hAnsi="Times New Roman" w:cs="Times New Roman"/>
        </w:rPr>
      </w:pPr>
    </w:p>
    <w:p w14:paraId="1D747C07">
      <w:pPr>
        <w:pStyle w:val="2"/>
        <w:ind w:firstLine="480"/>
        <w:rPr>
          <w:rFonts w:ascii="Times New Roman" w:hAnsi="Times New Roman" w:cs="Times New Roman"/>
        </w:rPr>
      </w:pPr>
    </w:p>
    <w:p w14:paraId="4A336099">
      <w:pPr>
        <w:pStyle w:val="2"/>
        <w:ind w:firstLine="480"/>
        <w:rPr>
          <w:rFonts w:ascii="Times New Roman" w:hAnsi="Times New Roman" w:cs="Times New Roman"/>
        </w:rPr>
      </w:pPr>
    </w:p>
    <w:p w14:paraId="6CF026C8">
      <w:pPr>
        <w:pStyle w:val="2"/>
        <w:ind w:firstLine="480"/>
        <w:rPr>
          <w:rFonts w:ascii="Times New Roman" w:hAnsi="Times New Roman" w:cs="Times New Roman"/>
        </w:rPr>
      </w:pPr>
    </w:p>
    <w:p w14:paraId="58338811">
      <w:pPr>
        <w:pStyle w:val="2"/>
        <w:ind w:firstLine="480"/>
        <w:rPr>
          <w:rFonts w:ascii="Times New Roman" w:hAnsi="Times New Roman" w:cs="Times New Roman"/>
        </w:rPr>
      </w:pPr>
    </w:p>
    <w:p w14:paraId="6D1D1D88">
      <w:pPr>
        <w:pStyle w:val="2"/>
        <w:ind w:firstLine="480"/>
        <w:rPr>
          <w:rFonts w:ascii="Times New Roman" w:hAnsi="Times New Roman" w:cs="Times New Roman"/>
        </w:rPr>
      </w:pPr>
    </w:p>
    <w:p w14:paraId="1F719C4C">
      <w:pPr>
        <w:pStyle w:val="2"/>
        <w:ind w:firstLine="480"/>
        <w:rPr>
          <w:rFonts w:ascii="Times New Roman" w:hAnsi="Times New Roman" w:cs="Times New Roman"/>
        </w:rPr>
      </w:pPr>
    </w:p>
    <w:p w14:paraId="68939FCC">
      <w:pPr>
        <w:pStyle w:val="2"/>
        <w:ind w:firstLine="480"/>
        <w:rPr>
          <w:rFonts w:ascii="Times New Roman" w:hAnsi="Times New Roman" w:cs="Times New Roman"/>
        </w:rPr>
      </w:pPr>
    </w:p>
    <w:p w14:paraId="4A2D27A3">
      <w:pPr>
        <w:pStyle w:val="2"/>
        <w:ind w:firstLine="480"/>
        <w:rPr>
          <w:rFonts w:ascii="Times New Roman" w:hAnsi="Times New Roman" w:cs="Times New Roman"/>
        </w:rPr>
      </w:pPr>
    </w:p>
    <w:p w14:paraId="0C96B46C">
      <w:pPr>
        <w:pStyle w:val="2"/>
        <w:ind w:firstLine="480"/>
        <w:rPr>
          <w:rFonts w:ascii="Times New Roman" w:hAnsi="Times New Roman" w:cs="Times New Roman"/>
        </w:rPr>
      </w:pPr>
    </w:p>
    <w:p w14:paraId="560E714F">
      <w:pPr>
        <w:pStyle w:val="2"/>
        <w:ind w:firstLine="480"/>
        <w:rPr>
          <w:rFonts w:ascii="Times New Roman" w:hAnsi="Times New Roman" w:cs="Times New Roman"/>
        </w:rPr>
      </w:pPr>
    </w:p>
    <w:p w14:paraId="36147295">
      <w:pPr>
        <w:pStyle w:val="2"/>
        <w:ind w:firstLine="480"/>
        <w:rPr>
          <w:rFonts w:ascii="Times New Roman" w:hAnsi="Times New Roman" w:cs="Times New Roman"/>
        </w:rPr>
      </w:pPr>
    </w:p>
    <w:p w14:paraId="7D14F559">
      <w:pPr>
        <w:pStyle w:val="2"/>
        <w:ind w:left="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昌吉回族自治州生态环境局</w:t>
      </w:r>
    </w:p>
    <w:p w14:paraId="4652BA9B">
      <w:pPr>
        <w:pStyle w:val="2"/>
        <w:ind w:left="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二〇二六年五月</w:t>
      </w:r>
    </w:p>
    <w:p w14:paraId="4BB14440">
      <w:pPr>
        <w:pStyle w:val="2"/>
        <w:ind w:left="0"/>
        <w:rPr>
          <w:rFonts w:eastAsia="宋体" w:cs="Times New Roman"/>
          <w:b/>
          <w:sz w:val="32"/>
          <w:szCs w:val="32"/>
        </w:rPr>
      </w:pPr>
    </w:p>
    <w:p w14:paraId="1379792F">
      <w:pPr>
        <w:pStyle w:val="2"/>
        <w:ind w:left="0"/>
        <w:rPr>
          <w:rFonts w:eastAsia="宋体" w:cs="Times New Roman"/>
          <w:b/>
          <w:sz w:val="32"/>
          <w:szCs w:val="32"/>
        </w:rPr>
      </w:pPr>
    </w:p>
    <w:p w14:paraId="79C1CC25">
      <w:pPr>
        <w:pStyle w:val="2"/>
        <w:ind w:firstLine="643"/>
        <w:rPr>
          <w:rFonts w:ascii="Times New Roman" w:hAnsi="Times New Roman" w:cs="Times New Roman"/>
          <w:b/>
          <w:sz w:val="32"/>
          <w:szCs w:val="32"/>
        </w:rPr>
      </w:pPr>
      <w:bookmarkStart w:id="0" w:name="OLE_LINK12"/>
      <w:bookmarkStart w:id="1" w:name="OLE_LINK9"/>
      <w:r>
        <w:rPr>
          <w:rFonts w:ascii="Times New Roman" w:hAnsi="Times New Roman" w:cs="Times New Roman"/>
          <w:b/>
          <w:sz w:val="32"/>
          <w:szCs w:val="32"/>
        </w:rPr>
        <w:t>目  录</w:t>
      </w:r>
    </w:p>
    <w:p w14:paraId="7936060C">
      <w:pPr>
        <w:pStyle w:val="22"/>
        <w:tabs>
          <w:tab w:val="right" w:leader="dot" w:pos="8154"/>
        </w:tabs>
        <w:spacing w:line="500" w:lineRule="exact"/>
        <w:rPr>
          <w:rFonts w:ascii="仿宋_GB2312" w:eastAsia="仿宋_GB2312"/>
          <w:sz w:val="28"/>
          <w:szCs w:val="28"/>
        </w:rPr>
      </w:pPr>
      <w:r>
        <w:rPr>
          <w:rStyle w:val="35"/>
          <w:rFonts w:hint="eastAsia" w:ascii="仿宋_GB2312" w:eastAsia="仿宋_GB2312"/>
          <w:b/>
          <w:color w:val="auto"/>
          <w:sz w:val="28"/>
          <w:szCs w:val="28"/>
        </w:rPr>
        <w:fldChar w:fldCharType="begin"/>
      </w:r>
      <w:r>
        <w:rPr>
          <w:rStyle w:val="35"/>
          <w:rFonts w:hint="eastAsia" w:ascii="仿宋_GB2312" w:eastAsia="仿宋_GB2312"/>
          <w:b/>
          <w:color w:val="auto"/>
          <w:sz w:val="28"/>
          <w:szCs w:val="28"/>
        </w:rPr>
        <w:instrText xml:space="preserve"> TOC \o "1-2" \h \z \u </w:instrText>
      </w:r>
      <w:r>
        <w:rPr>
          <w:rStyle w:val="35"/>
          <w:rFonts w:hint="eastAsia" w:ascii="仿宋_GB2312" w:eastAsia="仿宋_GB2312"/>
          <w:b/>
          <w:color w:val="auto"/>
          <w:sz w:val="28"/>
          <w:szCs w:val="28"/>
        </w:rPr>
        <w:fldChar w:fldCharType="separate"/>
      </w:r>
      <w:r>
        <w:fldChar w:fldCharType="begin"/>
      </w:r>
      <w:r>
        <w:instrText xml:space="preserve"> HYPERLINK \l "_Toc227770760" </w:instrText>
      </w:r>
      <w:r>
        <w:fldChar w:fldCharType="separate"/>
      </w:r>
      <w:r>
        <w:rPr>
          <w:rStyle w:val="35"/>
          <w:rFonts w:hint="eastAsia" w:ascii="仿宋_GB2312" w:eastAsia="仿宋_GB2312"/>
          <w:color w:val="auto"/>
          <w:sz w:val="28"/>
          <w:szCs w:val="28"/>
        </w:rPr>
        <w:t>第一章  规划基础与形势</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_Toc227770760 \h </w:instrText>
      </w:r>
      <w:r>
        <w:rPr>
          <w:rFonts w:hint="eastAsia" w:ascii="仿宋_GB2312" w:eastAsia="仿宋_GB2312"/>
          <w:sz w:val="28"/>
          <w:szCs w:val="28"/>
        </w:rPr>
        <w:fldChar w:fldCharType="separate"/>
      </w:r>
      <w:r>
        <w:rPr>
          <w:rFonts w:ascii="仿宋_GB2312" w:eastAsia="仿宋_GB2312"/>
          <w:sz w:val="28"/>
          <w:szCs w:val="28"/>
        </w:rPr>
        <w:t xml:space="preserve">1 </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AEAFAE9">
      <w:pPr>
        <w:pStyle w:val="25"/>
        <w:tabs>
          <w:tab w:val="right" w:leader="dot" w:pos="8154"/>
        </w:tabs>
        <w:spacing w:line="500" w:lineRule="exact"/>
        <w:rPr>
          <w:rFonts w:ascii="仿宋_GB2312" w:eastAsia="仿宋_GB2312"/>
          <w:sz w:val="28"/>
          <w:szCs w:val="28"/>
        </w:rPr>
      </w:pPr>
      <w:r>
        <w:fldChar w:fldCharType="begin"/>
      </w:r>
      <w:r>
        <w:instrText xml:space="preserve"> HYPERLINK \l "_Toc227770761" </w:instrText>
      </w:r>
      <w:r>
        <w:fldChar w:fldCharType="separate"/>
      </w:r>
      <w:r>
        <w:rPr>
          <w:rStyle w:val="35"/>
          <w:rFonts w:hint="eastAsia" w:ascii="仿宋_GB2312" w:eastAsia="仿宋_GB2312"/>
          <w:color w:val="auto"/>
          <w:sz w:val="28"/>
          <w:szCs w:val="28"/>
        </w:rPr>
        <w:t>第一节 “十四五”取得的主要成效</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_Toc227770761 \h </w:instrText>
      </w:r>
      <w:r>
        <w:rPr>
          <w:rFonts w:hint="eastAsia" w:ascii="仿宋_GB2312" w:eastAsia="仿宋_GB2312"/>
          <w:sz w:val="28"/>
          <w:szCs w:val="28"/>
        </w:rPr>
        <w:fldChar w:fldCharType="separate"/>
      </w:r>
      <w:r>
        <w:rPr>
          <w:rFonts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434EAFF">
      <w:pPr>
        <w:pStyle w:val="25"/>
        <w:tabs>
          <w:tab w:val="right" w:leader="dot" w:pos="8154"/>
        </w:tabs>
        <w:spacing w:line="500" w:lineRule="exact"/>
        <w:rPr>
          <w:rFonts w:ascii="仿宋_GB2312" w:eastAsia="仿宋_GB2312"/>
          <w:sz w:val="28"/>
          <w:szCs w:val="28"/>
        </w:rPr>
      </w:pPr>
      <w:r>
        <w:fldChar w:fldCharType="begin"/>
      </w:r>
      <w:r>
        <w:instrText xml:space="preserve"> HYPERLINK \l "_Toc227770762" </w:instrText>
      </w:r>
      <w:r>
        <w:fldChar w:fldCharType="separate"/>
      </w:r>
      <w:r>
        <w:rPr>
          <w:rStyle w:val="35"/>
          <w:rFonts w:hint="eastAsia" w:ascii="仿宋_GB2312" w:eastAsia="仿宋_GB2312"/>
          <w:color w:val="auto"/>
          <w:sz w:val="28"/>
          <w:szCs w:val="28"/>
        </w:rPr>
        <w:t>第二节 “十五五”面临的机遇</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_Toc227770762 \h </w:instrText>
      </w:r>
      <w:r>
        <w:rPr>
          <w:rFonts w:hint="eastAsia" w:ascii="仿宋_GB2312" w:eastAsia="仿宋_GB2312"/>
          <w:sz w:val="28"/>
          <w:szCs w:val="28"/>
        </w:rPr>
        <w:fldChar w:fldCharType="separate"/>
      </w:r>
      <w:r>
        <w:rPr>
          <w:rFonts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108BBA2">
      <w:pPr>
        <w:pStyle w:val="25"/>
        <w:tabs>
          <w:tab w:val="right" w:leader="dot" w:pos="8154"/>
        </w:tabs>
        <w:spacing w:line="500" w:lineRule="exact"/>
        <w:rPr>
          <w:rFonts w:ascii="仿宋_GB2312" w:eastAsia="仿宋_GB2312"/>
          <w:sz w:val="28"/>
          <w:szCs w:val="28"/>
        </w:rPr>
      </w:pPr>
      <w:r>
        <w:fldChar w:fldCharType="begin"/>
      </w:r>
      <w:r>
        <w:instrText xml:space="preserve"> HYPERLINK \l "_Toc227770763" </w:instrText>
      </w:r>
      <w:r>
        <w:fldChar w:fldCharType="separate"/>
      </w:r>
      <w:r>
        <w:rPr>
          <w:rStyle w:val="35"/>
          <w:rFonts w:hint="eastAsia" w:ascii="仿宋_GB2312" w:eastAsia="仿宋_GB2312"/>
          <w:color w:val="auto"/>
          <w:sz w:val="28"/>
          <w:szCs w:val="28"/>
        </w:rPr>
        <w:t>第三节 “十五五”面临的挑战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_Toc227770763 \h </w:instrText>
      </w:r>
      <w:r>
        <w:rPr>
          <w:rFonts w:hint="eastAsia" w:ascii="仿宋_GB2312" w:eastAsia="仿宋_GB2312"/>
          <w:sz w:val="28"/>
          <w:szCs w:val="28"/>
        </w:rPr>
        <w:fldChar w:fldCharType="separate"/>
      </w:r>
      <w:r>
        <w:rPr>
          <w:rFonts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BFB0481">
      <w:pPr>
        <w:pStyle w:val="22"/>
        <w:tabs>
          <w:tab w:val="right" w:leader="dot" w:pos="8154"/>
        </w:tabs>
        <w:spacing w:line="500" w:lineRule="exact"/>
        <w:rPr>
          <w:rFonts w:ascii="仿宋_GB2312" w:eastAsia="仿宋_GB2312"/>
          <w:sz w:val="28"/>
          <w:szCs w:val="28"/>
        </w:rPr>
      </w:pPr>
      <w:r>
        <w:fldChar w:fldCharType="begin"/>
      </w:r>
      <w:r>
        <w:instrText xml:space="preserve"> HYPERLINK \l "_Toc227770764" </w:instrText>
      </w:r>
      <w:r>
        <w:fldChar w:fldCharType="separate"/>
      </w:r>
      <w:r>
        <w:rPr>
          <w:rStyle w:val="35"/>
          <w:rFonts w:hint="eastAsia" w:ascii="仿宋_GB2312" w:eastAsia="仿宋_GB2312"/>
          <w:color w:val="auto"/>
          <w:sz w:val="28"/>
          <w:szCs w:val="28"/>
        </w:rPr>
        <w:t>第二章  总体要求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_Toc227770764 \h </w:instrText>
      </w:r>
      <w:r>
        <w:rPr>
          <w:rFonts w:hint="eastAsia" w:ascii="仿宋_GB2312" w:eastAsia="仿宋_GB2312"/>
          <w:sz w:val="28"/>
          <w:szCs w:val="28"/>
        </w:rPr>
        <w:fldChar w:fldCharType="separate"/>
      </w:r>
      <w:r>
        <w:rPr>
          <w:rFonts w:ascii="仿宋_GB2312" w:eastAsia="仿宋_GB2312"/>
          <w:sz w:val="28"/>
          <w:szCs w:val="28"/>
        </w:rPr>
        <w:t>10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70D5B45">
      <w:pPr>
        <w:pStyle w:val="25"/>
        <w:tabs>
          <w:tab w:val="right" w:leader="dot" w:pos="8154"/>
        </w:tabs>
        <w:spacing w:line="500" w:lineRule="exact"/>
        <w:rPr>
          <w:rFonts w:ascii="仿宋_GB2312" w:eastAsia="仿宋_GB2312"/>
          <w:sz w:val="28"/>
          <w:szCs w:val="28"/>
        </w:rPr>
      </w:pPr>
      <w:r>
        <w:fldChar w:fldCharType="begin"/>
      </w:r>
      <w:r>
        <w:instrText xml:space="preserve"> HYPERLINK \l "_Toc227770765" </w:instrText>
      </w:r>
      <w:r>
        <w:fldChar w:fldCharType="separate"/>
      </w:r>
      <w:r>
        <w:rPr>
          <w:rStyle w:val="35"/>
          <w:rFonts w:hint="eastAsia" w:ascii="仿宋_GB2312" w:eastAsia="仿宋_GB2312"/>
          <w:color w:val="auto"/>
          <w:sz w:val="28"/>
          <w:szCs w:val="28"/>
        </w:rPr>
        <w:t>第一节 指导思想</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_Toc227770765 \h </w:instrText>
      </w:r>
      <w:r>
        <w:rPr>
          <w:rFonts w:hint="eastAsia" w:ascii="仿宋_GB2312" w:eastAsia="仿宋_GB2312"/>
          <w:sz w:val="28"/>
          <w:szCs w:val="28"/>
        </w:rPr>
        <w:fldChar w:fldCharType="separate"/>
      </w:r>
      <w:r>
        <w:rPr>
          <w:rFonts w:ascii="仿宋_GB2312" w:eastAsia="仿宋_GB2312"/>
          <w:sz w:val="28"/>
          <w:szCs w:val="28"/>
        </w:rPr>
        <w:t>10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583C382">
      <w:pPr>
        <w:pStyle w:val="25"/>
        <w:tabs>
          <w:tab w:val="right" w:leader="dot" w:pos="8154"/>
        </w:tabs>
        <w:spacing w:line="500" w:lineRule="exact"/>
        <w:rPr>
          <w:rFonts w:ascii="仿宋_GB2312" w:eastAsia="仿宋_GB2312"/>
          <w:sz w:val="28"/>
          <w:szCs w:val="28"/>
        </w:rPr>
      </w:pPr>
      <w:r>
        <w:fldChar w:fldCharType="begin"/>
      </w:r>
      <w:r>
        <w:instrText xml:space="preserve"> HYPERLINK \l "_Toc227770766" </w:instrText>
      </w:r>
      <w:r>
        <w:fldChar w:fldCharType="separate"/>
      </w:r>
      <w:r>
        <w:rPr>
          <w:rStyle w:val="35"/>
          <w:rFonts w:hint="eastAsia" w:ascii="仿宋_GB2312" w:eastAsia="仿宋_GB2312"/>
          <w:color w:val="auto"/>
          <w:sz w:val="28"/>
          <w:szCs w:val="28"/>
        </w:rPr>
        <w:t>第二节 主要原则</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_Toc227770766 \h </w:instrText>
      </w:r>
      <w:r>
        <w:rPr>
          <w:rFonts w:hint="eastAsia" w:ascii="仿宋_GB2312" w:eastAsia="仿宋_GB2312"/>
          <w:sz w:val="28"/>
          <w:szCs w:val="28"/>
        </w:rPr>
        <w:fldChar w:fldCharType="separate"/>
      </w:r>
      <w:r>
        <w:rPr>
          <w:rFonts w:ascii="仿宋_GB2312" w:eastAsia="仿宋_GB2312"/>
          <w:sz w:val="28"/>
          <w:szCs w:val="28"/>
        </w:rPr>
        <w:t>11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2693918">
      <w:pPr>
        <w:pStyle w:val="25"/>
        <w:tabs>
          <w:tab w:val="right" w:leader="dot" w:pos="8154"/>
        </w:tabs>
        <w:spacing w:line="500" w:lineRule="exact"/>
        <w:rPr>
          <w:rFonts w:ascii="仿宋_GB2312" w:eastAsia="仿宋_GB2312"/>
          <w:sz w:val="28"/>
          <w:szCs w:val="28"/>
        </w:rPr>
      </w:pPr>
      <w:r>
        <w:fldChar w:fldCharType="begin"/>
      </w:r>
      <w:r>
        <w:instrText xml:space="preserve"> HYPERLINK \l "_Toc227770767" </w:instrText>
      </w:r>
      <w:r>
        <w:fldChar w:fldCharType="separate"/>
      </w:r>
      <w:r>
        <w:rPr>
          <w:rStyle w:val="35"/>
          <w:rFonts w:hint="eastAsia" w:ascii="仿宋_GB2312" w:eastAsia="仿宋_GB2312"/>
          <w:color w:val="auto"/>
          <w:sz w:val="28"/>
          <w:szCs w:val="28"/>
        </w:rPr>
        <w:t>第三节 规划指引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_Toc227770767 \h </w:instrText>
      </w:r>
      <w:r>
        <w:rPr>
          <w:rFonts w:hint="eastAsia" w:ascii="仿宋_GB2312" w:eastAsia="仿宋_GB2312"/>
          <w:sz w:val="28"/>
          <w:szCs w:val="28"/>
        </w:rPr>
        <w:fldChar w:fldCharType="separate"/>
      </w:r>
      <w:r>
        <w:rPr>
          <w:rFonts w:ascii="仿宋_GB2312" w:eastAsia="仿宋_GB2312"/>
          <w:sz w:val="28"/>
          <w:szCs w:val="28"/>
        </w:rPr>
        <w:t>12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3074056">
      <w:pPr>
        <w:pStyle w:val="25"/>
        <w:tabs>
          <w:tab w:val="right" w:leader="dot" w:pos="8154"/>
        </w:tabs>
        <w:spacing w:line="500" w:lineRule="exact"/>
        <w:rPr>
          <w:rFonts w:ascii="仿宋_GB2312" w:eastAsia="仿宋_GB2312"/>
          <w:sz w:val="28"/>
          <w:szCs w:val="28"/>
        </w:rPr>
      </w:pPr>
      <w:r>
        <w:fldChar w:fldCharType="begin"/>
      </w:r>
      <w:r>
        <w:instrText xml:space="preserve"> HYPERLINK \l "_Toc227770768" </w:instrText>
      </w:r>
      <w:r>
        <w:fldChar w:fldCharType="separate"/>
      </w:r>
      <w:r>
        <w:rPr>
          <w:rStyle w:val="35"/>
          <w:rFonts w:hint="eastAsia" w:ascii="仿宋_GB2312" w:eastAsia="仿宋_GB2312"/>
          <w:color w:val="auto"/>
          <w:sz w:val="28"/>
          <w:szCs w:val="28"/>
        </w:rPr>
        <w:t>第四节 目标指标</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_Toc227770768 \h </w:instrText>
      </w:r>
      <w:r>
        <w:rPr>
          <w:rFonts w:hint="eastAsia" w:ascii="仿宋_GB2312" w:eastAsia="仿宋_GB2312"/>
          <w:sz w:val="28"/>
          <w:szCs w:val="28"/>
        </w:rPr>
        <w:fldChar w:fldCharType="separate"/>
      </w:r>
      <w:r>
        <w:rPr>
          <w:rFonts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1A3EF46">
      <w:pPr>
        <w:pStyle w:val="22"/>
        <w:tabs>
          <w:tab w:val="right" w:leader="dot" w:pos="8154"/>
        </w:tabs>
        <w:spacing w:line="500" w:lineRule="exact"/>
        <w:rPr>
          <w:rFonts w:ascii="仿宋_GB2312" w:eastAsia="仿宋_GB2312"/>
          <w:sz w:val="28"/>
          <w:szCs w:val="28"/>
        </w:rPr>
      </w:pPr>
      <w:r>
        <w:fldChar w:fldCharType="begin"/>
      </w:r>
      <w:r>
        <w:instrText xml:space="preserve"> HYPERLINK \l "_Toc227770769" </w:instrText>
      </w:r>
      <w:r>
        <w:fldChar w:fldCharType="separate"/>
      </w:r>
      <w:r>
        <w:rPr>
          <w:rStyle w:val="35"/>
          <w:rFonts w:hint="eastAsia" w:ascii="仿宋_GB2312" w:eastAsia="仿宋_GB2312"/>
          <w:color w:val="auto"/>
          <w:sz w:val="28"/>
          <w:szCs w:val="28"/>
        </w:rPr>
        <w:t>第三章  推动“美丽昌吉”建设，打造美丽新疆昌吉样板</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_Toc227770769 \h </w:instrText>
      </w:r>
      <w:r>
        <w:rPr>
          <w:rFonts w:hint="eastAsia" w:ascii="仿宋_GB2312" w:eastAsia="仿宋_GB2312"/>
          <w:sz w:val="28"/>
          <w:szCs w:val="28"/>
        </w:rPr>
        <w:fldChar w:fldCharType="separate"/>
      </w:r>
      <w:r>
        <w:rPr>
          <w:rFonts w:ascii="仿宋_GB2312" w:eastAsia="仿宋_GB2312"/>
          <w:sz w:val="28"/>
          <w:szCs w:val="28"/>
        </w:rPr>
        <w:t>17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B27B0E1">
      <w:pPr>
        <w:pStyle w:val="25"/>
        <w:tabs>
          <w:tab w:val="right" w:leader="dot" w:pos="8154"/>
        </w:tabs>
        <w:spacing w:line="500" w:lineRule="exact"/>
        <w:rPr>
          <w:rFonts w:ascii="仿宋_GB2312" w:eastAsia="仿宋_GB2312"/>
          <w:sz w:val="28"/>
          <w:szCs w:val="28"/>
        </w:rPr>
      </w:pPr>
      <w:r>
        <w:fldChar w:fldCharType="begin"/>
      </w:r>
      <w:r>
        <w:instrText xml:space="preserve"> HYPERLINK \l "_Toc227770770" </w:instrText>
      </w:r>
      <w:r>
        <w:fldChar w:fldCharType="separate"/>
      </w:r>
      <w:r>
        <w:rPr>
          <w:rStyle w:val="35"/>
          <w:rFonts w:hint="eastAsia" w:ascii="仿宋_GB2312" w:eastAsia="仿宋_GB2312"/>
          <w:color w:val="auto"/>
          <w:sz w:val="28"/>
          <w:szCs w:val="28"/>
        </w:rPr>
        <w:t>第一节 强化区域协同，构建绿色发展新格局</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_Toc227770770 \h </w:instrText>
      </w:r>
      <w:r>
        <w:rPr>
          <w:rFonts w:hint="eastAsia" w:ascii="仿宋_GB2312" w:eastAsia="仿宋_GB2312"/>
          <w:sz w:val="28"/>
          <w:szCs w:val="28"/>
        </w:rPr>
        <w:fldChar w:fldCharType="separate"/>
      </w:r>
      <w:r>
        <w:rPr>
          <w:rFonts w:ascii="仿宋_GB2312" w:eastAsia="仿宋_GB2312"/>
          <w:sz w:val="28"/>
          <w:szCs w:val="28"/>
        </w:rPr>
        <w:t>17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0E994D3">
      <w:pPr>
        <w:pStyle w:val="25"/>
        <w:tabs>
          <w:tab w:val="right" w:leader="dot" w:pos="8154"/>
        </w:tabs>
        <w:spacing w:line="500" w:lineRule="exact"/>
        <w:rPr>
          <w:rFonts w:ascii="仿宋_GB2312" w:eastAsia="仿宋_GB2312"/>
          <w:sz w:val="28"/>
          <w:szCs w:val="28"/>
        </w:rPr>
      </w:pPr>
      <w:r>
        <w:fldChar w:fldCharType="begin"/>
      </w:r>
      <w:r>
        <w:instrText xml:space="preserve"> HYPERLINK \l "_Toc227770771" </w:instrText>
      </w:r>
      <w:r>
        <w:fldChar w:fldCharType="separate"/>
      </w:r>
      <w:r>
        <w:rPr>
          <w:rStyle w:val="35"/>
          <w:rFonts w:hint="eastAsia" w:ascii="仿宋_GB2312" w:eastAsia="仿宋_GB2312"/>
          <w:color w:val="auto"/>
          <w:sz w:val="28"/>
          <w:szCs w:val="28"/>
        </w:rPr>
        <w:t>第二节 推进美丽蓝天建设，持续深入打好蓝天保卫战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_Toc227770771 \h </w:instrText>
      </w:r>
      <w:r>
        <w:rPr>
          <w:rFonts w:hint="eastAsia" w:ascii="仿宋_GB2312" w:eastAsia="仿宋_GB2312"/>
          <w:sz w:val="28"/>
          <w:szCs w:val="28"/>
        </w:rPr>
        <w:fldChar w:fldCharType="separate"/>
      </w:r>
      <w:r>
        <w:rPr>
          <w:rFonts w:ascii="仿宋_GB2312" w:eastAsia="仿宋_GB2312"/>
          <w:sz w:val="28"/>
          <w:szCs w:val="28"/>
        </w:rPr>
        <w:t>17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528D8AC">
      <w:pPr>
        <w:pStyle w:val="25"/>
        <w:tabs>
          <w:tab w:val="right" w:leader="dot" w:pos="8154"/>
        </w:tabs>
        <w:spacing w:line="500" w:lineRule="exact"/>
        <w:rPr>
          <w:rFonts w:ascii="仿宋_GB2312" w:eastAsia="仿宋_GB2312"/>
          <w:sz w:val="28"/>
          <w:szCs w:val="28"/>
        </w:rPr>
      </w:pPr>
      <w:r>
        <w:fldChar w:fldCharType="begin"/>
      </w:r>
      <w:r>
        <w:instrText xml:space="preserve"> HYPERLINK \l "_Toc227770772" </w:instrText>
      </w:r>
      <w:r>
        <w:fldChar w:fldCharType="separate"/>
      </w:r>
      <w:r>
        <w:rPr>
          <w:rStyle w:val="35"/>
          <w:rFonts w:hint="eastAsia" w:ascii="仿宋_GB2312" w:eastAsia="仿宋_GB2312"/>
          <w:color w:val="auto"/>
          <w:sz w:val="28"/>
          <w:szCs w:val="28"/>
        </w:rPr>
        <w:t>第三节 推进美丽河湖建设，持续深入打好碧水保卫战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_Toc227770772 \h </w:instrText>
      </w:r>
      <w:r>
        <w:rPr>
          <w:rFonts w:hint="eastAsia" w:ascii="仿宋_GB2312" w:eastAsia="仿宋_GB2312"/>
          <w:sz w:val="28"/>
          <w:szCs w:val="28"/>
        </w:rPr>
        <w:fldChar w:fldCharType="separate"/>
      </w:r>
      <w:r>
        <w:rPr>
          <w:rFonts w:ascii="仿宋_GB2312" w:eastAsia="仿宋_GB2312"/>
          <w:sz w:val="28"/>
          <w:szCs w:val="28"/>
        </w:rPr>
        <w:t>18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A326B88">
      <w:pPr>
        <w:pStyle w:val="25"/>
        <w:tabs>
          <w:tab w:val="right" w:leader="dot" w:pos="8154"/>
        </w:tabs>
        <w:spacing w:line="500" w:lineRule="exact"/>
        <w:rPr>
          <w:rFonts w:ascii="仿宋_GB2312" w:eastAsia="仿宋_GB2312"/>
          <w:sz w:val="28"/>
          <w:szCs w:val="28"/>
        </w:rPr>
      </w:pPr>
      <w:r>
        <w:fldChar w:fldCharType="begin"/>
      </w:r>
      <w:r>
        <w:instrText xml:space="preserve"> HYPERLINK \l "_Toc227770773" </w:instrText>
      </w:r>
      <w:r>
        <w:fldChar w:fldCharType="separate"/>
      </w:r>
      <w:r>
        <w:rPr>
          <w:rStyle w:val="35"/>
          <w:rFonts w:hint="eastAsia" w:ascii="仿宋_GB2312" w:eastAsia="仿宋_GB2312"/>
          <w:color w:val="auto"/>
          <w:sz w:val="28"/>
          <w:szCs w:val="28"/>
        </w:rPr>
        <w:t>第四节 提升城市品质，建设生态宜居美丽城市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_Toc227770773 \h </w:instrText>
      </w:r>
      <w:r>
        <w:rPr>
          <w:rFonts w:hint="eastAsia" w:ascii="仿宋_GB2312" w:eastAsia="仿宋_GB2312"/>
          <w:sz w:val="28"/>
          <w:szCs w:val="28"/>
        </w:rPr>
        <w:fldChar w:fldCharType="separate"/>
      </w:r>
      <w:r>
        <w:rPr>
          <w:rFonts w:ascii="仿宋_GB2312" w:eastAsia="仿宋_GB2312"/>
          <w:sz w:val="28"/>
          <w:szCs w:val="28"/>
        </w:rPr>
        <w:t>19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843C775">
      <w:pPr>
        <w:pStyle w:val="25"/>
        <w:tabs>
          <w:tab w:val="right" w:leader="dot" w:pos="8154"/>
        </w:tabs>
        <w:spacing w:line="500" w:lineRule="exact"/>
        <w:rPr>
          <w:rFonts w:ascii="仿宋_GB2312" w:eastAsia="仿宋_GB2312"/>
          <w:sz w:val="28"/>
          <w:szCs w:val="28"/>
        </w:rPr>
      </w:pPr>
      <w:r>
        <w:fldChar w:fldCharType="begin"/>
      </w:r>
      <w:r>
        <w:instrText xml:space="preserve"> HYPERLINK \l "_Toc227770774" </w:instrText>
      </w:r>
      <w:r>
        <w:fldChar w:fldCharType="separate"/>
      </w:r>
      <w:r>
        <w:rPr>
          <w:rStyle w:val="35"/>
          <w:rFonts w:hint="eastAsia" w:ascii="仿宋_GB2312" w:eastAsia="仿宋_GB2312"/>
          <w:color w:val="auto"/>
          <w:sz w:val="28"/>
          <w:szCs w:val="28"/>
        </w:rPr>
        <w:t>第五节 深化乡村治理，建设生态宜居美丽乡村</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_Toc227770774 \h </w:instrText>
      </w:r>
      <w:r>
        <w:rPr>
          <w:rFonts w:hint="eastAsia" w:ascii="仿宋_GB2312" w:eastAsia="仿宋_GB2312"/>
          <w:sz w:val="28"/>
          <w:szCs w:val="28"/>
        </w:rPr>
        <w:fldChar w:fldCharType="separate"/>
      </w:r>
      <w:r>
        <w:rPr>
          <w:rFonts w:ascii="仿宋_GB2312" w:eastAsia="仿宋_GB2312"/>
          <w:sz w:val="28"/>
          <w:szCs w:val="28"/>
        </w:rPr>
        <w:t>19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3C64DB6">
      <w:pPr>
        <w:pStyle w:val="22"/>
        <w:tabs>
          <w:tab w:val="right" w:leader="dot" w:pos="8154"/>
        </w:tabs>
        <w:spacing w:line="500" w:lineRule="exact"/>
        <w:rPr>
          <w:rFonts w:ascii="仿宋_GB2312" w:eastAsia="仿宋_GB2312"/>
          <w:sz w:val="28"/>
          <w:szCs w:val="28"/>
        </w:rPr>
      </w:pPr>
      <w:r>
        <w:fldChar w:fldCharType="begin"/>
      </w:r>
      <w:r>
        <w:instrText xml:space="preserve"> HYPERLINK \l "_Toc227770775" </w:instrText>
      </w:r>
      <w:r>
        <w:fldChar w:fldCharType="separate"/>
      </w:r>
      <w:r>
        <w:rPr>
          <w:rStyle w:val="35"/>
          <w:rFonts w:hint="eastAsia" w:ascii="仿宋_GB2312" w:eastAsia="仿宋_GB2312"/>
          <w:color w:val="auto"/>
          <w:sz w:val="28"/>
          <w:szCs w:val="28"/>
        </w:rPr>
        <w:t>第四章  深化环境污染防治，实现生态环境质量全面改善</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_Toc227770775 \h </w:instrText>
      </w:r>
      <w:r>
        <w:rPr>
          <w:rFonts w:hint="eastAsia" w:ascii="仿宋_GB2312" w:eastAsia="仿宋_GB2312"/>
          <w:sz w:val="28"/>
          <w:szCs w:val="28"/>
        </w:rPr>
        <w:fldChar w:fldCharType="separate"/>
      </w:r>
      <w:r>
        <w:rPr>
          <w:rFonts w:ascii="仿宋_GB2312" w:eastAsia="仿宋_GB2312"/>
          <w:sz w:val="28"/>
          <w:szCs w:val="28"/>
        </w:rPr>
        <w:t>21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2E42225">
      <w:pPr>
        <w:pStyle w:val="25"/>
        <w:tabs>
          <w:tab w:val="right" w:leader="dot" w:pos="8154"/>
        </w:tabs>
        <w:spacing w:line="500" w:lineRule="exact"/>
        <w:rPr>
          <w:rFonts w:ascii="仿宋_GB2312" w:eastAsia="仿宋_GB2312"/>
          <w:sz w:val="28"/>
          <w:szCs w:val="28"/>
        </w:rPr>
      </w:pPr>
      <w:r>
        <w:fldChar w:fldCharType="begin"/>
      </w:r>
      <w:r>
        <w:instrText xml:space="preserve"> HYPERLINK \l "_Toc227770776" </w:instrText>
      </w:r>
      <w:r>
        <w:fldChar w:fldCharType="separate"/>
      </w:r>
      <w:r>
        <w:rPr>
          <w:rStyle w:val="35"/>
          <w:rFonts w:hint="eastAsia" w:ascii="仿宋_GB2312" w:eastAsia="仿宋_GB2312"/>
          <w:color w:val="auto"/>
          <w:sz w:val="28"/>
          <w:szCs w:val="28"/>
        </w:rPr>
        <w:t>第一节 持续改善环境空气质量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_Toc227770776 \h </w:instrText>
      </w:r>
      <w:r>
        <w:rPr>
          <w:rFonts w:hint="eastAsia" w:ascii="仿宋_GB2312" w:eastAsia="仿宋_GB2312"/>
          <w:sz w:val="28"/>
          <w:szCs w:val="28"/>
        </w:rPr>
        <w:fldChar w:fldCharType="separate"/>
      </w:r>
      <w:r>
        <w:rPr>
          <w:rFonts w:ascii="仿宋_GB2312" w:eastAsia="仿宋_GB2312"/>
          <w:sz w:val="28"/>
          <w:szCs w:val="28"/>
        </w:rPr>
        <w:t>21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AA3A654">
      <w:pPr>
        <w:pStyle w:val="25"/>
        <w:tabs>
          <w:tab w:val="right" w:leader="dot" w:pos="8154"/>
        </w:tabs>
        <w:spacing w:line="500" w:lineRule="exact"/>
        <w:rPr>
          <w:rFonts w:ascii="仿宋_GB2312" w:eastAsia="仿宋_GB2312"/>
          <w:sz w:val="28"/>
          <w:szCs w:val="28"/>
        </w:rPr>
      </w:pPr>
      <w:r>
        <w:fldChar w:fldCharType="begin"/>
      </w:r>
      <w:r>
        <w:instrText xml:space="preserve"> HYPERLINK \l "_Toc227770777" </w:instrText>
      </w:r>
      <w:r>
        <w:fldChar w:fldCharType="separate"/>
      </w:r>
      <w:r>
        <w:rPr>
          <w:rStyle w:val="35"/>
          <w:rFonts w:hint="eastAsia" w:ascii="仿宋_GB2312" w:eastAsia="仿宋_GB2312"/>
          <w:color w:val="auto"/>
          <w:sz w:val="28"/>
          <w:szCs w:val="28"/>
        </w:rPr>
        <w:t>第二节 巩固提升水生态环境质量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_Toc227770777 \h </w:instrText>
      </w:r>
      <w:r>
        <w:rPr>
          <w:rFonts w:hint="eastAsia" w:ascii="仿宋_GB2312" w:eastAsia="仿宋_GB2312"/>
          <w:sz w:val="28"/>
          <w:szCs w:val="28"/>
        </w:rPr>
        <w:fldChar w:fldCharType="separate"/>
      </w:r>
      <w:r>
        <w:rPr>
          <w:rFonts w:ascii="仿宋_GB2312" w:eastAsia="仿宋_GB2312"/>
          <w:sz w:val="28"/>
          <w:szCs w:val="28"/>
        </w:rPr>
        <w:t>26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74679BC">
      <w:pPr>
        <w:pStyle w:val="25"/>
        <w:tabs>
          <w:tab w:val="right" w:leader="dot" w:pos="8154"/>
        </w:tabs>
        <w:spacing w:line="500" w:lineRule="exact"/>
        <w:rPr>
          <w:rFonts w:ascii="仿宋_GB2312" w:eastAsia="仿宋_GB2312"/>
          <w:sz w:val="28"/>
          <w:szCs w:val="28"/>
        </w:rPr>
      </w:pPr>
      <w:r>
        <w:fldChar w:fldCharType="begin"/>
      </w:r>
      <w:r>
        <w:instrText xml:space="preserve"> HYPERLINK \l "_Toc227770778" </w:instrText>
      </w:r>
      <w:r>
        <w:fldChar w:fldCharType="separate"/>
      </w:r>
      <w:r>
        <w:rPr>
          <w:rStyle w:val="35"/>
          <w:rFonts w:hint="eastAsia" w:ascii="仿宋_GB2312" w:eastAsia="仿宋_GB2312"/>
          <w:color w:val="auto"/>
          <w:sz w:val="28"/>
          <w:szCs w:val="28"/>
        </w:rPr>
        <w:t xml:space="preserve">第三节 </w:t>
      </w:r>
      <w:r>
        <w:rPr>
          <w:rStyle w:val="35"/>
          <w:rFonts w:hint="eastAsia" w:ascii="仿宋_GB2312" w:eastAsia="仿宋_GB2312"/>
          <w:color w:val="auto"/>
          <w:sz w:val="28"/>
          <w:szCs w:val="28"/>
          <w:lang w:bidi="en-US"/>
        </w:rPr>
        <w:t>着力保障土壤环境安全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_Toc227770778 \h </w:instrText>
      </w:r>
      <w:r>
        <w:rPr>
          <w:rFonts w:hint="eastAsia" w:ascii="仿宋_GB2312" w:eastAsia="仿宋_GB2312"/>
          <w:sz w:val="28"/>
          <w:szCs w:val="28"/>
        </w:rPr>
        <w:fldChar w:fldCharType="separate"/>
      </w:r>
      <w:r>
        <w:rPr>
          <w:rFonts w:ascii="仿宋_GB2312" w:eastAsia="仿宋_GB2312"/>
          <w:sz w:val="28"/>
          <w:szCs w:val="28"/>
        </w:rPr>
        <w:t>29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5C1D2E4">
      <w:pPr>
        <w:pStyle w:val="25"/>
        <w:tabs>
          <w:tab w:val="right" w:leader="dot" w:pos="8154"/>
        </w:tabs>
        <w:spacing w:line="500" w:lineRule="exact"/>
        <w:rPr>
          <w:rFonts w:ascii="仿宋_GB2312" w:eastAsia="仿宋_GB2312"/>
          <w:sz w:val="28"/>
          <w:szCs w:val="28"/>
        </w:rPr>
      </w:pPr>
      <w:r>
        <w:fldChar w:fldCharType="begin"/>
      </w:r>
      <w:r>
        <w:instrText xml:space="preserve"> HYPERLINK \l "_Toc227770779" </w:instrText>
      </w:r>
      <w:r>
        <w:fldChar w:fldCharType="separate"/>
      </w:r>
      <w:r>
        <w:rPr>
          <w:rStyle w:val="35"/>
          <w:rFonts w:hint="eastAsia" w:ascii="仿宋_GB2312" w:eastAsia="仿宋_GB2312"/>
          <w:color w:val="auto"/>
          <w:sz w:val="28"/>
          <w:szCs w:val="28"/>
        </w:rPr>
        <w:t>第四节 强化固体废物治理和新污染物风险管控</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_Toc227770779 \h </w:instrText>
      </w:r>
      <w:r>
        <w:rPr>
          <w:rFonts w:hint="eastAsia" w:ascii="仿宋_GB2312" w:eastAsia="仿宋_GB2312"/>
          <w:sz w:val="28"/>
          <w:szCs w:val="28"/>
        </w:rPr>
        <w:fldChar w:fldCharType="separate"/>
      </w:r>
      <w:r>
        <w:rPr>
          <w:rFonts w:ascii="仿宋_GB2312" w:eastAsia="仿宋_GB2312"/>
          <w:sz w:val="28"/>
          <w:szCs w:val="28"/>
        </w:rPr>
        <w:t>30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F8989C7">
      <w:pPr>
        <w:pStyle w:val="22"/>
        <w:tabs>
          <w:tab w:val="right" w:leader="dot" w:pos="8154"/>
        </w:tabs>
        <w:spacing w:line="500" w:lineRule="exact"/>
        <w:rPr>
          <w:rFonts w:ascii="仿宋_GB2312" w:eastAsia="仿宋_GB2312"/>
          <w:sz w:val="28"/>
          <w:szCs w:val="28"/>
        </w:rPr>
      </w:pPr>
      <w:r>
        <w:fldChar w:fldCharType="begin"/>
      </w:r>
      <w:r>
        <w:instrText xml:space="preserve"> HYPERLINK \l "_Toc227770780" </w:instrText>
      </w:r>
      <w:r>
        <w:fldChar w:fldCharType="separate"/>
      </w:r>
      <w:r>
        <w:rPr>
          <w:rStyle w:val="35"/>
          <w:rFonts w:hint="eastAsia" w:ascii="仿宋_GB2312" w:eastAsia="仿宋_GB2312"/>
          <w:color w:val="auto"/>
          <w:sz w:val="28"/>
          <w:szCs w:val="28"/>
        </w:rPr>
        <w:t>第五章  加强生态系统保护修复，提升生态系统服务功能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_Toc227770780 \h </w:instrText>
      </w:r>
      <w:r>
        <w:rPr>
          <w:rFonts w:hint="eastAsia" w:ascii="仿宋_GB2312" w:eastAsia="仿宋_GB2312"/>
          <w:sz w:val="28"/>
          <w:szCs w:val="28"/>
        </w:rPr>
        <w:fldChar w:fldCharType="separate"/>
      </w:r>
      <w:r>
        <w:rPr>
          <w:rFonts w:ascii="仿宋_GB2312" w:eastAsia="仿宋_GB2312"/>
          <w:sz w:val="28"/>
          <w:szCs w:val="28"/>
        </w:rPr>
        <w:t>32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C14164F">
      <w:pPr>
        <w:pStyle w:val="25"/>
        <w:tabs>
          <w:tab w:val="right" w:leader="dot" w:pos="8154"/>
        </w:tabs>
        <w:spacing w:line="500" w:lineRule="exact"/>
        <w:rPr>
          <w:rFonts w:ascii="仿宋_GB2312" w:eastAsia="仿宋_GB2312"/>
          <w:sz w:val="28"/>
          <w:szCs w:val="28"/>
        </w:rPr>
      </w:pPr>
      <w:r>
        <w:fldChar w:fldCharType="begin"/>
      </w:r>
      <w:r>
        <w:instrText xml:space="preserve"> HYPERLINK \l "_Toc227770781" </w:instrText>
      </w:r>
      <w:r>
        <w:fldChar w:fldCharType="separate"/>
      </w:r>
      <w:r>
        <w:rPr>
          <w:rStyle w:val="35"/>
          <w:rFonts w:hint="eastAsia" w:ascii="仿宋_GB2312" w:eastAsia="仿宋_GB2312"/>
          <w:color w:val="auto"/>
          <w:sz w:val="28"/>
          <w:szCs w:val="28"/>
        </w:rPr>
        <w:t>第一节 筑牢全州自然生态屏障</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_Toc227770781 \h </w:instrText>
      </w:r>
      <w:r>
        <w:rPr>
          <w:rFonts w:hint="eastAsia" w:ascii="仿宋_GB2312" w:eastAsia="仿宋_GB2312"/>
          <w:sz w:val="28"/>
          <w:szCs w:val="28"/>
        </w:rPr>
        <w:fldChar w:fldCharType="separate"/>
      </w:r>
      <w:r>
        <w:rPr>
          <w:rFonts w:ascii="仿宋_GB2312" w:eastAsia="仿宋_GB2312"/>
          <w:sz w:val="28"/>
          <w:szCs w:val="28"/>
        </w:rPr>
        <w:t>32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1B85FDB">
      <w:pPr>
        <w:pStyle w:val="25"/>
        <w:tabs>
          <w:tab w:val="right" w:leader="dot" w:pos="8154"/>
        </w:tabs>
        <w:spacing w:line="500" w:lineRule="exact"/>
        <w:rPr>
          <w:rFonts w:ascii="仿宋_GB2312" w:eastAsia="仿宋_GB2312"/>
          <w:sz w:val="28"/>
          <w:szCs w:val="28"/>
        </w:rPr>
      </w:pPr>
      <w:r>
        <w:fldChar w:fldCharType="begin"/>
      </w:r>
      <w:r>
        <w:instrText xml:space="preserve"> HYPERLINK \l "_Toc227770782" </w:instrText>
      </w:r>
      <w:r>
        <w:fldChar w:fldCharType="separate"/>
      </w:r>
      <w:r>
        <w:rPr>
          <w:rStyle w:val="35"/>
          <w:rFonts w:hint="eastAsia" w:ascii="仿宋_GB2312" w:eastAsia="仿宋_GB2312"/>
          <w:color w:val="auto"/>
          <w:sz w:val="28"/>
          <w:szCs w:val="28"/>
        </w:rPr>
        <w:t>第二节 实施山水林田湖草沙一体化保护和系统治理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_Toc227770782 \h </w:instrText>
      </w:r>
      <w:r>
        <w:rPr>
          <w:rFonts w:hint="eastAsia" w:ascii="仿宋_GB2312" w:eastAsia="仿宋_GB2312"/>
          <w:sz w:val="28"/>
          <w:szCs w:val="28"/>
        </w:rPr>
        <w:fldChar w:fldCharType="separate"/>
      </w:r>
      <w:r>
        <w:rPr>
          <w:rFonts w:ascii="仿宋_GB2312" w:eastAsia="仿宋_GB2312"/>
          <w:sz w:val="28"/>
          <w:szCs w:val="28"/>
        </w:rPr>
        <w:t>33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E1E1579">
      <w:pPr>
        <w:pStyle w:val="25"/>
        <w:tabs>
          <w:tab w:val="right" w:leader="dot" w:pos="8154"/>
        </w:tabs>
        <w:spacing w:line="500" w:lineRule="exact"/>
        <w:rPr>
          <w:rFonts w:ascii="仿宋_GB2312" w:eastAsia="仿宋_GB2312"/>
          <w:sz w:val="28"/>
          <w:szCs w:val="28"/>
        </w:rPr>
      </w:pPr>
      <w:r>
        <w:fldChar w:fldCharType="begin"/>
      </w:r>
      <w:r>
        <w:instrText xml:space="preserve"> HYPERLINK \l "_Toc227770783" </w:instrText>
      </w:r>
      <w:r>
        <w:fldChar w:fldCharType="separate"/>
      </w:r>
      <w:r>
        <w:rPr>
          <w:rStyle w:val="35"/>
          <w:rFonts w:hint="eastAsia" w:ascii="仿宋_GB2312" w:eastAsia="仿宋_GB2312"/>
          <w:color w:val="auto"/>
          <w:sz w:val="28"/>
          <w:szCs w:val="28"/>
        </w:rPr>
        <w:t>第三节 持续推进生物多样性保护</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_Toc227770783 \h </w:instrText>
      </w:r>
      <w:r>
        <w:rPr>
          <w:rFonts w:hint="eastAsia" w:ascii="仿宋_GB2312" w:eastAsia="仿宋_GB2312"/>
          <w:sz w:val="28"/>
          <w:szCs w:val="28"/>
        </w:rPr>
        <w:fldChar w:fldCharType="separate"/>
      </w:r>
      <w:r>
        <w:rPr>
          <w:rFonts w:ascii="仿宋_GB2312" w:eastAsia="仿宋_GB2312"/>
          <w:sz w:val="28"/>
          <w:szCs w:val="28"/>
        </w:rPr>
        <w:t>35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925A97E">
      <w:pPr>
        <w:pStyle w:val="25"/>
        <w:tabs>
          <w:tab w:val="right" w:leader="dot" w:pos="8154"/>
        </w:tabs>
        <w:spacing w:line="500" w:lineRule="exact"/>
        <w:rPr>
          <w:rFonts w:ascii="仿宋_GB2312" w:eastAsia="仿宋_GB2312"/>
          <w:sz w:val="28"/>
          <w:szCs w:val="28"/>
        </w:rPr>
      </w:pPr>
      <w:r>
        <w:fldChar w:fldCharType="begin"/>
      </w:r>
      <w:r>
        <w:instrText xml:space="preserve"> HYPERLINK \l "_Toc227770784" </w:instrText>
      </w:r>
      <w:r>
        <w:fldChar w:fldCharType="separate"/>
      </w:r>
      <w:r>
        <w:rPr>
          <w:rStyle w:val="35"/>
          <w:rFonts w:hint="eastAsia" w:ascii="仿宋_GB2312" w:eastAsia="仿宋_GB2312"/>
          <w:color w:val="auto"/>
          <w:sz w:val="28"/>
          <w:szCs w:val="28"/>
        </w:rPr>
        <w:t>第四节 强化冰川保护与永续利用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_Toc227770784 \h </w:instrText>
      </w:r>
      <w:r>
        <w:rPr>
          <w:rFonts w:hint="eastAsia" w:ascii="仿宋_GB2312" w:eastAsia="仿宋_GB2312"/>
          <w:sz w:val="28"/>
          <w:szCs w:val="28"/>
        </w:rPr>
        <w:fldChar w:fldCharType="separate"/>
      </w:r>
      <w:r>
        <w:rPr>
          <w:rFonts w:ascii="仿宋_GB2312" w:eastAsia="仿宋_GB2312"/>
          <w:sz w:val="28"/>
          <w:szCs w:val="28"/>
        </w:rPr>
        <w:t>36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F06C306">
      <w:pPr>
        <w:pStyle w:val="22"/>
        <w:tabs>
          <w:tab w:val="right" w:leader="dot" w:pos="8154"/>
        </w:tabs>
        <w:spacing w:line="500" w:lineRule="exact"/>
        <w:rPr>
          <w:rFonts w:ascii="仿宋_GB2312" w:eastAsia="仿宋_GB2312"/>
          <w:sz w:val="28"/>
          <w:szCs w:val="28"/>
        </w:rPr>
      </w:pPr>
      <w:r>
        <w:fldChar w:fldCharType="begin"/>
      </w:r>
      <w:r>
        <w:instrText xml:space="preserve"> HYPERLINK \l "_Toc227770785" </w:instrText>
      </w:r>
      <w:r>
        <w:fldChar w:fldCharType="separate"/>
      </w:r>
      <w:r>
        <w:rPr>
          <w:rStyle w:val="35"/>
          <w:rFonts w:hint="eastAsia" w:ascii="仿宋_GB2312" w:eastAsia="仿宋_GB2312"/>
          <w:color w:val="auto"/>
          <w:sz w:val="28"/>
          <w:szCs w:val="28"/>
        </w:rPr>
        <w:t>第六章  加快绿色低碳转型，构建现代化生态经济体系</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_Toc227770785 \h </w:instrText>
      </w:r>
      <w:r>
        <w:rPr>
          <w:rFonts w:hint="eastAsia" w:ascii="仿宋_GB2312" w:eastAsia="仿宋_GB2312"/>
          <w:sz w:val="28"/>
          <w:szCs w:val="28"/>
        </w:rPr>
        <w:fldChar w:fldCharType="separate"/>
      </w:r>
      <w:r>
        <w:rPr>
          <w:rFonts w:ascii="仿宋_GB2312" w:eastAsia="仿宋_GB2312"/>
          <w:sz w:val="28"/>
          <w:szCs w:val="28"/>
        </w:rPr>
        <w:t>38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44C6576">
      <w:pPr>
        <w:pStyle w:val="25"/>
        <w:tabs>
          <w:tab w:val="right" w:leader="dot" w:pos="8154"/>
        </w:tabs>
        <w:spacing w:line="500" w:lineRule="exact"/>
        <w:rPr>
          <w:rFonts w:ascii="仿宋_GB2312" w:eastAsia="仿宋_GB2312"/>
          <w:sz w:val="28"/>
          <w:szCs w:val="28"/>
        </w:rPr>
      </w:pPr>
      <w:r>
        <w:fldChar w:fldCharType="begin"/>
      </w:r>
      <w:r>
        <w:instrText xml:space="preserve"> HYPERLINK \l "_Toc227770786" </w:instrText>
      </w:r>
      <w:r>
        <w:fldChar w:fldCharType="separate"/>
      </w:r>
      <w:r>
        <w:rPr>
          <w:rStyle w:val="35"/>
          <w:rFonts w:hint="eastAsia" w:ascii="仿宋_GB2312" w:eastAsia="仿宋_GB2312"/>
          <w:color w:val="auto"/>
          <w:sz w:val="28"/>
          <w:szCs w:val="28"/>
        </w:rPr>
        <w:t>第一节 优化国土空间开发保护格局</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_Toc227770786 \h </w:instrText>
      </w:r>
      <w:r>
        <w:rPr>
          <w:rFonts w:hint="eastAsia" w:ascii="仿宋_GB2312" w:eastAsia="仿宋_GB2312"/>
          <w:sz w:val="28"/>
          <w:szCs w:val="28"/>
        </w:rPr>
        <w:fldChar w:fldCharType="separate"/>
      </w:r>
      <w:r>
        <w:rPr>
          <w:rFonts w:ascii="仿宋_GB2312" w:eastAsia="仿宋_GB2312"/>
          <w:sz w:val="28"/>
          <w:szCs w:val="28"/>
        </w:rPr>
        <w:t>38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6577A45">
      <w:pPr>
        <w:pStyle w:val="25"/>
        <w:tabs>
          <w:tab w:val="right" w:leader="dot" w:pos="8154"/>
        </w:tabs>
        <w:spacing w:line="500" w:lineRule="exact"/>
        <w:rPr>
          <w:rFonts w:ascii="仿宋_GB2312" w:eastAsia="仿宋_GB2312"/>
          <w:sz w:val="28"/>
          <w:szCs w:val="28"/>
        </w:rPr>
      </w:pPr>
      <w:r>
        <w:fldChar w:fldCharType="begin"/>
      </w:r>
      <w:r>
        <w:instrText xml:space="preserve"> HYPERLINK \l "_Toc227770787" </w:instrText>
      </w:r>
      <w:r>
        <w:fldChar w:fldCharType="separate"/>
      </w:r>
      <w:r>
        <w:rPr>
          <w:rStyle w:val="35"/>
          <w:rFonts w:hint="eastAsia" w:ascii="仿宋_GB2312" w:eastAsia="仿宋_GB2312"/>
          <w:color w:val="auto"/>
          <w:sz w:val="28"/>
          <w:szCs w:val="28"/>
        </w:rPr>
        <w:t>第二节 积极稳妥推进碳达峰碳中和</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_Toc227770787 \h </w:instrText>
      </w:r>
      <w:r>
        <w:rPr>
          <w:rFonts w:hint="eastAsia" w:ascii="仿宋_GB2312" w:eastAsia="仿宋_GB2312"/>
          <w:sz w:val="28"/>
          <w:szCs w:val="28"/>
        </w:rPr>
        <w:fldChar w:fldCharType="separate"/>
      </w:r>
      <w:r>
        <w:rPr>
          <w:rFonts w:ascii="仿宋_GB2312" w:eastAsia="仿宋_GB2312"/>
          <w:sz w:val="28"/>
          <w:szCs w:val="28"/>
        </w:rPr>
        <w:t>38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22C7C0C">
      <w:pPr>
        <w:pStyle w:val="25"/>
        <w:tabs>
          <w:tab w:val="right" w:leader="dot" w:pos="8154"/>
        </w:tabs>
        <w:spacing w:line="500" w:lineRule="exact"/>
        <w:rPr>
          <w:rFonts w:ascii="仿宋_GB2312" w:eastAsia="仿宋_GB2312"/>
          <w:sz w:val="28"/>
          <w:szCs w:val="28"/>
        </w:rPr>
      </w:pPr>
      <w:r>
        <w:fldChar w:fldCharType="begin"/>
      </w:r>
      <w:r>
        <w:instrText xml:space="preserve"> HYPERLINK \l "_Toc227770788" </w:instrText>
      </w:r>
      <w:r>
        <w:fldChar w:fldCharType="separate"/>
      </w:r>
      <w:r>
        <w:rPr>
          <w:rStyle w:val="35"/>
          <w:rFonts w:hint="eastAsia" w:ascii="仿宋_GB2312" w:eastAsia="仿宋_GB2312"/>
          <w:color w:val="auto"/>
          <w:sz w:val="28"/>
          <w:szCs w:val="28"/>
        </w:rPr>
        <w:t>第三节 推动能源结构清洁低碳转型</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_Toc227770788 \h </w:instrText>
      </w:r>
      <w:r>
        <w:rPr>
          <w:rFonts w:hint="eastAsia" w:ascii="仿宋_GB2312" w:eastAsia="仿宋_GB2312"/>
          <w:sz w:val="28"/>
          <w:szCs w:val="28"/>
        </w:rPr>
        <w:fldChar w:fldCharType="separate"/>
      </w:r>
      <w:r>
        <w:rPr>
          <w:rFonts w:ascii="仿宋_GB2312" w:eastAsia="仿宋_GB2312"/>
          <w:sz w:val="28"/>
          <w:szCs w:val="28"/>
        </w:rPr>
        <w:t>41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614A63F">
      <w:pPr>
        <w:pStyle w:val="25"/>
        <w:tabs>
          <w:tab w:val="right" w:leader="dot" w:pos="8154"/>
        </w:tabs>
        <w:spacing w:line="500" w:lineRule="exact"/>
        <w:rPr>
          <w:rFonts w:ascii="仿宋_GB2312" w:eastAsia="仿宋_GB2312"/>
          <w:sz w:val="28"/>
          <w:szCs w:val="28"/>
        </w:rPr>
      </w:pPr>
      <w:r>
        <w:fldChar w:fldCharType="begin"/>
      </w:r>
      <w:r>
        <w:instrText xml:space="preserve"> HYPERLINK \l "_Toc227770789" </w:instrText>
      </w:r>
      <w:r>
        <w:fldChar w:fldCharType="separate"/>
      </w:r>
      <w:r>
        <w:rPr>
          <w:rStyle w:val="35"/>
          <w:rFonts w:hint="eastAsia" w:ascii="仿宋_GB2312" w:eastAsia="仿宋_GB2312"/>
          <w:color w:val="auto"/>
          <w:sz w:val="28"/>
          <w:szCs w:val="28"/>
        </w:rPr>
        <w:t>第四节 推动产业绿色化数字化协同转型</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_Toc227770789 \h </w:instrText>
      </w:r>
      <w:r>
        <w:rPr>
          <w:rFonts w:hint="eastAsia" w:ascii="仿宋_GB2312" w:eastAsia="仿宋_GB2312"/>
          <w:sz w:val="28"/>
          <w:szCs w:val="28"/>
        </w:rPr>
        <w:fldChar w:fldCharType="separate"/>
      </w:r>
      <w:r>
        <w:rPr>
          <w:rFonts w:ascii="仿宋_GB2312" w:eastAsia="仿宋_GB2312"/>
          <w:sz w:val="28"/>
          <w:szCs w:val="28"/>
        </w:rPr>
        <w:t>42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54905D3">
      <w:pPr>
        <w:pStyle w:val="25"/>
        <w:tabs>
          <w:tab w:val="right" w:leader="dot" w:pos="8154"/>
        </w:tabs>
        <w:spacing w:line="500" w:lineRule="exact"/>
        <w:rPr>
          <w:rFonts w:ascii="仿宋_GB2312" w:eastAsia="仿宋_GB2312"/>
          <w:sz w:val="28"/>
          <w:szCs w:val="28"/>
        </w:rPr>
      </w:pPr>
      <w:r>
        <w:fldChar w:fldCharType="begin"/>
      </w:r>
      <w:r>
        <w:instrText xml:space="preserve"> HYPERLINK \l "_Toc227770790" </w:instrText>
      </w:r>
      <w:r>
        <w:fldChar w:fldCharType="separate"/>
      </w:r>
      <w:r>
        <w:rPr>
          <w:rStyle w:val="35"/>
          <w:rFonts w:hint="eastAsia" w:ascii="仿宋_GB2312" w:eastAsia="仿宋_GB2312"/>
          <w:color w:val="auto"/>
          <w:sz w:val="28"/>
          <w:szCs w:val="28"/>
        </w:rPr>
        <w:t>第五节 构建绿色交通运输体系</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_Toc227770790 \h </w:instrText>
      </w:r>
      <w:r>
        <w:rPr>
          <w:rFonts w:hint="eastAsia" w:ascii="仿宋_GB2312" w:eastAsia="仿宋_GB2312"/>
          <w:sz w:val="28"/>
          <w:szCs w:val="28"/>
        </w:rPr>
        <w:fldChar w:fldCharType="separate"/>
      </w:r>
      <w:r>
        <w:rPr>
          <w:rFonts w:ascii="仿宋_GB2312" w:eastAsia="仿宋_GB2312"/>
          <w:sz w:val="28"/>
          <w:szCs w:val="28"/>
        </w:rPr>
        <w:t>44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E2E6474">
      <w:pPr>
        <w:pStyle w:val="25"/>
        <w:tabs>
          <w:tab w:val="right" w:leader="dot" w:pos="8154"/>
        </w:tabs>
        <w:spacing w:line="500" w:lineRule="exact"/>
        <w:rPr>
          <w:rFonts w:ascii="仿宋_GB2312" w:eastAsia="仿宋_GB2312"/>
          <w:sz w:val="28"/>
          <w:szCs w:val="28"/>
        </w:rPr>
      </w:pPr>
      <w:r>
        <w:fldChar w:fldCharType="begin"/>
      </w:r>
      <w:r>
        <w:instrText xml:space="preserve"> HYPERLINK \l "_Toc227770791" </w:instrText>
      </w:r>
      <w:r>
        <w:fldChar w:fldCharType="separate"/>
      </w:r>
      <w:r>
        <w:rPr>
          <w:rStyle w:val="35"/>
          <w:rFonts w:hint="eastAsia" w:ascii="仿宋_GB2312" w:eastAsia="仿宋_GB2312"/>
          <w:color w:val="auto"/>
          <w:sz w:val="28"/>
          <w:szCs w:val="28"/>
        </w:rPr>
        <w:t>第六节 提升资源节约集约利用水平</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_Toc227770791 \h </w:instrText>
      </w:r>
      <w:r>
        <w:rPr>
          <w:rFonts w:hint="eastAsia" w:ascii="仿宋_GB2312" w:eastAsia="仿宋_GB2312"/>
          <w:sz w:val="28"/>
          <w:szCs w:val="28"/>
        </w:rPr>
        <w:fldChar w:fldCharType="separate"/>
      </w:r>
      <w:r>
        <w:rPr>
          <w:rFonts w:ascii="仿宋_GB2312" w:eastAsia="仿宋_GB2312"/>
          <w:sz w:val="28"/>
          <w:szCs w:val="28"/>
        </w:rPr>
        <w:t>45</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975CDD3">
      <w:pPr>
        <w:pStyle w:val="22"/>
        <w:tabs>
          <w:tab w:val="right" w:leader="dot" w:pos="8154"/>
        </w:tabs>
        <w:spacing w:line="500" w:lineRule="exact"/>
        <w:rPr>
          <w:rFonts w:ascii="仿宋_GB2312" w:eastAsia="仿宋_GB2312"/>
          <w:sz w:val="28"/>
          <w:szCs w:val="28"/>
        </w:rPr>
      </w:pPr>
      <w:r>
        <w:fldChar w:fldCharType="begin"/>
      </w:r>
      <w:r>
        <w:instrText xml:space="preserve"> HYPERLINK \l "_Toc227770792" </w:instrText>
      </w:r>
      <w:r>
        <w:fldChar w:fldCharType="separate"/>
      </w:r>
      <w:r>
        <w:rPr>
          <w:rStyle w:val="35"/>
          <w:rFonts w:hint="eastAsia" w:ascii="仿宋_GB2312" w:eastAsia="仿宋_GB2312"/>
          <w:color w:val="auto"/>
          <w:sz w:val="28"/>
          <w:szCs w:val="28"/>
        </w:rPr>
        <w:t>第七章  推动全民共建共享，培育绿色低碳新风尚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_Toc227770792 \h </w:instrText>
      </w:r>
      <w:r>
        <w:rPr>
          <w:rFonts w:hint="eastAsia" w:ascii="仿宋_GB2312" w:eastAsia="仿宋_GB2312"/>
          <w:sz w:val="28"/>
          <w:szCs w:val="28"/>
        </w:rPr>
        <w:fldChar w:fldCharType="separate"/>
      </w:r>
      <w:r>
        <w:rPr>
          <w:rFonts w:ascii="仿宋_GB2312" w:eastAsia="仿宋_GB2312"/>
          <w:sz w:val="28"/>
          <w:szCs w:val="28"/>
        </w:rPr>
        <w:t>49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3B2837D">
      <w:pPr>
        <w:pStyle w:val="25"/>
        <w:tabs>
          <w:tab w:val="right" w:leader="dot" w:pos="8154"/>
        </w:tabs>
        <w:spacing w:line="500" w:lineRule="exact"/>
        <w:rPr>
          <w:rFonts w:ascii="仿宋_GB2312" w:eastAsia="仿宋_GB2312"/>
          <w:sz w:val="28"/>
          <w:szCs w:val="28"/>
        </w:rPr>
      </w:pPr>
      <w:r>
        <w:fldChar w:fldCharType="begin"/>
      </w:r>
      <w:r>
        <w:instrText xml:space="preserve"> HYPERLINK \l "_Toc227770793" </w:instrText>
      </w:r>
      <w:r>
        <w:fldChar w:fldCharType="separate"/>
      </w:r>
      <w:r>
        <w:rPr>
          <w:rStyle w:val="35"/>
          <w:rFonts w:hint="eastAsia" w:ascii="仿宋_GB2312" w:eastAsia="仿宋_GB2312"/>
          <w:color w:val="auto"/>
          <w:sz w:val="28"/>
          <w:szCs w:val="28"/>
        </w:rPr>
        <w:t>第一节 强化生态文明理念引领，筑牢绿色发展思想根基</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_Toc227770793 \h </w:instrText>
      </w:r>
      <w:r>
        <w:rPr>
          <w:rFonts w:hint="eastAsia" w:ascii="仿宋_GB2312" w:eastAsia="仿宋_GB2312"/>
          <w:sz w:val="28"/>
          <w:szCs w:val="28"/>
        </w:rPr>
        <w:fldChar w:fldCharType="separate"/>
      </w:r>
      <w:r>
        <w:rPr>
          <w:rFonts w:ascii="仿宋_GB2312" w:eastAsia="仿宋_GB2312"/>
          <w:sz w:val="28"/>
          <w:szCs w:val="28"/>
        </w:rPr>
        <w:t>49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BE6EC90">
      <w:pPr>
        <w:pStyle w:val="25"/>
        <w:tabs>
          <w:tab w:val="right" w:leader="dot" w:pos="8154"/>
        </w:tabs>
        <w:spacing w:line="500" w:lineRule="exact"/>
        <w:rPr>
          <w:rFonts w:ascii="仿宋_GB2312" w:eastAsia="仿宋_GB2312"/>
          <w:sz w:val="28"/>
          <w:szCs w:val="28"/>
        </w:rPr>
      </w:pPr>
      <w:r>
        <w:fldChar w:fldCharType="begin"/>
      </w:r>
      <w:r>
        <w:instrText xml:space="preserve"> HYPERLINK \l "_Toc227770794" </w:instrText>
      </w:r>
      <w:r>
        <w:fldChar w:fldCharType="separate"/>
      </w:r>
      <w:r>
        <w:rPr>
          <w:rStyle w:val="35"/>
          <w:rFonts w:hint="eastAsia" w:ascii="仿宋_GB2312" w:eastAsia="仿宋_GB2312"/>
          <w:color w:val="auto"/>
          <w:sz w:val="28"/>
          <w:szCs w:val="28"/>
        </w:rPr>
        <w:t>第二节 构建多元协同共治格局，激发全社会参与活力</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_Toc227770794 \h </w:instrText>
      </w:r>
      <w:r>
        <w:rPr>
          <w:rFonts w:hint="eastAsia" w:ascii="仿宋_GB2312" w:eastAsia="仿宋_GB2312"/>
          <w:sz w:val="28"/>
          <w:szCs w:val="28"/>
        </w:rPr>
        <w:fldChar w:fldCharType="separate"/>
      </w:r>
      <w:r>
        <w:rPr>
          <w:rFonts w:ascii="仿宋_GB2312" w:eastAsia="仿宋_GB2312"/>
          <w:sz w:val="28"/>
          <w:szCs w:val="28"/>
        </w:rPr>
        <w:t>49</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66A970B">
      <w:pPr>
        <w:pStyle w:val="25"/>
        <w:tabs>
          <w:tab w:val="right" w:leader="dot" w:pos="8154"/>
        </w:tabs>
        <w:spacing w:line="500" w:lineRule="exact"/>
        <w:rPr>
          <w:rFonts w:ascii="仿宋_GB2312" w:eastAsia="仿宋_GB2312"/>
          <w:sz w:val="28"/>
          <w:szCs w:val="28"/>
        </w:rPr>
      </w:pPr>
      <w:r>
        <w:fldChar w:fldCharType="begin"/>
      </w:r>
      <w:r>
        <w:instrText xml:space="preserve"> HYPERLINK \l "_Toc227770795" </w:instrText>
      </w:r>
      <w:r>
        <w:fldChar w:fldCharType="separate"/>
      </w:r>
      <w:r>
        <w:rPr>
          <w:rStyle w:val="35"/>
          <w:rFonts w:hint="eastAsia" w:ascii="仿宋_GB2312" w:eastAsia="仿宋_GB2312"/>
          <w:color w:val="auto"/>
          <w:sz w:val="28"/>
          <w:szCs w:val="28"/>
        </w:rPr>
        <w:t>第三节 健全绿色消费激励机制，推广绿色低碳生活方式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_Toc227770795 \h </w:instrText>
      </w:r>
      <w:r>
        <w:rPr>
          <w:rFonts w:hint="eastAsia" w:ascii="仿宋_GB2312" w:eastAsia="仿宋_GB2312"/>
          <w:sz w:val="28"/>
          <w:szCs w:val="28"/>
        </w:rPr>
        <w:fldChar w:fldCharType="separate"/>
      </w:r>
      <w:r>
        <w:rPr>
          <w:rFonts w:ascii="仿宋_GB2312" w:eastAsia="仿宋_GB2312"/>
          <w:sz w:val="28"/>
          <w:szCs w:val="28"/>
        </w:rPr>
        <w:t>50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84E5BF6">
      <w:pPr>
        <w:pStyle w:val="22"/>
        <w:tabs>
          <w:tab w:val="right" w:leader="dot" w:pos="8154"/>
        </w:tabs>
        <w:spacing w:line="500" w:lineRule="exact"/>
        <w:rPr>
          <w:rFonts w:ascii="仿宋_GB2312" w:eastAsia="仿宋_GB2312"/>
          <w:sz w:val="28"/>
          <w:szCs w:val="28"/>
        </w:rPr>
      </w:pPr>
      <w:r>
        <w:fldChar w:fldCharType="begin"/>
      </w:r>
      <w:r>
        <w:instrText xml:space="preserve"> HYPERLINK \l "_Toc227770796" </w:instrText>
      </w:r>
      <w:r>
        <w:fldChar w:fldCharType="separate"/>
      </w:r>
      <w:r>
        <w:rPr>
          <w:rStyle w:val="35"/>
          <w:rFonts w:hint="eastAsia" w:ascii="仿宋_GB2312" w:eastAsia="仿宋_GB2312"/>
          <w:color w:val="auto"/>
          <w:sz w:val="28"/>
          <w:szCs w:val="28"/>
        </w:rPr>
        <w:t>第八章  统筹发展与安全，构建全域生态安全体系</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_Toc227770796 \h </w:instrText>
      </w:r>
      <w:r>
        <w:rPr>
          <w:rFonts w:hint="eastAsia" w:ascii="仿宋_GB2312" w:eastAsia="仿宋_GB2312"/>
          <w:sz w:val="28"/>
          <w:szCs w:val="28"/>
        </w:rPr>
        <w:fldChar w:fldCharType="separate"/>
      </w:r>
      <w:r>
        <w:rPr>
          <w:rFonts w:ascii="仿宋_GB2312" w:eastAsia="仿宋_GB2312"/>
          <w:sz w:val="28"/>
          <w:szCs w:val="28"/>
        </w:rPr>
        <w:t>52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0BA04D2">
      <w:pPr>
        <w:pStyle w:val="25"/>
        <w:tabs>
          <w:tab w:val="right" w:leader="dot" w:pos="8154"/>
        </w:tabs>
        <w:spacing w:line="500" w:lineRule="exact"/>
        <w:rPr>
          <w:rFonts w:ascii="仿宋_GB2312" w:eastAsia="仿宋_GB2312"/>
          <w:sz w:val="28"/>
          <w:szCs w:val="28"/>
        </w:rPr>
      </w:pPr>
      <w:r>
        <w:fldChar w:fldCharType="begin"/>
      </w:r>
      <w:r>
        <w:instrText xml:space="preserve"> HYPERLINK \l "_Toc227770797" </w:instrText>
      </w:r>
      <w:r>
        <w:fldChar w:fldCharType="separate"/>
      </w:r>
      <w:r>
        <w:rPr>
          <w:rStyle w:val="35"/>
          <w:rFonts w:hint="eastAsia" w:ascii="仿宋_GB2312" w:eastAsia="仿宋_GB2312"/>
          <w:color w:val="auto"/>
          <w:sz w:val="28"/>
          <w:szCs w:val="28"/>
        </w:rPr>
        <w:t>第一节 强化生态安全与核安全监管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_Toc227770797 \h </w:instrText>
      </w:r>
      <w:r>
        <w:rPr>
          <w:rFonts w:hint="eastAsia" w:ascii="仿宋_GB2312" w:eastAsia="仿宋_GB2312"/>
          <w:sz w:val="28"/>
          <w:szCs w:val="28"/>
        </w:rPr>
        <w:fldChar w:fldCharType="separate"/>
      </w:r>
      <w:r>
        <w:rPr>
          <w:rFonts w:ascii="仿宋_GB2312" w:eastAsia="仿宋_GB2312"/>
          <w:sz w:val="28"/>
          <w:szCs w:val="28"/>
        </w:rPr>
        <w:t>52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49C844A">
      <w:pPr>
        <w:pStyle w:val="25"/>
        <w:tabs>
          <w:tab w:val="right" w:leader="dot" w:pos="8154"/>
        </w:tabs>
        <w:spacing w:line="500" w:lineRule="exact"/>
        <w:rPr>
          <w:rFonts w:ascii="仿宋_GB2312" w:eastAsia="仿宋_GB2312"/>
          <w:sz w:val="28"/>
          <w:szCs w:val="28"/>
        </w:rPr>
      </w:pPr>
      <w:r>
        <w:fldChar w:fldCharType="begin"/>
      </w:r>
      <w:r>
        <w:instrText xml:space="preserve"> HYPERLINK \l "_Toc227770798" </w:instrText>
      </w:r>
      <w:r>
        <w:fldChar w:fldCharType="separate"/>
      </w:r>
      <w:r>
        <w:rPr>
          <w:rStyle w:val="35"/>
          <w:rFonts w:hint="eastAsia" w:ascii="仿宋_GB2312" w:eastAsia="仿宋_GB2312"/>
          <w:color w:val="auto"/>
          <w:sz w:val="28"/>
          <w:szCs w:val="28"/>
        </w:rPr>
        <w:t>第二节 严密防控环境风险</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_Toc227770798 \h </w:instrText>
      </w:r>
      <w:r>
        <w:rPr>
          <w:rFonts w:hint="eastAsia" w:ascii="仿宋_GB2312" w:eastAsia="仿宋_GB2312"/>
          <w:sz w:val="28"/>
          <w:szCs w:val="28"/>
        </w:rPr>
        <w:fldChar w:fldCharType="separate"/>
      </w:r>
      <w:r>
        <w:rPr>
          <w:rFonts w:ascii="仿宋_GB2312" w:eastAsia="仿宋_GB2312"/>
          <w:sz w:val="28"/>
          <w:szCs w:val="28"/>
        </w:rPr>
        <w:t>53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909F2E2">
      <w:pPr>
        <w:pStyle w:val="25"/>
        <w:tabs>
          <w:tab w:val="right" w:leader="dot" w:pos="8154"/>
        </w:tabs>
        <w:spacing w:line="500" w:lineRule="exact"/>
        <w:rPr>
          <w:rFonts w:ascii="仿宋_GB2312" w:eastAsia="仿宋_GB2312"/>
          <w:sz w:val="28"/>
          <w:szCs w:val="28"/>
        </w:rPr>
      </w:pPr>
      <w:r>
        <w:fldChar w:fldCharType="begin"/>
      </w:r>
      <w:r>
        <w:instrText xml:space="preserve"> HYPERLINK \l "_Toc227770799" </w:instrText>
      </w:r>
      <w:r>
        <w:fldChar w:fldCharType="separate"/>
      </w:r>
      <w:r>
        <w:rPr>
          <w:rStyle w:val="35"/>
          <w:rFonts w:hint="eastAsia" w:ascii="仿宋_GB2312" w:eastAsia="仿宋_GB2312"/>
          <w:color w:val="auto"/>
          <w:sz w:val="28"/>
          <w:szCs w:val="28"/>
        </w:rPr>
        <w:t>第三节 提升适应气候变化能力</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_Toc227770799 \h </w:instrText>
      </w:r>
      <w:r>
        <w:rPr>
          <w:rFonts w:hint="eastAsia" w:ascii="仿宋_GB2312" w:eastAsia="仿宋_GB2312"/>
          <w:sz w:val="28"/>
          <w:szCs w:val="28"/>
        </w:rPr>
        <w:fldChar w:fldCharType="separate"/>
      </w:r>
      <w:r>
        <w:rPr>
          <w:rFonts w:ascii="仿宋_GB2312" w:eastAsia="仿宋_GB2312"/>
          <w:sz w:val="28"/>
          <w:szCs w:val="28"/>
        </w:rPr>
        <w:t>54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DD20934">
      <w:pPr>
        <w:pStyle w:val="22"/>
        <w:tabs>
          <w:tab w:val="right" w:leader="dot" w:pos="8154"/>
        </w:tabs>
        <w:spacing w:line="500" w:lineRule="exact"/>
        <w:rPr>
          <w:rFonts w:ascii="仿宋_GB2312" w:eastAsia="仿宋_GB2312"/>
          <w:sz w:val="28"/>
          <w:szCs w:val="28"/>
        </w:rPr>
      </w:pPr>
      <w:r>
        <w:fldChar w:fldCharType="begin"/>
      </w:r>
      <w:r>
        <w:instrText xml:space="preserve"> HYPERLINK \l "_Toc227770800" </w:instrText>
      </w:r>
      <w:r>
        <w:fldChar w:fldCharType="separate"/>
      </w:r>
      <w:r>
        <w:rPr>
          <w:rStyle w:val="35"/>
          <w:rFonts w:hint="eastAsia" w:ascii="仿宋_GB2312" w:eastAsia="仿宋_GB2312"/>
          <w:color w:val="auto"/>
          <w:sz w:val="28"/>
          <w:szCs w:val="28"/>
        </w:rPr>
        <w:t>第九章  健全现代环境治理体系，提升治理能力现代化水平</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_Toc227770800 \h </w:instrText>
      </w:r>
      <w:r>
        <w:rPr>
          <w:rFonts w:hint="eastAsia" w:ascii="仿宋_GB2312" w:eastAsia="仿宋_GB2312"/>
          <w:sz w:val="28"/>
          <w:szCs w:val="28"/>
        </w:rPr>
        <w:fldChar w:fldCharType="separate"/>
      </w:r>
      <w:r>
        <w:rPr>
          <w:rFonts w:ascii="仿宋_GB2312" w:eastAsia="仿宋_GB2312"/>
          <w:sz w:val="28"/>
          <w:szCs w:val="28"/>
        </w:rPr>
        <w:t>56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319F7DA">
      <w:pPr>
        <w:pStyle w:val="25"/>
        <w:tabs>
          <w:tab w:val="right" w:leader="dot" w:pos="8154"/>
        </w:tabs>
        <w:spacing w:line="500" w:lineRule="exact"/>
        <w:rPr>
          <w:rFonts w:ascii="仿宋_GB2312" w:eastAsia="仿宋_GB2312"/>
          <w:sz w:val="28"/>
          <w:szCs w:val="28"/>
        </w:rPr>
      </w:pPr>
      <w:r>
        <w:fldChar w:fldCharType="begin"/>
      </w:r>
      <w:r>
        <w:instrText xml:space="preserve"> HYPERLINK \l "_Toc227770801" </w:instrText>
      </w:r>
      <w:r>
        <w:fldChar w:fldCharType="separate"/>
      </w:r>
      <w:r>
        <w:rPr>
          <w:rStyle w:val="35"/>
          <w:rFonts w:hint="eastAsia" w:ascii="仿宋_GB2312" w:eastAsia="仿宋_GB2312"/>
          <w:color w:val="auto"/>
          <w:sz w:val="28"/>
          <w:szCs w:val="28"/>
        </w:rPr>
        <w:t>第一节 完善体制机制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_Toc227770801 \h </w:instrText>
      </w:r>
      <w:r>
        <w:rPr>
          <w:rFonts w:hint="eastAsia" w:ascii="仿宋_GB2312" w:eastAsia="仿宋_GB2312"/>
          <w:sz w:val="28"/>
          <w:szCs w:val="28"/>
        </w:rPr>
        <w:fldChar w:fldCharType="separate"/>
      </w:r>
      <w:r>
        <w:rPr>
          <w:rFonts w:ascii="仿宋_GB2312" w:eastAsia="仿宋_GB2312"/>
          <w:sz w:val="28"/>
          <w:szCs w:val="28"/>
        </w:rPr>
        <w:t>56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9A5FD07">
      <w:pPr>
        <w:pStyle w:val="25"/>
        <w:tabs>
          <w:tab w:val="right" w:leader="dot" w:pos="8154"/>
        </w:tabs>
        <w:spacing w:line="500" w:lineRule="exact"/>
        <w:rPr>
          <w:rFonts w:ascii="仿宋_GB2312" w:eastAsia="仿宋_GB2312"/>
          <w:sz w:val="28"/>
          <w:szCs w:val="28"/>
        </w:rPr>
      </w:pPr>
      <w:r>
        <w:fldChar w:fldCharType="begin"/>
      </w:r>
      <w:r>
        <w:instrText xml:space="preserve"> HYPERLINK \l "_Toc227770802" </w:instrText>
      </w:r>
      <w:r>
        <w:fldChar w:fldCharType="separate"/>
      </w:r>
      <w:r>
        <w:rPr>
          <w:rStyle w:val="35"/>
          <w:rFonts w:hint="eastAsia" w:ascii="仿宋_GB2312" w:eastAsia="仿宋_GB2312"/>
          <w:color w:val="auto"/>
          <w:sz w:val="28"/>
          <w:szCs w:val="28"/>
        </w:rPr>
        <w:t>第二节 健全固定污染源监管制度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_Toc227770802 \h </w:instrText>
      </w:r>
      <w:r>
        <w:rPr>
          <w:rFonts w:hint="eastAsia" w:ascii="仿宋_GB2312" w:eastAsia="仿宋_GB2312"/>
          <w:sz w:val="28"/>
          <w:szCs w:val="28"/>
        </w:rPr>
        <w:fldChar w:fldCharType="separate"/>
      </w:r>
      <w:r>
        <w:rPr>
          <w:rFonts w:ascii="仿宋_GB2312" w:eastAsia="仿宋_GB2312"/>
          <w:sz w:val="28"/>
          <w:szCs w:val="28"/>
        </w:rPr>
        <w:t>57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BBA2132">
      <w:pPr>
        <w:pStyle w:val="25"/>
        <w:tabs>
          <w:tab w:val="right" w:leader="dot" w:pos="8154"/>
        </w:tabs>
        <w:spacing w:line="500" w:lineRule="exact"/>
        <w:rPr>
          <w:rFonts w:ascii="仿宋_GB2312" w:eastAsia="仿宋_GB2312"/>
          <w:sz w:val="28"/>
          <w:szCs w:val="28"/>
        </w:rPr>
      </w:pPr>
      <w:r>
        <w:fldChar w:fldCharType="begin"/>
      </w:r>
      <w:r>
        <w:instrText xml:space="preserve"> HYPERLINK \l "_Toc227770803" </w:instrText>
      </w:r>
      <w:r>
        <w:fldChar w:fldCharType="separate"/>
      </w:r>
      <w:r>
        <w:rPr>
          <w:rStyle w:val="35"/>
          <w:rFonts w:hint="eastAsia" w:ascii="仿宋_GB2312" w:eastAsia="仿宋_GB2312"/>
          <w:color w:val="auto"/>
          <w:sz w:val="28"/>
          <w:szCs w:val="28"/>
        </w:rPr>
        <w:t>第三节 强化监测与执法能力</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_Toc227770803 \h </w:instrText>
      </w:r>
      <w:r>
        <w:rPr>
          <w:rFonts w:hint="eastAsia" w:ascii="仿宋_GB2312" w:eastAsia="仿宋_GB2312"/>
          <w:sz w:val="28"/>
          <w:szCs w:val="28"/>
        </w:rPr>
        <w:fldChar w:fldCharType="separate"/>
      </w:r>
      <w:r>
        <w:rPr>
          <w:rFonts w:ascii="仿宋_GB2312" w:eastAsia="仿宋_GB2312"/>
          <w:sz w:val="28"/>
          <w:szCs w:val="28"/>
        </w:rPr>
        <w:t>57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4FC77A4">
      <w:pPr>
        <w:pStyle w:val="25"/>
        <w:tabs>
          <w:tab w:val="right" w:leader="dot" w:pos="8154"/>
        </w:tabs>
        <w:spacing w:line="500" w:lineRule="exact"/>
        <w:rPr>
          <w:rFonts w:ascii="仿宋_GB2312" w:eastAsia="仿宋_GB2312"/>
          <w:sz w:val="28"/>
          <w:szCs w:val="28"/>
        </w:rPr>
      </w:pPr>
      <w:r>
        <w:fldChar w:fldCharType="begin"/>
      </w:r>
      <w:r>
        <w:instrText xml:space="preserve"> HYPERLINK \l "_Toc227770804" </w:instrText>
      </w:r>
      <w:r>
        <w:fldChar w:fldCharType="separate"/>
      </w:r>
      <w:r>
        <w:rPr>
          <w:rStyle w:val="35"/>
          <w:rFonts w:hint="eastAsia" w:ascii="仿宋_GB2312" w:eastAsia="仿宋_GB2312"/>
          <w:color w:val="auto"/>
          <w:sz w:val="28"/>
          <w:szCs w:val="28"/>
        </w:rPr>
        <w:t>第四节 健全生态产品价值实现机制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_Toc227770804 \h </w:instrText>
      </w:r>
      <w:r>
        <w:rPr>
          <w:rFonts w:hint="eastAsia" w:ascii="仿宋_GB2312" w:eastAsia="仿宋_GB2312"/>
          <w:sz w:val="28"/>
          <w:szCs w:val="28"/>
        </w:rPr>
        <w:fldChar w:fldCharType="separate"/>
      </w:r>
      <w:r>
        <w:rPr>
          <w:rFonts w:ascii="仿宋_GB2312" w:eastAsia="仿宋_GB2312"/>
          <w:sz w:val="28"/>
          <w:szCs w:val="28"/>
        </w:rPr>
        <w:t>58</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D4009D9">
      <w:pPr>
        <w:pStyle w:val="22"/>
        <w:tabs>
          <w:tab w:val="right" w:leader="dot" w:pos="8154"/>
        </w:tabs>
        <w:spacing w:line="500" w:lineRule="exact"/>
        <w:rPr>
          <w:rFonts w:ascii="仿宋_GB2312" w:eastAsia="仿宋_GB2312"/>
          <w:sz w:val="28"/>
          <w:szCs w:val="28"/>
        </w:rPr>
      </w:pPr>
      <w:r>
        <w:fldChar w:fldCharType="begin"/>
      </w:r>
      <w:r>
        <w:instrText xml:space="preserve"> HYPERLINK \l "_Toc227770805" </w:instrText>
      </w:r>
      <w:r>
        <w:fldChar w:fldCharType="separate"/>
      </w:r>
      <w:r>
        <w:rPr>
          <w:rStyle w:val="35"/>
          <w:rFonts w:hint="eastAsia" w:ascii="仿宋_GB2312" w:eastAsia="仿宋_GB2312"/>
          <w:color w:val="auto"/>
          <w:sz w:val="28"/>
          <w:szCs w:val="28"/>
        </w:rPr>
        <w:t>第十章  保障措施与实施机制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_Toc227770805 \h </w:instrText>
      </w:r>
      <w:r>
        <w:rPr>
          <w:rFonts w:hint="eastAsia" w:ascii="仿宋_GB2312" w:eastAsia="仿宋_GB2312"/>
          <w:sz w:val="28"/>
          <w:szCs w:val="28"/>
        </w:rPr>
        <w:fldChar w:fldCharType="separate"/>
      </w:r>
      <w:r>
        <w:rPr>
          <w:rFonts w:ascii="仿宋_GB2312" w:eastAsia="仿宋_GB2312"/>
          <w:sz w:val="28"/>
          <w:szCs w:val="28"/>
        </w:rPr>
        <w:t>60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3C4996B">
      <w:pPr>
        <w:pStyle w:val="25"/>
        <w:tabs>
          <w:tab w:val="right" w:leader="dot" w:pos="8154"/>
        </w:tabs>
        <w:spacing w:line="500" w:lineRule="exact"/>
        <w:rPr>
          <w:rFonts w:ascii="仿宋_GB2312" w:eastAsia="仿宋_GB2312"/>
          <w:sz w:val="28"/>
          <w:szCs w:val="28"/>
        </w:rPr>
      </w:pPr>
      <w:r>
        <w:fldChar w:fldCharType="begin"/>
      </w:r>
      <w:r>
        <w:instrText xml:space="preserve"> HYPERLINK \l "_Toc227770806" </w:instrText>
      </w:r>
      <w:r>
        <w:fldChar w:fldCharType="separate"/>
      </w:r>
      <w:r>
        <w:rPr>
          <w:rStyle w:val="35"/>
          <w:rFonts w:hint="eastAsia" w:ascii="仿宋_GB2312" w:eastAsia="仿宋_GB2312"/>
          <w:color w:val="auto"/>
          <w:sz w:val="28"/>
          <w:szCs w:val="28"/>
        </w:rPr>
        <w:t>第一节 强化组织领导，压实目标任务责任</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_Toc227770806 \h </w:instrText>
      </w:r>
      <w:r>
        <w:rPr>
          <w:rFonts w:hint="eastAsia" w:ascii="仿宋_GB2312" w:eastAsia="仿宋_GB2312"/>
          <w:sz w:val="28"/>
          <w:szCs w:val="28"/>
        </w:rPr>
        <w:fldChar w:fldCharType="separate"/>
      </w:r>
      <w:r>
        <w:rPr>
          <w:rFonts w:ascii="仿宋_GB2312" w:eastAsia="仿宋_GB2312"/>
          <w:sz w:val="28"/>
          <w:szCs w:val="28"/>
        </w:rPr>
        <w:t>60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4915B26">
      <w:pPr>
        <w:pStyle w:val="25"/>
        <w:tabs>
          <w:tab w:val="right" w:leader="dot" w:pos="8154"/>
        </w:tabs>
        <w:spacing w:line="500" w:lineRule="exact"/>
        <w:rPr>
          <w:rFonts w:ascii="仿宋_GB2312" w:eastAsia="仿宋_GB2312"/>
          <w:sz w:val="28"/>
          <w:szCs w:val="28"/>
        </w:rPr>
      </w:pPr>
      <w:r>
        <w:fldChar w:fldCharType="begin"/>
      </w:r>
      <w:r>
        <w:instrText xml:space="preserve"> HYPERLINK \l "_Toc227770807" </w:instrText>
      </w:r>
      <w:r>
        <w:fldChar w:fldCharType="separate"/>
      </w:r>
      <w:r>
        <w:rPr>
          <w:rStyle w:val="35"/>
          <w:rFonts w:hint="eastAsia" w:ascii="仿宋_GB2312" w:eastAsia="仿宋_GB2312"/>
          <w:color w:val="auto"/>
          <w:sz w:val="28"/>
          <w:szCs w:val="28"/>
        </w:rPr>
        <w:t>第二节 强化资金保障，夯实项目实施基础</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_Toc227770807 \h </w:instrText>
      </w:r>
      <w:r>
        <w:rPr>
          <w:rFonts w:hint="eastAsia" w:ascii="仿宋_GB2312" w:eastAsia="仿宋_GB2312"/>
          <w:sz w:val="28"/>
          <w:szCs w:val="28"/>
        </w:rPr>
        <w:fldChar w:fldCharType="separate"/>
      </w:r>
      <w:r>
        <w:rPr>
          <w:rFonts w:ascii="仿宋_GB2312" w:eastAsia="仿宋_GB2312"/>
          <w:sz w:val="28"/>
          <w:szCs w:val="28"/>
        </w:rPr>
        <w:t>60</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4B1372B">
      <w:pPr>
        <w:pStyle w:val="25"/>
        <w:tabs>
          <w:tab w:val="right" w:leader="dot" w:pos="8154"/>
        </w:tabs>
        <w:spacing w:line="500" w:lineRule="exact"/>
        <w:rPr>
          <w:rFonts w:ascii="仿宋_GB2312" w:eastAsia="仿宋_GB2312"/>
          <w:sz w:val="28"/>
          <w:szCs w:val="28"/>
        </w:rPr>
      </w:pPr>
      <w:r>
        <w:fldChar w:fldCharType="begin"/>
      </w:r>
      <w:r>
        <w:instrText xml:space="preserve"> HYPERLINK \l "_Toc227770808" </w:instrText>
      </w:r>
      <w:r>
        <w:fldChar w:fldCharType="separate"/>
      </w:r>
      <w:r>
        <w:rPr>
          <w:rStyle w:val="35"/>
          <w:rFonts w:hint="eastAsia" w:ascii="仿宋_GB2312" w:eastAsia="仿宋_GB2312"/>
          <w:color w:val="auto"/>
          <w:sz w:val="28"/>
          <w:szCs w:val="28"/>
        </w:rPr>
        <w:t>第三节 强化评估考核，建立闭环管理机制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_Toc227770808 \h </w:instrText>
      </w:r>
      <w:r>
        <w:rPr>
          <w:rFonts w:hint="eastAsia" w:ascii="仿宋_GB2312" w:eastAsia="仿宋_GB2312"/>
          <w:sz w:val="28"/>
          <w:szCs w:val="28"/>
        </w:rPr>
        <w:fldChar w:fldCharType="separate"/>
      </w:r>
      <w:r>
        <w:rPr>
          <w:rFonts w:ascii="仿宋_GB2312" w:eastAsia="仿宋_GB2312"/>
          <w:sz w:val="28"/>
          <w:szCs w:val="28"/>
        </w:rPr>
        <w:t>61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913A3CC">
      <w:pPr>
        <w:pStyle w:val="25"/>
        <w:tabs>
          <w:tab w:val="right" w:leader="dot" w:pos="8154"/>
        </w:tabs>
        <w:spacing w:line="500" w:lineRule="exact"/>
        <w:rPr>
          <w:rFonts w:ascii="仿宋_GB2312" w:eastAsia="仿宋_GB2312"/>
          <w:sz w:val="28"/>
          <w:szCs w:val="28"/>
        </w:rPr>
      </w:pPr>
      <w:r>
        <w:fldChar w:fldCharType="begin"/>
      </w:r>
      <w:r>
        <w:instrText xml:space="preserve"> HYPERLINK \l "_Toc227770809" </w:instrText>
      </w:r>
      <w:r>
        <w:fldChar w:fldCharType="separate"/>
      </w:r>
      <w:r>
        <w:rPr>
          <w:rStyle w:val="35"/>
          <w:rFonts w:hint="eastAsia" w:ascii="仿宋_GB2312" w:eastAsia="仿宋_GB2312"/>
          <w:color w:val="auto"/>
          <w:sz w:val="28"/>
          <w:szCs w:val="28"/>
        </w:rPr>
        <w:t>第四节 强化宣传动员，营造全民共治氛围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_Toc227770809 \h </w:instrText>
      </w:r>
      <w:r>
        <w:rPr>
          <w:rFonts w:hint="eastAsia" w:ascii="仿宋_GB2312" w:eastAsia="仿宋_GB2312"/>
          <w:sz w:val="28"/>
          <w:szCs w:val="28"/>
        </w:rPr>
        <w:fldChar w:fldCharType="separate"/>
      </w:r>
      <w:r>
        <w:rPr>
          <w:rFonts w:ascii="仿宋_GB2312" w:eastAsia="仿宋_GB2312"/>
          <w:sz w:val="28"/>
          <w:szCs w:val="28"/>
        </w:rPr>
        <w:t>61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84346BF">
      <w:pPr>
        <w:pStyle w:val="22"/>
        <w:tabs>
          <w:tab w:val="right" w:leader="dot" w:pos="8296"/>
        </w:tabs>
        <w:adjustRightInd w:val="0"/>
        <w:snapToGrid w:val="0"/>
        <w:spacing w:line="500" w:lineRule="exact"/>
        <w:sectPr>
          <w:headerReference r:id="rId3" w:type="default"/>
          <w:footerReference r:id="rId4" w:type="default"/>
          <w:footerReference r:id="rId5" w:type="even"/>
          <w:pgSz w:w="11906" w:h="16838"/>
          <w:pgMar w:top="1440" w:right="1871" w:bottom="1440" w:left="1871" w:header="1077" w:footer="992" w:gutter="0"/>
          <w:pgNumType w:fmt="numberInDash" w:start="1"/>
          <w:cols w:space="425" w:num="1"/>
          <w:docGrid w:type="lines" w:linePitch="312" w:charSpace="0"/>
        </w:sectPr>
      </w:pPr>
      <w:r>
        <w:rPr>
          <w:rStyle w:val="35"/>
          <w:rFonts w:hint="eastAsia" w:ascii="仿宋_GB2312" w:eastAsia="仿宋_GB2312"/>
          <w:b/>
          <w:color w:val="auto"/>
          <w:sz w:val="28"/>
          <w:szCs w:val="28"/>
        </w:rPr>
        <w:fldChar w:fldCharType="end"/>
      </w:r>
      <w:r>
        <w:rPr>
          <w:rFonts w:hint="eastAsia" w:ascii="仿宋_GB2312" w:hAnsi="仿宋" w:eastAsia="仿宋_GB2312" w:cs="Times New Roman"/>
          <w:b/>
          <w:sz w:val="30"/>
          <w:szCs w:val="30"/>
        </w:rPr>
        <w:fldChar w:fldCharType="begin"/>
      </w:r>
      <w:r>
        <w:rPr>
          <w:rFonts w:hint="eastAsia" w:ascii="仿宋_GB2312" w:hAnsi="仿宋" w:eastAsia="仿宋_GB2312" w:cs="Times New Roman"/>
          <w:b/>
          <w:sz w:val="30"/>
          <w:szCs w:val="30"/>
        </w:rPr>
        <w:instrText xml:space="preserve">TOC \o "1-3" \h \u </w:instrText>
      </w:r>
      <w:r>
        <w:rPr>
          <w:rFonts w:hint="eastAsia" w:ascii="仿宋_GB2312" w:hAnsi="仿宋" w:eastAsia="仿宋_GB2312" w:cs="Times New Roman"/>
          <w:b/>
          <w:sz w:val="30"/>
          <w:szCs w:val="30"/>
        </w:rPr>
        <w:fldChar w:fldCharType="separate"/>
      </w:r>
    </w:p>
    <w:p w14:paraId="09B92039">
      <w:pPr>
        <w:pStyle w:val="3"/>
        <w:spacing w:after="100" w:afterAutospacing="1" w:line="540" w:lineRule="exact"/>
        <w:ind w:firstLine="602"/>
        <w:jc w:val="center"/>
      </w:pPr>
      <w:r>
        <w:rPr>
          <w:rFonts w:hint="eastAsia" w:ascii="仿宋_GB2312" w:hAnsi="仿宋" w:eastAsia="仿宋_GB2312" w:cs="Times New Roman"/>
          <w:b/>
          <w:sz w:val="30"/>
          <w:szCs w:val="30"/>
        </w:rPr>
        <w:fldChar w:fldCharType="end"/>
      </w:r>
      <w:bookmarkEnd w:id="0"/>
      <w:bookmarkEnd w:id="1"/>
      <w:bookmarkStart w:id="2" w:name="_Toc218867740"/>
      <w:bookmarkStart w:id="3" w:name="_Toc227770760"/>
      <w:r>
        <w:rPr>
          <w:rFonts w:hint="eastAsia"/>
        </w:rPr>
        <w:t>第一章  规划</w:t>
      </w:r>
      <w:r>
        <w:t>基础与形势</w:t>
      </w:r>
      <w:bookmarkEnd w:id="2"/>
      <w:bookmarkEnd w:id="3"/>
    </w:p>
    <w:p w14:paraId="071872FC">
      <w:pPr>
        <w:pStyle w:val="78"/>
        <w:ind w:firstLine="640"/>
      </w:pPr>
      <w:bookmarkStart w:id="4" w:name="OLE_LINK4"/>
      <w:bookmarkStart w:id="5" w:name="OLE_LINK2"/>
      <w:r>
        <w:rPr>
          <w:rFonts w:hint="eastAsia"/>
        </w:rPr>
        <w:t>“十五五”时期是我国实现生态环境全面改善的关键阶段，也是昌吉州推动生态环境质量整体跃升、落实美丽中国建设目标的首个五年规划期。本规划立足新疆“五大战略定位”和昌吉州“五区一示范”发展实际，锚定“人与自然和谐共生的现代化”这一核心目标，紧扣“全面落实美丽中国建设要求”这一主题，贯穿“推动生态环境全面改善”这条主线，聚焦加快绿色低碳发展、持续改善生态环境质量、强化生态系统保护、积极应对气候变化、加强生态安全与核与生物安全维护、布局与升级生态环境基础设施、提升生态环境治理体系和治理能力现代化水平等七大重点领域，夯实重大工程实施、政策机制创新、美丽新疆昌吉典范打造三项支撑，旨在为昌吉州履行“在新疆高质量发展中挑大梁”的使命担当提供坚实生态环境保障，努力将昌吉建设成为和谐安康、富饶秀美、宜居宜业、文明进步、令人向往的美好家园。</w:t>
      </w:r>
    </w:p>
    <w:bookmarkEnd w:id="4"/>
    <w:bookmarkEnd w:id="5"/>
    <w:p w14:paraId="27B82D26">
      <w:pPr>
        <w:pStyle w:val="4"/>
        <w:spacing w:line="700" w:lineRule="exact"/>
        <w:ind w:firstLine="643"/>
        <w:jc w:val="center"/>
      </w:pPr>
      <w:bookmarkStart w:id="6" w:name="_Toc218867741"/>
      <w:bookmarkStart w:id="7" w:name="_Toc227770761"/>
      <w:r>
        <w:rPr>
          <w:rFonts w:hint="eastAsia"/>
        </w:rPr>
        <w:t>第一节  “十四五”取得的主要成效</w:t>
      </w:r>
      <w:bookmarkEnd w:id="6"/>
      <w:bookmarkEnd w:id="7"/>
    </w:p>
    <w:p w14:paraId="52D63E25">
      <w:pPr>
        <w:spacing w:line="560" w:lineRule="exact"/>
        <w:ind w:firstLine="643" w:firstLineChars="200"/>
        <w:rPr>
          <w:rFonts w:ascii="Times New Roman" w:hAnsi="Times New Roman" w:eastAsia="仿宋_GB2312" w:cs="Times New Roman"/>
        </w:rPr>
      </w:pPr>
      <w:r>
        <w:rPr>
          <w:rFonts w:hint="eastAsia" w:ascii="Times New Roman" w:hAnsi="Times New Roman" w:eastAsia="仿宋_GB2312" w:cs="Times New Roman"/>
          <w:b/>
          <w:sz w:val="32"/>
          <w:szCs w:val="28"/>
        </w:rPr>
        <w:t>改善</w:t>
      </w:r>
      <w:r>
        <w:rPr>
          <w:rFonts w:ascii="Times New Roman" w:hAnsi="Times New Roman" w:eastAsia="仿宋_GB2312" w:cs="Times New Roman"/>
          <w:b/>
          <w:sz w:val="32"/>
          <w:szCs w:val="28"/>
        </w:rPr>
        <w:t>环境质量成效显著。</w:t>
      </w:r>
      <w:r>
        <w:rPr>
          <w:rFonts w:hint="eastAsia" w:ascii="仿宋_GB2312" w:hAnsi="Times New Roman" w:eastAsia="仿宋_GB2312"/>
          <w:sz w:val="32"/>
          <w:szCs w:val="32"/>
        </w:rPr>
        <w:t>“十四五”期间，紧紧围绕“典范地州”建设定位，按照“一体两翼三支撑”工作思路，统筹推动产业结构调整、污染治理、生态保护、应对气候变化，协同推进降碳、减污、扩绿、增长，全州主要污染物排放总量持续下降，生态环境质量稳中向好。</w:t>
      </w:r>
      <w:bookmarkStart w:id="8" w:name="OLE_LINK76"/>
      <w:bookmarkStart w:id="9" w:name="OLE_LINK75"/>
      <w:r>
        <w:rPr>
          <w:rFonts w:hint="eastAsia" w:ascii="仿宋_GB2312" w:hAnsi="Times New Roman" w:eastAsia="仿宋_GB2312" w:cs="Times New Roman"/>
          <w:sz w:val="32"/>
          <w:szCs w:val="32"/>
        </w:rPr>
        <w:t>2025</w:t>
      </w:r>
      <w:r>
        <w:rPr>
          <w:rFonts w:hint="eastAsia" w:ascii="仿宋_GB2312" w:hAnsi="Times New Roman" w:eastAsia="仿宋_GB2312"/>
          <w:sz w:val="32"/>
          <w:szCs w:val="32"/>
        </w:rPr>
        <w:t>年全州7个县市优良天数首次全部突破300天，平均优良天数达325天；2025年州府昌吉市PM</w:t>
      </w:r>
      <w:r>
        <w:rPr>
          <w:rFonts w:hint="eastAsia" w:ascii="仿宋_GB2312" w:hAnsi="Times New Roman" w:eastAsia="仿宋_GB2312"/>
          <w:sz w:val="32"/>
          <w:szCs w:val="32"/>
          <w:vertAlign w:val="subscript"/>
        </w:rPr>
        <w:t>2.5</w:t>
      </w:r>
      <w:r>
        <w:rPr>
          <w:rFonts w:hint="eastAsia" w:ascii="仿宋_GB2312" w:hAnsi="Times New Roman" w:eastAsia="仿宋_GB2312"/>
          <w:sz w:val="32"/>
          <w:szCs w:val="32"/>
        </w:rPr>
        <w:t>年均浓度37微克/立方米（比2020年下</w:t>
      </w:r>
      <w:r>
        <w:rPr>
          <w:rFonts w:ascii="Times New Roman" w:hAnsi="Times New Roman" w:eastAsia="仿宋_GB2312" w:cs="Times New Roman"/>
          <w:sz w:val="32"/>
          <w:szCs w:val="32"/>
        </w:rPr>
        <w:t>降16微克/立方米），优良天数308天（比2020年增加24天）、重污染天数17天（比2020年减少26天），PM</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年均浓度、优良天数和重污染天数均创2017年以来最优水平</w:t>
      </w:r>
      <w:bookmarkEnd w:id="8"/>
      <w:bookmarkEnd w:id="9"/>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2025年全州有5个县（木垒县、奇台县、吉木萨尔县、呼图壁县、玛纳斯县）PM</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年均浓度达到国家空气质量二级标准（GB 3095-2012）（≤35微克/立方米），实现历史性突破。“十四五”期间全州9条河流17个监测断面及天池、石门水库水质保持稳定，17个河流断面中达到和优于Ⅱ类水质断面比例为100%，天池水质类别符合Ⅱ类，石门水库水质稳定达到Ⅲ类。全州建设用地安全利用得到有效保障，农用地土壤环境质量监测点位土壤环境质量总体状况良好，达标率99.92%；全州安全利用类耕地3561.27亩，受污染耕地安全利用率达98%以上。</w:t>
      </w:r>
      <w:r>
        <w:rPr>
          <w:rFonts w:hint="eastAsia" w:ascii="仿宋_GB2312" w:hAnsi="Times New Roman" w:eastAsia="仿宋_GB2312" w:cs="Times New Roman"/>
          <w:sz w:val="32"/>
          <w:szCs w:val="32"/>
        </w:rPr>
        <w:t>“十四五”</w:t>
      </w:r>
      <w:r>
        <w:rPr>
          <w:rFonts w:ascii="Times New Roman" w:hAnsi="Times New Roman" w:eastAsia="仿宋_GB2312" w:cs="Times New Roman"/>
          <w:sz w:val="32"/>
          <w:szCs w:val="32"/>
        </w:rPr>
        <w:t>期间挥发性有机物、氮氧化物、化学需氧量、氨氮四项主要污染物减排量分别为1301.08吨、3153.89吨、5410.53吨、490.88吨，完成上级下达的考核任务。</w:t>
      </w:r>
    </w:p>
    <w:p w14:paraId="1774AA4F">
      <w:pPr>
        <w:pStyle w:val="78"/>
        <w:ind w:firstLine="643"/>
      </w:pPr>
      <w:r>
        <w:rPr>
          <w:b/>
        </w:rPr>
        <w:t>深化污染防治攻坚</w:t>
      </w:r>
      <w:r>
        <w:rPr>
          <w:rFonts w:hint="eastAsia"/>
          <w:b/>
        </w:rPr>
        <w:t>成效显著。</w:t>
      </w:r>
      <w:r>
        <w:rPr>
          <w:rFonts w:hint="eastAsia"/>
        </w:rPr>
        <w:t>“十四五”期间，昌吉州扎实推进污染防治工作，深入开展攻坚行动。</w:t>
      </w:r>
      <w:r>
        <w:rPr>
          <w:rFonts w:hint="eastAsia"/>
          <w:b/>
          <w:bCs/>
        </w:rPr>
        <w:t>在大气环境整治方面，</w:t>
      </w:r>
      <w:r>
        <w:rPr>
          <w:rFonts w:hint="eastAsia"/>
        </w:rPr>
        <w:t>完成农村地区清洁取暖改造13.2万户，淘汰65蒸吨以下燃煤锅</w:t>
      </w:r>
      <w:r>
        <w:rPr>
          <w:rFonts w:hint="eastAsia"/>
          <w:highlight w:val="none"/>
        </w:rPr>
        <w:t>炉6</w:t>
      </w:r>
      <w:r>
        <w:rPr>
          <w:rFonts w:hint="eastAsia"/>
          <w:highlight w:val="none"/>
          <w:lang w:val="en-US" w:eastAsia="zh-CN"/>
        </w:rPr>
        <w:t>88</w:t>
      </w:r>
      <w:r>
        <w:rPr>
          <w:rFonts w:hint="eastAsia"/>
          <w:highlight w:val="none"/>
        </w:rPr>
        <w:t>台</w:t>
      </w:r>
      <w:r>
        <w:rPr>
          <w:rFonts w:hint="eastAsia"/>
        </w:rPr>
        <w:t>，完成燃气锅炉低氮改造330台，整治工业炉窑1402台。“乌-昌-石”区域4县市城市建成区100%划入禁燃区。对钢铁、焦化等65家企业实施错峰生产管控，实施无组织排放深度治理项目212个，完成“一企一策”治理项目398个、挥发性有机物综合治理41项。实施“关停并转统”综合治理，泰华、永鑫、鸿基等企业4.3米及以下焦炉顺利关停（涉及焦化产能230万吨），实现区域4.3米焦炉“清零”。建设投用铁路专用线、输煤廊道415公里，淘汰</w:t>
      </w:r>
      <w:bookmarkStart w:id="10" w:name="OLE_LINK13"/>
      <w:bookmarkStart w:id="11" w:name="OLE_LINK18"/>
      <w:r>
        <w:rPr>
          <w:rFonts w:hint="eastAsia"/>
        </w:rPr>
        <w:t>柴油货车</w:t>
      </w:r>
      <w:bookmarkEnd w:id="10"/>
      <w:bookmarkEnd w:id="11"/>
      <w:r>
        <w:rPr>
          <w:rFonts w:hint="eastAsia"/>
        </w:rPr>
        <w:t>1729辆，新增换电重卡1905辆、新能源公务用车567辆。全州完成112个3000平方米及以上的建筑施工工地在线监测和视频监控设备安装。建成大气环境监管指挥调度平台。</w:t>
      </w:r>
      <w:r>
        <w:rPr>
          <w:rFonts w:hint="eastAsia"/>
          <w:b/>
          <w:bCs/>
        </w:rPr>
        <w:t>在水污染治理方面，</w:t>
      </w:r>
      <w:r>
        <w:rPr>
          <w:rFonts w:hint="eastAsia"/>
        </w:rPr>
        <w:t>完成全州39个在用集中式饮用水水源地保护区的“划、立、治”和入河排污口排查整治，全州城镇黑臭水体持续保持零增长，昌吉市头屯河成功入选自治区美丽河湖评选。加强饮用水水源地规范化建设，将16个污水处理厂、10个中水水库等排污口纳入监管名录，全州9条河流、2个湖库及13个县（市）级饮用水水源地水质均达到或优于Ш类，农村生活污水治理管控率44.9%。</w:t>
      </w:r>
      <w:r>
        <w:rPr>
          <w:rFonts w:hint="eastAsia"/>
          <w:b/>
          <w:bCs/>
        </w:rPr>
        <w:t>在土壤污染防治方面，</w:t>
      </w:r>
      <w:r>
        <w:rPr>
          <w:rFonts w:hint="eastAsia"/>
        </w:rPr>
        <w:t>全面完成第三次全国土壤普查，耕地保护面积达922.64万亩，永久基本农田保护面积保持在766.98万亩。开展重点地块土壤污染状况调查评估和尾矿库污染隐患排查治理，排查整治污染隐患企业18家。更新土壤污染重点监管单位名录，完成55个用途变更为“一住两公”和关闭搬迁企业地块土壤污染状况调查。全州重点建设用地安全利用率达98%以上。全州652家产废单位年度固体废物管理备案率、年报上报率均达100%，完成56批次危险废物跨省转移审核，州县两级监管能力明显提高。启动“无废城市”创建，开展危险废物整治，将63家企业纳入重点监管名录，全州150家产废、经营、处置单位危险废物规范化评估达标率100%，35家危废经营单位综合处置能力达206万吨，全州城镇生活垃圾无害化处理率、工业危险废物处置率均达100%</w:t>
      </w:r>
      <w:r>
        <w:t>。</w:t>
      </w:r>
    </w:p>
    <w:p w14:paraId="1FFC3D58">
      <w:pPr>
        <w:pStyle w:val="78"/>
        <w:ind w:firstLine="643"/>
        <w:rPr>
          <w:rFonts w:ascii="仿宋_GB2312"/>
        </w:rPr>
      </w:pPr>
      <w:r>
        <w:rPr>
          <w:b/>
        </w:rPr>
        <w:t>推进生态修复治理成效显著。</w:t>
      </w:r>
      <w:r>
        <w:rPr>
          <w:rFonts w:hint="eastAsia" w:ascii="仿宋_GB2312"/>
        </w:rPr>
        <w:t>按照“南护天山，北治沙漠，中建绿洲”的生态建设布局，依托“三北”防护林等国家重点林草工程，持续推进荒漠化防治工作，完成沙化土地治理183.87万亩、人工造林12.04万亩、退化林修复16.81万亩、人工种草11.56万亩、封育34.28万亩、草原围栏72.62万亩，全州森林覆盖率达14.2%。矿山修复有序推进。治理恢复历史遗留废弃矿山704.75公顷，10个采坑通过社会资本投入成功转型，建成绿色矿山28家。依法实施煤田火区治理26处，完成13处，挽回煤炭资源16.58万吨，减少二氧化碳排放44.1万吨，治理经验在全疆推广。完成风景名胜区373个点位、国家湿地公园169个点位、卡山自然保护区8个点位的人类活动遥感监测问题线索的现场核查，重点点位整改完成率100%。开展自然保护地整合优化，制定生物多样性保护措施16条。玛纳斯县成功创建全国生态文明建设示范区。</w:t>
      </w:r>
    </w:p>
    <w:p w14:paraId="7E90DA46">
      <w:pPr>
        <w:pStyle w:val="78"/>
        <w:ind w:firstLine="643"/>
        <w:rPr>
          <w:rFonts w:ascii="仿宋_GB2312"/>
        </w:rPr>
      </w:pPr>
      <w:bookmarkStart w:id="12" w:name="OLE_LINK201"/>
      <w:bookmarkStart w:id="13" w:name="OLE_LINK200"/>
      <w:bookmarkStart w:id="14" w:name="OLE_LINK158"/>
      <w:bookmarkStart w:id="15" w:name="OLE_LINK159"/>
      <w:r>
        <w:rPr>
          <w:b/>
        </w:rPr>
        <w:t>提升生态环境治理体系和治理能力成效显著。</w:t>
      </w:r>
      <w:r>
        <w:rPr>
          <w:rFonts w:hint="eastAsia"/>
          <w:b/>
        </w:rPr>
        <w:t>“</w:t>
      </w:r>
      <w:r>
        <w:rPr>
          <w:rFonts w:hint="eastAsia" w:ascii="仿宋_GB2312"/>
        </w:rPr>
        <w:t>十四五”期间，昌吉州生态环境能力建设取得显著成效。</w:t>
      </w:r>
      <w:r>
        <w:rPr>
          <w:rFonts w:hint="eastAsia" w:ascii="仿宋_GB2312"/>
          <w:b/>
        </w:rPr>
        <w:t>综合保障能力全面提升：</w:t>
      </w:r>
      <w:r>
        <w:rPr>
          <w:rFonts w:hint="eastAsia" w:ascii="仿宋_GB2312"/>
        </w:rPr>
        <w:t>累计投入</w:t>
      </w:r>
      <w:r>
        <w:rPr>
          <w:rFonts w:ascii="仿宋_GB2312"/>
        </w:rPr>
        <w:t>1700余万元，建成大气环境综合监管指挥调度及预警预报平台，挂牌成立中国环科院昌吉州生态环境科创中心，</w:t>
      </w:r>
      <w:r>
        <w:rPr>
          <w:rFonts w:hint="eastAsia" w:ascii="仿宋_GB2312"/>
        </w:rPr>
        <w:t>联合中国环科院专家，</w:t>
      </w:r>
      <w:r>
        <w:rPr>
          <w:rFonts w:ascii="仿宋_GB2312"/>
        </w:rPr>
        <w:t>组建专家帮扶专班；</w:t>
      </w:r>
      <w:r>
        <w:rPr>
          <w:rFonts w:hint="eastAsia" w:ascii="仿宋_GB2312"/>
        </w:rPr>
        <w:t>统筹国控点位站点优化调整，</w:t>
      </w:r>
      <w:r>
        <w:rPr>
          <w:rFonts w:ascii="仿宋_GB2312"/>
        </w:rPr>
        <w:t>完成11个空气站、8个噪声站建设，组织监测技能培训与比武，</w:t>
      </w:r>
      <w:r>
        <w:rPr>
          <w:rFonts w:hint="eastAsia" w:ascii="仿宋_GB2312"/>
          <w:lang w:eastAsia="zh-CN"/>
        </w:rPr>
        <w:t>获得</w:t>
      </w:r>
      <w:r>
        <w:rPr>
          <w:rFonts w:ascii="仿宋_GB2312"/>
        </w:rPr>
        <w:t>监测领域集体荣誉2项、个人表彰6人次；每年举办生态文明专题研讨班，成功承办生态环境部培训班。</w:t>
      </w:r>
      <w:r>
        <w:rPr>
          <w:rFonts w:hint="eastAsia" w:ascii="仿宋_GB2312"/>
        </w:rPr>
        <w:t>同时，新购置环境监管设备</w:t>
      </w:r>
      <w:r>
        <w:rPr>
          <w:rFonts w:ascii="仿宋_GB2312"/>
        </w:rPr>
        <w:t>769台（套），实验室分析设备持续更新，应急监测装备和物资储备不断充实，辐射监测能力稳步增强，7个县级生态环境监测机构标准化建设水平显著提升，全部通过CMA资质认证，认证率达100%。全州国、区、市控自动站达到70个，网格化监测微型站达到385套，实现了“水、气、声、辐射”生态环境质量全要素自动监测，基本建成了要素齐全、布局合理的生态环境监测网络体系。</w:t>
      </w:r>
      <w:r>
        <w:rPr>
          <w:rFonts w:ascii="仿宋_GB2312"/>
          <w:b/>
        </w:rPr>
        <w:t>执法能力</w:t>
      </w:r>
      <w:r>
        <w:rPr>
          <w:rFonts w:hint="eastAsia" w:ascii="仿宋_GB2312"/>
          <w:b/>
        </w:rPr>
        <w:t>提升</w:t>
      </w:r>
      <w:r>
        <w:rPr>
          <w:rFonts w:ascii="仿宋_GB2312"/>
          <w:b/>
        </w:rPr>
        <w:t>成效显著：</w:t>
      </w:r>
      <w:r>
        <w:rPr>
          <w:rFonts w:ascii="仿宋_GB2312"/>
        </w:rPr>
        <w:t>配置执法装备504台（套），建成全疆首个行政处罚全流程闭环管理系统，</w:t>
      </w:r>
      <w:r>
        <w:rPr>
          <w:rFonts w:hint="eastAsia" w:ascii="仿宋_GB2312"/>
          <w:lang w:eastAsia="zh-CN"/>
        </w:rPr>
        <w:t>获得</w:t>
      </w:r>
      <w:r>
        <w:rPr>
          <w:rFonts w:ascii="仿宋_GB2312"/>
        </w:rPr>
        <w:t>执法领域集体荣誉5项、国家级及自治区级个人表彰22人次。</w:t>
      </w:r>
      <w:r>
        <w:rPr>
          <w:rFonts w:hint="eastAsia" w:ascii="仿宋_GB2312"/>
          <w:b/>
        </w:rPr>
        <w:t>监控</w:t>
      </w:r>
      <w:r>
        <w:rPr>
          <w:rFonts w:ascii="仿宋_GB2312"/>
          <w:b/>
        </w:rPr>
        <w:t>能力提升成效显著</w:t>
      </w:r>
      <w:r>
        <w:rPr>
          <w:rFonts w:hint="eastAsia" w:ascii="仿宋_GB2312"/>
          <w:b/>
        </w:rPr>
        <w:t>：</w:t>
      </w:r>
      <w:r>
        <w:rPr>
          <w:rFonts w:hint="eastAsia" w:ascii="仿宋_GB2312"/>
        </w:rPr>
        <w:t>建成覆盖</w:t>
      </w:r>
      <w:r>
        <w:rPr>
          <w:rFonts w:ascii="仿宋_GB2312"/>
        </w:rPr>
        <w:t>132家排污单位、362个监控点的智能监管体系，实现废气废水实时监测、用电量及视频门禁全方位监管，自动监控数据传输率达90%以上。通过空气自动监测、高空</w:t>
      </w:r>
      <w:r>
        <w:rPr>
          <w:rFonts w:hint="eastAsia" w:ascii="宋体" w:hAnsi="宋体" w:eastAsia="宋体" w:cs="宋体"/>
        </w:rPr>
        <w:t>瞭</w:t>
      </w:r>
      <w:r>
        <w:rPr>
          <w:rFonts w:hint="eastAsia" w:ascii="仿宋_GB2312" w:hAnsi="仿宋_GB2312" w:cs="仿宋_GB2312"/>
        </w:rPr>
        <w:t>望等科技手段，构建起精准化环境管理体</w:t>
      </w:r>
      <w:r>
        <w:rPr>
          <w:rFonts w:ascii="仿宋_GB2312"/>
        </w:rPr>
        <w:t>系</w:t>
      </w:r>
      <w:r>
        <w:rPr>
          <w:rFonts w:hint="eastAsia" w:ascii="仿宋_GB2312"/>
        </w:rPr>
        <w:t>。</w:t>
      </w:r>
      <w:r>
        <w:rPr>
          <w:rFonts w:hint="eastAsia" w:ascii="仿宋_GB2312"/>
          <w:b/>
        </w:rPr>
        <w:t>精细化管控成效显著：</w:t>
      </w:r>
      <w:r>
        <w:rPr>
          <w:rFonts w:hint="eastAsia" w:ascii="仿宋_GB2312"/>
        </w:rPr>
        <w:t>依托指挥中心，运用激光雷达、走航等先进技术精准溯源，州、县、园区、网格四级联动，问题整改率达</w:t>
      </w:r>
      <w:r>
        <w:rPr>
          <w:rFonts w:ascii="仿宋_GB2312"/>
        </w:rPr>
        <w:t>94%，区域空气质量精细化管控水平大幅提升。</w:t>
      </w:r>
      <w:bookmarkEnd w:id="12"/>
      <w:bookmarkEnd w:id="13"/>
    </w:p>
    <w:bookmarkEnd w:id="14"/>
    <w:bookmarkEnd w:id="15"/>
    <w:p w14:paraId="1AD86976">
      <w:pPr>
        <w:pStyle w:val="4"/>
        <w:spacing w:line="700" w:lineRule="exact"/>
        <w:ind w:firstLine="643"/>
        <w:jc w:val="center"/>
      </w:pPr>
      <w:bookmarkStart w:id="16" w:name="_Toc218867742"/>
      <w:bookmarkStart w:id="17" w:name="_Toc227770762"/>
      <w:r>
        <w:rPr>
          <w:rFonts w:hint="eastAsia"/>
        </w:rPr>
        <w:t>第二节  “十五五”面临的机遇</w:t>
      </w:r>
      <w:bookmarkEnd w:id="16"/>
      <w:bookmarkEnd w:id="17"/>
    </w:p>
    <w:p w14:paraId="64C83A99">
      <w:pPr>
        <w:pStyle w:val="78"/>
        <w:ind w:firstLine="643"/>
        <w:rPr>
          <w:rFonts w:ascii="仿宋_GB2312"/>
        </w:rPr>
      </w:pPr>
      <w:r>
        <w:rPr>
          <w:rFonts w:hint="eastAsia" w:ascii="仿宋_GB2312"/>
          <w:b/>
        </w:rPr>
        <w:t>战略引领机遇。高位政策赋能：</w:t>
      </w:r>
      <w:r>
        <w:rPr>
          <w:rFonts w:hint="eastAsia" w:ascii="仿宋_GB2312"/>
        </w:rPr>
        <w:t>新时代党的治疆方略明确加快“一带一路”核心区建设，赋予新疆特殊重要的“五大战略定位”。生态环境部《关于支持新疆高质量发展的意见》出台6方面20条差别化支持政策，为生态环境保护注入强有力外部支撑。</w:t>
      </w:r>
      <w:r>
        <w:rPr>
          <w:rFonts w:hint="eastAsia" w:ascii="仿宋_GB2312"/>
          <w:b/>
        </w:rPr>
        <w:t>州域定位提升：</w:t>
      </w:r>
      <w:r>
        <w:rPr>
          <w:rFonts w:hint="eastAsia" w:ascii="仿宋_GB2312"/>
        </w:rPr>
        <w:t>昌吉州明确建设“五区一示范”目标，将习近平生态文明思想深度嵌入发展战略全局，为高水平生态环境保护提供核心引领。</w:t>
      </w:r>
      <w:r>
        <w:rPr>
          <w:rFonts w:hint="eastAsia" w:ascii="仿宋_GB2312"/>
          <w:b/>
        </w:rPr>
        <w:t>规划蓝图指引：</w:t>
      </w:r>
      <w:r>
        <w:rPr>
          <w:rFonts w:hint="eastAsia" w:ascii="仿宋_GB2312"/>
        </w:rPr>
        <w:t>自治区《美丽新疆建设实施方案》，为新时期生态环境保护锚定了目标方向与实施路径。</w:t>
      </w:r>
    </w:p>
    <w:p w14:paraId="2ED4E728">
      <w:pPr>
        <w:pStyle w:val="78"/>
        <w:ind w:firstLine="643"/>
        <w:rPr>
          <w:rFonts w:ascii="仿宋_GB2312"/>
        </w:rPr>
      </w:pPr>
      <w:r>
        <w:rPr>
          <w:rFonts w:hint="eastAsia" w:ascii="仿宋_GB2312"/>
          <w:b/>
        </w:rPr>
        <w:t>经济转型机遇。改革动力驱动：</w:t>
      </w:r>
      <w:r>
        <w:rPr>
          <w:rFonts w:hint="eastAsia" w:ascii="仿宋_GB2312"/>
        </w:rPr>
        <w:t>州党委十二届十一次全会擘画了全面深化改革新蓝图，以推进治理体系和治理能力现代化为核心，为创建“中华民族共同体意识示范州”注入了强大的制度动力与实践指引。</w:t>
      </w:r>
      <w:r>
        <w:rPr>
          <w:rFonts w:hint="eastAsia" w:ascii="仿宋_GB2312"/>
          <w:b/>
        </w:rPr>
        <w:t>产业结构优化：</w:t>
      </w:r>
      <w:r>
        <w:rPr>
          <w:rFonts w:hint="eastAsia" w:ascii="仿宋_GB2312"/>
        </w:rPr>
        <w:t>经济高质量发展将加速淘汰落后产能，推动高耗能、高污染产业持续压减。同时，科技创新与环保产业蓬勃兴起，其新技术、新产品应用，为从源头上深层次降低生态环境压力提供了创新思路与方法支持。</w:t>
      </w:r>
      <w:r>
        <w:rPr>
          <w:rFonts w:hint="eastAsia" w:ascii="仿宋_GB2312"/>
          <w:b/>
        </w:rPr>
        <w:t>新质生产力培育：</w:t>
      </w:r>
      <w:r>
        <w:rPr>
          <w:rFonts w:hint="eastAsia" w:ascii="仿宋_GB2312"/>
        </w:rPr>
        <w:t>绿色低碳转型为发展新质生产力开辟空间，推动经济增长动力向创新驱动、绿色驱动转变。</w:t>
      </w:r>
    </w:p>
    <w:p w14:paraId="0BFE326D">
      <w:pPr>
        <w:pStyle w:val="78"/>
        <w:ind w:firstLine="643"/>
        <w:rPr>
          <w:rFonts w:ascii="仿宋_GB2312"/>
          <w:b/>
        </w:rPr>
      </w:pPr>
      <w:r>
        <w:rPr>
          <w:rFonts w:hint="eastAsia" w:ascii="仿宋_GB2312"/>
          <w:b/>
        </w:rPr>
        <w:t>制度创新机遇。基础制度完善：</w:t>
      </w:r>
      <w:r>
        <w:rPr>
          <w:rFonts w:hint="eastAsia" w:ascii="仿宋_GB2312"/>
        </w:rPr>
        <w:t>河长制、林长制、生态环境分区管控、生态环保督察问题清单、生态环境损害赔偿等基础性制度在昌吉州已逐步建立健全并持续深化。</w:t>
      </w:r>
      <w:r>
        <w:rPr>
          <w:rFonts w:hint="eastAsia" w:ascii="仿宋_GB2312"/>
          <w:b/>
        </w:rPr>
        <w:t>市场机制构建：</w:t>
      </w:r>
      <w:r>
        <w:rPr>
          <w:rFonts w:hint="eastAsia" w:ascii="仿宋_GB2312"/>
        </w:rPr>
        <w:t>“十五五”时期将着力加快健全生态产品价值实现、多元化生态补偿、环境信用评价、绿色金融（如绿色贷款）等生态经济政策体系，为生态环境保护持续注入长效动力。</w:t>
      </w:r>
    </w:p>
    <w:p w14:paraId="155DE83A">
      <w:pPr>
        <w:pStyle w:val="4"/>
        <w:spacing w:line="700" w:lineRule="exact"/>
        <w:ind w:firstLine="643"/>
        <w:jc w:val="center"/>
      </w:pPr>
      <w:bookmarkStart w:id="18" w:name="_Toc218867743"/>
      <w:bookmarkStart w:id="19" w:name="_Toc227770763"/>
      <w:r>
        <w:rPr>
          <w:rFonts w:hint="eastAsia"/>
        </w:rPr>
        <w:t>第三节  “十五五”面临的挑战</w:t>
      </w:r>
      <w:bookmarkEnd w:id="18"/>
      <w:bookmarkEnd w:id="19"/>
    </w:p>
    <w:p w14:paraId="7F853D76">
      <w:pPr>
        <w:pStyle w:val="78"/>
        <w:ind w:firstLine="640"/>
        <w:rPr>
          <w:rFonts w:ascii="仿宋_GB2312"/>
        </w:rPr>
      </w:pPr>
      <w:bookmarkStart w:id="20" w:name="OLE_LINK112"/>
      <w:bookmarkStart w:id="21" w:name="OLE_LINK28"/>
      <w:r>
        <w:rPr>
          <w:rFonts w:hint="eastAsia" w:ascii="仿宋_GB2312"/>
        </w:rPr>
        <w:t>“十五五”时期是昌吉州全面建设社会主义现代化新征程的关键阶段，也是深入打好污染防治攻坚战、推动美丽昌吉建设的重要时期。当前，全州生态环境保护与建设取得积极进展，但结构性、根源性压力尚未根本缓解，生态环境质量持续改善的基础尚不牢固，多领域、多层面挑战相互交织，实现人与自然和谐共生的现代化任重道远。</w:t>
      </w:r>
    </w:p>
    <w:p w14:paraId="320C3345">
      <w:pPr>
        <w:pStyle w:val="78"/>
        <w:ind w:firstLine="643"/>
        <w:rPr>
          <w:rFonts w:ascii="仿宋_GB2312"/>
        </w:rPr>
      </w:pPr>
      <w:r>
        <w:rPr>
          <w:rFonts w:hint="eastAsia" w:ascii="仿宋_GB2312"/>
          <w:b/>
        </w:rPr>
        <w:t>生态环境质量持续改善的基础尚需巩固</w:t>
      </w:r>
      <w:r>
        <w:rPr>
          <w:rFonts w:hint="eastAsia" w:ascii="仿宋_GB2312"/>
        </w:rPr>
        <w:t>。在大气环境方面，“乌</w:t>
      </w:r>
      <w:r>
        <w:rPr>
          <w:rFonts w:ascii="仿宋_GB2312"/>
        </w:rPr>
        <w:t>-昌-石”区域大气环境承载力长期处于</w:t>
      </w:r>
      <w:r>
        <w:rPr>
          <w:rFonts w:hint="eastAsia" w:ascii="仿宋_GB2312"/>
        </w:rPr>
        <w:t>“紧平衡”</w:t>
      </w:r>
      <w:r>
        <w:rPr>
          <w:rFonts w:ascii="仿宋_GB2312"/>
        </w:rPr>
        <w:t>状态，复合型污染特征凸显，细颗粒物（PM</w:t>
      </w:r>
      <w:r>
        <w:rPr>
          <w:rFonts w:ascii="仿宋_GB2312"/>
          <w:vertAlign w:val="subscript"/>
        </w:rPr>
        <w:t>2.5</w:t>
      </w:r>
      <w:r>
        <w:rPr>
          <w:rFonts w:ascii="仿宋_GB2312"/>
        </w:rPr>
        <w:t>）浓度季节性波动显著，冬季防治压力尤为突出。昌吉市、阜康市空气质量尚未稳定达标，氮氧化物、挥发性有机物等协同减排任务艰巨。特别是2026年版大气环境质量标准发布实施后，污染物浓度限值进一步收严、监测评价要求更加严格，现有达标基础面临新挑战，达标巩固和持续</w:t>
      </w:r>
      <w:r>
        <w:rPr>
          <w:rFonts w:hint="eastAsia" w:ascii="仿宋_GB2312"/>
          <w:lang w:eastAsia="zh-CN"/>
        </w:rPr>
        <w:t>缓解</w:t>
      </w:r>
      <w:r>
        <w:rPr>
          <w:rFonts w:ascii="仿宋_GB2312"/>
        </w:rPr>
        <w:t>压力显著增大。</w:t>
      </w:r>
      <w:r>
        <w:rPr>
          <w:rFonts w:hint="eastAsia" w:ascii="仿宋_GB2312"/>
        </w:rPr>
        <w:t>在水环境方面，水资源短缺与结构性矛盾并存，地下水超采问题仍需高度重视，农业用水占比偏高与用水效益有待提升的局面尚未根本扭转，水生态保护修复体系有待完善。在土壤与固体废物方面，农业面源污染治理、工业固废及危险废物的资源化利用与安全处置能力仍需加强，环境风险管控精细化水平有待提升。</w:t>
      </w:r>
    </w:p>
    <w:p w14:paraId="2EF45406">
      <w:pPr>
        <w:pStyle w:val="78"/>
        <w:ind w:firstLine="643"/>
        <w:rPr>
          <w:rFonts w:ascii="仿宋_GB2312"/>
        </w:rPr>
      </w:pPr>
      <w:r>
        <w:rPr>
          <w:rFonts w:hint="eastAsia" w:ascii="仿宋_GB2312"/>
          <w:b/>
        </w:rPr>
        <w:t>绿色低碳转型面临结构性制约。</w:t>
      </w:r>
      <w:r>
        <w:rPr>
          <w:rFonts w:hint="eastAsia" w:ascii="仿宋_GB2312"/>
        </w:rPr>
        <w:t>昌吉州作为国家能源战略保障体系的重要组成部分，产业结构偏重、能源结构偏煤的特征短期内难以根本改变。以煤炭为主导的能源消费结构导致单位</w:t>
      </w:r>
      <w:r>
        <w:rPr>
          <w:rFonts w:ascii="仿宋_GB2312"/>
        </w:rPr>
        <w:t>GDP能耗、水耗及碳排放强度处于较高水平，产业绿色化、低碳化改造升级的内生动力和外部支撑均需增强。统筹高质量发展与深入打好污染防治攻坚战、实现碳达峰碳中和等多重目标，对系统谋划和协同推进提出了更高要求。</w:t>
      </w:r>
    </w:p>
    <w:p w14:paraId="225415E3">
      <w:pPr>
        <w:pStyle w:val="78"/>
        <w:ind w:firstLine="640"/>
        <w:rPr>
          <w:rFonts w:ascii="仿宋_GB2312"/>
        </w:rPr>
      </w:pPr>
      <w:r>
        <w:rPr>
          <w:rFonts w:hint="eastAsia" w:ascii="仿宋_GB2312"/>
        </w:rPr>
        <w:t>特别需要关注的是，准东经济技术开发区作为国家能源基地，产业规模扩张与区域环境容量、水资源刚性约束之间的矛盾日益凸显，“降碳、减污、扩绿、增长”协同推进的压力巨大。全州经济社会转型发展的任务艰巨繁重。</w:t>
      </w:r>
    </w:p>
    <w:p w14:paraId="4F2B36E6">
      <w:pPr>
        <w:pStyle w:val="78"/>
        <w:ind w:firstLine="643"/>
        <w:rPr>
          <w:rFonts w:ascii="仿宋_GB2312"/>
        </w:rPr>
      </w:pPr>
      <w:r>
        <w:rPr>
          <w:rFonts w:hint="eastAsia" w:ascii="仿宋_GB2312"/>
          <w:b/>
        </w:rPr>
        <w:t>生态系统稳定性和服务功能有待提升。</w:t>
      </w:r>
      <w:r>
        <w:rPr>
          <w:rFonts w:hint="eastAsia" w:ascii="仿宋_GB2312"/>
        </w:rPr>
        <w:t>全州生态本底总体脆弱，南部山区、草原、荒漠等生态系统稳定性不强。受气候变化与人类活动双重影响，局部区域生态空间承压，生物多样性保护面临挑战，水源涵养、防风固沙等生态服务功能巩固提升的基础尚不牢固。协调矿产资源开发、区域经济发展与生态保护的关系，强化生态修复与监管，是必须长期面对的重要课题。</w:t>
      </w:r>
    </w:p>
    <w:p w14:paraId="29E9457D">
      <w:pPr>
        <w:pStyle w:val="78"/>
        <w:ind w:firstLine="640"/>
        <w:rPr>
          <w:rFonts w:ascii="仿宋_GB2312"/>
        </w:rPr>
      </w:pPr>
      <w:r>
        <w:rPr>
          <w:rFonts w:hint="eastAsia" w:ascii="仿宋_GB2312"/>
        </w:rPr>
        <w:t>同时，全州水资源短缺与地下水超采问题并存，农业用水占</w:t>
      </w:r>
      <w:r>
        <w:t>比高达</w:t>
      </w:r>
      <w:r>
        <w:rPr>
          <w:rFonts w:hint="eastAsia"/>
        </w:rPr>
        <w:t>83</w:t>
      </w:r>
      <w:r>
        <w:t>%以上，</w:t>
      </w:r>
      <w:r>
        <w:rPr>
          <w:rFonts w:ascii="仿宋_GB2312"/>
        </w:rPr>
        <w:t>用水效益有待提升，实现</w:t>
      </w:r>
      <w:r>
        <w:rPr>
          <w:rFonts w:hint="eastAsia" w:ascii="仿宋_GB2312"/>
        </w:rPr>
        <w:t>“以水定产、以水定地”</w:t>
      </w:r>
      <w:r>
        <w:rPr>
          <w:rFonts w:ascii="仿宋_GB2312"/>
        </w:rPr>
        <w:t>的任务紧迫。南部山区水源涵养功能提升与北部荒漠化治理需长期投入，生态保护与矿产资源开发的协调难度大。</w:t>
      </w:r>
    </w:p>
    <w:p w14:paraId="307C2952">
      <w:pPr>
        <w:pStyle w:val="78"/>
        <w:ind w:firstLine="643"/>
        <w:rPr>
          <w:rFonts w:ascii="仿宋_GB2312"/>
        </w:rPr>
      </w:pPr>
      <w:r>
        <w:rPr>
          <w:rFonts w:hint="eastAsia" w:ascii="仿宋_GB2312"/>
          <w:b/>
        </w:rPr>
        <w:t>生态环境治理体系与能力现代化水平仍需加强。</w:t>
      </w:r>
      <w:r>
        <w:rPr>
          <w:rFonts w:hint="eastAsia" w:ascii="仿宋_GB2312"/>
        </w:rPr>
        <w:t>现代环境治理体系的系统性和协同性有待增强，源头预防、过程严管、后果严惩的体制机制需要进一步健全。生态环境基础设施存在薄弱环节，城乡污水收集处理、固体废物综合利用等能力有待均衡提升。治理市场化、多元化机制尚不完善，科技支撑与人才保障能力需进一步强化，基层监管执法效能和应对新型环境问题的能力有待提高。</w:t>
      </w:r>
    </w:p>
    <w:p w14:paraId="4F8ACB71">
      <w:pPr>
        <w:pStyle w:val="78"/>
        <w:ind w:firstLine="640"/>
        <w:rPr>
          <w:rFonts w:ascii="仿宋_GB2312"/>
        </w:rPr>
      </w:pPr>
      <w:r>
        <w:rPr>
          <w:rFonts w:hint="eastAsia" w:ascii="仿宋_GB2312"/>
        </w:rPr>
        <w:t>此外，面对极端气候事件增多等不确定性因素，风险防范与应急响应体系需持续完善。生态补偿机制不健全，生态产品价值实现路径仍需拓展。新污染物治理基础薄弱，环境风险底数掌握不足，监测、评估与管控能力欠缺。生态系统碳汇功能巩固提升的路径和机制尚不明确，应对极端气候事件的基础设施和应急体系适应性有待加强。</w:t>
      </w:r>
    </w:p>
    <w:p w14:paraId="1F736BCA">
      <w:pPr>
        <w:pStyle w:val="78"/>
        <w:ind w:firstLine="640"/>
        <w:rPr>
          <w:rFonts w:ascii="仿宋_GB2312"/>
        </w:rPr>
      </w:pPr>
      <w:r>
        <w:rPr>
          <w:rFonts w:hint="eastAsia" w:ascii="仿宋_GB2312"/>
        </w:rPr>
        <w:t>综上所述，“十五五”时期，昌吉州生态环境保护工作仍处于压力叠加、负重前行的关键期。必须坚持问题导向，保持战略定力，以更高站位、更宽视野、更大力度谋划和推进新征程生态环境保护工作，积极应对风险挑战，努力开创美丽昌吉建设新局面。</w:t>
      </w:r>
    </w:p>
    <w:p w14:paraId="53C08B2B">
      <w:pPr>
        <w:pStyle w:val="78"/>
        <w:ind w:firstLine="640"/>
        <w:rPr>
          <w:rFonts w:ascii="仿宋_GB2312"/>
        </w:rPr>
      </w:pPr>
    </w:p>
    <w:p w14:paraId="7AA2998E">
      <w:pPr>
        <w:pStyle w:val="78"/>
        <w:ind w:firstLine="640"/>
        <w:rPr>
          <w:rFonts w:ascii="仿宋_GB2312"/>
        </w:rPr>
      </w:pPr>
    </w:p>
    <w:p w14:paraId="069BB72E">
      <w:pPr>
        <w:pStyle w:val="78"/>
        <w:ind w:firstLine="640"/>
        <w:rPr>
          <w:rFonts w:ascii="仿宋_GB2312"/>
        </w:rPr>
      </w:pPr>
    </w:p>
    <w:p w14:paraId="52B18AD3">
      <w:pPr>
        <w:pStyle w:val="78"/>
        <w:ind w:firstLine="640"/>
        <w:rPr>
          <w:rFonts w:ascii="仿宋_GB2312"/>
        </w:rPr>
      </w:pPr>
    </w:p>
    <w:p w14:paraId="7D915115">
      <w:pPr>
        <w:pStyle w:val="78"/>
        <w:ind w:firstLine="640"/>
        <w:rPr>
          <w:rFonts w:ascii="仿宋_GB2312"/>
        </w:rPr>
      </w:pPr>
    </w:p>
    <w:p w14:paraId="3E2133FE">
      <w:pPr>
        <w:pStyle w:val="78"/>
        <w:ind w:firstLine="640"/>
        <w:rPr>
          <w:rFonts w:ascii="仿宋_GB2312"/>
        </w:rPr>
      </w:pPr>
    </w:p>
    <w:p w14:paraId="3DDBAE72">
      <w:pPr>
        <w:pStyle w:val="78"/>
        <w:ind w:firstLine="640"/>
        <w:rPr>
          <w:rFonts w:ascii="仿宋_GB2312"/>
        </w:rPr>
      </w:pPr>
    </w:p>
    <w:p w14:paraId="589EE859">
      <w:pPr>
        <w:pStyle w:val="78"/>
        <w:ind w:firstLine="640"/>
        <w:rPr>
          <w:rFonts w:ascii="仿宋_GB2312"/>
        </w:rPr>
      </w:pPr>
    </w:p>
    <w:p w14:paraId="17D6F278">
      <w:pPr>
        <w:pStyle w:val="78"/>
        <w:ind w:firstLine="640"/>
        <w:rPr>
          <w:rFonts w:ascii="仿宋_GB2312"/>
        </w:rPr>
      </w:pPr>
    </w:p>
    <w:p w14:paraId="5B3A0C6E">
      <w:pPr>
        <w:pStyle w:val="78"/>
        <w:ind w:firstLine="640"/>
        <w:rPr>
          <w:rFonts w:ascii="仿宋_GB2312"/>
        </w:rPr>
      </w:pPr>
    </w:p>
    <w:p w14:paraId="5CF79FCA">
      <w:pPr>
        <w:pStyle w:val="78"/>
        <w:ind w:firstLine="640"/>
        <w:rPr>
          <w:rFonts w:ascii="仿宋_GB2312"/>
        </w:rPr>
      </w:pPr>
    </w:p>
    <w:p w14:paraId="536B78CD">
      <w:pPr>
        <w:pStyle w:val="78"/>
        <w:ind w:firstLine="640"/>
        <w:rPr>
          <w:rFonts w:ascii="仿宋_GB2312"/>
        </w:rPr>
        <w:sectPr>
          <w:footerReference r:id="rId6" w:type="default"/>
          <w:footerReference r:id="rId7" w:type="even"/>
          <w:pgSz w:w="11906" w:h="16838"/>
          <w:pgMar w:top="1440" w:right="1800" w:bottom="1440" w:left="1800" w:header="1077" w:footer="992" w:gutter="0"/>
          <w:pgNumType w:fmt="numberInDash" w:start="1"/>
          <w:cols w:space="425" w:num="1"/>
          <w:docGrid w:type="lines" w:linePitch="312" w:charSpace="0"/>
        </w:sectPr>
      </w:pPr>
    </w:p>
    <w:bookmarkEnd w:id="20"/>
    <w:bookmarkEnd w:id="21"/>
    <w:p w14:paraId="685651FD">
      <w:pPr>
        <w:pStyle w:val="3"/>
        <w:spacing w:after="100" w:afterAutospacing="1" w:line="480" w:lineRule="auto"/>
        <w:ind w:left="0" w:leftChars="0" w:firstLine="0" w:firstLineChars="0"/>
        <w:jc w:val="center"/>
      </w:pPr>
      <w:bookmarkStart w:id="22" w:name="_Toc218867744"/>
      <w:bookmarkStart w:id="23" w:name="_Toc227770764"/>
      <w:bookmarkStart w:id="24" w:name="OLE_LINK26"/>
      <w:bookmarkStart w:id="25" w:name="OLE_LINK25"/>
      <w:r>
        <w:rPr>
          <w:rFonts w:hint="eastAsia"/>
        </w:rPr>
        <w:t>第二章   总体要求</w:t>
      </w:r>
      <w:bookmarkEnd w:id="22"/>
      <w:bookmarkEnd w:id="23"/>
    </w:p>
    <w:p w14:paraId="2A26B9E7">
      <w:pPr>
        <w:pStyle w:val="4"/>
        <w:spacing w:line="700" w:lineRule="exact"/>
        <w:ind w:firstLine="643"/>
        <w:jc w:val="center"/>
      </w:pPr>
      <w:bookmarkStart w:id="26" w:name="_Toc227770765"/>
      <w:bookmarkStart w:id="27" w:name="_Toc218867745"/>
      <w:bookmarkStart w:id="28" w:name="OLE_LINK19"/>
      <w:bookmarkStart w:id="29" w:name="OLE_LINK20"/>
      <w:r>
        <w:rPr>
          <w:rFonts w:hint="eastAsia"/>
        </w:rPr>
        <w:t>第一节 指导思想</w:t>
      </w:r>
      <w:bookmarkEnd w:id="26"/>
      <w:bookmarkEnd w:id="27"/>
    </w:p>
    <w:p w14:paraId="65287F27">
      <w:pPr>
        <w:pStyle w:val="78"/>
        <w:ind w:firstLine="640"/>
      </w:pPr>
      <w:r>
        <w:rPr>
          <w:rFonts w:hint="eastAsia"/>
        </w:rPr>
        <w:t>坚持以习近平新时代中国特色社会主义思想特别是习近平生态文明思想为指导，全面贯彻</w:t>
      </w:r>
      <w:r>
        <w:rPr>
          <w:rFonts w:hint="eastAsia"/>
          <w:lang w:eastAsia="zh-CN"/>
        </w:rPr>
        <w:t>党的二十大和二十届历次全会精神</w:t>
      </w:r>
      <w:r>
        <w:rPr>
          <w:rFonts w:hint="eastAsia"/>
        </w:rPr>
        <w:t>，深入落实习近平总书记关于新疆工作的重要讲话和指示批示精神，按照自治区党委部署要求，完整准确全面贯彻新时代党的治疆方略，聚焦社会稳定和长治久安总目标，围绕铸牢中华民族共同体意识主线，深入践行“绿水青山就是金山银山”理念，锚定“五大战略定位”，坚决扛起“在新疆高质量发展中挑大梁”的责任使命，立足新发展阶段，贯彻新发展理念，服务和融入新发展格局。以推动高质量发展、满足人民美好生活需要为根本目的，以改善生态环境质量为核心，协同推进降碳、减污、扩绿、增长，统筹产业结构调整、污染治理、生态保护和气候变化应对。全面贯彻落实“美丽中国建设取得新的重大进展”的顶层目标导向，全面实施碳排放总量和强度双控制度，以碳达峰碳中和目标倒逼产业结构、能源结构、交通运输结构系统性升级，持续深化污染防治，提升生态系统功能，积极稳妥推进碳达峰碳中和，为确保如期实现碳达峰贡献力量。将生态安全全面纳入总体国家安全观，筑牢生态安全屏障，强化关键领域和重点区域的支撑作用，加快经济社会发展全面绿色转型。坚持立足当前、着眼长远，突出问题导向与目标导向，科学设定目标任务，努力打造美丽新疆的昌吉典范，为建设和谐安康、富饶秀美、宜居宜业、文明进步的美丽昌吉奠定坚实生态基础。</w:t>
      </w:r>
    </w:p>
    <w:bookmarkEnd w:id="28"/>
    <w:bookmarkEnd w:id="29"/>
    <w:p w14:paraId="0F15EFFC">
      <w:pPr>
        <w:pStyle w:val="4"/>
        <w:spacing w:line="700" w:lineRule="exact"/>
        <w:ind w:firstLine="643"/>
        <w:jc w:val="center"/>
      </w:pPr>
      <w:bookmarkStart w:id="30" w:name="_Toc218867746"/>
      <w:bookmarkStart w:id="31" w:name="_Toc227770766"/>
      <w:bookmarkStart w:id="32" w:name="OLE_LINK23"/>
      <w:bookmarkStart w:id="33" w:name="OLE_LINK22"/>
      <w:r>
        <w:rPr>
          <w:rFonts w:hint="eastAsia"/>
        </w:rPr>
        <w:t xml:space="preserve">第二节 </w:t>
      </w:r>
      <w:r>
        <w:t>主要原则</w:t>
      </w:r>
      <w:bookmarkEnd w:id="30"/>
      <w:bookmarkEnd w:id="31"/>
    </w:p>
    <w:p w14:paraId="166AD4AB">
      <w:pPr>
        <w:pStyle w:val="78"/>
        <w:ind w:firstLine="643"/>
        <w:rPr>
          <w:rFonts w:ascii="仿宋_GB2312"/>
        </w:rPr>
      </w:pPr>
      <w:r>
        <w:rPr>
          <w:rFonts w:hint="eastAsia" w:ascii="仿宋_GB2312"/>
          <w:b/>
        </w:rPr>
        <w:t>坚持党的全面领导。</w:t>
      </w:r>
      <w:r>
        <w:rPr>
          <w:rFonts w:hint="eastAsia" w:ascii="仿宋_GB2312"/>
        </w:rPr>
        <w:t>坚决维护党中央权威和集中统一领导，充分发挥党总揽全局、协调各方的领导核心作用，将党的领导贯穿于生态文明建设和生态环境保护的全过程、各方面。确保党中央、自治区党委关于美丽中国、美丽新疆建设的决策部署在昌吉州落地生根、取得实效，以美丽昌吉建设为引领，筑牢高质量发展的生态根基。</w:t>
      </w:r>
    </w:p>
    <w:p w14:paraId="3A3AD3A2">
      <w:pPr>
        <w:pStyle w:val="78"/>
        <w:ind w:firstLine="643"/>
        <w:rPr>
          <w:rFonts w:ascii="仿宋_GB2312"/>
        </w:rPr>
      </w:pPr>
      <w:r>
        <w:rPr>
          <w:rFonts w:hint="eastAsia" w:ascii="仿宋_GB2312"/>
          <w:b/>
        </w:rPr>
        <w:t>坚持环保为民、人民至上。</w:t>
      </w:r>
      <w:r>
        <w:rPr>
          <w:rFonts w:hint="eastAsia" w:ascii="仿宋_GB2312"/>
        </w:rPr>
        <w:t>积极回应人民群众对优美生态环境的新期待，将改善生态环境质量作为民生优先领域。着力解决群众身边的突出生态环境问题，加快补齐城乡环境基础设施短板，有效治理影响群众生态获得感的难点、堵点问题，让绿色发展和生态保护成果更多更公平惠及全州各族群众，实现生态惠民、生态利民、生态为民。</w:t>
      </w:r>
    </w:p>
    <w:p w14:paraId="6449FC30">
      <w:pPr>
        <w:pStyle w:val="78"/>
        <w:ind w:firstLine="643"/>
        <w:rPr>
          <w:rFonts w:ascii="仿宋_GB2312"/>
        </w:rPr>
      </w:pPr>
      <w:r>
        <w:rPr>
          <w:rFonts w:hint="eastAsia" w:ascii="仿宋_GB2312"/>
          <w:b/>
        </w:rPr>
        <w:t>坚持生态优先、绿色发展。</w:t>
      </w:r>
      <w:r>
        <w:rPr>
          <w:rFonts w:hint="eastAsia" w:ascii="仿宋_GB2312"/>
        </w:rPr>
        <w:t>牢固树立和践行“绿水青山就是金山银山”理念，以生态环境高水平保护推动经济高质量发展。以碳达峰碳中和目标为引领，协同推进</w:t>
      </w:r>
      <w:r>
        <w:rPr>
          <w:rFonts w:hint="eastAsia" w:ascii="仿宋_GB2312"/>
          <w:lang w:eastAsia="zh-CN"/>
        </w:rPr>
        <w:t>降碳、减污、扩绿、增长</w:t>
      </w:r>
      <w:r>
        <w:rPr>
          <w:rFonts w:hint="eastAsia" w:ascii="仿宋_GB2312"/>
        </w:rPr>
        <w:t>，因地制宜发展新质生产力，加快构建具有昌吉特色的绿色低碳现代化产业体系。推动经济社会发展全面绿色转型，实现经济效益、社会效益和生态效益的有机统一。</w:t>
      </w:r>
    </w:p>
    <w:p w14:paraId="75261027">
      <w:pPr>
        <w:pStyle w:val="78"/>
        <w:ind w:firstLine="643"/>
        <w:rPr>
          <w:rFonts w:ascii="仿宋_GB2312"/>
        </w:rPr>
      </w:pPr>
      <w:r>
        <w:rPr>
          <w:rFonts w:hint="eastAsia" w:ascii="仿宋_GB2312"/>
          <w:b/>
        </w:rPr>
        <w:t>坚持系统治理、统筹发展与安全。</w:t>
      </w:r>
      <w:r>
        <w:rPr>
          <w:rFonts w:hint="eastAsia" w:ascii="仿宋_GB2312"/>
        </w:rPr>
        <w:t>牢牢扭住社会稳定和长治久安总目标，将生态环境保护置于统筹发展和安全大局中谋划。强化山水林田湖草沙一体化保护和系统治理，注重源头防控、过程严管、末端治理。有效防范和化解生态环境领域风险隐患，坚决守牢生态安全、环境健康底线，以高水平生态环境保护支撑高质量发展，以高质量发展保障高水平安全，增强经济社会发展的韧性和可持续性。</w:t>
      </w:r>
    </w:p>
    <w:p w14:paraId="4AFFC988">
      <w:pPr>
        <w:pStyle w:val="78"/>
        <w:ind w:firstLine="643"/>
        <w:rPr>
          <w:rFonts w:ascii="仿宋_GB2312"/>
        </w:rPr>
      </w:pPr>
      <w:r>
        <w:rPr>
          <w:rFonts w:hint="eastAsia" w:ascii="仿宋_GB2312"/>
          <w:b/>
        </w:rPr>
        <w:t>坚持改革创新、激发活力。</w:t>
      </w:r>
      <w:r>
        <w:rPr>
          <w:rFonts w:hint="eastAsia" w:ascii="仿宋_GB2312"/>
        </w:rPr>
        <w:t>聚焦制约美丽昌吉建设的体制机制障碍，全面深化生态文明体制改革。充分发挥市场在资源配置中的决定性作用和更好发挥政府作用，打造市场化、法治化、国际化营商环境。强化技术创新与政策激励，推动有效市场和有为政府更好结合，激发全社会参与生态环境保护的积极性和创造力，全面提升生态环境治理体系和治理能力现代化水平。</w:t>
      </w:r>
    </w:p>
    <w:p w14:paraId="2E429B59">
      <w:pPr>
        <w:pStyle w:val="78"/>
        <w:ind w:firstLine="643"/>
        <w:rPr>
          <w:rFonts w:ascii="仿宋_GB2312"/>
        </w:rPr>
      </w:pPr>
      <w:r>
        <w:rPr>
          <w:rFonts w:hint="eastAsia" w:ascii="仿宋_GB2312"/>
          <w:b/>
        </w:rPr>
        <w:t>坚持兵地融合、协同共建。</w:t>
      </w:r>
      <w:r>
        <w:rPr>
          <w:rFonts w:hint="eastAsia" w:ascii="仿宋_GB2312"/>
        </w:rPr>
        <w:t>牢固树立兵地“一盘棋”“一家人”思想，将兵地生态环境共保共治纳入全州生态环境保护整体布局。推动兵地在生态环境规划、监测、执法、应急及污染治理、生态修复等方面深度协作，实现设施共建、资源共享、责任共担、成果共享，共同筑牢区域生态安全屏障。</w:t>
      </w:r>
    </w:p>
    <w:p w14:paraId="78BD9296">
      <w:pPr>
        <w:pStyle w:val="4"/>
        <w:spacing w:line="700" w:lineRule="exact"/>
        <w:ind w:firstLine="643"/>
        <w:jc w:val="center"/>
      </w:pPr>
      <w:bookmarkStart w:id="34" w:name="_Toc227770767"/>
      <w:bookmarkStart w:id="35" w:name="OLE_LINK31"/>
      <w:bookmarkStart w:id="36" w:name="OLE_LINK30"/>
      <w:r>
        <w:rPr>
          <w:rFonts w:hint="eastAsia"/>
        </w:rPr>
        <w:t>第三节</w:t>
      </w:r>
      <w:r>
        <w:rPr>
          <w:rFonts w:hint="eastAsia"/>
          <w:lang w:val="en-US" w:eastAsia="zh-CN"/>
        </w:rPr>
        <w:t xml:space="preserve"> </w:t>
      </w:r>
      <w:r>
        <w:rPr>
          <w:rFonts w:hint="eastAsia"/>
        </w:rPr>
        <w:t>规划</w:t>
      </w:r>
      <w:r>
        <w:t>指引</w:t>
      </w:r>
      <w:bookmarkEnd w:id="34"/>
    </w:p>
    <w:p w14:paraId="78F45B9B">
      <w:pPr>
        <w:pStyle w:val="78"/>
        <w:ind w:firstLine="640"/>
        <w:rPr>
          <w:rFonts w:ascii="仿宋_GB2312"/>
        </w:rPr>
      </w:pPr>
      <w:r>
        <w:rPr>
          <w:rFonts w:hint="eastAsia" w:ascii="仿宋_GB2312"/>
        </w:rPr>
        <w:t>立足昌吉州区域资源禀赋、环境承载能力和产业发展基础，紧紧围绕构建区域协调发展新格局的战略要求，坚持生态优先、绿色发展导向，落实国家产业政策与环保要求，科学引导生产力布局。以推动重点行业向环境容量充足、市场条件优越的区域有序集聚为路径，着力构建以准东经济技术开发区为战略引擎、以“一市两区”为创新高地、东西两翼协同共进的生态环境保护与绿色发展新格局，为打造新疆工业高质量发展样板区、在新疆高质量发展中挑大梁提供坚实的生态支撑和空间保障。</w:t>
      </w:r>
    </w:p>
    <w:p w14:paraId="23FA9A64">
      <w:pPr>
        <w:pStyle w:val="78"/>
        <w:ind w:firstLine="643"/>
        <w:rPr>
          <w:rFonts w:ascii="仿宋_GB2312"/>
        </w:rPr>
      </w:pPr>
      <w:bookmarkStart w:id="37" w:name="OLE_LINK32"/>
      <w:bookmarkStart w:id="38" w:name="OLE_LINK33"/>
      <w:r>
        <w:rPr>
          <w:rFonts w:hint="eastAsia" w:ascii="仿宋_GB2312"/>
          <w:b/>
        </w:rPr>
        <w:t>总体定位：</w:t>
      </w:r>
      <w:bookmarkEnd w:id="37"/>
      <w:bookmarkEnd w:id="38"/>
      <w:r>
        <w:rPr>
          <w:rFonts w:hint="eastAsia" w:ascii="仿宋_GB2312"/>
        </w:rPr>
        <w:t>围绕在新疆高质量发展中“挑大梁”的使命，锚定“五大战略定位”，聚力“五区一示范”目标，将昌吉州建设成为现代美好家园，在“美丽新疆”建设中担当绿色崛起标杆、生态治理典范，成为展现治疆方略成功实践、中华民族共同体建设成效、高质量发展与高水平安全互动的典范区域。</w:t>
      </w:r>
    </w:p>
    <w:p w14:paraId="5237A7EA">
      <w:pPr>
        <w:pStyle w:val="78"/>
        <w:ind w:firstLine="643"/>
        <w:rPr>
          <w:rFonts w:ascii="仿宋_GB2312"/>
        </w:rPr>
      </w:pPr>
      <w:r>
        <w:rPr>
          <w:rFonts w:hint="eastAsia" w:ascii="仿宋_GB2312"/>
          <w:b/>
        </w:rPr>
        <w:t>西片区</w:t>
      </w:r>
      <w:r>
        <w:rPr>
          <w:rFonts w:hint="eastAsia" w:ascii="仿宋_GB2312"/>
        </w:rPr>
        <w:t>（涵盖天山北坡城市群中的昌吉市、阜康市、呼图壁县、玛纳斯县及昌吉国家高新技术产业开发区、昌吉国家农业科技园区）</w:t>
      </w:r>
      <w:r>
        <w:rPr>
          <w:rFonts w:hint="eastAsia" w:ascii="仿宋_GB2312"/>
          <w:b/>
        </w:rPr>
        <w:t>发展定位：</w:t>
      </w:r>
      <w:r>
        <w:rPr>
          <w:rFonts w:hint="eastAsia" w:ascii="仿宋_GB2312"/>
        </w:rPr>
        <w:t>打造全州绿色转型先行区、环境品质标杆区与宜居宜业典范区。本片区是州府核心承载区与“一市两区”高地所在，聚焦提升综合服务功能与科技创新能力，生态环境工作需服务于城市能级跃升和产业优化升级，实现环境质量持续改善与经济社会高质量发展深度融合。</w:t>
      </w:r>
    </w:p>
    <w:p w14:paraId="6CFCAD90">
      <w:pPr>
        <w:pStyle w:val="78"/>
        <w:ind w:firstLine="643"/>
        <w:rPr>
          <w:rFonts w:ascii="仿宋_GB2312"/>
        </w:rPr>
      </w:pPr>
      <w:r>
        <w:rPr>
          <w:rFonts w:hint="eastAsia" w:ascii="仿宋_GB2312"/>
          <w:b/>
        </w:rPr>
        <w:t>东片区</w:t>
      </w:r>
      <w:r>
        <w:rPr>
          <w:rFonts w:hint="eastAsia" w:ascii="仿宋_GB2312"/>
        </w:rPr>
        <w:t>（吉木萨尔县、奇台县、木垒县及新疆准东经济技术开发区）</w:t>
      </w:r>
      <w:r>
        <w:rPr>
          <w:rFonts w:hint="eastAsia" w:ascii="仿宋_GB2312"/>
          <w:b/>
        </w:rPr>
        <w:t>发展定位：</w:t>
      </w:r>
      <w:r>
        <w:rPr>
          <w:rFonts w:hint="eastAsia" w:ascii="仿宋_GB2312"/>
        </w:rPr>
        <w:t>建设国家重要能源资源战略基地绿色转型核心区、全州高质量发展增长极与东部生态安全屏障区。本片区以准东经济技术开发区为强大引擎，承担着服务国家战略、集聚要素资源、引领产业集群发展的关键使命，生态环境保护需以保障高质量绿色低碳发展为核心，严格管控与优化服务并重。</w:t>
      </w:r>
    </w:p>
    <w:bookmarkEnd w:id="32"/>
    <w:bookmarkEnd w:id="33"/>
    <w:bookmarkEnd w:id="35"/>
    <w:bookmarkEnd w:id="36"/>
    <w:p w14:paraId="1ED85A1C">
      <w:pPr>
        <w:pStyle w:val="4"/>
        <w:spacing w:line="700" w:lineRule="exact"/>
        <w:ind w:firstLine="643"/>
        <w:jc w:val="center"/>
      </w:pPr>
      <w:bookmarkStart w:id="39" w:name="_Toc227770768"/>
      <w:bookmarkStart w:id="40" w:name="_Toc218867747"/>
      <w:bookmarkStart w:id="41" w:name="OLE_LINK124"/>
      <w:bookmarkStart w:id="42" w:name="OLE_LINK123"/>
      <w:r>
        <w:rPr>
          <w:rFonts w:hint="eastAsia"/>
        </w:rPr>
        <w:t>第四节</w:t>
      </w:r>
      <w:r>
        <w:rPr>
          <w:rFonts w:hint="eastAsia"/>
          <w:lang w:val="en-US" w:eastAsia="zh-CN"/>
        </w:rPr>
        <w:t xml:space="preserve"> </w:t>
      </w:r>
      <w:r>
        <w:t>目标指标</w:t>
      </w:r>
      <w:bookmarkEnd w:id="39"/>
      <w:bookmarkEnd w:id="40"/>
    </w:p>
    <w:p w14:paraId="0047551E">
      <w:pPr>
        <w:pStyle w:val="78"/>
        <w:ind w:firstLine="640"/>
        <w:rPr>
          <w:rFonts w:ascii="仿宋_GB2312"/>
        </w:rPr>
      </w:pPr>
      <w:r>
        <w:rPr>
          <w:rFonts w:hint="eastAsia" w:ascii="仿宋_GB2312"/>
        </w:rPr>
        <w:t>到2030年，昌吉州生态环境质量全面改善，绿色低碳发展深入推进，有序实现碳达峰，主要污染物排放总量持续减少，生态系统服务功能不断增强，生态安全得到有效保障，人居环境明显改善，生态环境治理体系更加健全，美丽新疆昌吉典范建设成效明显。</w:t>
      </w:r>
      <w:r>
        <w:rPr>
          <w:rFonts w:hint="eastAsia" w:ascii="仿宋_GB2312"/>
        </w:rPr>
        <w:cr/>
      </w:r>
      <w:r>
        <w:rPr>
          <w:rFonts w:hint="eastAsia" w:ascii="仿宋_GB2312"/>
        </w:rPr>
        <w:t xml:space="preserve">    </w:t>
      </w:r>
      <w:bookmarkStart w:id="43" w:name="OLE_LINK100"/>
      <w:bookmarkStart w:id="44" w:name="OLE_LINK101"/>
      <w:r>
        <w:rPr>
          <w:rFonts w:hint="eastAsia" w:ascii="仿宋_GB2312"/>
          <w:b/>
        </w:rPr>
        <w:t>生态环境质量方面</w:t>
      </w:r>
      <w:r>
        <w:rPr>
          <w:rFonts w:hint="eastAsia" w:ascii="仿宋_GB2312"/>
        </w:rPr>
        <w:t>，环境质量稳定向好，细颗粒物（PM</w:t>
      </w:r>
      <w:r>
        <w:rPr>
          <w:rFonts w:hint="eastAsia" w:ascii="仿宋_GB2312"/>
          <w:vertAlign w:val="subscript"/>
        </w:rPr>
        <w:t>2.5</w:t>
      </w:r>
      <w:r>
        <w:rPr>
          <w:rFonts w:hint="eastAsia" w:ascii="仿宋_GB2312"/>
        </w:rPr>
        <w:t>）年均浓度持续降低。水环境质量保持稳定，优良水体比例</w:t>
      </w:r>
      <w:bookmarkStart w:id="45" w:name="OLE_LINK127"/>
      <w:r>
        <w:rPr>
          <w:rFonts w:hint="eastAsia" w:ascii="仿宋_GB2312"/>
        </w:rPr>
        <w:t>达到上级下达的控制指标要求</w:t>
      </w:r>
      <w:bookmarkEnd w:id="45"/>
      <w:r>
        <w:rPr>
          <w:rFonts w:hint="eastAsia" w:ascii="仿宋_GB2312"/>
        </w:rPr>
        <w:t>，地下水国控点位环境质量稳中向好。</w:t>
      </w:r>
      <w:r>
        <w:rPr>
          <w:rFonts w:ascii="仿宋_GB2312"/>
        </w:rPr>
        <w:t>重点建设用地安全利用得到有效保障。</w:t>
      </w:r>
      <w:r>
        <w:rPr>
          <w:rFonts w:hint="eastAsia" w:ascii="仿宋_GB2312"/>
        </w:rPr>
        <w:t>“无废城市”</w:t>
      </w:r>
      <w:r>
        <w:rPr>
          <w:rFonts w:ascii="仿宋_GB2312"/>
        </w:rPr>
        <w:t>建设成效进一步巩固。</w:t>
      </w:r>
      <w:r>
        <w:rPr>
          <w:rFonts w:hint="eastAsia" w:ascii="仿宋_GB2312"/>
        </w:rPr>
        <w:t>新污染物治理能力显著提升，重点管控新污染物环境风险得到有效防控。</w:t>
      </w:r>
    </w:p>
    <w:bookmarkEnd w:id="43"/>
    <w:bookmarkEnd w:id="44"/>
    <w:p w14:paraId="140FBC35">
      <w:pPr>
        <w:pStyle w:val="2"/>
        <w:ind w:leftChars="-54" w:firstLine="643" w:firstLineChars="200"/>
        <w:jc w:val="left"/>
        <w:rPr>
          <w:rFonts w:ascii="仿宋_GB2312" w:hAnsi="Times New Roman" w:eastAsia="仿宋_GB2312" w:cs="Times New Roman"/>
          <w:kern w:val="2"/>
          <w:sz w:val="32"/>
          <w:szCs w:val="28"/>
        </w:rPr>
      </w:pPr>
      <w:r>
        <w:rPr>
          <w:rFonts w:hint="eastAsia" w:ascii="仿宋_GB2312" w:hAnsi="Times New Roman" w:eastAsia="仿宋_GB2312" w:cs="Times New Roman"/>
          <w:b/>
          <w:kern w:val="2"/>
          <w:sz w:val="32"/>
          <w:szCs w:val="28"/>
        </w:rPr>
        <w:t>绿色低碳发展方面</w:t>
      </w:r>
      <w:r>
        <w:rPr>
          <w:rFonts w:hint="eastAsia" w:ascii="仿宋_GB2312" w:hAnsi="Times New Roman" w:eastAsia="仿宋_GB2312" w:cs="Times New Roman"/>
          <w:kern w:val="2"/>
          <w:sz w:val="32"/>
          <w:szCs w:val="28"/>
        </w:rPr>
        <w:t>，持续深化经济社会发展绿色转型，全面实施碳排放总量和强度双控制度，落实主要污染物减排、单位地区生产总值二氧化碳排放降低等自治区考核要求，</w:t>
      </w:r>
      <w:r>
        <w:rPr>
          <w:rFonts w:ascii="仿宋_GB2312" w:hAnsi="Times New Roman" w:eastAsia="仿宋_GB2312" w:cs="Times New Roman"/>
          <w:kern w:val="2"/>
          <w:sz w:val="32"/>
          <w:szCs w:val="28"/>
        </w:rPr>
        <w:t>非化石能源占一次能源消费比例稳步提升。</w:t>
      </w:r>
      <w:r>
        <w:rPr>
          <w:rFonts w:hint="eastAsia" w:ascii="仿宋_GB2312" w:hAnsi="Times New Roman" w:eastAsia="仿宋_GB2312" w:cs="Times New Roman"/>
          <w:kern w:val="2"/>
          <w:sz w:val="32"/>
          <w:szCs w:val="28"/>
        </w:rPr>
        <w:t>能源结构、产业结构、交通运输结构绿色低碳转型取得显著进展。</w:t>
      </w:r>
    </w:p>
    <w:p w14:paraId="6593F5A3">
      <w:pPr>
        <w:pStyle w:val="2"/>
        <w:ind w:leftChars="-54" w:firstLine="643" w:firstLineChars="200"/>
        <w:jc w:val="left"/>
        <w:rPr>
          <w:rFonts w:ascii="仿宋_GB2312" w:hAnsi="Times New Roman" w:eastAsia="仿宋_GB2312" w:cs="Times New Roman"/>
          <w:kern w:val="2"/>
          <w:sz w:val="32"/>
          <w:szCs w:val="28"/>
        </w:rPr>
      </w:pPr>
      <w:r>
        <w:rPr>
          <w:rFonts w:hint="eastAsia" w:ascii="仿宋_GB2312" w:hAnsi="Times New Roman" w:eastAsia="仿宋_GB2312" w:cs="Times New Roman"/>
          <w:b/>
          <w:kern w:val="2"/>
          <w:sz w:val="32"/>
          <w:szCs w:val="28"/>
        </w:rPr>
        <w:t>生态系统服务功能方面</w:t>
      </w:r>
      <w:r>
        <w:rPr>
          <w:rFonts w:hint="eastAsia" w:ascii="仿宋_GB2312" w:hAnsi="Times New Roman" w:eastAsia="仿宋_GB2312" w:cs="Times New Roman"/>
          <w:kern w:val="2"/>
          <w:sz w:val="32"/>
          <w:szCs w:val="28"/>
        </w:rPr>
        <w:t>，进一步优化生态空间布局，稳步提高森林覆盖率。推动生态质量指数稳中向好，增强生态系统服务功能。山水林田湖草沙一体化保护和系统治理取得实质成效。加快推进美丽河湖建设，显著提升美丽河湖建成率。深入开展美丽乡村整县建设，持续改善人居环境。生态产品价值实现机制初步建立。</w:t>
      </w:r>
    </w:p>
    <w:p w14:paraId="346E4353">
      <w:pPr>
        <w:pStyle w:val="2"/>
        <w:ind w:leftChars="-54" w:firstLine="643" w:firstLineChars="200"/>
        <w:jc w:val="left"/>
        <w:rPr>
          <w:rFonts w:hint="eastAsia" w:ascii="仿宋_GB2312" w:hAnsi="Times New Roman" w:eastAsia="仿宋_GB2312" w:cs="Times New Roman"/>
          <w:kern w:val="2"/>
          <w:sz w:val="32"/>
          <w:szCs w:val="28"/>
          <w:lang w:eastAsia="zh-CN"/>
        </w:rPr>
        <w:sectPr>
          <w:pgSz w:w="11906" w:h="16838"/>
          <w:pgMar w:top="1440" w:right="1800" w:bottom="1440" w:left="1800" w:header="1077" w:footer="992" w:gutter="0"/>
          <w:pgNumType w:fmt="numberInDash"/>
          <w:cols w:space="425" w:num="1"/>
          <w:docGrid w:type="lines" w:linePitch="312" w:charSpace="0"/>
        </w:sectPr>
      </w:pPr>
      <w:r>
        <w:rPr>
          <w:rFonts w:hint="eastAsia" w:ascii="仿宋_GB2312" w:hAnsi="Times New Roman" w:eastAsia="仿宋_GB2312" w:cs="Times New Roman"/>
          <w:b/>
          <w:kern w:val="2"/>
          <w:sz w:val="32"/>
          <w:szCs w:val="28"/>
        </w:rPr>
        <w:t>生态环境治理方面</w:t>
      </w:r>
      <w:r>
        <w:rPr>
          <w:rFonts w:hint="eastAsia" w:ascii="仿宋_GB2312" w:hAnsi="Times New Roman" w:eastAsia="仿宋_GB2312" w:cs="Times New Roman"/>
          <w:kern w:val="2"/>
          <w:sz w:val="32"/>
          <w:szCs w:val="28"/>
        </w:rPr>
        <w:t>，持续提升环境治理体系和治理能力现代化水平，不断完善生态环境基础设施。规范固体废物全过程管控。减污降碳协同增效、多污染物协同控制、环境治理与生态修复协同推进的治理体系更加健全。</w:t>
      </w:r>
      <w:r>
        <w:rPr>
          <w:rFonts w:ascii="仿宋_GB2312" w:hAnsi="Times New Roman" w:eastAsia="仿宋_GB2312" w:cs="Times New Roman"/>
          <w:kern w:val="2"/>
          <w:sz w:val="32"/>
          <w:szCs w:val="28"/>
        </w:rPr>
        <w:t>全面提升生态环境治理效能。生态安全屏障更加牢固，生态环境风险防控能力大幅提升</w:t>
      </w:r>
      <w:bookmarkEnd w:id="24"/>
      <w:bookmarkEnd w:id="25"/>
      <w:r>
        <w:rPr>
          <w:rFonts w:hint="eastAsia" w:ascii="仿宋_GB2312" w:hAnsi="Times New Roman" w:eastAsia="仿宋_GB2312" w:cs="Times New Roman"/>
          <w:kern w:val="2"/>
          <w:sz w:val="32"/>
          <w:szCs w:val="28"/>
          <w:lang w:eastAsia="zh-CN"/>
        </w:rPr>
        <w:t>。</w:t>
      </w:r>
    </w:p>
    <w:bookmarkEnd w:id="41"/>
    <w:bookmarkEnd w:id="42"/>
    <w:p w14:paraId="1500E690">
      <w:pPr>
        <w:pStyle w:val="3"/>
        <w:spacing w:after="100" w:afterAutospacing="1" w:line="480" w:lineRule="auto"/>
        <w:ind w:firstLine="0" w:firstLineChars="0"/>
        <w:jc w:val="center"/>
      </w:pPr>
      <w:bookmarkStart w:id="46" w:name="_Toc218867768"/>
      <w:bookmarkStart w:id="47" w:name="_Toc227770769"/>
      <w:bookmarkStart w:id="48" w:name="OLE_LINK107"/>
      <w:bookmarkStart w:id="49" w:name="OLE_LINK108"/>
      <w:r>
        <w:rPr>
          <w:rFonts w:hint="eastAsia"/>
        </w:rPr>
        <w:t>第三章  推动“美丽昌吉”建设，打造美丽新疆昌吉样板</w:t>
      </w:r>
      <w:bookmarkEnd w:id="46"/>
      <w:bookmarkEnd w:id="47"/>
    </w:p>
    <w:p w14:paraId="687144E9">
      <w:pPr>
        <w:pStyle w:val="78"/>
        <w:ind w:firstLine="640"/>
      </w:pPr>
      <w:bookmarkStart w:id="50" w:name="_Toc218867769"/>
      <w:r>
        <w:rPr>
          <w:rFonts w:hint="eastAsia"/>
        </w:rPr>
        <w:t>“美丽昌吉”建设是落实“美丽中国”战略的地方实践。</w:t>
      </w:r>
      <w:r>
        <w:t>以建设人与自然和谐共生的现代化美好家园为总目标，推进美丽蓝天、美丽河湖、美丽城市、美丽乡村4大</w:t>
      </w:r>
      <w:r>
        <w:rPr>
          <w:rFonts w:hint="eastAsia" w:ascii="仿宋_GB2312"/>
        </w:rPr>
        <w:t>“美丽系列”</w:t>
      </w:r>
      <w:r>
        <w:t>建设，形成可复制、可推广的</w:t>
      </w:r>
      <w:r>
        <w:rPr>
          <w:rFonts w:hint="eastAsia" w:ascii="仿宋_GB2312"/>
        </w:rPr>
        <w:t>“昌吉模式”</w:t>
      </w:r>
      <w:r>
        <w:t>。</w:t>
      </w:r>
    </w:p>
    <w:p w14:paraId="0BF618DE">
      <w:pPr>
        <w:pStyle w:val="4"/>
        <w:spacing w:line="700" w:lineRule="exact"/>
        <w:ind w:firstLine="643"/>
        <w:jc w:val="center"/>
      </w:pPr>
      <w:bookmarkStart w:id="51" w:name="_Toc227770770"/>
      <w:r>
        <w:rPr>
          <w:rFonts w:hint="eastAsia"/>
        </w:rPr>
        <w:t>第一节 强化区域协同，构建绿色发展新格局</w:t>
      </w:r>
      <w:bookmarkEnd w:id="50"/>
      <w:bookmarkEnd w:id="51"/>
    </w:p>
    <w:p w14:paraId="3604122E">
      <w:pPr>
        <w:pStyle w:val="78"/>
        <w:ind w:firstLine="640"/>
      </w:pPr>
      <w:r>
        <w:rPr>
          <w:rFonts w:hint="eastAsia"/>
        </w:rPr>
        <w:t>立足昌吉州区域特点与发展定位，全面对接并深度融入区域重大战略。西片区积极承接乌鲁木齐都市圈辐射效应，推动基础设施互联互通与产业协同发展；东片区三县市强化与准东经济技术开发区的融合发展，优化资源配置，共筑区域生态安全屏障。深入实施主体功能区战略，促进各县市特色化、差异化发展，深化兵地融合，协同推进天山北坡经济带绿色低碳转型与高质量发展。重点支持木垒县创建“国家生态文明建设示范县”，推动阜康市天山天池、奇台江布拉克争创国家级“绿水青山就是金山银山”实践创新基地，树立区域生态文明建设标杆。</w:t>
      </w:r>
    </w:p>
    <w:p w14:paraId="145131D6">
      <w:pPr>
        <w:pStyle w:val="4"/>
        <w:spacing w:line="700" w:lineRule="exact"/>
        <w:ind w:firstLine="643"/>
        <w:jc w:val="center"/>
      </w:pPr>
      <w:bookmarkStart w:id="52" w:name="_Toc227770771"/>
      <w:r>
        <w:rPr>
          <w:rFonts w:hint="eastAsia"/>
        </w:rPr>
        <w:t xml:space="preserve">第二节 </w:t>
      </w:r>
      <w:r>
        <w:t>推进美丽蓝天建设，持续深入打好蓝天保卫战</w:t>
      </w:r>
      <w:bookmarkEnd w:id="52"/>
    </w:p>
    <w:p w14:paraId="5795CA17">
      <w:pPr>
        <w:pStyle w:val="78"/>
        <w:ind w:firstLine="640"/>
        <w:rPr>
          <w:rFonts w:ascii="仿宋_GB2312"/>
        </w:rPr>
      </w:pPr>
      <w:bookmarkStart w:id="53" w:name="OLE_LINK77"/>
      <w:bookmarkStart w:id="54" w:name="OLE_LINK166"/>
      <w:r>
        <w:rPr>
          <w:rFonts w:hint="eastAsia"/>
        </w:rPr>
        <w:t>以实现全州空气质量全面改善为核心，</w:t>
      </w:r>
      <w:r>
        <w:t>持续推动产业、能源、交通三大结构绿色低碳转型，从源头</w:t>
      </w:r>
      <w:r>
        <w:rPr>
          <w:rFonts w:hint="eastAsia"/>
        </w:rPr>
        <w:t>削减</w:t>
      </w:r>
      <w:r>
        <w:t>污染物排放。深化重点行业污染深度治理，推进多污染物协同控制，全面提升工业污染治理水平。强化挥发性有机物（VOCs）全过程综合整治，实现细颗粒物和臭氧协同控制。</w:t>
      </w:r>
      <w:r>
        <w:rPr>
          <w:rFonts w:hint="eastAsia"/>
        </w:rPr>
        <w:t>落实自治区关于“乌</w:t>
      </w:r>
      <w:r>
        <w:t>-昌-石”区域大气污染联防联控工作的统一部署，强化与区域内其他地州市及兵团的协同配合，统一标准、统一监测、统一治理、统一应急，提升区域协同治理效能</w:t>
      </w:r>
      <w:r>
        <w:rPr>
          <w:rFonts w:hint="eastAsia"/>
        </w:rPr>
        <w:t>，重点推进“五家渠-米东区-甘泉堡-阜康”协同治理，建立污染物排放数据共享、预测预警联动、应急响应协同机制。完善重污染天气应急减排清单，推动应急减排措施纳入排污许可管理。鼓励重点行业企业冬季错峰生产，将产能科学调配至其他季节。</w:t>
      </w:r>
      <w:r>
        <w:t>优化重污染天气应急响应体系，强化预测预报和应急减排措施精准落实</w:t>
      </w:r>
      <w:r>
        <w:rPr>
          <w:rFonts w:hint="eastAsia"/>
        </w:rPr>
        <w:t>，</w:t>
      </w:r>
      <w:r>
        <w:t>有效削减污染峰值。运用大数据、人工智能等先进技术，</w:t>
      </w:r>
      <w:r>
        <w:rPr>
          <w:rFonts w:hint="eastAsia" w:ascii="仿宋_GB2312"/>
        </w:rPr>
        <w:t>构建“天空地”一体化大气环境智慧监测网络，提升污染溯源、预测预警和精准管控水平。加强施工扬尘、道路扬尘、秸秆焚烧、餐饮油烟等面源污染精细化管控。</w:t>
      </w:r>
    </w:p>
    <w:bookmarkEnd w:id="53"/>
    <w:bookmarkEnd w:id="54"/>
    <w:p w14:paraId="7A30D7B3">
      <w:pPr>
        <w:pStyle w:val="4"/>
        <w:spacing w:line="700" w:lineRule="exact"/>
        <w:ind w:firstLine="643"/>
        <w:jc w:val="center"/>
      </w:pPr>
      <w:bookmarkStart w:id="55" w:name="_Toc227770772"/>
      <w:r>
        <w:rPr>
          <w:rFonts w:hint="eastAsia"/>
        </w:rPr>
        <w:t>第三节 推进美丽河湖建设，持续深入打好碧水保卫战</w:t>
      </w:r>
      <w:bookmarkEnd w:id="55"/>
    </w:p>
    <w:p w14:paraId="170CFE1F">
      <w:pPr>
        <w:pStyle w:val="78"/>
        <w:ind w:firstLine="640"/>
      </w:pPr>
      <w:bookmarkStart w:id="56" w:name="OLE_LINK167"/>
      <w:r>
        <w:rPr>
          <w:rFonts w:hint="eastAsia"/>
        </w:rPr>
        <w:t>全面推进美丽河湖保护与建设。以改善水生态环境质量为核心，统筹水资源、水环境、水生态治理，坚持三水统筹、协同联动、因地制宜、示范引领。</w:t>
      </w:r>
      <w:r>
        <w:t>重点推进头屯河、玛纳斯河、天池湖等率先建成自治区级美丽河湖，争创国家级优秀案例。强化河湖生态流量保障，分区分类实施水生态保护修复，加强湖库富营养化防控，系统提升河湖生态系统健康水平。深化入河排污口监管与流域协同治理，持续巩固地表水水质优良比例，满足人民群众亲水需求，</w:t>
      </w:r>
      <w:r>
        <w:rPr>
          <w:rFonts w:hint="eastAsia" w:ascii="仿宋_GB2312"/>
        </w:rPr>
        <w:t>打造“水清岸绿、鱼翔浅底、人水和谐”的美丽河湖典范。</w:t>
      </w:r>
      <w:r>
        <w:t>充分发挥河</w:t>
      </w:r>
      <w:r>
        <w:rPr>
          <w:rFonts w:hint="eastAsia"/>
        </w:rPr>
        <w:t>湖长制作用，健全长效管护机制，营造共建共享良好氛围。</w:t>
      </w:r>
    </w:p>
    <w:bookmarkEnd w:id="56"/>
    <w:p w14:paraId="6D0911D7">
      <w:pPr>
        <w:pStyle w:val="4"/>
        <w:spacing w:line="700" w:lineRule="exact"/>
        <w:ind w:firstLine="643"/>
        <w:jc w:val="center"/>
      </w:pPr>
      <w:bookmarkStart w:id="57" w:name="_Toc227770773"/>
      <w:bookmarkStart w:id="58" w:name="_Toc218867770"/>
      <w:r>
        <w:rPr>
          <w:rFonts w:hint="eastAsia"/>
        </w:rPr>
        <w:t>第四节 提升城市品质，建设生态宜居美丽城市</w:t>
      </w:r>
      <w:bookmarkEnd w:id="57"/>
      <w:bookmarkEnd w:id="58"/>
    </w:p>
    <w:p w14:paraId="61DC79BA">
      <w:pPr>
        <w:pStyle w:val="78"/>
        <w:ind w:firstLine="640"/>
        <w:rPr>
          <w:rFonts w:ascii="仿宋_GB2312"/>
        </w:rPr>
      </w:pPr>
      <w:bookmarkStart w:id="59" w:name="OLE_LINK169"/>
      <w:bookmarkStart w:id="60" w:name="OLE_LINK168"/>
      <w:r>
        <w:rPr>
          <w:rFonts w:hint="eastAsia"/>
        </w:rPr>
        <w:t>全面推进美丽城市建设。衔接自治区“到</w:t>
      </w:r>
      <w:r>
        <w:t>2027年美丽新疆建设成效显著、到2035年美丽新疆基本建成”的总体目标，立足昌吉州实际，</w:t>
      </w:r>
      <w:r>
        <w:rPr>
          <w:rFonts w:hint="eastAsia"/>
        </w:rPr>
        <w:t>以提升城市环境基础设施现代化水平为核心，系统推进城市更新与功能完善。依据城市体检评估结果，精准识别短板弱项，有序实施环境基础设施提标扩能改造。</w:t>
      </w:r>
      <w:r>
        <w:t>推行并深化城市生活垃圾分类试点，构建覆盖投放</w:t>
      </w:r>
      <w:r>
        <w:rPr>
          <w:rFonts w:hint="eastAsia"/>
        </w:rPr>
        <w:t>、</w:t>
      </w:r>
      <w:r>
        <w:t>收集、运输、处理全链条的垃圾分类管理体系。在昌吉市率先启动美丽城市建设综合行动，统筹推进蓝绿空间构建、污染治理、生态修复与低碳社区建设，增强城市生态服</w:t>
      </w:r>
      <w:r>
        <w:rPr>
          <w:rFonts w:hint="eastAsia"/>
        </w:rPr>
        <w:t>务功能与居民环境获得感，</w:t>
      </w:r>
      <w:r>
        <w:t>形成可复制、可推广的美丽城市建设</w:t>
      </w:r>
      <w:r>
        <w:rPr>
          <w:rFonts w:hint="eastAsia" w:ascii="仿宋_GB2312"/>
        </w:rPr>
        <w:t>“昌吉模式”，为美丽新疆建设贡献昌吉力量。</w:t>
      </w:r>
    </w:p>
    <w:bookmarkEnd w:id="59"/>
    <w:bookmarkEnd w:id="60"/>
    <w:p w14:paraId="3E66E18F">
      <w:pPr>
        <w:pStyle w:val="4"/>
        <w:spacing w:line="700" w:lineRule="exact"/>
        <w:ind w:firstLine="643"/>
        <w:jc w:val="center"/>
      </w:pPr>
      <w:bookmarkStart w:id="61" w:name="_Toc218867771"/>
      <w:bookmarkStart w:id="62" w:name="_Toc227770774"/>
      <w:r>
        <w:rPr>
          <w:rFonts w:hint="eastAsia"/>
        </w:rPr>
        <w:t>第五节 深化乡村治理，建设生态宜居美丽乡村</w:t>
      </w:r>
      <w:bookmarkEnd w:id="61"/>
      <w:bookmarkEnd w:id="62"/>
    </w:p>
    <w:p w14:paraId="0B8C83CC">
      <w:pPr>
        <w:pStyle w:val="78"/>
        <w:ind w:firstLine="640"/>
      </w:pPr>
      <w:bookmarkStart w:id="63" w:name="OLE_LINK170"/>
      <w:bookmarkStart w:id="64" w:name="OLE_LINK171"/>
      <w:r>
        <w:rPr>
          <w:rFonts w:hint="eastAsia"/>
        </w:rPr>
        <w:t>全面推进美丽乡村建设。坚持规划引领，科学编制并实施村庄规划，确保乡村建设有序推进。以农村人居环境整治提升为抓手，</w:t>
      </w:r>
      <w:r>
        <w:rPr>
          <w:rFonts w:hint="eastAsia"/>
          <w:lang w:eastAsia="zh-CN"/>
        </w:rPr>
        <w:t>分批</w:t>
      </w:r>
      <w:r>
        <w:rPr>
          <w:rFonts w:hint="eastAsia"/>
        </w:rPr>
        <w:t>推进乡镇政府驻地及中心村环境基础设施建设，重点抓好农村“厕所革命”与生活污水治理一体化衔接</w:t>
      </w:r>
      <w:r>
        <w:t>。</w:t>
      </w:r>
      <w:r>
        <w:rPr>
          <w:rFonts w:hint="eastAsia"/>
        </w:rPr>
        <w:t>在呼图壁县、木垒县等区域实施美丽乡村建设系列项目，系统开展农村生活污水治理</w:t>
      </w:r>
      <w:r>
        <w:t>、生活垃圾收运处置体系完善、村庄绿化美化、农用地安全利用、化肥</w:t>
      </w:r>
      <w:r>
        <w:rPr>
          <w:rFonts w:hint="eastAsia"/>
        </w:rPr>
        <w:t>科学</w:t>
      </w:r>
      <w:r>
        <w:t>适用、规模化畜禽养殖粪污资源化利用等工程。</w:t>
      </w:r>
      <w:r>
        <w:rPr>
          <w:rFonts w:hint="eastAsia"/>
        </w:rPr>
        <w:t>巩固提升农村清洁能源替代成果，持续开展村庄清洁与绿化美化行动。优先支持呼图壁县开展美丽乡村示范建设，发挥引领带动作用，全面提升乡村生态宜居水平。</w:t>
      </w:r>
      <w:bookmarkEnd w:id="48"/>
      <w:bookmarkEnd w:id="49"/>
      <w:bookmarkEnd w:id="63"/>
      <w:bookmarkEnd w:id="64"/>
      <w:r>
        <mc:AlternateContent>
          <mc:Choice Requires="wps">
            <w:drawing>
              <wp:anchor distT="0" distB="0" distL="114300" distR="114300" simplePos="0" relativeHeight="251663360" behindDoc="0" locked="0" layoutInCell="1" allowOverlap="1">
                <wp:simplePos x="0" y="0"/>
                <wp:positionH relativeFrom="column">
                  <wp:posOffset>-22860</wp:posOffset>
                </wp:positionH>
                <wp:positionV relativeFrom="paragraph">
                  <wp:posOffset>76200</wp:posOffset>
                </wp:positionV>
                <wp:extent cx="5399405" cy="1403985"/>
                <wp:effectExtent l="0" t="0" r="10795" b="2286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99405" cy="1403985"/>
                        </a:xfrm>
                        <a:prstGeom prst="rect">
                          <a:avLst/>
                        </a:prstGeom>
                        <a:solidFill>
                          <a:srgbClr val="FFFFFF"/>
                        </a:solidFill>
                        <a:ln w="12700">
                          <a:solidFill>
                            <a:srgbClr val="000000"/>
                          </a:solidFill>
                          <a:miter lim="800000"/>
                        </a:ln>
                      </wps:spPr>
                      <wps:txbx>
                        <w:txbxContent>
                          <w:p w14:paraId="70D9A1D4">
                            <w:pPr>
                              <w:adjustRightInd w:val="0"/>
                              <w:snapToGrid w:val="0"/>
                              <w:spacing w:line="360" w:lineRule="auto"/>
                              <w:jc w:val="center"/>
                              <w:rPr>
                                <w:rFonts w:ascii="仿宋_GB2312" w:eastAsia="仿宋_GB2312"/>
                                <w:b/>
                                <w:sz w:val="28"/>
                                <w:szCs w:val="28"/>
                              </w:rPr>
                            </w:pPr>
                            <w:bookmarkStart w:id="283" w:name="OLE_LINK136"/>
                            <w:bookmarkStart w:id="284" w:name="OLE_LINK137"/>
                            <w:bookmarkStart w:id="285" w:name="_Hlk227857299"/>
                            <w:r>
                              <w:rPr>
                                <w:rFonts w:hint="eastAsia" w:ascii="仿宋_GB2312" w:eastAsia="仿宋_GB2312"/>
                                <w:b/>
                                <w:sz w:val="28"/>
                                <w:szCs w:val="28"/>
                              </w:rPr>
                              <w:t>专栏1</w:t>
                            </w:r>
                            <w:r>
                              <w:rPr>
                                <w:rFonts w:ascii="仿宋_GB2312" w:eastAsia="仿宋_GB2312"/>
                                <w:b/>
                                <w:sz w:val="28"/>
                                <w:szCs w:val="28"/>
                              </w:rPr>
                              <w:t xml:space="preserve"> “美丽昌吉”建设示范重点工程</w:t>
                            </w:r>
                          </w:p>
                          <w:p w14:paraId="44864227">
                            <w:pPr>
                              <w:pStyle w:val="2"/>
                              <w:jc w:val="left"/>
                              <w:rPr>
                                <w:rFonts w:ascii="仿宋_GB2312" w:eastAsia="仿宋_GB2312"/>
                              </w:rPr>
                            </w:pPr>
                            <w:r>
                              <w:rPr>
                                <w:rFonts w:hint="eastAsia" w:ascii="仿宋_GB2312" w:eastAsia="仿宋_GB2312"/>
                                <w:b/>
                              </w:rPr>
                              <w:t>1</w:t>
                            </w:r>
                            <w:r>
                              <w:rPr>
                                <w:rFonts w:ascii="仿宋_GB2312" w:eastAsia="仿宋_GB2312"/>
                                <w:b/>
                              </w:rPr>
                              <w:t>.生态文明示范创建工程</w:t>
                            </w:r>
                            <w:r>
                              <w:rPr>
                                <w:rFonts w:hint="eastAsia" w:ascii="仿宋_GB2312" w:eastAsia="仿宋_GB2312"/>
                                <w:b/>
                              </w:rPr>
                              <w:t>。</w:t>
                            </w:r>
                            <w:r>
                              <w:rPr>
                                <w:rFonts w:ascii="仿宋_GB2312" w:eastAsia="仿宋_GB2312"/>
                              </w:rPr>
                              <w:t>支持木垒县创建“国家生态文明建设示范县”；推动阜康市天山天池</w:t>
                            </w:r>
                            <w:r>
                              <w:rPr>
                                <w:rFonts w:hint="eastAsia" w:ascii="仿宋_GB2312" w:eastAsia="仿宋_GB2312"/>
                              </w:rPr>
                              <w:t>、奇台江布拉克</w:t>
                            </w:r>
                            <w:r>
                              <w:rPr>
                                <w:rFonts w:ascii="仿宋_GB2312" w:eastAsia="仿宋_GB2312"/>
                              </w:rPr>
                              <w:t>争创国家级“绿水青山就是金山银山”实践创新基地。</w:t>
                            </w:r>
                          </w:p>
                          <w:p w14:paraId="2BA27E84">
                            <w:pPr>
                              <w:pStyle w:val="2"/>
                              <w:jc w:val="left"/>
                              <w:rPr>
                                <w:rFonts w:ascii="仿宋_GB2312" w:eastAsia="仿宋_GB2312"/>
                              </w:rPr>
                            </w:pPr>
                            <w:r>
                              <w:rPr>
                                <w:rFonts w:hint="eastAsia" w:ascii="仿宋_GB2312" w:eastAsia="仿宋_GB2312"/>
                                <w:b/>
                              </w:rPr>
                              <w:t>2.美丽蓝天建设工程。</w:t>
                            </w:r>
                            <w:r>
                              <w:rPr>
                                <w:rFonts w:hint="eastAsia" w:ascii="仿宋_GB2312" w:eastAsia="仿宋_GB2312"/>
                              </w:rPr>
                              <w:t>以城市为主体，以低效产能与设施淘汰退出、锅炉窑炉清洁能源替代、清洁用能基础设施建设、重点行业污染防治、移动源污染防治、面源污染防治等为重点，实施一批美丽蓝天建设工程</w:t>
                            </w:r>
                            <w:r>
                              <w:rPr>
                                <w:rFonts w:ascii="仿宋_GB2312" w:eastAsia="仿宋_GB2312"/>
                              </w:rPr>
                              <w:t>。</w:t>
                            </w:r>
                          </w:p>
                          <w:p w14:paraId="05A6F60C">
                            <w:pPr>
                              <w:pStyle w:val="2"/>
                              <w:jc w:val="left"/>
                              <w:rPr>
                                <w:rFonts w:ascii="仿宋_GB2312" w:eastAsia="仿宋_GB2312"/>
                              </w:rPr>
                            </w:pPr>
                            <w:r>
                              <w:rPr>
                                <w:rFonts w:hint="eastAsia" w:ascii="仿宋_GB2312" w:eastAsia="仿宋_GB2312"/>
                                <w:b/>
                              </w:rPr>
                              <w:t>3.美丽河湖建设工程。</w:t>
                            </w:r>
                            <w:r>
                              <w:rPr>
                                <w:rFonts w:hint="eastAsia" w:ascii="仿宋_GB2312" w:eastAsia="仿宋_GB2312"/>
                              </w:rPr>
                              <w:t>重点推进头屯河、玛纳斯河、天池湖等率先建成自治区级美丽河湖，争创国家级优秀案例；实施集中式饮用水水源地保护与规范化建设；开展天池水生态修复、河口湿地建设、水位变幅区与陆域缓冲区生态修复；推进地表水置换地下水工程，提升水资源调配能力；开展河岸线生态修复，实施地质环境整治、植被恢复与节水灌溉系统建设；强化河湖生态流量保障，分区分类实施水生态保护修复。</w:t>
                            </w:r>
                          </w:p>
                          <w:p w14:paraId="33E015A5">
                            <w:pPr>
                              <w:pStyle w:val="2"/>
                              <w:jc w:val="left"/>
                              <w:rPr>
                                <w:rFonts w:ascii="仿宋_GB2312" w:eastAsia="仿宋_GB2312"/>
                              </w:rPr>
                            </w:pPr>
                            <w:r>
                              <w:rPr>
                                <w:rFonts w:hint="eastAsia" w:ascii="仿宋_GB2312" w:eastAsia="仿宋_GB2312"/>
                                <w:b/>
                              </w:rPr>
                              <w:t>4.美丽城市建设工程。</w:t>
                            </w:r>
                            <w:r>
                              <w:rPr>
                                <w:rFonts w:hint="eastAsia" w:ascii="仿宋_GB2312" w:eastAsia="仿宋_GB2312"/>
                              </w:rPr>
                              <w:t>实施美丽城市建设，涵盖污水收集处理与再生水利用、垃圾分类与收运设施、环卫车辆新能源替代、餐厨垃圾资源化处理、固废危废资源化利用、土壤污染调查与修复、地下水环境状况调查、再生水管网建设、垃圾填埋场封场与生态恢复、工业园区环境基础设施提升等领域；在昌吉市率先启动美丽城市建设综合行动</w:t>
                            </w:r>
                            <w:r>
                              <w:rPr>
                                <w:rFonts w:ascii="仿宋_GB2312" w:eastAsia="仿宋_GB2312"/>
                              </w:rPr>
                              <w:t>。</w:t>
                            </w:r>
                          </w:p>
                          <w:p w14:paraId="593ADBC9">
                            <w:pPr>
                              <w:pStyle w:val="2"/>
                              <w:jc w:val="left"/>
                              <w:rPr>
                                <w:rFonts w:ascii="仿宋_GB2312" w:eastAsia="仿宋_GB2312"/>
                                <w:b/>
                              </w:rPr>
                            </w:pPr>
                            <w:r>
                              <w:rPr>
                                <w:rFonts w:hint="eastAsia" w:ascii="仿宋_GB2312" w:eastAsia="仿宋_GB2312"/>
                                <w:b/>
                              </w:rPr>
                              <w:t>5.美丽乡村建设工程。</w:t>
                            </w:r>
                            <w:r>
                              <w:rPr>
                                <w:rFonts w:hint="eastAsia" w:ascii="仿宋_GB2312" w:eastAsia="仿宋_GB2312"/>
                              </w:rPr>
                              <w:t>在呼图壁县、木垒县等区域实施美丽乡村建设系列项目，推进农村生活污水收集处理设施建设；推进农村“厕所革命”与生活污水治理一体化衔接；完善农村生活垃圾收运处置体系，建设垃圾中转、处理设施；开展村庄绿化美化行动；实施农用地安全利用与地膜科学使用回收项目；</w:t>
                            </w:r>
                            <w:r>
                              <w:rPr>
                                <w:rFonts w:ascii="仿宋_GB2312" w:eastAsia="仿宋_GB2312"/>
                              </w:rPr>
                              <w:t>巩固提升农村清洁能源替代成果</w:t>
                            </w:r>
                            <w:r>
                              <w:rPr>
                                <w:rFonts w:hint="eastAsia" w:ascii="仿宋_GB2312" w:eastAsia="仿宋_GB2312"/>
                              </w:rPr>
                              <w:t>；推进农作物秸秆综合利用、粪污资源化利用、农膜资源化利用等工程；批次推进乡镇政府驻地及中心村环境基础设施建设。</w:t>
                            </w:r>
                          </w:p>
                          <w:bookmarkEnd w:id="283"/>
                          <w:bookmarkEnd w:id="284"/>
                          <w:bookmarkEnd w:id="285"/>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8pt;margin-top:6pt;height:110.55pt;width:425.15pt;z-index:251663360;mso-width-relative:page;mso-height-relative:margin;mso-height-percent:200;" fillcolor="#FFFFFF" filled="t" stroked="t" coordsize="21600,21600" o:gfxdata="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aWnQI2AAAAAkBAAAPAAAAAAAAAAEAIAAAACIAAABkcnMv&#10;ZG93bnJldi54bWxQSwECFAAUAAAACACHTuJA8prH6TwCAAB+BAAADgAAAAAAAAABACAAAAAnAQAA&#10;ZHJzL2Uyb0RvYy54bWxQSwUGAAAAAAYABgBZAQAA1QUAAAAA&#10;">
                <v:fill on="t" focussize="0,0"/>
                <v:stroke weight="1pt" color="#000000" miterlimit="8" joinstyle="miter"/>
                <v:imagedata o:title=""/>
                <o:lock v:ext="edit" aspectratio="f"/>
                <v:textbox style="mso-fit-shape-to-text:t;">
                  <w:txbxContent>
                    <w:p w14:paraId="70D9A1D4">
                      <w:pPr>
                        <w:adjustRightInd w:val="0"/>
                        <w:snapToGrid w:val="0"/>
                        <w:spacing w:line="360" w:lineRule="auto"/>
                        <w:jc w:val="center"/>
                        <w:rPr>
                          <w:rFonts w:ascii="仿宋_GB2312" w:eastAsia="仿宋_GB2312"/>
                          <w:b/>
                          <w:sz w:val="28"/>
                          <w:szCs w:val="28"/>
                        </w:rPr>
                      </w:pPr>
                      <w:bookmarkStart w:id="283" w:name="OLE_LINK136"/>
                      <w:bookmarkStart w:id="284" w:name="OLE_LINK137"/>
                      <w:bookmarkStart w:id="285" w:name="_Hlk227857299"/>
                      <w:r>
                        <w:rPr>
                          <w:rFonts w:hint="eastAsia" w:ascii="仿宋_GB2312" w:eastAsia="仿宋_GB2312"/>
                          <w:b/>
                          <w:sz w:val="28"/>
                          <w:szCs w:val="28"/>
                        </w:rPr>
                        <w:t>专栏1</w:t>
                      </w:r>
                      <w:r>
                        <w:rPr>
                          <w:rFonts w:ascii="仿宋_GB2312" w:eastAsia="仿宋_GB2312"/>
                          <w:b/>
                          <w:sz w:val="28"/>
                          <w:szCs w:val="28"/>
                        </w:rPr>
                        <w:t xml:space="preserve"> “美丽昌吉”建设示范重点工程</w:t>
                      </w:r>
                    </w:p>
                    <w:p w14:paraId="44864227">
                      <w:pPr>
                        <w:pStyle w:val="2"/>
                        <w:jc w:val="left"/>
                        <w:rPr>
                          <w:rFonts w:ascii="仿宋_GB2312" w:eastAsia="仿宋_GB2312"/>
                        </w:rPr>
                      </w:pPr>
                      <w:r>
                        <w:rPr>
                          <w:rFonts w:hint="eastAsia" w:ascii="仿宋_GB2312" w:eastAsia="仿宋_GB2312"/>
                          <w:b/>
                        </w:rPr>
                        <w:t>1</w:t>
                      </w:r>
                      <w:r>
                        <w:rPr>
                          <w:rFonts w:ascii="仿宋_GB2312" w:eastAsia="仿宋_GB2312"/>
                          <w:b/>
                        </w:rPr>
                        <w:t>.生态文明示范创建工程</w:t>
                      </w:r>
                      <w:r>
                        <w:rPr>
                          <w:rFonts w:hint="eastAsia" w:ascii="仿宋_GB2312" w:eastAsia="仿宋_GB2312"/>
                          <w:b/>
                        </w:rPr>
                        <w:t>。</w:t>
                      </w:r>
                      <w:r>
                        <w:rPr>
                          <w:rFonts w:ascii="仿宋_GB2312" w:eastAsia="仿宋_GB2312"/>
                        </w:rPr>
                        <w:t>支持木垒县创建“国家生态文明建设示范县”；推动阜康市天山天池</w:t>
                      </w:r>
                      <w:r>
                        <w:rPr>
                          <w:rFonts w:hint="eastAsia" w:ascii="仿宋_GB2312" w:eastAsia="仿宋_GB2312"/>
                        </w:rPr>
                        <w:t>、奇台江布拉克</w:t>
                      </w:r>
                      <w:r>
                        <w:rPr>
                          <w:rFonts w:ascii="仿宋_GB2312" w:eastAsia="仿宋_GB2312"/>
                        </w:rPr>
                        <w:t>争创国家级“绿水青山就是金山银山”实践创新基地。</w:t>
                      </w:r>
                    </w:p>
                    <w:p w14:paraId="2BA27E84">
                      <w:pPr>
                        <w:pStyle w:val="2"/>
                        <w:jc w:val="left"/>
                        <w:rPr>
                          <w:rFonts w:ascii="仿宋_GB2312" w:eastAsia="仿宋_GB2312"/>
                        </w:rPr>
                      </w:pPr>
                      <w:r>
                        <w:rPr>
                          <w:rFonts w:hint="eastAsia" w:ascii="仿宋_GB2312" w:eastAsia="仿宋_GB2312"/>
                          <w:b/>
                        </w:rPr>
                        <w:t>2.美丽蓝天建设工程。</w:t>
                      </w:r>
                      <w:r>
                        <w:rPr>
                          <w:rFonts w:hint="eastAsia" w:ascii="仿宋_GB2312" w:eastAsia="仿宋_GB2312"/>
                        </w:rPr>
                        <w:t>以城市为主体，以低效产能与设施淘汰退出、锅炉窑炉清洁能源替代、清洁用能基础设施建设、重点行业污染防治、移动源污染防治、面源污染防治等为重点，实施一批美丽蓝天建设工程</w:t>
                      </w:r>
                      <w:r>
                        <w:rPr>
                          <w:rFonts w:ascii="仿宋_GB2312" w:eastAsia="仿宋_GB2312"/>
                        </w:rPr>
                        <w:t>。</w:t>
                      </w:r>
                    </w:p>
                    <w:p w14:paraId="05A6F60C">
                      <w:pPr>
                        <w:pStyle w:val="2"/>
                        <w:jc w:val="left"/>
                        <w:rPr>
                          <w:rFonts w:ascii="仿宋_GB2312" w:eastAsia="仿宋_GB2312"/>
                        </w:rPr>
                      </w:pPr>
                      <w:r>
                        <w:rPr>
                          <w:rFonts w:hint="eastAsia" w:ascii="仿宋_GB2312" w:eastAsia="仿宋_GB2312"/>
                          <w:b/>
                        </w:rPr>
                        <w:t>3.美丽河湖建设工程。</w:t>
                      </w:r>
                      <w:r>
                        <w:rPr>
                          <w:rFonts w:hint="eastAsia" w:ascii="仿宋_GB2312" w:eastAsia="仿宋_GB2312"/>
                        </w:rPr>
                        <w:t>重点推进头屯河、玛纳斯河、天池湖等率先建成自治区级美丽河湖，争创国家级优秀案例；实施集中式饮用水水源地保护与规范化建设；开展天池水生态修复、河口湿地建设、水位变幅区与陆域缓冲区生态修复；推进地表水置换地下水工程，提升水资源调配能力；开展河岸线生态修复，实施地质环境整治、植被恢复与节水灌溉系统建设；强化河湖生态流量保障，分区分类实施水生态保护修复。</w:t>
                      </w:r>
                    </w:p>
                    <w:p w14:paraId="33E015A5">
                      <w:pPr>
                        <w:pStyle w:val="2"/>
                        <w:jc w:val="left"/>
                        <w:rPr>
                          <w:rFonts w:ascii="仿宋_GB2312" w:eastAsia="仿宋_GB2312"/>
                        </w:rPr>
                      </w:pPr>
                      <w:r>
                        <w:rPr>
                          <w:rFonts w:hint="eastAsia" w:ascii="仿宋_GB2312" w:eastAsia="仿宋_GB2312"/>
                          <w:b/>
                        </w:rPr>
                        <w:t>4.美丽城市建设工程。</w:t>
                      </w:r>
                      <w:r>
                        <w:rPr>
                          <w:rFonts w:hint="eastAsia" w:ascii="仿宋_GB2312" w:eastAsia="仿宋_GB2312"/>
                        </w:rPr>
                        <w:t>实施美丽城市建设，涵盖污水收集处理与再生水利用、垃圾分类与收运设施、环卫车辆新能源替代、餐厨垃圾资源化处理、固废危废资源化利用、土壤污染调查与修复、地下水环境状况调查、再生水管网建设、垃圾填埋场封场与生态恢复、工业园区环境基础设施提升等领域；在昌吉市率先启动美丽城市建设综合行动</w:t>
                      </w:r>
                      <w:r>
                        <w:rPr>
                          <w:rFonts w:ascii="仿宋_GB2312" w:eastAsia="仿宋_GB2312"/>
                        </w:rPr>
                        <w:t>。</w:t>
                      </w:r>
                    </w:p>
                    <w:p w14:paraId="593ADBC9">
                      <w:pPr>
                        <w:pStyle w:val="2"/>
                        <w:jc w:val="left"/>
                        <w:rPr>
                          <w:rFonts w:ascii="仿宋_GB2312" w:eastAsia="仿宋_GB2312"/>
                          <w:b/>
                        </w:rPr>
                      </w:pPr>
                      <w:r>
                        <w:rPr>
                          <w:rFonts w:hint="eastAsia" w:ascii="仿宋_GB2312" w:eastAsia="仿宋_GB2312"/>
                          <w:b/>
                        </w:rPr>
                        <w:t>5.美丽乡村建设工程。</w:t>
                      </w:r>
                      <w:r>
                        <w:rPr>
                          <w:rFonts w:hint="eastAsia" w:ascii="仿宋_GB2312" w:eastAsia="仿宋_GB2312"/>
                        </w:rPr>
                        <w:t>在呼图壁县、木垒县等区域实施美丽乡村建设系列项目，推进农村生活污水收集处理设施建设；推进农村“厕所革命”与生活污水治理一体化衔接；完善农村生活垃圾收运处置体系，建设垃圾中转、处理设施；开展村庄绿化美化行动；实施农用地安全利用与地膜科学使用回收项目；</w:t>
                      </w:r>
                      <w:r>
                        <w:rPr>
                          <w:rFonts w:ascii="仿宋_GB2312" w:eastAsia="仿宋_GB2312"/>
                        </w:rPr>
                        <w:t>巩固提升农村清洁能源替代成果</w:t>
                      </w:r>
                      <w:r>
                        <w:rPr>
                          <w:rFonts w:hint="eastAsia" w:ascii="仿宋_GB2312" w:eastAsia="仿宋_GB2312"/>
                        </w:rPr>
                        <w:t>；推进农作物秸秆综合利用、粪污资源化利用、农膜资源化利用等工程；批次推进乡镇政府驻地及中心村环境基础设施建设。</w:t>
                      </w:r>
                    </w:p>
                    <w:bookmarkEnd w:id="283"/>
                    <w:bookmarkEnd w:id="284"/>
                    <w:bookmarkEnd w:id="285"/>
                  </w:txbxContent>
                </v:textbox>
              </v:shape>
            </w:pict>
          </mc:Fallback>
        </mc:AlternateContent>
      </w:r>
    </w:p>
    <w:p w14:paraId="02FBA4FB">
      <w:pPr>
        <w:pStyle w:val="78"/>
        <w:ind w:firstLine="640"/>
      </w:pPr>
    </w:p>
    <w:p w14:paraId="4E493222">
      <w:pPr>
        <w:pStyle w:val="78"/>
        <w:ind w:firstLine="640"/>
      </w:pPr>
    </w:p>
    <w:p w14:paraId="1BD129FA">
      <w:pPr>
        <w:pStyle w:val="78"/>
        <w:ind w:firstLine="640"/>
        <w:sectPr>
          <w:pgSz w:w="11906" w:h="16838"/>
          <w:pgMar w:top="1440" w:right="1800" w:bottom="1440" w:left="1800" w:header="1077" w:footer="992" w:gutter="0"/>
          <w:pgNumType w:fmt="numberInDash"/>
          <w:cols w:space="425" w:num="1"/>
          <w:docGrid w:type="lines" w:linePitch="312" w:charSpace="0"/>
        </w:sectPr>
      </w:pPr>
    </w:p>
    <w:p w14:paraId="42448DA2">
      <w:pPr>
        <w:pStyle w:val="3"/>
        <w:spacing w:after="100" w:afterAutospacing="1" w:line="480" w:lineRule="auto"/>
        <w:ind w:firstLine="0" w:firstLineChars="0"/>
        <w:jc w:val="center"/>
      </w:pPr>
      <w:bookmarkStart w:id="65" w:name="_Toc218867755"/>
      <w:bookmarkStart w:id="66" w:name="_Toc227770775"/>
      <w:r>
        <w:rPr>
          <w:rFonts w:hint="eastAsia"/>
        </w:rPr>
        <w:t>第四章  深化</w:t>
      </w:r>
      <w:r>
        <w:t>环境污染防治，实现生态环境质量全面改善</w:t>
      </w:r>
      <w:bookmarkEnd w:id="65"/>
      <w:bookmarkEnd w:id="66"/>
    </w:p>
    <w:p w14:paraId="15DA38AB">
      <w:pPr>
        <w:pStyle w:val="4"/>
        <w:spacing w:line="700" w:lineRule="exact"/>
        <w:ind w:firstLine="643"/>
        <w:jc w:val="center"/>
      </w:pPr>
      <w:bookmarkStart w:id="67" w:name="_Toc218867756"/>
      <w:bookmarkStart w:id="68" w:name="_Toc227770776"/>
      <w:r>
        <w:rPr>
          <w:rFonts w:hint="eastAsia"/>
        </w:rPr>
        <w:t xml:space="preserve">第一节 </w:t>
      </w:r>
      <w:r>
        <w:t>持续改善环境空气质量</w:t>
      </w:r>
      <w:bookmarkEnd w:id="67"/>
      <w:bookmarkEnd w:id="68"/>
    </w:p>
    <w:p w14:paraId="2CD913E2">
      <w:pPr>
        <w:pStyle w:val="78"/>
        <w:ind w:firstLine="640"/>
      </w:pPr>
      <w:bookmarkStart w:id="69" w:name="OLE_LINK111"/>
      <w:bookmarkStart w:id="70" w:name="OLE_LINK78"/>
      <w:r>
        <w:rPr>
          <w:rFonts w:hint="eastAsia"/>
        </w:rPr>
        <w:t>落实自治区关于天山北坡城市群区域大气污染联防联控的统一部署，强化与区域内其他地州市及兵团的协同配合。</w:t>
      </w:r>
      <w:r>
        <w:t>以</w:t>
      </w:r>
      <w:bookmarkStart w:id="71" w:name="OLE_LINK1"/>
      <w:bookmarkStart w:id="72" w:name="OLE_LINK3"/>
      <w:r>
        <w:rPr>
          <w:rFonts w:hint="eastAsia"/>
        </w:rPr>
        <w:t>天山</w:t>
      </w:r>
      <w:r>
        <w:t>北坡城市群昌吉州四县市</w:t>
      </w:r>
      <w:bookmarkEnd w:id="71"/>
      <w:bookmarkEnd w:id="72"/>
      <w:r>
        <w:t>为主战场，协同东片区以细颗粒物控制为主线，强化源头管控、多污染物协同减排。</w:t>
      </w:r>
      <w:r>
        <w:rPr>
          <w:rFonts w:hint="eastAsia"/>
        </w:rPr>
        <w:t>州府昌吉市编制实施大气环境质量限期达标规划并向社会公开。</w:t>
      </w:r>
    </w:p>
    <w:bookmarkEnd w:id="69"/>
    <w:bookmarkEnd w:id="70"/>
    <w:p w14:paraId="0ECDF8BB">
      <w:pPr>
        <w:pStyle w:val="78"/>
        <w:ind w:firstLine="643"/>
      </w:pPr>
      <w:r>
        <w:rPr>
          <w:rFonts w:hint="eastAsia"/>
          <w:b/>
          <w:szCs w:val="32"/>
        </w:rPr>
        <w:t>持续开展重点行业污染深度治理</w:t>
      </w:r>
      <w:r>
        <w:rPr>
          <w:rFonts w:hint="eastAsia"/>
          <w:szCs w:val="32"/>
        </w:rPr>
        <w:t>。全面完成钢铁、水泥、焦化等重点行业及燃煤锅炉超低排放改造。</w:t>
      </w:r>
      <w:r>
        <w:rPr>
          <w:szCs w:val="32"/>
        </w:rPr>
        <w:t>2027年底前，</w:t>
      </w:r>
      <w:r>
        <w:rPr>
          <w:rFonts w:hint="eastAsia"/>
          <w:szCs w:val="32"/>
        </w:rPr>
        <w:t>昌吉州</w:t>
      </w:r>
      <w:r>
        <w:rPr>
          <w:szCs w:val="32"/>
        </w:rPr>
        <w:t>65蒸吨及以上燃煤锅炉全面完成超低排放改造，自备电厂、钢铁、铸造用生铁企业按照相关要求完成有组织、无组织、清洁运输全流程超低排放改造。开展环保绩效“创A晋B”行动，引导企业通过设备更新、技术改造、治理升级等措施，提升企业环保绩效水平，</w:t>
      </w:r>
      <w:r>
        <w:rPr>
          <w:rFonts w:hint="eastAsia"/>
          <w:szCs w:val="32"/>
        </w:rPr>
        <w:t>有序推进乌昌石区域存量煤电机组和新上煤电机组掺烧绿氨改造和建设</w:t>
      </w:r>
      <w:r>
        <w:rPr>
          <w:szCs w:val="32"/>
        </w:rPr>
        <w:t>。加强氮肥、纯碱等行业大</w:t>
      </w:r>
      <w:r>
        <w:rPr>
          <w:rFonts w:hint="eastAsia"/>
          <w:szCs w:val="32"/>
        </w:rPr>
        <w:t>气氨排放治理、工业源烟气脱硫脱硝氨逃逸防控。高效推进石化、化工、工业涂装、包装印刷等重点行业</w:t>
      </w:r>
      <w:r>
        <w:rPr>
          <w:szCs w:val="32"/>
        </w:rPr>
        <w:t>VOCs全流程、全环境综合治理。推进含VOCs原辅材料源头替代，加强过程控制和末端治理，推广低（无）VOCs涂料。全面开展低效失效大气污染治理设施排查整治工作，建立排查整治清单，推动企业污染治理设施升级改造。实施冬季生产的在线监控联网企业污染物排放浓度、排放总量</w:t>
      </w:r>
      <w:r>
        <w:rPr>
          <w:rFonts w:hint="eastAsia" w:ascii="仿宋_GB2312"/>
          <w:szCs w:val="32"/>
        </w:rPr>
        <w:t>“双控”</w:t>
      </w:r>
      <w:r>
        <w:rPr>
          <w:szCs w:val="32"/>
        </w:rPr>
        <w:t>工作，确保减排取得实效</w:t>
      </w:r>
      <w:r>
        <w:t>。</w:t>
      </w:r>
    </w:p>
    <w:p w14:paraId="7C40AEBB">
      <w:pPr>
        <w:pStyle w:val="78"/>
        <w:ind w:firstLine="643"/>
      </w:pPr>
      <w:r>
        <w:rPr>
          <w:b/>
        </w:rPr>
        <w:t>实施工业炉窑（</w:t>
      </w:r>
      <w:r>
        <w:rPr>
          <w:rFonts w:hint="eastAsia"/>
          <w:b/>
        </w:rPr>
        <w:t>锅炉</w:t>
      </w:r>
      <w:r>
        <w:rPr>
          <w:b/>
        </w:rPr>
        <w:t>）清洁能源替代。</w:t>
      </w:r>
      <w:r>
        <w:rPr>
          <w:rFonts w:hint="eastAsia"/>
        </w:rPr>
        <w:t>天山</w:t>
      </w:r>
      <w:r>
        <w:t>北坡城市群昌吉区域持续实施煤炭消费总量控制</w:t>
      </w:r>
      <w:r>
        <w:rPr>
          <w:rFonts w:hint="eastAsia"/>
        </w:rPr>
        <w:t>。</w:t>
      </w:r>
      <w:r>
        <w:t>有序推进以电代煤，稳妥推进以气代煤，</w:t>
      </w:r>
      <w:r>
        <w:rPr>
          <w:rFonts w:hint="eastAsia"/>
        </w:rPr>
        <w:t>秋冬季优先使用网电替代自备电厂发电</w:t>
      </w:r>
      <w:r>
        <w:t>。重点区域原则上不再新增燃料类煤气发生炉，新改扩建加热炉、热处理炉、干燥炉、熔化炉原则上采用清洁低碳能源；安全稳妥推进使用高污染燃料的工业炉窑改用工业余热、电能、天然气等；燃料类煤气发生炉实行清洁能源替代</w:t>
      </w:r>
      <w:r>
        <w:rPr>
          <w:rFonts w:hint="eastAsia"/>
        </w:rPr>
        <w:t>，</w:t>
      </w:r>
      <w:r>
        <w:t>或因地制宜采取园区</w:t>
      </w:r>
      <w:r>
        <w:rPr>
          <w:rFonts w:hint="eastAsia"/>
        </w:rPr>
        <w:t>（</w:t>
      </w:r>
      <w:r>
        <w:t>集群</w:t>
      </w:r>
      <w:r>
        <w:rPr>
          <w:rFonts w:hint="eastAsia"/>
        </w:rPr>
        <w:t>）</w:t>
      </w:r>
      <w:r>
        <w:t>集中供气、分散使用方式。</w:t>
      </w:r>
      <w:r>
        <w:rPr>
          <w:rFonts w:hint="eastAsia"/>
        </w:rPr>
        <w:t>基本淘汰</w:t>
      </w:r>
      <w:r>
        <w:t>65蒸吨/小时以下燃煤锅炉。充分发挥30万千瓦及以上热电联产电厂的供热能力，关停或整合其供热半径30公里范围内的燃煤锅炉和落后燃煤小热电机组（含自备电厂）。</w:t>
      </w:r>
      <w:r>
        <w:rPr>
          <w:rFonts w:hint="eastAsia"/>
        </w:rPr>
        <w:t>推进农业种植、养殖、种子加工等农业生产领域燃煤设施清洁能源改造。持续开展生活散煤治理，</w:t>
      </w:r>
      <w:r>
        <w:t>对农村清洁取暖改造区域开展现场复核</w:t>
      </w:r>
      <w:r>
        <w:rPr>
          <w:rFonts w:hint="eastAsia"/>
        </w:rPr>
        <w:t>，</w:t>
      </w:r>
      <w:r>
        <w:t>严防散煤复燃</w:t>
      </w:r>
      <w:r>
        <w:rPr>
          <w:rFonts w:hint="eastAsia"/>
        </w:rPr>
        <w:t>。</w:t>
      </w:r>
    </w:p>
    <w:p w14:paraId="32523631">
      <w:pPr>
        <w:pStyle w:val="78"/>
        <w:ind w:firstLine="643"/>
        <w:rPr>
          <w:szCs w:val="32"/>
        </w:rPr>
      </w:pPr>
      <w:r>
        <w:rPr>
          <w:rFonts w:hint="eastAsia"/>
          <w:b/>
          <w:szCs w:val="32"/>
        </w:rPr>
        <w:t>提升精细化管控效能，着力解决面源污染。</w:t>
      </w:r>
      <w:r>
        <w:rPr>
          <w:rFonts w:hint="eastAsia"/>
          <w:szCs w:val="32"/>
        </w:rPr>
        <w:t>全面推进煤田火区综合治理，以昌吉市、呼图壁县为重点，持续开展煤田火区综合治理，减少大气污染物的排放。加强餐饮业油烟治理监督</w:t>
      </w:r>
      <w:r>
        <w:t>，严格居民楼附近餐饮服务单位布局管理，加强建成区餐饮业油烟治理监督检查力度，督促餐饮店面定期开展油烟治理设施清洗，实行台账管理。</w:t>
      </w:r>
      <w:r>
        <w:rPr>
          <w:rFonts w:hint="eastAsia" w:ascii="仿宋_GB2312"/>
        </w:rPr>
        <w:t>实施恶臭异味深度治理，系统解决污水处理、工业生产及养殖领域异味扰民问题。</w:t>
      </w:r>
      <w:r>
        <w:rPr>
          <w:rFonts w:hint="eastAsia"/>
          <w:szCs w:val="32"/>
        </w:rPr>
        <w:t>加强房屋市政施工工地扬尘管控，制定完善防治实施方案，全面推行绿色施工，严格执行“六个百分之百”，持续推动施工面积</w:t>
      </w:r>
      <w:r>
        <w:rPr>
          <w:szCs w:val="32"/>
        </w:rPr>
        <w:t>3000平方米及以上房屋建筑施工工地安装智能降尘喷淋系统和扬尘监测设备，并接入当地监管平台。控制城市道路扬尘污染，推进吸尘式机械化清扫作业，加强渣土车扬尘管理，加大城市建成区重要路段冲洗保洁力度。</w:t>
      </w:r>
      <w:r>
        <w:rPr>
          <w:rFonts w:hint="eastAsia"/>
          <w:szCs w:val="32"/>
        </w:rPr>
        <w:t>科学划定昌吉市、阜康市、呼图壁县、玛纳斯县建成区为烟花爆竹禁放区。</w:t>
      </w:r>
    </w:p>
    <w:p w14:paraId="761596A8">
      <w:pPr>
        <w:pStyle w:val="78"/>
        <w:ind w:firstLine="643"/>
      </w:pPr>
      <w:bookmarkStart w:id="73" w:name="OLE_LINK84"/>
      <w:bookmarkStart w:id="74" w:name="OLE_LINK70"/>
      <w:bookmarkStart w:id="75" w:name="OLE_LINK71"/>
      <w:r>
        <w:rPr>
          <w:rFonts w:hint="eastAsia"/>
          <w:b/>
        </w:rPr>
        <w:t>加强移动源及油气回收监管</w:t>
      </w:r>
      <w:r>
        <w:rPr>
          <w:rFonts w:hint="eastAsia"/>
        </w:rPr>
        <w:t>。加强移动源排放达标监管，在“乌-昌-石”等重点区域推广应用车载诊断系统（</w:t>
      </w:r>
      <w:r>
        <w:t>OBD）远程在线监测、遥感监测等先进技术手段，建设完善移动污染源监测网络，实现对机动车排放检验、维修治理、道路行驶等关键环节的全链条智慧化监管。强化机动车排放检验机构专项整治，严厉打击检验过程中弄虚作假、替车替检等违法行为，建立健全</w:t>
      </w:r>
      <w:r>
        <w:rPr>
          <w:rFonts w:hint="eastAsia" w:ascii="仿宋_GB2312"/>
        </w:rPr>
        <w:t>“预警-反馈-核查-整改”的</w:t>
      </w:r>
      <w:r>
        <w:t>闭环管理机制。深化生态环境部门检测取证、公安交管部门实施处罚、交通运输部门监督维修的联合监管模式，常态化开展路检路查和入户抽测，形成严管高压态势。</w:t>
      </w:r>
    </w:p>
    <w:p w14:paraId="44E77EBD">
      <w:pPr>
        <w:pStyle w:val="78"/>
        <w:ind w:firstLine="640"/>
      </w:pPr>
      <w:r>
        <w:rPr>
          <w:rFonts w:hint="eastAsia"/>
        </w:rPr>
        <w:t>强化非道路移动源综合治理。</w:t>
      </w:r>
      <w:r>
        <w:t>持续开展非道路移动机械摸底调查和编码登记，严格高排放禁用区管控，依法查处超标排放行为，推动非道路移动机械清洁化升级。</w:t>
      </w:r>
    </w:p>
    <w:bookmarkEnd w:id="73"/>
    <w:bookmarkEnd w:id="74"/>
    <w:bookmarkEnd w:id="75"/>
    <w:p w14:paraId="118BF869">
      <w:pPr>
        <w:pStyle w:val="78"/>
        <w:ind w:firstLine="640"/>
      </w:pPr>
      <w:r>
        <w:rPr>
          <w:rFonts w:hint="eastAsia"/>
        </w:rPr>
        <w:t>深化油气回收及油品质量监管。</w:t>
      </w:r>
      <w:r>
        <w:t>强化油气回收闭环管理，压紧压实成品油销售、运输、仓储企业油气回收系统使用管理主体责任，确保油气回收设施稳定运行</w:t>
      </w:r>
      <w:r>
        <w:rPr>
          <w:rFonts w:hint="eastAsia"/>
        </w:rPr>
        <w:t>。</w:t>
      </w:r>
      <w:bookmarkStart w:id="76" w:name="OLE_LINK110"/>
      <w:bookmarkStart w:id="77" w:name="OLE_LINK109"/>
      <w:r>
        <w:t>有序推进天山北坡城市建成区内汽油年销售量5000吨以上加油站</w:t>
      </w:r>
      <w:bookmarkStart w:id="78" w:name="OLE_LINK106"/>
      <w:r>
        <w:t>完成油气三级回收改造</w:t>
      </w:r>
      <w:bookmarkEnd w:id="78"/>
      <w:r>
        <w:rPr>
          <w:rFonts w:hint="eastAsia"/>
        </w:rPr>
        <w:t>。</w:t>
      </w:r>
      <w:bookmarkEnd w:id="76"/>
      <w:bookmarkEnd w:id="77"/>
      <w:r>
        <w:t>加强油品储运销全链条监管，规范成品油及车用尿素市场秩序，严厉打击生产、销售不合格油品和车用尿素等违法行为，从源头减少挥发性有机物排放。</w:t>
      </w:r>
    </w:p>
    <w:p w14:paraId="6CDD340D">
      <w:pPr>
        <w:pStyle w:val="78"/>
        <w:ind w:firstLine="643"/>
      </w:pPr>
      <w:bookmarkStart w:id="79" w:name="OLE_LINK114"/>
      <w:r>
        <w:rPr>
          <w:b/>
        </w:rPr>
        <w:t>持续开展噪声污染防治</w:t>
      </w:r>
      <w:r>
        <w:rPr>
          <w:rFonts w:hint="eastAsia"/>
        </w:rPr>
        <w:t>。强化噪声源头管控，推广低噪声施工工艺和设备，督促建设施工单位落实噪声污染防治责任。</w:t>
      </w:r>
      <w:r>
        <w:t>加强道路和机动车管理，科学规划发展公共交通系统，降低交通噪声污染；加大工业企业污染监管力度，强化施工噪声污染控制。</w:t>
      </w:r>
      <w:r>
        <w:rPr>
          <w:rFonts w:hint="eastAsia"/>
        </w:rPr>
        <w:t>加强噪声监测点周边环境整治，清除影响监测准确性的干扰源，确保监测数据真实反映区域噪声水平，为精准治污和效果评估提供可靠依据。推进噪声问题综合治理。</w:t>
      </w:r>
    </w:p>
    <w:bookmarkEnd w:id="79"/>
    <w:p w14:paraId="34022DF7">
      <w:pPr>
        <w:pStyle w:val="78"/>
        <w:ind w:left="0" w:leftChars="0" w:firstLine="0" w:firstLineChars="0"/>
      </w:pPr>
    </w:p>
    <w:p w14:paraId="2D44E2B6">
      <w:pPr>
        <w:pStyle w:val="78"/>
        <w:ind w:firstLine="640"/>
      </w:pPr>
      <w: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78740</wp:posOffset>
                </wp:positionV>
                <wp:extent cx="5585460" cy="1403985"/>
                <wp:effectExtent l="0" t="0" r="15240" b="14605"/>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85460" cy="1403985"/>
                        </a:xfrm>
                        <a:prstGeom prst="rect">
                          <a:avLst/>
                        </a:prstGeom>
                        <a:solidFill>
                          <a:srgbClr val="FFFFFF"/>
                        </a:solidFill>
                        <a:ln w="12700">
                          <a:solidFill>
                            <a:srgbClr val="000000"/>
                          </a:solidFill>
                          <a:miter lim="800000"/>
                        </a:ln>
                      </wps:spPr>
                      <wps:txbx>
                        <w:txbxContent>
                          <w:p w14:paraId="1A0A4EEF">
                            <w:pPr>
                              <w:adjustRightInd w:val="0"/>
                              <w:snapToGrid w:val="0"/>
                              <w:spacing w:line="360" w:lineRule="auto"/>
                              <w:jc w:val="center"/>
                              <w:rPr>
                                <w:rFonts w:ascii="仿宋_GB2312" w:eastAsia="仿宋_GB2312"/>
                                <w:b/>
                                <w:sz w:val="28"/>
                                <w:szCs w:val="28"/>
                              </w:rPr>
                            </w:pPr>
                            <w:r>
                              <w:rPr>
                                <w:rFonts w:hint="eastAsia" w:ascii="仿宋_GB2312" w:eastAsia="仿宋_GB2312"/>
                                <w:b/>
                                <w:sz w:val="28"/>
                                <w:szCs w:val="28"/>
                              </w:rPr>
                              <w:t>专栏2 大气环境提升工程</w:t>
                            </w:r>
                          </w:p>
                          <w:p w14:paraId="4A2B87EF">
                            <w:pPr>
                              <w:pStyle w:val="2"/>
                              <w:jc w:val="left"/>
                              <w:rPr>
                                <w:rFonts w:ascii="仿宋_GB2312" w:eastAsia="仿宋_GB2312"/>
                              </w:rPr>
                            </w:pPr>
                            <w:r>
                              <w:rPr>
                                <w:rFonts w:hint="eastAsia" w:ascii="仿宋_GB2312" w:eastAsia="仿宋_GB2312"/>
                                <w:b/>
                              </w:rPr>
                              <w:t>1.重点行业污染深度治理工程。</w:t>
                            </w:r>
                            <w:r>
                              <w:rPr>
                                <w:rFonts w:ascii="仿宋_GB2312" w:eastAsia="仿宋_GB2312"/>
                              </w:rPr>
                              <w:t>完成奇台天山水泥、新疆中建西部建设水泥、新疆嘉润资源、新疆玛纳斯发电等企业全流程超低排放改造</w:t>
                            </w:r>
                            <w:r>
                              <w:rPr>
                                <w:rFonts w:hint="eastAsia" w:ascii="仿宋_GB2312" w:eastAsia="仿宋_GB2312"/>
                              </w:rPr>
                              <w:t>。</w:t>
                            </w:r>
                            <w:r>
                              <w:rPr>
                                <w:rFonts w:ascii="仿宋_GB2312" w:eastAsia="仿宋_GB2312"/>
                              </w:rPr>
                              <w:t>推进新疆国信煤电、新疆宜化化工等燃煤锅炉精准喷氨改造。推动新疆蓝山屯河能源、优派能源（阜康）、新疆神火煤电、新疆其亚铝电、新疆东方希望碳素等企业实施绩效提标改造。实施吉木萨尔县、呼图壁县、阜康市小微企业VOCs综合治理项目，将低效光氧+活性炭设施升级为活性炭吸附脱附+催化燃烧或RTO等高效设施。完成新疆中建环能北庭环保、新疆渝三峡涂料、新疆阳光炭素等企业VOCs治理改造。</w:t>
                            </w:r>
                          </w:p>
                          <w:p w14:paraId="7235551F">
                            <w:pPr>
                              <w:pStyle w:val="2"/>
                              <w:jc w:val="left"/>
                              <w:rPr>
                                <w:rFonts w:ascii="仿宋_GB2312" w:eastAsia="仿宋_GB2312"/>
                                <w:b/>
                              </w:rPr>
                            </w:pPr>
                            <w:r>
                              <w:rPr>
                                <w:rFonts w:hint="eastAsia" w:ascii="仿宋_GB2312" w:eastAsia="仿宋_GB2312"/>
                                <w:b/>
                              </w:rPr>
                              <w:t>2.工业炉窑（锅炉）清洁能源替代工程。</w:t>
                            </w:r>
                            <w:r>
                              <w:rPr>
                                <w:rFonts w:hint="eastAsia" w:ascii="仿宋_GB2312" w:eastAsia="仿宋_GB2312"/>
                              </w:rPr>
                              <w:t>淘汰中粮糖业奇台糖业分公司</w:t>
                            </w:r>
                            <w:r>
                              <w:rPr>
                                <w:rFonts w:ascii="仿宋_GB2312" w:eastAsia="仿宋_GB2312"/>
                              </w:rPr>
                              <w:t>2台30蒸吨和1台35蒸吨、大黄山40蒸吨和20蒸吨、吉木萨尔县双源热力和天润热力等燃煤锅炉。全面淘汰65蒸吨/小时以下燃煤锅炉。</w:t>
                            </w:r>
                            <w:r>
                              <w:rPr>
                                <w:rFonts w:hint="eastAsia" w:ascii="仿宋_GB2312" w:eastAsia="仿宋_GB2312"/>
                              </w:rPr>
                              <w:t>实施新疆福马陶瓷、吉木萨尔县耐火材料厂、昌粮集团吉木萨尔粮油公司、玛纳斯正新保温等企业工业炉窑或烘干炉“煤改气”、“焦改电”项目。推进昌吉市、呼图壁县、玛纳斯县农业种植、养殖场等涉农领域燃煤设施清洁能源改造，完成</w:t>
                            </w:r>
                            <w:r>
                              <w:rPr>
                                <w:rFonts w:ascii="仿宋_GB2312" w:eastAsia="仿宋_GB2312"/>
                              </w:rPr>
                              <w:t>27家以上企业和养殖场改造。</w:t>
                            </w:r>
                          </w:p>
                          <w:p w14:paraId="1F96278B">
                            <w:pPr>
                              <w:pStyle w:val="2"/>
                              <w:jc w:val="left"/>
                              <w:rPr>
                                <w:rFonts w:ascii="仿宋_GB2312" w:eastAsia="仿宋_GB2312"/>
                                <w:b/>
                              </w:rPr>
                            </w:pPr>
                            <w:r>
                              <w:rPr>
                                <w:rFonts w:hint="eastAsia" w:ascii="仿宋_GB2312" w:eastAsia="仿宋_GB2312"/>
                                <w:b/>
                              </w:rPr>
                              <w:t>3.面源污染精细化管控工程。</w:t>
                            </w:r>
                            <w:r>
                              <w:rPr>
                                <w:rFonts w:ascii="仿宋_GB2312" w:eastAsia="仿宋_GB2312"/>
                              </w:rPr>
                              <w:t>实施昌吉市庙尔沟、呼图壁县红三沟等26处煤田火区综合治理工程。在呼图壁县、玛纳斯县实施餐饮油烟改造治理项目，安装高效油烟净化设施及在线监控设备。实施昌吉市第二污水厂、呼图壁县大丰工业园污水处理厂、玛纳斯县禹源排水、新疆雅明新材料、新疆丝雅源实业等1</w:t>
                            </w:r>
                            <w:r>
                              <w:rPr>
                                <w:rFonts w:hint="eastAsia" w:ascii="仿宋_GB2312" w:eastAsia="仿宋_GB2312"/>
                              </w:rPr>
                              <w:t>4家</w:t>
                            </w:r>
                            <w:r>
                              <w:rPr>
                                <w:rFonts w:ascii="仿宋_GB2312" w:eastAsia="仿宋_GB2312"/>
                              </w:rPr>
                              <w:t>恶臭异味深度治理项目。</w:t>
                            </w:r>
                          </w:p>
                          <w:p w14:paraId="37E5991C">
                            <w:pPr>
                              <w:pStyle w:val="2"/>
                              <w:jc w:val="left"/>
                              <w:rPr>
                                <w:rFonts w:ascii="仿宋_GB2312" w:eastAsia="仿宋_GB2312"/>
                                <w:b/>
                              </w:rPr>
                            </w:pPr>
                            <w:r>
                              <w:rPr>
                                <w:rFonts w:hint="eastAsia" w:ascii="仿宋_GB2312" w:eastAsia="仿宋_GB2312"/>
                                <w:b/>
                              </w:rPr>
                              <w:t>4.移动源污染治理工程。</w:t>
                            </w:r>
                            <w:r>
                              <w:rPr>
                                <w:rFonts w:ascii="仿宋_GB2312" w:eastAsia="仿宋_GB2312"/>
                              </w:rPr>
                              <w:t>分年度淘汰老旧营运货车1969辆、非营运老旧货车</w:t>
                            </w:r>
                            <w:r>
                              <w:rPr>
                                <w:rFonts w:hint="eastAsia" w:ascii="仿宋_GB2312" w:eastAsia="仿宋_GB2312"/>
                              </w:rPr>
                              <w:t>300</w:t>
                            </w:r>
                            <w:r>
                              <w:rPr>
                                <w:rFonts w:ascii="仿宋_GB2312" w:eastAsia="仿宋_GB2312"/>
                              </w:rPr>
                              <w:t>辆、老旧非道路移动机械</w:t>
                            </w:r>
                            <w:r>
                              <w:rPr>
                                <w:rFonts w:hint="eastAsia" w:ascii="仿宋_GB2312" w:eastAsia="仿宋_GB2312"/>
                              </w:rPr>
                              <w:t>100</w:t>
                            </w:r>
                            <w:r>
                              <w:rPr>
                                <w:rFonts w:ascii="仿宋_GB2312" w:eastAsia="仿宋_GB2312"/>
                              </w:rPr>
                              <w:t>辆。推动昌吉市、呼图壁县、玛纳斯县、农高区老旧环卫货车新能源替代。建设昌吉市煤炭仓储及输煤廊道、呼图壁县白杨河矿区专用铁路等项目。推进天山北坡城市建成区内汽油年销售量5000吨以上加油站完成油气三级回收改造。建设“乌-昌-石”区域移动污染源智慧化监管网络，推广应用OBD远程在线监测、遥感监测等技术。</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pt;margin-top:6.2pt;height:110.55pt;width:439.8pt;z-index:251664384;mso-width-relative:page;mso-height-relative:margin;mso-height-percent:200;" fillcolor="#FFFFFF" filled="t" stroked="t" coordsize="21600,21600" o:gfxdata="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qUwTYAAAACAEAAA8AAAAAAAAAAQAgAAAAIgAAAGRycy9k&#10;b3ducmV2LnhtbFBLAQIUABQAAAAIAIdO4kBsIAMcOwIAAH0EAAAOAAAAAAAAAAEAIAAAACcBAABk&#10;cnMvZTJvRG9jLnhtbFBLBQYAAAAABgAGAFkBAADUBQAAAAA=&#10;">
                <v:fill on="t" focussize="0,0"/>
                <v:stroke weight="1pt" color="#000000" miterlimit="8" joinstyle="miter"/>
                <v:imagedata o:title=""/>
                <o:lock v:ext="edit" aspectratio="f"/>
                <v:textbox style="mso-fit-shape-to-text:t;">
                  <w:txbxContent>
                    <w:p w14:paraId="1A0A4EEF">
                      <w:pPr>
                        <w:adjustRightInd w:val="0"/>
                        <w:snapToGrid w:val="0"/>
                        <w:spacing w:line="360" w:lineRule="auto"/>
                        <w:jc w:val="center"/>
                        <w:rPr>
                          <w:rFonts w:ascii="仿宋_GB2312" w:eastAsia="仿宋_GB2312"/>
                          <w:b/>
                          <w:sz w:val="28"/>
                          <w:szCs w:val="28"/>
                        </w:rPr>
                      </w:pPr>
                      <w:r>
                        <w:rPr>
                          <w:rFonts w:hint="eastAsia" w:ascii="仿宋_GB2312" w:eastAsia="仿宋_GB2312"/>
                          <w:b/>
                          <w:sz w:val="28"/>
                          <w:szCs w:val="28"/>
                        </w:rPr>
                        <w:t>专栏2 大气环境提升工程</w:t>
                      </w:r>
                    </w:p>
                    <w:p w14:paraId="4A2B87EF">
                      <w:pPr>
                        <w:pStyle w:val="2"/>
                        <w:jc w:val="left"/>
                        <w:rPr>
                          <w:rFonts w:ascii="仿宋_GB2312" w:eastAsia="仿宋_GB2312"/>
                        </w:rPr>
                      </w:pPr>
                      <w:r>
                        <w:rPr>
                          <w:rFonts w:hint="eastAsia" w:ascii="仿宋_GB2312" w:eastAsia="仿宋_GB2312"/>
                          <w:b/>
                        </w:rPr>
                        <w:t>1.重点行业污染深度治理工程。</w:t>
                      </w:r>
                      <w:r>
                        <w:rPr>
                          <w:rFonts w:ascii="仿宋_GB2312" w:eastAsia="仿宋_GB2312"/>
                        </w:rPr>
                        <w:t>完成奇台天山水泥、新疆中建西部建设水泥、新疆嘉润资源、新疆玛纳斯发电等企业全流程超低排放改造</w:t>
                      </w:r>
                      <w:r>
                        <w:rPr>
                          <w:rFonts w:hint="eastAsia" w:ascii="仿宋_GB2312" w:eastAsia="仿宋_GB2312"/>
                        </w:rPr>
                        <w:t>。</w:t>
                      </w:r>
                      <w:r>
                        <w:rPr>
                          <w:rFonts w:ascii="仿宋_GB2312" w:eastAsia="仿宋_GB2312"/>
                        </w:rPr>
                        <w:t>推进新疆国信煤电、新疆宜化化工等燃煤锅炉精准喷氨改造。推动新疆蓝山屯河能源、优派能源（阜康）、新疆神火煤电、新疆其亚铝电、新疆东方希望碳素等企业实施绩效提标改造。实施吉木萨尔县、呼图壁县、阜康市小微企业VOCs综合治理项目，将低效光氧+活性炭设施升级为活性炭吸附脱附+催化燃烧或RTO等高效设施。完成新疆中建环能北庭环保、新疆渝三峡涂料、新疆阳光炭素等企业VOCs治理改造。</w:t>
                      </w:r>
                    </w:p>
                    <w:p w14:paraId="7235551F">
                      <w:pPr>
                        <w:pStyle w:val="2"/>
                        <w:jc w:val="left"/>
                        <w:rPr>
                          <w:rFonts w:ascii="仿宋_GB2312" w:eastAsia="仿宋_GB2312"/>
                          <w:b/>
                        </w:rPr>
                      </w:pPr>
                      <w:r>
                        <w:rPr>
                          <w:rFonts w:hint="eastAsia" w:ascii="仿宋_GB2312" w:eastAsia="仿宋_GB2312"/>
                          <w:b/>
                        </w:rPr>
                        <w:t>2.工业炉窑（锅炉）清洁能源替代工程。</w:t>
                      </w:r>
                      <w:r>
                        <w:rPr>
                          <w:rFonts w:hint="eastAsia" w:ascii="仿宋_GB2312" w:eastAsia="仿宋_GB2312"/>
                        </w:rPr>
                        <w:t>淘汰中粮糖业奇台糖业分公司</w:t>
                      </w:r>
                      <w:r>
                        <w:rPr>
                          <w:rFonts w:ascii="仿宋_GB2312" w:eastAsia="仿宋_GB2312"/>
                        </w:rPr>
                        <w:t>2台30蒸吨和1台35蒸吨、大黄山40蒸吨和20蒸吨、吉木萨尔县双源热力和天润热力等燃煤锅炉。全面淘汰65蒸吨/小时以下燃煤锅炉。</w:t>
                      </w:r>
                      <w:r>
                        <w:rPr>
                          <w:rFonts w:hint="eastAsia" w:ascii="仿宋_GB2312" w:eastAsia="仿宋_GB2312"/>
                        </w:rPr>
                        <w:t>实施新疆福马陶瓷、吉木萨尔县耐火材料厂、昌粮集团吉木萨尔粮油公司、玛纳斯正新保温等企业工业炉窑或烘干炉“煤改气”、“焦改电”项目。推进昌吉市、呼图壁县、玛纳斯县农业种植、养殖场等涉农领域燃煤设施清洁能源改造，完成</w:t>
                      </w:r>
                      <w:r>
                        <w:rPr>
                          <w:rFonts w:ascii="仿宋_GB2312" w:eastAsia="仿宋_GB2312"/>
                        </w:rPr>
                        <w:t>27家以上企业和养殖场改造。</w:t>
                      </w:r>
                    </w:p>
                    <w:p w14:paraId="1F96278B">
                      <w:pPr>
                        <w:pStyle w:val="2"/>
                        <w:jc w:val="left"/>
                        <w:rPr>
                          <w:rFonts w:ascii="仿宋_GB2312" w:eastAsia="仿宋_GB2312"/>
                          <w:b/>
                        </w:rPr>
                      </w:pPr>
                      <w:r>
                        <w:rPr>
                          <w:rFonts w:hint="eastAsia" w:ascii="仿宋_GB2312" w:eastAsia="仿宋_GB2312"/>
                          <w:b/>
                        </w:rPr>
                        <w:t>3.面源污染精细化管控工程。</w:t>
                      </w:r>
                      <w:r>
                        <w:rPr>
                          <w:rFonts w:ascii="仿宋_GB2312" w:eastAsia="仿宋_GB2312"/>
                        </w:rPr>
                        <w:t>实施昌吉市庙尔沟、呼图壁县红三沟等26处煤田火区综合治理工程。在呼图壁县、玛纳斯县实施餐饮油烟改造治理项目，安装高效油烟净化设施及在线监控设备。实施昌吉市第二污水厂、呼图壁县大丰工业园污水处理厂、玛纳斯县禹源排水、新疆雅明新材料、新疆丝雅源实业等1</w:t>
                      </w:r>
                      <w:r>
                        <w:rPr>
                          <w:rFonts w:hint="eastAsia" w:ascii="仿宋_GB2312" w:eastAsia="仿宋_GB2312"/>
                        </w:rPr>
                        <w:t>4家</w:t>
                      </w:r>
                      <w:r>
                        <w:rPr>
                          <w:rFonts w:ascii="仿宋_GB2312" w:eastAsia="仿宋_GB2312"/>
                        </w:rPr>
                        <w:t>恶臭异味深度治理项目。</w:t>
                      </w:r>
                    </w:p>
                    <w:p w14:paraId="37E5991C">
                      <w:pPr>
                        <w:pStyle w:val="2"/>
                        <w:jc w:val="left"/>
                        <w:rPr>
                          <w:rFonts w:ascii="仿宋_GB2312" w:eastAsia="仿宋_GB2312"/>
                          <w:b/>
                        </w:rPr>
                      </w:pPr>
                      <w:r>
                        <w:rPr>
                          <w:rFonts w:hint="eastAsia" w:ascii="仿宋_GB2312" w:eastAsia="仿宋_GB2312"/>
                          <w:b/>
                        </w:rPr>
                        <w:t>4.移动源污染治理工程。</w:t>
                      </w:r>
                      <w:r>
                        <w:rPr>
                          <w:rFonts w:ascii="仿宋_GB2312" w:eastAsia="仿宋_GB2312"/>
                        </w:rPr>
                        <w:t>分年度淘汰老旧营运货车1969辆、非营运老旧货车</w:t>
                      </w:r>
                      <w:r>
                        <w:rPr>
                          <w:rFonts w:hint="eastAsia" w:ascii="仿宋_GB2312" w:eastAsia="仿宋_GB2312"/>
                        </w:rPr>
                        <w:t>300</w:t>
                      </w:r>
                      <w:r>
                        <w:rPr>
                          <w:rFonts w:ascii="仿宋_GB2312" w:eastAsia="仿宋_GB2312"/>
                        </w:rPr>
                        <w:t>辆、老旧非道路移动机械</w:t>
                      </w:r>
                      <w:r>
                        <w:rPr>
                          <w:rFonts w:hint="eastAsia" w:ascii="仿宋_GB2312" w:eastAsia="仿宋_GB2312"/>
                        </w:rPr>
                        <w:t>100</w:t>
                      </w:r>
                      <w:r>
                        <w:rPr>
                          <w:rFonts w:ascii="仿宋_GB2312" w:eastAsia="仿宋_GB2312"/>
                        </w:rPr>
                        <w:t>辆。推动昌吉市、呼图壁县、玛纳斯县、农高区老旧环卫货车新能源替代。建设昌吉市煤炭仓储及输煤廊道、呼图壁县白杨河矿区专用铁路等项目。推进天山北坡城市建成区内汽油年销售量5000吨以上加油站完成油气三级回收改造。建设“乌-昌-石”区域移动污染源智慧化监管网络，推广应用OBD远程在线监测、遥感监测等技术。</w:t>
                      </w:r>
                    </w:p>
                  </w:txbxContent>
                </v:textbox>
              </v:shape>
            </w:pict>
          </mc:Fallback>
        </mc:AlternateContent>
      </w:r>
    </w:p>
    <w:p w14:paraId="25453C38">
      <w:pPr>
        <w:pStyle w:val="78"/>
        <w:ind w:firstLine="640"/>
      </w:pPr>
    </w:p>
    <w:p w14:paraId="4D13ED56">
      <w:pPr>
        <w:pStyle w:val="78"/>
        <w:ind w:firstLine="640"/>
      </w:pPr>
    </w:p>
    <w:p w14:paraId="692BF3E2">
      <w:pPr>
        <w:pStyle w:val="78"/>
        <w:ind w:firstLine="640"/>
      </w:pPr>
    </w:p>
    <w:p w14:paraId="1E1EB68D">
      <w:pPr>
        <w:pStyle w:val="78"/>
        <w:ind w:firstLine="640"/>
      </w:pPr>
    </w:p>
    <w:p w14:paraId="11BF094E">
      <w:pPr>
        <w:pStyle w:val="78"/>
        <w:ind w:firstLine="640"/>
      </w:pPr>
    </w:p>
    <w:p w14:paraId="63CEC7A9">
      <w:pPr>
        <w:pStyle w:val="78"/>
        <w:ind w:firstLine="640"/>
      </w:pPr>
    </w:p>
    <w:p w14:paraId="60A1B563">
      <w:pPr>
        <w:pStyle w:val="78"/>
        <w:ind w:firstLine="640"/>
      </w:pPr>
    </w:p>
    <w:p w14:paraId="0F558D3D">
      <w:pPr>
        <w:pStyle w:val="78"/>
        <w:ind w:firstLine="640"/>
      </w:pPr>
    </w:p>
    <w:p w14:paraId="215792BF">
      <w:pPr>
        <w:pStyle w:val="78"/>
        <w:ind w:firstLine="640"/>
      </w:pPr>
    </w:p>
    <w:p w14:paraId="5E2B1744">
      <w:pPr>
        <w:pStyle w:val="78"/>
        <w:ind w:firstLine="640"/>
      </w:pPr>
    </w:p>
    <w:p w14:paraId="2AB17F15">
      <w:pPr>
        <w:pStyle w:val="78"/>
        <w:ind w:firstLine="640"/>
      </w:pPr>
    </w:p>
    <w:p w14:paraId="2C881A04">
      <w:pPr>
        <w:pStyle w:val="78"/>
        <w:ind w:firstLine="640"/>
      </w:pPr>
    </w:p>
    <w:p w14:paraId="3772737F">
      <w:pPr>
        <w:pStyle w:val="4"/>
        <w:spacing w:line="700" w:lineRule="exact"/>
        <w:ind w:left="0" w:leftChars="0" w:firstLine="0" w:firstLineChars="0"/>
        <w:jc w:val="center"/>
      </w:pPr>
      <w:bookmarkStart w:id="80" w:name="_Toc227770777"/>
      <w:bookmarkStart w:id="81" w:name="_Toc218867757"/>
      <w:r>
        <w:rPr>
          <w:rFonts w:hint="eastAsia"/>
        </w:rPr>
        <w:t xml:space="preserve">第二节 </w:t>
      </w:r>
      <w:r>
        <w:t>巩固提升水生态环境质量</w:t>
      </w:r>
      <w:bookmarkEnd w:id="80"/>
      <w:bookmarkEnd w:id="81"/>
    </w:p>
    <w:p w14:paraId="62026333">
      <w:pPr>
        <w:pStyle w:val="78"/>
        <w:ind w:firstLine="640"/>
        <w:rPr>
          <w:rFonts w:ascii="仿宋_GB2312"/>
        </w:rPr>
      </w:pPr>
      <w:bookmarkStart w:id="82" w:name="OLE_LINK5"/>
      <w:bookmarkStart w:id="83" w:name="OLE_LINK52"/>
      <w:bookmarkStart w:id="84" w:name="OLE_LINK173"/>
      <w:bookmarkStart w:id="85" w:name="OLE_LINK172"/>
      <w:r>
        <w:rPr>
          <w:rFonts w:hint="eastAsia" w:ascii="仿宋_GB2312"/>
        </w:rPr>
        <w:t>深化落实河湖长制，统筹水资源、水环境、水生态治理，推动地表水水质管理向水生态管理转变。</w:t>
      </w:r>
    </w:p>
    <w:p w14:paraId="2CF13887">
      <w:pPr>
        <w:pStyle w:val="78"/>
        <w:ind w:firstLine="643"/>
        <w:rPr>
          <w:rFonts w:ascii="仿宋_GB2312"/>
        </w:rPr>
      </w:pPr>
      <w:bookmarkStart w:id="86" w:name="OLE_LINK140"/>
      <w:bookmarkStart w:id="87" w:name="OLE_LINK141"/>
      <w:bookmarkStart w:id="88" w:name="OLE_LINK139"/>
      <w:r>
        <w:rPr>
          <w:rFonts w:hint="eastAsia" w:ascii="仿宋_GB2312"/>
          <w:b/>
        </w:rPr>
        <w:t>扎实推进饮用水水源地规范化建设，持续加强环境保护。</w:t>
      </w:r>
      <w:r>
        <w:rPr>
          <w:rFonts w:hint="eastAsia" w:ascii="仿宋_GB2312"/>
        </w:rPr>
        <w:t>通过实施水源地生态整治工程，不断提升水源地环境质量。优化调整饮用水水源地布局，系统做好保护区“划、立、治”工作。依法划定各级保护区范围，并设置明确的地理界标、警示标志和宣传牌。强化饮用水水源地“三区”分级监管，严格落实分级保护制度，实施差异化管控措施。健全“三区”动态监控监测机制，依托“</w:t>
      </w:r>
      <w:r>
        <w:rPr>
          <w:rFonts w:ascii="仿宋_GB2312"/>
        </w:rPr>
        <w:t>实时视频监控+自动水质监测”等手段，构建</w:t>
      </w:r>
      <w:r>
        <w:rPr>
          <w:rFonts w:hint="eastAsia" w:ascii="仿宋_GB2312"/>
        </w:rPr>
        <w:t>一体化</w:t>
      </w:r>
      <w:r>
        <w:rPr>
          <w:rFonts w:ascii="仿宋_GB2312"/>
        </w:rPr>
        <w:t>监管体系</w:t>
      </w:r>
      <w:r>
        <w:rPr>
          <w:rFonts w:hint="eastAsia" w:ascii="仿宋_GB2312"/>
        </w:rPr>
        <w:t>，全面推进环境问题排查整治。实施地下水污染状况调查，强化地下水型水源地环境保护。严控地下水污染防治重点区域环境风险，切实保障地下水水源环境安全。</w:t>
      </w:r>
    </w:p>
    <w:bookmarkEnd w:id="82"/>
    <w:bookmarkEnd w:id="83"/>
    <w:bookmarkEnd w:id="86"/>
    <w:bookmarkEnd w:id="87"/>
    <w:bookmarkEnd w:id="88"/>
    <w:p w14:paraId="46FECCDB">
      <w:pPr>
        <w:pStyle w:val="78"/>
        <w:ind w:firstLine="643"/>
        <w:rPr>
          <w:rFonts w:ascii="仿宋_GB2312"/>
        </w:rPr>
      </w:pPr>
      <w:bookmarkStart w:id="89" w:name="OLE_LINK53"/>
      <w:bookmarkStart w:id="90" w:name="OLE_LINK54"/>
      <w:r>
        <w:rPr>
          <w:rFonts w:hint="eastAsia" w:ascii="仿宋_GB2312"/>
          <w:b/>
        </w:rPr>
        <w:t>严把水资源利用</w:t>
      </w:r>
      <w:r>
        <w:rPr>
          <w:rFonts w:hint="eastAsia" w:ascii="仿宋_GB2312"/>
          <w:b/>
          <w:lang w:eastAsia="zh-CN"/>
        </w:rPr>
        <w:t>上限</w:t>
      </w:r>
      <w:r>
        <w:rPr>
          <w:rFonts w:hint="eastAsia" w:ascii="仿宋_GB2312"/>
          <w:b/>
        </w:rPr>
        <w:t>，严控地下水超采。</w:t>
      </w:r>
      <w:r>
        <w:rPr>
          <w:rFonts w:hint="eastAsia" w:ascii="仿宋_GB2312"/>
        </w:rPr>
        <w:t>严守水资源利用上限，落实“三条红线”管控，强化取用水全过程监管。</w:t>
      </w:r>
      <w:r>
        <w:rPr>
          <w:rFonts w:ascii="仿宋_GB2312"/>
        </w:rPr>
        <w:t>推进农业节水增效，实施高标准农田与高效节水灌溉工程。严格地下水禁采区、限采区管理，通过实施奇台县半截沟镇地表水置换地下水项目等工程，逐步压减超采量，实现采补平衡</w:t>
      </w:r>
      <w:r>
        <w:rPr>
          <w:rFonts w:hint="eastAsia" w:ascii="仿宋_GB2312"/>
        </w:rPr>
        <w:t>。</w:t>
      </w:r>
      <w:r>
        <w:rPr>
          <w:rFonts w:ascii="仿宋_GB2312"/>
        </w:rPr>
        <w:t>加强重点河流生态流量保障。将再生水纳入水资源统一配置，加快再生水利用基础设施建设，实施奇台县城污水处理厂再生水利用工程、吉木萨尔县再生水回用城区建设项目、呼图壁县中水综合利用工程、昌吉高新区产业园区再生水系统项目（二期）等，提</w:t>
      </w:r>
      <w:r>
        <w:rPr>
          <w:rFonts w:hint="eastAsia" w:ascii="仿宋_GB2312"/>
        </w:rPr>
        <w:t>高水资源循环利用水平</w:t>
      </w:r>
      <w:r>
        <w:rPr>
          <w:rFonts w:hint="eastAsia" w:ascii="仿宋_GB2312"/>
          <w:lang w:eastAsia="zh-CN"/>
        </w:rPr>
        <w:t>。</w:t>
      </w:r>
    </w:p>
    <w:bookmarkEnd w:id="89"/>
    <w:bookmarkEnd w:id="90"/>
    <w:p w14:paraId="49384B49">
      <w:pPr>
        <w:pStyle w:val="78"/>
        <w:ind w:firstLine="643"/>
        <w:rPr>
          <w:rFonts w:hint="eastAsia" w:ascii="仿宋_GB2312"/>
        </w:rPr>
      </w:pPr>
      <w:bookmarkStart w:id="91" w:name="OLE_LINK67"/>
      <w:bookmarkStart w:id="92" w:name="OLE_LINK66"/>
      <w:r>
        <w:rPr>
          <w:rFonts w:hint="eastAsia" w:ascii="仿宋_GB2312"/>
          <w:b/>
        </w:rPr>
        <w:t>深化河湖长制，建设美丽河湖</w:t>
      </w:r>
      <w:r>
        <w:rPr>
          <w:rFonts w:hint="eastAsia" w:ascii="仿宋_GB2312"/>
        </w:rPr>
        <w:t>。加强入河排污口规范化建设与监管，基本完成入河排污口排查整治，严格涉河建设项目和活动管理，从源头推动污染减排，改善水生态环境。加强河湖源头治理、系统治理、综合治理，保障河流基本生态流量（水量），完成头屯河自治区级美丽河湖建设，推动玛纳斯河美丽河湖保护与建设。</w:t>
      </w:r>
      <w:bookmarkEnd w:id="91"/>
      <w:bookmarkEnd w:id="92"/>
    </w:p>
    <w:p w14:paraId="16922A2E">
      <w:pPr>
        <w:pStyle w:val="78"/>
        <w:ind w:firstLine="640"/>
      </w:pPr>
      <w:r>
        <w:rPr>
          <w:rFonts w:hint="eastAsia" w:ascii="仿宋_GB2312"/>
          <w:b/>
        </w:rPr>
        <w:t>强化水污染防治，加快补齐城镇污水收集和处理设施短板。</w:t>
      </w:r>
      <w:r>
        <w:rPr>
          <w:rFonts w:hint="eastAsia" w:ascii="仿宋_GB2312"/>
        </w:rPr>
        <w:t>加强城镇生活污水收集处理。推进城镇污水管网全覆盖，开展片区管网系统化整治。对原有污水处理厂进行提标改造或提积扩容工程，提升城镇、园区污水处理能力。进一步加快中水利用建设工程，提高中水利用率。</w:t>
      </w:r>
      <w:bookmarkStart w:id="93" w:name="OLE_LINK97"/>
      <w:r>
        <w:rPr>
          <w:rFonts w:hint="eastAsia" w:ascii="仿宋_GB2312"/>
        </w:rPr>
        <w:t>实施工业废水深度处理及综合利用工程</w:t>
      </w:r>
      <w:bookmarkEnd w:id="93"/>
      <w:r>
        <w:rPr>
          <w:rFonts w:hint="eastAsia" w:ascii="仿宋_GB2312"/>
        </w:rPr>
        <w:t>，按照“应减尽减”原则，对重点排水企业开展水污染物减排工程，落实削减任务，进一步减少水污染物排放总量。</w:t>
      </w:r>
      <w:bookmarkEnd w:id="84"/>
      <w:bookmarkEnd w:id="85"/>
    </w:p>
    <w:p w14:paraId="30FB3631">
      <w:pPr>
        <w:pStyle w:val="78"/>
        <w:ind w:firstLine="640"/>
      </w:pP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106045</wp:posOffset>
                </wp:positionV>
                <wp:extent cx="5400040" cy="2798445"/>
                <wp:effectExtent l="0" t="0" r="10160" b="20955"/>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00040" cy="2798618"/>
                        </a:xfrm>
                        <a:prstGeom prst="rect">
                          <a:avLst/>
                        </a:prstGeom>
                        <a:solidFill>
                          <a:srgbClr val="FFFFFF"/>
                        </a:solidFill>
                        <a:ln w="12700">
                          <a:solidFill>
                            <a:srgbClr val="000000"/>
                          </a:solidFill>
                          <a:miter lim="800000"/>
                        </a:ln>
                      </wps:spPr>
                      <wps:txbx>
                        <w:txbxContent>
                          <w:p w14:paraId="5E90620A">
                            <w:pPr>
                              <w:adjustRightInd w:val="0"/>
                              <w:snapToGrid w:val="0"/>
                              <w:spacing w:line="360" w:lineRule="auto"/>
                              <w:jc w:val="center"/>
                              <w:rPr>
                                <w:rFonts w:ascii="仿宋_GB2312" w:eastAsia="仿宋_GB2312"/>
                                <w:b/>
                                <w:sz w:val="28"/>
                                <w:szCs w:val="28"/>
                              </w:rPr>
                            </w:pPr>
                            <w:r>
                              <w:rPr>
                                <w:rFonts w:hint="eastAsia" w:ascii="仿宋_GB2312" w:eastAsia="仿宋_GB2312"/>
                                <w:b/>
                                <w:sz w:val="28"/>
                                <w:szCs w:val="28"/>
                              </w:rPr>
                              <w:t>专栏3 水生态环境巩固提升工程</w:t>
                            </w:r>
                          </w:p>
                          <w:p w14:paraId="54BDB0A9">
                            <w:pPr>
                              <w:pStyle w:val="2"/>
                              <w:jc w:val="left"/>
                              <w:rPr>
                                <w:rFonts w:ascii="仿宋_GB2312" w:eastAsia="仿宋_GB2312"/>
                              </w:rPr>
                            </w:pPr>
                            <w:r>
                              <w:rPr>
                                <w:rFonts w:hint="eastAsia" w:ascii="仿宋_GB2312" w:eastAsia="仿宋_GB2312"/>
                                <w:b/>
                              </w:rPr>
                              <w:t>1.饮用水水源地保护工程。</w:t>
                            </w:r>
                            <w:r>
                              <w:rPr>
                                <w:rFonts w:hint="eastAsia" w:ascii="仿宋_GB2312" w:eastAsia="仿宋_GB2312"/>
                              </w:rPr>
                              <w:t>实施木垒县、吉木萨尔县、呼图壁县</w:t>
                            </w:r>
                            <w:r>
                              <w:rPr>
                                <w:rFonts w:ascii="仿宋_GB2312" w:eastAsia="仿宋_GB2312"/>
                              </w:rPr>
                              <w:t>1</w:t>
                            </w:r>
                            <w:r>
                              <w:rPr>
                                <w:rFonts w:hint="eastAsia" w:ascii="仿宋_GB2312" w:eastAsia="仿宋_GB2312"/>
                              </w:rPr>
                              <w:t>9</w:t>
                            </w:r>
                            <w:r>
                              <w:rPr>
                                <w:rFonts w:ascii="仿宋_GB2312" w:eastAsia="仿宋_GB2312"/>
                              </w:rPr>
                              <w:t>个集中式饮用水水源地</w:t>
                            </w:r>
                            <w:r>
                              <w:rPr>
                                <w:rFonts w:hint="eastAsia" w:ascii="仿宋_GB2312" w:eastAsia="仿宋_GB2312"/>
                              </w:rPr>
                              <w:t>保护项目</w:t>
                            </w:r>
                            <w:r>
                              <w:rPr>
                                <w:rFonts w:ascii="仿宋_GB2312" w:eastAsia="仿宋_GB2312"/>
                              </w:rPr>
                              <w:t>；</w:t>
                            </w:r>
                            <w:r>
                              <w:rPr>
                                <w:rFonts w:hint="eastAsia" w:ascii="仿宋_GB2312" w:eastAsia="仿宋_GB2312"/>
                              </w:rPr>
                              <w:t>实施玛纳斯县饮用水水源地规范化建设项目（防护栏</w:t>
                            </w:r>
                            <w:r>
                              <w:rPr>
                                <w:rFonts w:ascii="仿宋_GB2312" w:eastAsia="仿宋_GB2312"/>
                              </w:rPr>
                              <w:t>13092米、防撞墙6公里、生态修复102414.2平方米）</w:t>
                            </w:r>
                            <w:r>
                              <w:rPr>
                                <w:rFonts w:hint="eastAsia" w:ascii="仿宋_GB2312" w:eastAsia="仿宋_GB2312"/>
                              </w:rPr>
                              <w:t>；开展天池、玛纳斯河生态保护修复工程</w:t>
                            </w:r>
                            <w:r>
                              <w:rPr>
                                <w:rFonts w:ascii="仿宋_GB2312" w:eastAsia="仿宋_GB2312"/>
                              </w:rPr>
                              <w:t>。</w:t>
                            </w:r>
                          </w:p>
                          <w:p w14:paraId="72ECC1BF">
                            <w:pPr>
                              <w:pStyle w:val="2"/>
                              <w:jc w:val="left"/>
                              <w:rPr>
                                <w:rFonts w:ascii="仿宋_GB2312" w:eastAsia="仿宋_GB2312"/>
                              </w:rPr>
                            </w:pPr>
                            <w:r>
                              <w:rPr>
                                <w:rFonts w:hint="eastAsia" w:ascii="仿宋_GB2312" w:eastAsia="仿宋_GB2312"/>
                                <w:b/>
                              </w:rPr>
                              <w:t>2.城镇污水收集处理能力提升工程。</w:t>
                            </w:r>
                            <w:r>
                              <w:rPr>
                                <w:rFonts w:hint="eastAsia" w:ascii="仿宋_GB2312" w:eastAsia="仿宋_GB2312"/>
                              </w:rPr>
                              <w:t>实施4</w:t>
                            </w:r>
                            <w:r>
                              <w:rPr>
                                <w:rFonts w:ascii="仿宋_GB2312" w:eastAsia="仿宋_GB2312"/>
                              </w:rPr>
                              <w:t>个污水处理设施建设工程（提标改造、提积扩容）；</w:t>
                            </w:r>
                            <w:r>
                              <w:rPr>
                                <w:rFonts w:hint="eastAsia" w:ascii="仿宋_GB2312" w:eastAsia="仿宋_GB2312"/>
                              </w:rPr>
                              <w:t>实施8</w:t>
                            </w:r>
                            <w:r>
                              <w:rPr>
                                <w:rFonts w:ascii="仿宋_GB2312" w:eastAsia="仿宋_GB2312"/>
                              </w:rPr>
                              <w:t>个再生水、中水利用工程项目，新建</w:t>
                            </w:r>
                            <w:r>
                              <w:rPr>
                                <w:rFonts w:hint="eastAsia" w:ascii="仿宋_GB2312" w:eastAsia="仿宋_GB2312"/>
                              </w:rPr>
                              <w:t>排水管网及附属配套设施建设</w:t>
                            </w:r>
                            <w:r>
                              <w:rPr>
                                <w:rFonts w:ascii="仿宋_GB2312" w:eastAsia="仿宋_GB2312"/>
                              </w:rPr>
                              <w:t>；</w:t>
                            </w:r>
                            <w:r>
                              <w:rPr>
                                <w:rFonts w:hint="eastAsia" w:ascii="仿宋_GB2312" w:eastAsia="仿宋_GB2312"/>
                              </w:rPr>
                              <w:t>推进工业废水深度处理及综合利用，落实重点排水企业水污染物减排任务。</w:t>
                            </w:r>
                          </w:p>
                          <w:p w14:paraId="5192F674">
                            <w:pPr>
                              <w:pStyle w:val="2"/>
                              <w:jc w:val="left"/>
                              <w:rPr>
                                <w:rFonts w:ascii="仿宋_GB2312" w:eastAsia="仿宋_GB2312"/>
                              </w:rPr>
                            </w:pPr>
                            <w:r>
                              <w:rPr>
                                <w:rFonts w:hint="eastAsia" w:ascii="仿宋_GB2312" w:eastAsia="仿宋_GB2312"/>
                                <w:b/>
                              </w:rPr>
                              <w:t>3.水资源优化配置与生态流量保障工程。</w:t>
                            </w:r>
                            <w:r>
                              <w:rPr>
                                <w:rFonts w:hint="eastAsia" w:ascii="仿宋_GB2312" w:eastAsia="仿宋_GB2312"/>
                              </w:rPr>
                              <w:t>实施昌吉回族自治州地表水保护治理项目，聚焦头屯河、玛纳斯河、三屯河、开垦河和三工河五条主要河流，从水生态、水资源、水环境三个层面对全州</w:t>
                            </w:r>
                            <w:r>
                              <w:rPr>
                                <w:rFonts w:ascii="仿宋_GB2312" w:eastAsia="仿宋_GB2312"/>
                              </w:rPr>
                              <w:t>5个主要流域开展生态保护和水环境治理工作</w:t>
                            </w:r>
                            <w:r>
                              <w:rPr>
                                <w:rFonts w:hint="eastAsia" w:ascii="仿宋_GB2312" w:eastAsia="仿宋_GB2312"/>
                                <w:b/>
                              </w:rPr>
                              <w:t>；</w:t>
                            </w:r>
                            <w:r>
                              <w:rPr>
                                <w:rFonts w:hint="eastAsia" w:ascii="仿宋_GB2312" w:eastAsia="仿宋_GB2312"/>
                              </w:rPr>
                              <w:t>实施奇台县半截沟镇地表水置换地下水项目；推进玛纳斯河美丽河湖保护与建设</w:t>
                            </w:r>
                            <w:r>
                              <w:rPr>
                                <w:rFonts w:ascii="仿宋_GB2312" w:eastAsia="仿宋_GB2312"/>
                              </w:rPr>
                              <w:t>。</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0pt;margin-top:8.35pt;height:220.35pt;width:425.2pt;z-index:251665408;mso-width-relative:page;mso-height-relative:page;" fillcolor="#FFFFFF" filled="t" stroked="t" coordsize="21600,21600" o:gfxdata="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2M9uvaAAAABwEAAA8AAAAAAAAAAQAgAAAAIgAAAGRy&#10;cy9kb3ducmV2LnhtbFBLAQIUABQAAAAIAIdO4kBc/Mi+PAIAAH0EAAAOAAAAAAAAAAEAIAAAACkB&#10;AABkcnMvZTJvRG9jLnhtbFBLBQYAAAAABgAGAFkBAADXBQAAAAA=&#10;">
                <v:fill on="t" focussize="0,0"/>
                <v:stroke weight="1pt" color="#000000" miterlimit="8" joinstyle="miter"/>
                <v:imagedata o:title=""/>
                <o:lock v:ext="edit" aspectratio="f"/>
                <v:textbox>
                  <w:txbxContent>
                    <w:p w14:paraId="5E90620A">
                      <w:pPr>
                        <w:adjustRightInd w:val="0"/>
                        <w:snapToGrid w:val="0"/>
                        <w:spacing w:line="360" w:lineRule="auto"/>
                        <w:jc w:val="center"/>
                        <w:rPr>
                          <w:rFonts w:ascii="仿宋_GB2312" w:eastAsia="仿宋_GB2312"/>
                          <w:b/>
                          <w:sz w:val="28"/>
                          <w:szCs w:val="28"/>
                        </w:rPr>
                      </w:pPr>
                      <w:r>
                        <w:rPr>
                          <w:rFonts w:hint="eastAsia" w:ascii="仿宋_GB2312" w:eastAsia="仿宋_GB2312"/>
                          <w:b/>
                          <w:sz w:val="28"/>
                          <w:szCs w:val="28"/>
                        </w:rPr>
                        <w:t>专栏3 水生态环境巩固提升工程</w:t>
                      </w:r>
                    </w:p>
                    <w:p w14:paraId="54BDB0A9">
                      <w:pPr>
                        <w:pStyle w:val="2"/>
                        <w:jc w:val="left"/>
                        <w:rPr>
                          <w:rFonts w:ascii="仿宋_GB2312" w:eastAsia="仿宋_GB2312"/>
                        </w:rPr>
                      </w:pPr>
                      <w:r>
                        <w:rPr>
                          <w:rFonts w:hint="eastAsia" w:ascii="仿宋_GB2312" w:eastAsia="仿宋_GB2312"/>
                          <w:b/>
                        </w:rPr>
                        <w:t>1.饮用水水源地保护工程。</w:t>
                      </w:r>
                      <w:r>
                        <w:rPr>
                          <w:rFonts w:hint="eastAsia" w:ascii="仿宋_GB2312" w:eastAsia="仿宋_GB2312"/>
                        </w:rPr>
                        <w:t>实施木垒县、吉木萨尔县、呼图壁县</w:t>
                      </w:r>
                      <w:r>
                        <w:rPr>
                          <w:rFonts w:ascii="仿宋_GB2312" w:eastAsia="仿宋_GB2312"/>
                        </w:rPr>
                        <w:t>1</w:t>
                      </w:r>
                      <w:r>
                        <w:rPr>
                          <w:rFonts w:hint="eastAsia" w:ascii="仿宋_GB2312" w:eastAsia="仿宋_GB2312"/>
                        </w:rPr>
                        <w:t>9</w:t>
                      </w:r>
                      <w:r>
                        <w:rPr>
                          <w:rFonts w:ascii="仿宋_GB2312" w:eastAsia="仿宋_GB2312"/>
                        </w:rPr>
                        <w:t>个集中式饮用水水源地</w:t>
                      </w:r>
                      <w:r>
                        <w:rPr>
                          <w:rFonts w:hint="eastAsia" w:ascii="仿宋_GB2312" w:eastAsia="仿宋_GB2312"/>
                        </w:rPr>
                        <w:t>保护项目</w:t>
                      </w:r>
                      <w:r>
                        <w:rPr>
                          <w:rFonts w:ascii="仿宋_GB2312" w:eastAsia="仿宋_GB2312"/>
                        </w:rPr>
                        <w:t>；</w:t>
                      </w:r>
                      <w:r>
                        <w:rPr>
                          <w:rFonts w:hint="eastAsia" w:ascii="仿宋_GB2312" w:eastAsia="仿宋_GB2312"/>
                        </w:rPr>
                        <w:t>实施玛纳斯县饮用水水源地规范化建设项目（防护栏</w:t>
                      </w:r>
                      <w:r>
                        <w:rPr>
                          <w:rFonts w:ascii="仿宋_GB2312" w:eastAsia="仿宋_GB2312"/>
                        </w:rPr>
                        <w:t>13092米、防撞墙6公里、生态修复102414.2平方米）</w:t>
                      </w:r>
                      <w:r>
                        <w:rPr>
                          <w:rFonts w:hint="eastAsia" w:ascii="仿宋_GB2312" w:eastAsia="仿宋_GB2312"/>
                        </w:rPr>
                        <w:t>；开展天池、玛纳斯河生态保护修复工程</w:t>
                      </w:r>
                      <w:r>
                        <w:rPr>
                          <w:rFonts w:ascii="仿宋_GB2312" w:eastAsia="仿宋_GB2312"/>
                        </w:rPr>
                        <w:t>。</w:t>
                      </w:r>
                    </w:p>
                    <w:p w14:paraId="72ECC1BF">
                      <w:pPr>
                        <w:pStyle w:val="2"/>
                        <w:jc w:val="left"/>
                        <w:rPr>
                          <w:rFonts w:ascii="仿宋_GB2312" w:eastAsia="仿宋_GB2312"/>
                        </w:rPr>
                      </w:pPr>
                      <w:r>
                        <w:rPr>
                          <w:rFonts w:hint="eastAsia" w:ascii="仿宋_GB2312" w:eastAsia="仿宋_GB2312"/>
                          <w:b/>
                        </w:rPr>
                        <w:t>2.城镇污水收集处理能力提升工程。</w:t>
                      </w:r>
                      <w:r>
                        <w:rPr>
                          <w:rFonts w:hint="eastAsia" w:ascii="仿宋_GB2312" w:eastAsia="仿宋_GB2312"/>
                        </w:rPr>
                        <w:t>实施4</w:t>
                      </w:r>
                      <w:r>
                        <w:rPr>
                          <w:rFonts w:ascii="仿宋_GB2312" w:eastAsia="仿宋_GB2312"/>
                        </w:rPr>
                        <w:t>个污水处理设施建设工程（提标改造、提积扩容）；</w:t>
                      </w:r>
                      <w:r>
                        <w:rPr>
                          <w:rFonts w:hint="eastAsia" w:ascii="仿宋_GB2312" w:eastAsia="仿宋_GB2312"/>
                        </w:rPr>
                        <w:t>实施8</w:t>
                      </w:r>
                      <w:r>
                        <w:rPr>
                          <w:rFonts w:ascii="仿宋_GB2312" w:eastAsia="仿宋_GB2312"/>
                        </w:rPr>
                        <w:t>个再生水、中水利用工程项目，新建</w:t>
                      </w:r>
                      <w:r>
                        <w:rPr>
                          <w:rFonts w:hint="eastAsia" w:ascii="仿宋_GB2312" w:eastAsia="仿宋_GB2312"/>
                        </w:rPr>
                        <w:t>排水管网及附属配套设施建设</w:t>
                      </w:r>
                      <w:r>
                        <w:rPr>
                          <w:rFonts w:ascii="仿宋_GB2312" w:eastAsia="仿宋_GB2312"/>
                        </w:rPr>
                        <w:t>；</w:t>
                      </w:r>
                      <w:r>
                        <w:rPr>
                          <w:rFonts w:hint="eastAsia" w:ascii="仿宋_GB2312" w:eastAsia="仿宋_GB2312"/>
                        </w:rPr>
                        <w:t>推进工业废水深度处理及综合利用，落实重点排水企业水污染物减排任务。</w:t>
                      </w:r>
                    </w:p>
                    <w:p w14:paraId="5192F674">
                      <w:pPr>
                        <w:pStyle w:val="2"/>
                        <w:jc w:val="left"/>
                        <w:rPr>
                          <w:rFonts w:ascii="仿宋_GB2312" w:eastAsia="仿宋_GB2312"/>
                        </w:rPr>
                      </w:pPr>
                      <w:r>
                        <w:rPr>
                          <w:rFonts w:hint="eastAsia" w:ascii="仿宋_GB2312" w:eastAsia="仿宋_GB2312"/>
                          <w:b/>
                        </w:rPr>
                        <w:t>3.水资源优化配置与生态流量保障工程。</w:t>
                      </w:r>
                      <w:r>
                        <w:rPr>
                          <w:rFonts w:hint="eastAsia" w:ascii="仿宋_GB2312" w:eastAsia="仿宋_GB2312"/>
                        </w:rPr>
                        <w:t>实施昌吉回族自治州地表水保护治理项目，聚焦头屯河、玛纳斯河、三屯河、开垦河和三工河五条主要河流，从水生态、水资源、水环境三个层面对全州</w:t>
                      </w:r>
                      <w:r>
                        <w:rPr>
                          <w:rFonts w:ascii="仿宋_GB2312" w:eastAsia="仿宋_GB2312"/>
                        </w:rPr>
                        <w:t>5个主要流域开展生态保护和水环境治理工作</w:t>
                      </w:r>
                      <w:r>
                        <w:rPr>
                          <w:rFonts w:hint="eastAsia" w:ascii="仿宋_GB2312" w:eastAsia="仿宋_GB2312"/>
                          <w:b/>
                        </w:rPr>
                        <w:t>；</w:t>
                      </w:r>
                      <w:r>
                        <w:rPr>
                          <w:rFonts w:hint="eastAsia" w:ascii="仿宋_GB2312" w:eastAsia="仿宋_GB2312"/>
                        </w:rPr>
                        <w:t>实施奇台县半截沟镇地表水置换地下水项目；推进玛纳斯河美丽河湖保护与建设</w:t>
                      </w:r>
                      <w:r>
                        <w:rPr>
                          <w:rFonts w:ascii="仿宋_GB2312" w:eastAsia="仿宋_GB2312"/>
                        </w:rPr>
                        <w:t>。</w:t>
                      </w:r>
                    </w:p>
                  </w:txbxContent>
                </v:textbox>
              </v:shape>
            </w:pict>
          </mc:Fallback>
        </mc:AlternateContent>
      </w:r>
    </w:p>
    <w:p w14:paraId="00D18CD0">
      <w:pPr>
        <w:pStyle w:val="78"/>
        <w:ind w:firstLine="640"/>
      </w:pPr>
    </w:p>
    <w:p w14:paraId="6651D9FE">
      <w:pPr>
        <w:pStyle w:val="78"/>
        <w:ind w:firstLine="640"/>
      </w:pPr>
    </w:p>
    <w:p w14:paraId="51A3CF9D">
      <w:pPr>
        <w:pStyle w:val="78"/>
        <w:ind w:firstLine="640"/>
      </w:pPr>
    </w:p>
    <w:p w14:paraId="43DAA5AF">
      <w:pPr>
        <w:pStyle w:val="78"/>
        <w:ind w:firstLine="640"/>
      </w:pPr>
    </w:p>
    <w:p w14:paraId="234656EB">
      <w:pPr>
        <w:pStyle w:val="78"/>
        <w:ind w:firstLine="640"/>
      </w:pPr>
    </w:p>
    <w:p w14:paraId="6C5A6605">
      <w:pPr>
        <w:pStyle w:val="78"/>
        <w:ind w:firstLine="640"/>
      </w:pPr>
    </w:p>
    <w:p w14:paraId="2C7077CA">
      <w:pPr>
        <w:pStyle w:val="78"/>
        <w:ind w:firstLine="640"/>
      </w:pPr>
    </w:p>
    <w:p w14:paraId="5FECB2C7">
      <w:pPr>
        <w:pStyle w:val="78"/>
        <w:ind w:firstLine="640"/>
      </w:pPr>
    </w:p>
    <w:p w14:paraId="5C5ACF66">
      <w:pPr>
        <w:pStyle w:val="78"/>
        <w:ind w:firstLine="640"/>
      </w:pPr>
    </w:p>
    <w:p w14:paraId="7C376AC4">
      <w:pPr>
        <w:pStyle w:val="4"/>
        <w:spacing w:line="700" w:lineRule="exact"/>
        <w:ind w:firstLine="643"/>
        <w:jc w:val="center"/>
        <w:rPr>
          <w:lang w:bidi="en-US"/>
        </w:rPr>
      </w:pPr>
      <w:bookmarkStart w:id="94" w:name="_Toc218867758"/>
      <w:bookmarkStart w:id="95" w:name="_Toc227770778"/>
      <w:r>
        <w:rPr>
          <w:rFonts w:hint="eastAsia"/>
        </w:rPr>
        <w:t xml:space="preserve">第三节 </w:t>
      </w:r>
      <w:r>
        <w:rPr>
          <w:lang w:bidi="en-US"/>
        </w:rPr>
        <w:t>着力保障土壤环境安全</w:t>
      </w:r>
      <w:bookmarkEnd w:id="94"/>
      <w:bookmarkEnd w:id="95"/>
    </w:p>
    <w:p w14:paraId="61F00C4D">
      <w:pPr>
        <w:pStyle w:val="78"/>
        <w:ind w:firstLine="643"/>
        <w:rPr>
          <w:rFonts w:ascii="仿宋_GB2312"/>
        </w:rPr>
      </w:pPr>
      <w:bookmarkStart w:id="96" w:name="OLE_LINK147"/>
      <w:bookmarkStart w:id="97" w:name="OLE_LINK148"/>
      <w:bookmarkStart w:id="98" w:name="OLE_LINK175"/>
      <w:bookmarkStart w:id="99" w:name="OLE_LINK174"/>
      <w:r>
        <w:rPr>
          <w:rFonts w:hint="eastAsia" w:ascii="仿宋_GB2312"/>
          <w:b/>
        </w:rPr>
        <w:t>加强农用地分类管理和保护。</w:t>
      </w:r>
      <w:bookmarkStart w:id="100" w:name="OLE_LINK154"/>
      <w:bookmarkStart w:id="101" w:name="OLE_LINK153"/>
      <w:r>
        <w:rPr>
          <w:rFonts w:hint="eastAsia" w:ascii="仿宋_GB2312"/>
        </w:rPr>
        <w:t>强化优先保护类耕地管理，加强土壤生态环境质量监测；同时，加强盐碱地生态环境保护与改良。强化农业面源污染治理，发展生态循环农业，重点推进废弃农膜回收利用和畜禽养殖等农业废弃物的减量化、资源化、无害化处理。</w:t>
      </w:r>
      <w:bookmarkEnd w:id="96"/>
      <w:bookmarkEnd w:id="97"/>
      <w:bookmarkEnd w:id="100"/>
      <w:bookmarkEnd w:id="101"/>
      <w:r>
        <w:rPr>
          <w:rFonts w:hint="eastAsia" w:ascii="仿宋_GB2312"/>
          <w:b/>
        </w:rPr>
        <w:t>建设用地安全利用得到有效保障。</w:t>
      </w:r>
      <w:r>
        <w:rPr>
          <w:rFonts w:hint="eastAsia" w:ascii="仿宋_GB2312"/>
        </w:rPr>
        <w:t>加强重点行业企业土壤污染防治监管，严格落实“一住两公”和优先监管地块的土壤污染状况调查，着力消除存量土壤污染或有效管控土壤污染风险。开展全州建设用地土壤污染风险评估，分阶段实施各县市（园区）的化工园区土壤污染状况调查及土壤污染企业风险管控和修复。强化重点单位环境管理，确保土壤污染重点监管单位纳入环境监管重点单位名录，督促土壤污染重点监管单位落实管控要求，全面开展土壤污染重点监管单位周边土壤和地下水环境监测。</w:t>
      </w:r>
    </w:p>
    <w:bookmarkEnd w:id="98"/>
    <w:bookmarkEnd w:id="99"/>
    <w:p w14:paraId="67337499">
      <w:pPr>
        <w:pStyle w:val="78"/>
        <w:ind w:firstLine="640"/>
        <w:rPr>
          <w:rFonts w:ascii="仿宋_GB2312"/>
        </w:rPr>
      </w:pPr>
      <w:r>
        <mc:AlternateContent>
          <mc:Choice Requires="wps">
            <w:drawing>
              <wp:anchor distT="0" distB="0" distL="114300" distR="114300" simplePos="0" relativeHeight="251666432" behindDoc="0" locked="0" layoutInCell="1" allowOverlap="1">
                <wp:simplePos x="0" y="0"/>
                <wp:positionH relativeFrom="column">
                  <wp:posOffset>-14605</wp:posOffset>
                </wp:positionH>
                <wp:positionV relativeFrom="paragraph">
                  <wp:posOffset>91440</wp:posOffset>
                </wp:positionV>
                <wp:extent cx="5400040" cy="1403985"/>
                <wp:effectExtent l="0" t="0" r="10160" b="18415"/>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00040" cy="1403985"/>
                        </a:xfrm>
                        <a:prstGeom prst="rect">
                          <a:avLst/>
                        </a:prstGeom>
                        <a:solidFill>
                          <a:srgbClr val="FFFFFF"/>
                        </a:solidFill>
                        <a:ln w="12700">
                          <a:solidFill>
                            <a:srgbClr val="000000"/>
                          </a:solidFill>
                          <a:miter lim="800000"/>
                        </a:ln>
                      </wps:spPr>
                      <wps:txbx>
                        <w:txbxContent>
                          <w:p w14:paraId="6D08A74A">
                            <w:pPr>
                              <w:adjustRightInd w:val="0"/>
                              <w:snapToGrid w:val="0"/>
                              <w:spacing w:line="360" w:lineRule="auto"/>
                              <w:jc w:val="center"/>
                              <w:rPr>
                                <w:rFonts w:ascii="仿宋_GB2312" w:eastAsia="仿宋_GB2312"/>
                                <w:b/>
                                <w:sz w:val="28"/>
                                <w:szCs w:val="28"/>
                              </w:rPr>
                            </w:pPr>
                            <w:r>
                              <w:rPr>
                                <w:rFonts w:hint="eastAsia" w:ascii="仿宋_GB2312" w:eastAsia="仿宋_GB2312"/>
                                <w:b/>
                                <w:sz w:val="28"/>
                                <w:szCs w:val="28"/>
                              </w:rPr>
                              <w:t>专栏4 土壤环境安全保障工程</w:t>
                            </w:r>
                          </w:p>
                          <w:p w14:paraId="25FE667C">
                            <w:pPr>
                              <w:pStyle w:val="2"/>
                              <w:jc w:val="left"/>
                              <w:rPr>
                                <w:rFonts w:ascii="仿宋_GB2312" w:eastAsia="仿宋_GB2312"/>
                              </w:rPr>
                            </w:pPr>
                            <w:r>
                              <w:rPr>
                                <w:rFonts w:hint="eastAsia" w:ascii="仿宋_GB2312" w:eastAsia="仿宋_GB2312"/>
                                <w:b/>
                              </w:rPr>
                              <w:t>1.重点地块土壤污染调查与治理修复工程。</w:t>
                            </w:r>
                            <w:r>
                              <w:rPr>
                                <w:rFonts w:hint="eastAsia" w:ascii="仿宋_GB2312" w:eastAsia="仿宋_GB2312"/>
                              </w:rPr>
                              <w:t>实施阜康市优先监管地块土壤污染状况调查及治理修复项目（博达焦化、艾斯米尔焦煤）；实施阜康市土壤污染治理体系建设项目；分阶段实施各县市（园区）化工园区土壤污染状况调查。</w:t>
                            </w:r>
                          </w:p>
                          <w:p w14:paraId="10A47E9D">
                            <w:pPr>
                              <w:pStyle w:val="2"/>
                              <w:jc w:val="left"/>
                              <w:rPr>
                                <w:rFonts w:ascii="仿宋_GB2312" w:eastAsia="仿宋_GB2312"/>
                              </w:rPr>
                            </w:pPr>
                            <w:r>
                              <w:rPr>
                                <w:rFonts w:hint="eastAsia" w:ascii="仿宋_GB2312" w:eastAsia="仿宋_GB2312"/>
                                <w:b/>
                              </w:rPr>
                              <w:t>2.地下水环境调查评估工程。</w:t>
                            </w:r>
                            <w:r>
                              <w:rPr>
                                <w:rFonts w:hint="eastAsia" w:ascii="仿宋_GB2312" w:eastAsia="仿宋_GB2312"/>
                              </w:rPr>
                              <w:t>实施</w:t>
                            </w:r>
                            <w:r>
                              <w:rPr>
                                <w:rFonts w:ascii="仿宋_GB2312" w:eastAsia="仿宋_GB2312"/>
                              </w:rPr>
                              <w:t>阜康市产业园</w:t>
                            </w:r>
                            <w:r>
                              <w:rPr>
                                <w:rFonts w:hint="eastAsia" w:ascii="仿宋_GB2312" w:eastAsia="仿宋_GB2312"/>
                              </w:rPr>
                              <w:t>园</w:t>
                            </w:r>
                            <w:r>
                              <w:rPr>
                                <w:rFonts w:ascii="仿宋_GB2312" w:eastAsia="仿宋_GB2312"/>
                              </w:rPr>
                              <w:t>区、准东经济技术开发区化工园区、昌吉州垃圾填埋场</w:t>
                            </w:r>
                            <w:r>
                              <w:rPr>
                                <w:rFonts w:hint="eastAsia" w:ascii="仿宋_GB2312" w:eastAsia="仿宋_GB2312"/>
                              </w:rPr>
                              <w:t>等</w:t>
                            </w:r>
                            <w:r>
                              <w:rPr>
                                <w:rFonts w:ascii="仿宋_GB2312" w:eastAsia="仿宋_GB2312"/>
                              </w:rPr>
                              <w:t>地下水详调项目</w:t>
                            </w:r>
                            <w:r>
                              <w:rPr>
                                <w:rFonts w:hint="eastAsia" w:ascii="仿宋_GB2312" w:eastAsia="仿宋_GB2312"/>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15pt;margin-top:7.2pt;height:110.55pt;width:425.2pt;z-index:251666432;mso-width-relative:page;mso-height-relative:margin;mso-height-percent:200;" fillcolor="#FFFFFF" filled="t" stroked="t" coordsize="21600,21600" o:gfxdata="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FnymV2QAAAAkBAAAPAAAAAAAAAAEAIAAAACIAAABkcnMv&#10;ZG93bnJldi54bWxQSwECFAAUAAAACACHTuJAi4PJbjsCAAB9BAAADgAAAAAAAAABACAAAAAoAQAA&#10;ZHJzL2Uyb0RvYy54bWxQSwUGAAAAAAYABgBZAQAA1QUAAAAA&#10;">
                <v:fill on="t" focussize="0,0"/>
                <v:stroke weight="1pt" color="#000000" miterlimit="8" joinstyle="miter"/>
                <v:imagedata o:title=""/>
                <o:lock v:ext="edit" aspectratio="f"/>
                <v:textbox style="mso-fit-shape-to-text:t;">
                  <w:txbxContent>
                    <w:p w14:paraId="6D08A74A">
                      <w:pPr>
                        <w:adjustRightInd w:val="0"/>
                        <w:snapToGrid w:val="0"/>
                        <w:spacing w:line="360" w:lineRule="auto"/>
                        <w:jc w:val="center"/>
                        <w:rPr>
                          <w:rFonts w:ascii="仿宋_GB2312" w:eastAsia="仿宋_GB2312"/>
                          <w:b/>
                          <w:sz w:val="28"/>
                          <w:szCs w:val="28"/>
                        </w:rPr>
                      </w:pPr>
                      <w:r>
                        <w:rPr>
                          <w:rFonts w:hint="eastAsia" w:ascii="仿宋_GB2312" w:eastAsia="仿宋_GB2312"/>
                          <w:b/>
                          <w:sz w:val="28"/>
                          <w:szCs w:val="28"/>
                        </w:rPr>
                        <w:t>专栏4 土壤环境安全保障工程</w:t>
                      </w:r>
                    </w:p>
                    <w:p w14:paraId="25FE667C">
                      <w:pPr>
                        <w:pStyle w:val="2"/>
                        <w:jc w:val="left"/>
                        <w:rPr>
                          <w:rFonts w:ascii="仿宋_GB2312" w:eastAsia="仿宋_GB2312"/>
                        </w:rPr>
                      </w:pPr>
                      <w:r>
                        <w:rPr>
                          <w:rFonts w:hint="eastAsia" w:ascii="仿宋_GB2312" w:eastAsia="仿宋_GB2312"/>
                          <w:b/>
                        </w:rPr>
                        <w:t>1.重点地块土壤污染调查与治理修复工程。</w:t>
                      </w:r>
                      <w:r>
                        <w:rPr>
                          <w:rFonts w:hint="eastAsia" w:ascii="仿宋_GB2312" w:eastAsia="仿宋_GB2312"/>
                        </w:rPr>
                        <w:t>实施阜康市优先监管地块土壤污染状况调查及治理修复项目（博达焦化、艾斯米尔焦煤）；实施阜康市土壤污染治理体系建设项目；分阶段实施各县市（园区）化工园区土壤污染状况调查。</w:t>
                      </w:r>
                    </w:p>
                    <w:p w14:paraId="10A47E9D">
                      <w:pPr>
                        <w:pStyle w:val="2"/>
                        <w:jc w:val="left"/>
                        <w:rPr>
                          <w:rFonts w:ascii="仿宋_GB2312" w:eastAsia="仿宋_GB2312"/>
                        </w:rPr>
                      </w:pPr>
                      <w:r>
                        <w:rPr>
                          <w:rFonts w:hint="eastAsia" w:ascii="仿宋_GB2312" w:eastAsia="仿宋_GB2312"/>
                          <w:b/>
                        </w:rPr>
                        <w:t>2.地下水环境调查评估工程。</w:t>
                      </w:r>
                      <w:r>
                        <w:rPr>
                          <w:rFonts w:hint="eastAsia" w:ascii="仿宋_GB2312" w:eastAsia="仿宋_GB2312"/>
                        </w:rPr>
                        <w:t>实施</w:t>
                      </w:r>
                      <w:r>
                        <w:rPr>
                          <w:rFonts w:ascii="仿宋_GB2312" w:eastAsia="仿宋_GB2312"/>
                        </w:rPr>
                        <w:t>阜康市产业园</w:t>
                      </w:r>
                      <w:r>
                        <w:rPr>
                          <w:rFonts w:hint="eastAsia" w:ascii="仿宋_GB2312" w:eastAsia="仿宋_GB2312"/>
                        </w:rPr>
                        <w:t>园</w:t>
                      </w:r>
                      <w:r>
                        <w:rPr>
                          <w:rFonts w:ascii="仿宋_GB2312" w:eastAsia="仿宋_GB2312"/>
                        </w:rPr>
                        <w:t>区、准东经济技术开发区化工园区、昌吉州垃圾填埋场</w:t>
                      </w:r>
                      <w:r>
                        <w:rPr>
                          <w:rFonts w:hint="eastAsia" w:ascii="仿宋_GB2312" w:eastAsia="仿宋_GB2312"/>
                        </w:rPr>
                        <w:t>等</w:t>
                      </w:r>
                      <w:r>
                        <w:rPr>
                          <w:rFonts w:ascii="仿宋_GB2312" w:eastAsia="仿宋_GB2312"/>
                        </w:rPr>
                        <w:t>地下水详调项目</w:t>
                      </w:r>
                      <w:r>
                        <w:rPr>
                          <w:rFonts w:hint="eastAsia" w:ascii="仿宋_GB2312" w:eastAsia="仿宋_GB2312"/>
                        </w:rPr>
                        <w:t>。</w:t>
                      </w:r>
                    </w:p>
                  </w:txbxContent>
                </v:textbox>
              </v:shape>
            </w:pict>
          </mc:Fallback>
        </mc:AlternateContent>
      </w:r>
    </w:p>
    <w:p w14:paraId="491E586E">
      <w:pPr>
        <w:pStyle w:val="78"/>
        <w:ind w:firstLine="640"/>
        <w:rPr>
          <w:rFonts w:ascii="仿宋_GB2312"/>
        </w:rPr>
      </w:pPr>
    </w:p>
    <w:p w14:paraId="30D69679">
      <w:pPr>
        <w:pStyle w:val="78"/>
        <w:ind w:firstLine="640"/>
        <w:rPr>
          <w:rFonts w:ascii="仿宋_GB2312"/>
        </w:rPr>
      </w:pPr>
    </w:p>
    <w:p w14:paraId="519A687A">
      <w:pPr>
        <w:pStyle w:val="78"/>
        <w:ind w:firstLine="640"/>
      </w:pPr>
    </w:p>
    <w:p w14:paraId="567C4900">
      <w:pPr>
        <w:pStyle w:val="78"/>
        <w:ind w:firstLine="640"/>
      </w:pPr>
    </w:p>
    <w:p w14:paraId="6FF17202">
      <w:pPr>
        <w:pStyle w:val="4"/>
        <w:spacing w:line="700" w:lineRule="exact"/>
        <w:ind w:firstLine="643"/>
        <w:jc w:val="center"/>
      </w:pPr>
      <w:bookmarkStart w:id="102" w:name="_Toc218867759"/>
      <w:bookmarkStart w:id="103" w:name="_Toc227770779"/>
      <w:r>
        <w:rPr>
          <w:rFonts w:hint="eastAsia"/>
        </w:rPr>
        <w:t xml:space="preserve">第四节 </w:t>
      </w:r>
      <w:bookmarkEnd w:id="102"/>
      <w:r>
        <w:rPr>
          <w:rFonts w:hint="eastAsia"/>
        </w:rPr>
        <w:t>强化固体废物治理和新污染物风险管控</w:t>
      </w:r>
      <w:bookmarkEnd w:id="103"/>
    </w:p>
    <w:p w14:paraId="68F06AA4">
      <w:pPr>
        <w:pStyle w:val="78"/>
        <w:ind w:firstLine="643"/>
        <w:rPr>
          <w:rFonts w:ascii="仿宋_GB2312"/>
        </w:rPr>
      </w:pPr>
      <w:bookmarkStart w:id="104" w:name="OLE_LINK85"/>
      <w:bookmarkStart w:id="105" w:name="OLE_LINK51"/>
      <w:bookmarkStart w:id="106" w:name="OLE_LINK176"/>
      <w:r>
        <w:rPr>
          <w:rFonts w:hint="eastAsia" w:ascii="仿宋_GB2312"/>
          <w:b/>
        </w:rPr>
        <w:t>实施固体废物综合治理行动。</w:t>
      </w:r>
      <w:r>
        <w:rPr>
          <w:rFonts w:hint="eastAsia" w:ascii="仿宋_GB2312"/>
        </w:rPr>
        <w:t>全面贯彻国家《固体废物综合治理行动计划》，构建全链条治理体系，深化“无废城市”建设，培育一批“无废细胞”典型案例。一是推动工业绿色低碳转型。高标准建设准东经济技术开发区、北三台工业园区等“无废园区”，推广固废综合利用技术，实施粉煤灰、煤矸石等大宗固废资源化项目。推行危险废物“五即”规范化管理，实现全过程追溯。加快西北区域特殊类别危废（大修渣）集中处置中心建设，开展历史遗留堆存场所及矿坑等敏感区域排查整治，严厉打击非法倾倒。二是促进农业农村废弃物利用。推广加厚地膜和全生物降解地膜，健全回收网络；推进农作物秸秆饲料化、肥料化、燃料化、原料化、基料化“五化”综合利用。三是倡导绿色生活方式。完善生活垃圾分类收运体系，推进建筑垃圾全过程闭环管理，将减量费用纳入工程造价，加快资源化设施建设。四是强化医疗废物全过程监管。落实《医疗废物管理条例》，压实医疗卫生机构主体责任，实行分类管理和电子转移联单制度，实现来源可追溯、去向可追踪。医疗废物暂存不得超过</w:t>
      </w:r>
      <w:r>
        <w:rPr>
          <w:rFonts w:ascii="仿宋_GB2312"/>
        </w:rPr>
        <w:t>2天。加快集中处置设施建设，加强部门联合监管，依法查处违规行为。</w:t>
      </w:r>
    </w:p>
    <w:bookmarkEnd w:id="104"/>
    <w:bookmarkEnd w:id="105"/>
    <w:p w14:paraId="761335FE">
      <w:pPr>
        <w:pStyle w:val="78"/>
        <w:ind w:firstLine="643"/>
        <w:rPr>
          <w:rFonts w:hint="eastAsia" w:ascii="仿宋_GB2312"/>
        </w:rPr>
      </w:pPr>
      <w:r>
        <w:rPr>
          <w:rFonts w:hint="eastAsia" w:ascii="仿宋_GB2312"/>
          <w:b/>
        </w:rPr>
        <w:t>持续推进新污染物治理行动。</w:t>
      </w:r>
      <w:r>
        <w:rPr>
          <w:rFonts w:hint="eastAsia" w:ascii="仿宋_GB2312"/>
        </w:rPr>
        <w:t>坚持精准、科学、依法治污，全面落实新污染物治理要求。以化工、医药、纺织等重点行业和</w:t>
      </w:r>
      <w:r>
        <w:rPr>
          <w:rFonts w:ascii="仿宋_GB2312"/>
        </w:rPr>
        <w:t>准东经济技术开发区、阜康产业园等</w:t>
      </w:r>
      <w:r>
        <w:rPr>
          <w:rFonts w:hint="eastAsia" w:ascii="仿宋_GB2312"/>
        </w:rPr>
        <w:t>典型工业园区为核心，先行开展新污染物调查，建立本地区重点管控清单，对重点管控新污染物全面实施禁止、限制、限排等管控措施。强化源头绿色替代、过程减排和末端协同治理，切实防范新污染物环境与健康风险。</w:t>
      </w:r>
    </w:p>
    <w:p w14:paraId="2B2740B6">
      <w:pPr>
        <w:pStyle w:val="78"/>
        <w:ind w:firstLine="643"/>
        <w:rPr>
          <w:rFonts w:hint="eastAsia" w:ascii="仿宋_GB2312"/>
        </w:rPr>
      </w:pPr>
    </w:p>
    <w:p w14:paraId="208B0717">
      <w:pPr>
        <w:pStyle w:val="78"/>
        <w:ind w:firstLine="643"/>
        <w:rPr>
          <w:rFonts w:hint="eastAsia" w:ascii="仿宋_GB2312"/>
        </w:rPr>
      </w:pPr>
    </w:p>
    <w:bookmarkEnd w:id="106"/>
    <w:p w14:paraId="5B6FD0F8">
      <w:pPr>
        <w:pStyle w:val="78"/>
        <w:ind w:firstLine="640"/>
      </w:pPr>
      <w:r>
        <mc:AlternateContent>
          <mc:Choice Requires="wps">
            <w:drawing>
              <wp:anchor distT="0" distB="0" distL="114300" distR="114300" simplePos="0" relativeHeight="251667456" behindDoc="0" locked="0" layoutInCell="1" allowOverlap="1">
                <wp:simplePos x="0" y="0"/>
                <wp:positionH relativeFrom="column">
                  <wp:posOffset>-91440</wp:posOffset>
                </wp:positionH>
                <wp:positionV relativeFrom="paragraph">
                  <wp:posOffset>76200</wp:posOffset>
                </wp:positionV>
                <wp:extent cx="5400040" cy="1403985"/>
                <wp:effectExtent l="0" t="0" r="10160" b="10795"/>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00040" cy="1403985"/>
                        </a:xfrm>
                        <a:prstGeom prst="rect">
                          <a:avLst/>
                        </a:prstGeom>
                        <a:solidFill>
                          <a:srgbClr val="FFFFFF"/>
                        </a:solidFill>
                        <a:ln w="12700">
                          <a:solidFill>
                            <a:srgbClr val="000000"/>
                          </a:solidFill>
                          <a:miter lim="800000"/>
                        </a:ln>
                      </wps:spPr>
                      <wps:txbx>
                        <w:txbxContent>
                          <w:p w14:paraId="61FDABC1">
                            <w:pPr>
                              <w:adjustRightInd w:val="0"/>
                              <w:snapToGrid w:val="0"/>
                              <w:spacing w:line="360" w:lineRule="auto"/>
                              <w:jc w:val="center"/>
                              <w:rPr>
                                <w:rFonts w:ascii="仿宋_GB2312" w:eastAsia="仿宋_GB2312"/>
                                <w:b/>
                                <w:sz w:val="28"/>
                                <w:szCs w:val="28"/>
                              </w:rPr>
                            </w:pPr>
                            <w:bookmarkStart w:id="286" w:name="OLE_LINK160"/>
                            <w:r>
                              <w:rPr>
                                <w:rFonts w:hint="eastAsia" w:ascii="仿宋_GB2312" w:eastAsia="仿宋_GB2312"/>
                                <w:b/>
                                <w:sz w:val="28"/>
                                <w:szCs w:val="28"/>
                              </w:rPr>
                              <w:t>专栏5 固体废物与新污染物治理工程</w:t>
                            </w:r>
                          </w:p>
                          <w:bookmarkEnd w:id="286"/>
                          <w:p w14:paraId="126DFCA1">
                            <w:pPr>
                              <w:pStyle w:val="2"/>
                              <w:jc w:val="left"/>
                              <w:rPr>
                                <w:rFonts w:ascii="仿宋_GB2312" w:eastAsia="仿宋_GB2312"/>
                              </w:rPr>
                            </w:pPr>
                            <w:r>
                              <w:rPr>
                                <w:rFonts w:hint="eastAsia" w:ascii="仿宋_GB2312" w:eastAsia="仿宋_GB2312"/>
                                <w:b/>
                              </w:rPr>
                              <w:t>1.“无废城市”建设与固废资源化利用工程。</w:t>
                            </w:r>
                            <w:r>
                              <w:rPr>
                                <w:rFonts w:hint="eastAsia" w:ascii="仿宋_GB2312" w:eastAsia="仿宋_GB2312"/>
                              </w:rPr>
                              <w:t>高标准建设准东开发区、北三台工业园区“无废园区”；实施准东区域性特殊危废集中处置中心、新疆润林环保固废综合利用、国铝铝灰（渣）处理、玛纳斯新绿城危废综合利用等一批重点项目，提升大修渣、铝灰、煤焦油渣等大宗危废的资源化水平。开展历史遗留地块污染调查与修复，推进阜康市优先监管地块治理修复。</w:t>
                            </w:r>
                          </w:p>
                          <w:p w14:paraId="54018F20">
                            <w:pPr>
                              <w:pStyle w:val="2"/>
                              <w:jc w:val="left"/>
                              <w:rPr>
                                <w:rFonts w:ascii="仿宋_GB2312" w:eastAsia="仿宋_GB2312"/>
                              </w:rPr>
                            </w:pPr>
                            <w:r>
                              <w:rPr>
                                <w:rFonts w:hint="eastAsia" w:ascii="仿宋_GB2312" w:eastAsia="仿宋_GB2312"/>
                                <w:b/>
                              </w:rPr>
                              <w:t>2.农业农村废弃物循环利用工程。</w:t>
                            </w:r>
                            <w:r>
                              <w:rPr>
                                <w:rFonts w:hint="eastAsia" w:ascii="仿宋_GB2312" w:eastAsia="仿宋_GB2312"/>
                              </w:rPr>
                              <w:t>推广加厚地膜和全生物降解地膜，健全回收网络，全州地膜回收率达</w:t>
                            </w:r>
                            <w:r>
                              <w:rPr>
                                <w:rFonts w:ascii="仿宋_GB2312" w:eastAsia="仿宋_GB2312"/>
                              </w:rPr>
                              <w:t>85%以上。推进农作物秸秆“五化”综合利用，建设呼图壁县秸秆综合利用、雀尔沟镇粪污资源化等工程，促进农业废弃物减量化、资源化。</w:t>
                            </w:r>
                          </w:p>
                          <w:p w14:paraId="0ECDD12B">
                            <w:pPr>
                              <w:pStyle w:val="2"/>
                              <w:jc w:val="left"/>
                              <w:rPr>
                                <w:rFonts w:ascii="仿宋_GB2312" w:eastAsia="仿宋_GB2312"/>
                              </w:rPr>
                            </w:pPr>
                            <w:r>
                              <w:rPr>
                                <w:rFonts w:hint="eastAsia" w:ascii="仿宋_GB2312" w:eastAsia="仿宋_GB2312"/>
                                <w:b/>
                              </w:rPr>
                              <w:t>3.生活垃圾分类与资源化利用工程。</w:t>
                            </w:r>
                            <w:r>
                              <w:rPr>
                                <w:rFonts w:hint="eastAsia" w:ascii="仿宋_GB2312" w:eastAsia="仿宋_GB2312"/>
                              </w:rPr>
                              <w:t>完善城乡生活垃圾分类收运体系，实施奇台县餐厨垃圾资源化处理、吉木萨尔县建筑垃圾填埋场、昌吉市和呼图壁县生活垃圾填埋场生态治理及封场工程，推动建筑垃圾全过程闭环管理。</w:t>
                            </w:r>
                          </w:p>
                          <w:p w14:paraId="3E90E799">
                            <w:pPr>
                              <w:pStyle w:val="2"/>
                              <w:jc w:val="left"/>
                              <w:rPr>
                                <w:rFonts w:ascii="仿宋_GB2312" w:eastAsia="仿宋_GB2312"/>
                              </w:rPr>
                            </w:pPr>
                            <w:r>
                              <w:rPr>
                                <w:rFonts w:hint="eastAsia" w:ascii="仿宋_GB2312" w:eastAsia="仿宋_GB2312"/>
                                <w:b/>
                              </w:rPr>
                              <w:t>4.新污染物治理工程。</w:t>
                            </w:r>
                            <w:r>
                              <w:rPr>
                                <w:rFonts w:hint="eastAsia" w:ascii="仿宋_GB2312" w:eastAsia="仿宋_GB2312"/>
                              </w:rPr>
                              <w:t>建立昌吉州重点管控新污染物清单。</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7.2pt;margin-top:6pt;height:110.55pt;width:425.2pt;z-index:251667456;mso-width-relative:page;mso-height-relative:margin;mso-height-percent:200;" fillcolor="#FFFFFF" filled="t" stroked="t" coordsize="21600,21600" o:gfxdata="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85IDh2QAAAAoBAAAPAAAAAAAAAAEAIAAAACIAAABkcnMv&#10;ZG93bnJldi54bWxQSwECFAAUAAAACACHTuJAbBuhtjsCAAB9BAAADgAAAAAAAAABACAAAAAoAQAA&#10;ZHJzL2Uyb0RvYy54bWxQSwUGAAAAAAYABgBZAQAA1QUAAAAA&#10;">
                <v:fill on="t" focussize="0,0"/>
                <v:stroke weight="1pt" color="#000000" miterlimit="8" joinstyle="miter"/>
                <v:imagedata o:title=""/>
                <o:lock v:ext="edit" aspectratio="f"/>
                <v:textbox style="mso-fit-shape-to-text:t;">
                  <w:txbxContent>
                    <w:p w14:paraId="61FDABC1">
                      <w:pPr>
                        <w:adjustRightInd w:val="0"/>
                        <w:snapToGrid w:val="0"/>
                        <w:spacing w:line="360" w:lineRule="auto"/>
                        <w:jc w:val="center"/>
                        <w:rPr>
                          <w:rFonts w:ascii="仿宋_GB2312" w:eastAsia="仿宋_GB2312"/>
                          <w:b/>
                          <w:sz w:val="28"/>
                          <w:szCs w:val="28"/>
                        </w:rPr>
                      </w:pPr>
                      <w:bookmarkStart w:id="286" w:name="OLE_LINK160"/>
                      <w:r>
                        <w:rPr>
                          <w:rFonts w:hint="eastAsia" w:ascii="仿宋_GB2312" w:eastAsia="仿宋_GB2312"/>
                          <w:b/>
                          <w:sz w:val="28"/>
                          <w:szCs w:val="28"/>
                        </w:rPr>
                        <w:t>专栏5 固体废物与新污染物治理工程</w:t>
                      </w:r>
                    </w:p>
                    <w:bookmarkEnd w:id="286"/>
                    <w:p w14:paraId="126DFCA1">
                      <w:pPr>
                        <w:pStyle w:val="2"/>
                        <w:jc w:val="left"/>
                        <w:rPr>
                          <w:rFonts w:ascii="仿宋_GB2312" w:eastAsia="仿宋_GB2312"/>
                        </w:rPr>
                      </w:pPr>
                      <w:r>
                        <w:rPr>
                          <w:rFonts w:hint="eastAsia" w:ascii="仿宋_GB2312" w:eastAsia="仿宋_GB2312"/>
                          <w:b/>
                        </w:rPr>
                        <w:t>1.“无废城市”建设与固废资源化利用工程。</w:t>
                      </w:r>
                      <w:r>
                        <w:rPr>
                          <w:rFonts w:hint="eastAsia" w:ascii="仿宋_GB2312" w:eastAsia="仿宋_GB2312"/>
                        </w:rPr>
                        <w:t>高标准建设准东开发区、北三台工业园区“无废园区”；实施准东区域性特殊危废集中处置中心、新疆润林环保固废综合利用、国铝铝灰（渣）处理、玛纳斯新绿城危废综合利用等一批重点项目，提升大修渣、铝灰、煤焦油渣等大宗危废的资源化水平。开展历史遗留地块污染调查与修复，推进阜康市优先监管地块治理修复。</w:t>
                      </w:r>
                    </w:p>
                    <w:p w14:paraId="54018F20">
                      <w:pPr>
                        <w:pStyle w:val="2"/>
                        <w:jc w:val="left"/>
                        <w:rPr>
                          <w:rFonts w:ascii="仿宋_GB2312" w:eastAsia="仿宋_GB2312"/>
                        </w:rPr>
                      </w:pPr>
                      <w:r>
                        <w:rPr>
                          <w:rFonts w:hint="eastAsia" w:ascii="仿宋_GB2312" w:eastAsia="仿宋_GB2312"/>
                          <w:b/>
                        </w:rPr>
                        <w:t>2.农业农村废弃物循环利用工程。</w:t>
                      </w:r>
                      <w:r>
                        <w:rPr>
                          <w:rFonts w:hint="eastAsia" w:ascii="仿宋_GB2312" w:eastAsia="仿宋_GB2312"/>
                        </w:rPr>
                        <w:t>推广加厚地膜和全生物降解地膜，健全回收网络，全州地膜回收率达</w:t>
                      </w:r>
                      <w:r>
                        <w:rPr>
                          <w:rFonts w:ascii="仿宋_GB2312" w:eastAsia="仿宋_GB2312"/>
                        </w:rPr>
                        <w:t>85%以上。推进农作物秸秆“五化”综合利用，建设呼图壁县秸秆综合利用、雀尔沟镇粪污资源化等工程，促进农业废弃物减量化、资源化。</w:t>
                      </w:r>
                    </w:p>
                    <w:p w14:paraId="0ECDD12B">
                      <w:pPr>
                        <w:pStyle w:val="2"/>
                        <w:jc w:val="left"/>
                        <w:rPr>
                          <w:rFonts w:ascii="仿宋_GB2312" w:eastAsia="仿宋_GB2312"/>
                        </w:rPr>
                      </w:pPr>
                      <w:r>
                        <w:rPr>
                          <w:rFonts w:hint="eastAsia" w:ascii="仿宋_GB2312" w:eastAsia="仿宋_GB2312"/>
                          <w:b/>
                        </w:rPr>
                        <w:t>3.生活垃圾分类与资源化利用工程。</w:t>
                      </w:r>
                      <w:r>
                        <w:rPr>
                          <w:rFonts w:hint="eastAsia" w:ascii="仿宋_GB2312" w:eastAsia="仿宋_GB2312"/>
                        </w:rPr>
                        <w:t>完善城乡生活垃圾分类收运体系，实施奇台县餐厨垃圾资源化处理、吉木萨尔县建筑垃圾填埋场、昌吉市和呼图壁县生活垃圾填埋场生态治理及封场工程，推动建筑垃圾全过程闭环管理。</w:t>
                      </w:r>
                    </w:p>
                    <w:p w14:paraId="3E90E799">
                      <w:pPr>
                        <w:pStyle w:val="2"/>
                        <w:jc w:val="left"/>
                        <w:rPr>
                          <w:rFonts w:ascii="仿宋_GB2312" w:eastAsia="仿宋_GB2312"/>
                        </w:rPr>
                      </w:pPr>
                      <w:r>
                        <w:rPr>
                          <w:rFonts w:hint="eastAsia" w:ascii="仿宋_GB2312" w:eastAsia="仿宋_GB2312"/>
                          <w:b/>
                        </w:rPr>
                        <w:t>4.新污染物治理工程。</w:t>
                      </w:r>
                      <w:r>
                        <w:rPr>
                          <w:rFonts w:hint="eastAsia" w:ascii="仿宋_GB2312" w:eastAsia="仿宋_GB2312"/>
                        </w:rPr>
                        <w:t>建立昌吉州重点管控新污染物清单。</w:t>
                      </w:r>
                    </w:p>
                  </w:txbxContent>
                </v:textbox>
              </v:shape>
            </w:pict>
          </mc:Fallback>
        </mc:AlternateContent>
      </w:r>
    </w:p>
    <w:p w14:paraId="78CFD6F7">
      <w:pPr>
        <w:pStyle w:val="78"/>
        <w:ind w:firstLine="640"/>
      </w:pPr>
    </w:p>
    <w:p w14:paraId="2E7AAAF3">
      <w:pPr>
        <w:pStyle w:val="78"/>
        <w:ind w:firstLine="640"/>
      </w:pPr>
    </w:p>
    <w:p w14:paraId="297FC203">
      <w:pPr>
        <w:pStyle w:val="78"/>
        <w:ind w:firstLine="640"/>
      </w:pPr>
    </w:p>
    <w:p w14:paraId="237F8B6F">
      <w:pPr>
        <w:pStyle w:val="78"/>
        <w:ind w:firstLine="640"/>
      </w:pPr>
    </w:p>
    <w:p w14:paraId="1D138FA1">
      <w:pPr>
        <w:pStyle w:val="78"/>
        <w:ind w:firstLine="640"/>
      </w:pPr>
    </w:p>
    <w:p w14:paraId="62AEACF6">
      <w:pPr>
        <w:pStyle w:val="78"/>
        <w:ind w:firstLine="640"/>
      </w:pPr>
    </w:p>
    <w:p w14:paraId="1E6EF194">
      <w:pPr>
        <w:pStyle w:val="78"/>
        <w:ind w:firstLine="640"/>
      </w:pPr>
    </w:p>
    <w:p w14:paraId="151CF421">
      <w:pPr>
        <w:pStyle w:val="78"/>
        <w:ind w:left="0" w:leftChars="0" w:firstLine="0" w:firstLineChars="0"/>
      </w:pPr>
    </w:p>
    <w:p w14:paraId="7F51A682">
      <w:pPr>
        <w:pStyle w:val="3"/>
        <w:spacing w:after="100" w:afterAutospacing="1" w:line="480" w:lineRule="auto"/>
        <w:ind w:firstLine="0" w:firstLineChars="0"/>
        <w:jc w:val="center"/>
        <w:rPr>
          <w:rFonts w:hint="eastAsia"/>
        </w:rPr>
        <w:sectPr>
          <w:pgSz w:w="11906" w:h="16838"/>
          <w:pgMar w:top="1440" w:right="1800" w:bottom="1440" w:left="1800" w:header="1077" w:footer="992" w:gutter="0"/>
          <w:pgNumType w:fmt="numberInDash"/>
          <w:cols w:space="425" w:num="1"/>
          <w:docGrid w:type="lines" w:linePitch="312" w:charSpace="0"/>
        </w:sectPr>
      </w:pPr>
      <w:bookmarkStart w:id="107" w:name="_Toc227770780"/>
      <w:bookmarkStart w:id="108" w:name="_Toc218867760"/>
      <w:bookmarkStart w:id="109" w:name="OLE_LINK56"/>
      <w:bookmarkStart w:id="110" w:name="OLE_LINK59"/>
      <w:bookmarkStart w:id="111" w:name="OLE_LINK86"/>
      <w:bookmarkStart w:id="112" w:name="OLE_LINK87"/>
      <w:bookmarkStart w:id="113" w:name="OLE_LINK121"/>
      <w:bookmarkStart w:id="114" w:name="OLE_LINK89"/>
      <w:bookmarkStart w:id="115" w:name="OLE_LINK122"/>
      <w:bookmarkStart w:id="116" w:name="OLE_LINK90"/>
    </w:p>
    <w:p w14:paraId="082A8534">
      <w:pPr>
        <w:pStyle w:val="3"/>
        <w:spacing w:after="100" w:afterAutospacing="1" w:line="480" w:lineRule="auto"/>
        <w:ind w:firstLine="0" w:firstLineChars="0"/>
        <w:jc w:val="center"/>
      </w:pPr>
      <w:r>
        <w:rPr>
          <w:rFonts w:hint="eastAsia"/>
        </w:rPr>
        <w:t>第五章  加强生态系统保护修复，提升生态系统服务功能</w:t>
      </w:r>
      <w:bookmarkEnd w:id="107"/>
      <w:bookmarkEnd w:id="108"/>
    </w:p>
    <w:bookmarkEnd w:id="109"/>
    <w:bookmarkEnd w:id="110"/>
    <w:p w14:paraId="41C52F06">
      <w:pPr>
        <w:pStyle w:val="78"/>
        <w:ind w:firstLine="640"/>
        <w:rPr>
          <w:rFonts w:ascii="仿宋_GB2312"/>
        </w:rPr>
      </w:pPr>
      <w:bookmarkStart w:id="117" w:name="_Toc218867761"/>
      <w:bookmarkStart w:id="118" w:name="OLE_LINK15"/>
      <w:bookmarkStart w:id="119" w:name="OLE_LINK14"/>
      <w:r>
        <w:rPr>
          <w:rFonts w:hint="eastAsia" w:ascii="仿宋_GB2312"/>
        </w:rPr>
        <w:t>坚持山水林田湖草沙一体化保护和系统治理，在提升生态系统多样性、稳定性、持续性的同时，着力增强生态系统碳汇能力，将生态修复与应对气候变化紧密结合。</w:t>
      </w:r>
    </w:p>
    <w:p w14:paraId="380B67B1">
      <w:pPr>
        <w:pStyle w:val="4"/>
        <w:spacing w:line="700" w:lineRule="exact"/>
        <w:ind w:firstLine="643"/>
        <w:jc w:val="center"/>
      </w:pPr>
      <w:bookmarkStart w:id="120" w:name="_Toc227770781"/>
      <w:bookmarkStart w:id="121" w:name="OLE_LINK177"/>
      <w:r>
        <w:rPr>
          <w:rFonts w:hint="eastAsia"/>
        </w:rPr>
        <w:t>第一节 筑牢全州自然生态屏障</w:t>
      </w:r>
      <w:bookmarkEnd w:id="117"/>
      <w:bookmarkEnd w:id="120"/>
    </w:p>
    <w:p w14:paraId="18AE3FC5">
      <w:pPr>
        <w:pStyle w:val="78"/>
        <w:ind w:firstLine="640"/>
        <w:rPr>
          <w:rFonts w:ascii="仿宋_GB2312"/>
        </w:rPr>
      </w:pPr>
      <w:r>
        <w:rPr>
          <w:rFonts w:hint="eastAsia" w:ascii="仿宋_GB2312"/>
        </w:rPr>
        <w:t>以南部天山生态屏障建设为核心目标，依托准噶尔盆地边缘绿洲区支撑功能，加强自然保护地监管，系统推进北部荒漠区、中部绿洲退化林带及南部山区矿山的生态修复。将冰川保护与天然林保护、水土流失治理、国土绿化等重大生态工程统筹推进。持续推进天然林保护修复、防护林建设、水土流失和沙化土地治理、草原生态修复治理等重大生态工程，科学开展国土绿化行动。</w:t>
      </w:r>
      <w:r>
        <w:rPr>
          <w:rFonts w:ascii="仿宋_GB2312"/>
        </w:rPr>
        <w:t>生态质量指数（EQI）稳定向好</w:t>
      </w:r>
      <w:r>
        <w:rPr>
          <w:rFonts w:ascii="仿宋_GB2312"/>
          <w:highlight w:val="none"/>
        </w:rPr>
        <w:t>，</w:t>
      </w:r>
      <w:r>
        <w:rPr>
          <w:rFonts w:ascii="仿宋_GB2312"/>
        </w:rPr>
        <w:t>重要冰川区域生态系统功能有效维护，生态系统多样性、稳定性和持续性得到显著提升，北方生态安全屏障更加牢固。</w:t>
      </w:r>
    </w:p>
    <w:p w14:paraId="46F872FA">
      <w:pPr>
        <w:pStyle w:val="78"/>
        <w:ind w:firstLine="643"/>
        <w:rPr>
          <w:rFonts w:ascii="仿宋_GB2312"/>
          <w:b/>
          <w:bCs/>
        </w:rPr>
      </w:pPr>
      <w:r>
        <w:rPr>
          <w:rFonts w:hint="eastAsia" w:ascii="仿宋_GB2312"/>
          <w:b/>
          <w:bCs/>
        </w:rPr>
        <w:t>严格自然保护地管理。</w:t>
      </w:r>
      <w:r>
        <w:rPr>
          <w:rFonts w:hint="eastAsia" w:ascii="仿宋_GB2312"/>
        </w:rPr>
        <w:t>进一步完善自然保护地优化整合成果，推进自然保护地的整合优化和勘界立标，配合完成卡拉麦里国家公园创建，不断完善以国家公园为主体、自然保护区为基础、各类自然公园为补充的自然保护地体系。优化完善生物多样性保护空间格局，实施生物多样性保护重大工程，构筑生物多样性保护网络，加强特有珍稀濒危野生动物及其栖息地保护。</w:t>
      </w:r>
    </w:p>
    <w:p w14:paraId="574EB011">
      <w:pPr>
        <w:pStyle w:val="78"/>
        <w:ind w:firstLine="643"/>
        <w:rPr>
          <w:rFonts w:ascii="仿宋_GB2312"/>
          <w:b/>
          <w:bCs/>
        </w:rPr>
      </w:pPr>
      <w:r>
        <w:rPr>
          <w:rFonts w:hint="eastAsia" w:ascii="仿宋_GB2312"/>
          <w:b/>
          <w:bCs/>
        </w:rPr>
        <w:t>推进北部荒漠沙化土地治理。</w:t>
      </w:r>
      <w:r>
        <w:rPr>
          <w:rFonts w:hint="eastAsia" w:ascii="仿宋_GB2312"/>
        </w:rPr>
        <w:t>围绕古尔班通古特沙漠，以“三北”工程为抓手，按照“一带两区四工程”布局，实施工程固沙、人工造林、封山育林、退化林修复和草原治理，逐步减少沙化土地面积，巩固沙漠南缘“锁边”成果</w:t>
      </w:r>
      <w:r>
        <w:rPr>
          <w:rFonts w:hint="eastAsia" w:ascii="仿宋_GB2312"/>
          <w:lang w:eastAsia="zh-CN"/>
        </w:rPr>
        <w:t>，</w:t>
      </w:r>
      <w:r>
        <w:rPr>
          <w:rFonts w:hint="eastAsia" w:ascii="仿宋_GB2312"/>
        </w:rPr>
        <w:t>形成“山区冰川涵养、平原绿洲防护、荒漠固沙锁边”的整体生态防护格局。</w:t>
      </w:r>
    </w:p>
    <w:p w14:paraId="0A1016F3">
      <w:pPr>
        <w:pStyle w:val="78"/>
        <w:ind w:firstLine="643"/>
        <w:rPr>
          <w:rFonts w:ascii="仿宋_GB2312"/>
        </w:rPr>
      </w:pPr>
      <w:r>
        <w:rPr>
          <w:rFonts w:hint="eastAsia" w:ascii="仿宋_GB2312"/>
          <w:b/>
          <w:bCs/>
        </w:rPr>
        <w:t>加强中部绿洲生态保护。</w:t>
      </w:r>
      <w:r>
        <w:rPr>
          <w:rFonts w:hint="eastAsia" w:ascii="仿宋_GB2312"/>
        </w:rPr>
        <w:t>开展护路林、农田防护林、河谷林等退化林修复，优化林分结构，构建乔灌草结合的立体防护林体系。推进村旁、路旁等区域绿化，严控地下水开采，提升绿洲生态韧性和防护功能。推进流域水环境水生态治理，以头屯河、玛纳斯河流域等为重点，加强河湖岸线管控，开展河流廊道生态修复试点。</w:t>
      </w:r>
    </w:p>
    <w:p w14:paraId="28CDFEA2">
      <w:pPr>
        <w:pStyle w:val="78"/>
        <w:ind w:firstLine="643"/>
        <w:rPr>
          <w:rFonts w:ascii="仿宋_GB2312"/>
        </w:rPr>
      </w:pPr>
      <w:r>
        <w:rPr>
          <w:rFonts w:hint="eastAsia" w:ascii="仿宋_GB2312"/>
          <w:b/>
          <w:bCs/>
        </w:rPr>
        <w:t>深化南部山区生态修复。</w:t>
      </w:r>
      <w:r>
        <w:rPr>
          <w:rFonts w:hint="eastAsia" w:ascii="仿宋_GB2312"/>
        </w:rPr>
        <w:t>重点推进阜康市、玛纳斯县、奇台县等历史遗留矿山治理，提升水土保持与水源涵养功能。分类推进绿色矿山建设，新建矿山按标准建设，生产矿山加快绿色改造，闭坑前落实污染防治与生态修复。促进煤田火区系统治理，实施覆土回填、土地复垦与植被恢复工程，运用“人防+物防+技防”综合监测预警手段防范风险。</w:t>
      </w:r>
    </w:p>
    <w:bookmarkEnd w:id="121"/>
    <w:p w14:paraId="7D02E918">
      <w:pPr>
        <w:pStyle w:val="4"/>
        <w:spacing w:line="700" w:lineRule="exact"/>
        <w:ind w:firstLine="643"/>
        <w:jc w:val="center"/>
      </w:pPr>
      <w:bookmarkStart w:id="122" w:name="_Toc218867762"/>
      <w:bookmarkStart w:id="123" w:name="_Toc227770782"/>
      <w:bookmarkStart w:id="124" w:name="OLE_LINK178"/>
      <w:bookmarkStart w:id="125" w:name="OLE_LINK17"/>
      <w:bookmarkStart w:id="126" w:name="OLE_LINK16"/>
      <w:r>
        <w:rPr>
          <w:rFonts w:hint="eastAsia"/>
        </w:rPr>
        <w:t>第二节 实施山水林田湖草沙一体化保护和系统治理</w:t>
      </w:r>
      <w:bookmarkEnd w:id="122"/>
      <w:bookmarkEnd w:id="123"/>
    </w:p>
    <w:p w14:paraId="0B2D2081">
      <w:pPr>
        <w:pStyle w:val="78"/>
        <w:ind w:firstLine="640"/>
        <w:rPr>
          <w:rFonts w:ascii="仿宋_GB2312"/>
        </w:rPr>
      </w:pPr>
      <w:r>
        <w:rPr>
          <w:rFonts w:hint="eastAsia" w:ascii="仿宋_GB2312"/>
        </w:rPr>
        <w:t>坚持山水林田湖草沙一体化保护和系统治理，强化国土空间生态修复，加快实施重要生态系统保护和修复重大工程，着力提高生态系统自我修复能力和稳定性，持续改善自然生态系统质量，增强优质生态产品供给能力。科学开展国土绿化行动，加大草原和湿地保护修复力度，扎实推进“三北”工程建设，加强荒漠化综合治理，全面实施森林可持续经营，加强森林草原防灭火。持续抓好天然林保护、国家级公益林管护项目。生态系统基本实现良性循环。</w:t>
      </w:r>
    </w:p>
    <w:p w14:paraId="17D2D294">
      <w:pPr>
        <w:pStyle w:val="78"/>
        <w:ind w:firstLine="643"/>
        <w:rPr>
          <w:rFonts w:ascii="仿宋_GB2312"/>
        </w:rPr>
      </w:pPr>
      <w:r>
        <w:rPr>
          <w:rFonts w:hint="eastAsia" w:ascii="仿宋_GB2312"/>
          <w:b/>
          <w:bCs/>
        </w:rPr>
        <w:t>科学推进国土绿化与森林质量提升。</w:t>
      </w:r>
      <w:r>
        <w:rPr>
          <w:rFonts w:hint="eastAsia" w:ascii="仿宋_GB2312"/>
        </w:rPr>
        <w:t>坚持“以水定绿、量水而行”，因地制宜开展国土绿化，优先选用乡土树种草种，营造混交林。包括人工造林、封山育林和退化林修复。通过森林抚育、退化林修复等措施，精准提升森林质量，增强森林碳汇功能。加强森林可持续经营与抚育管护，实行天然林与公益林一体化保护，全面提升森林生态系统功能。</w:t>
      </w:r>
    </w:p>
    <w:p w14:paraId="5C855763">
      <w:pPr>
        <w:pStyle w:val="78"/>
        <w:ind w:firstLine="643"/>
        <w:rPr>
          <w:rFonts w:ascii="仿宋_GB2312"/>
          <w:b/>
          <w:bCs/>
        </w:rPr>
      </w:pPr>
      <w:r>
        <w:rPr>
          <w:rFonts w:hint="eastAsia" w:ascii="仿宋_GB2312"/>
          <w:b/>
          <w:bCs/>
        </w:rPr>
        <w:t>加强草原与湿地生态系统的保护修复。</w:t>
      </w:r>
      <w:r>
        <w:rPr>
          <w:rFonts w:hint="eastAsia" w:ascii="仿宋_GB2312"/>
        </w:rPr>
        <w:t>落实草原保护修复制度，通过围栏封育、人工种草、草畜平衡及禁牧休牧等措施，重点治理退化沙化草原。加强退化草原和湿地恢复，提升草原和湿地固碳能力。落实湿地分级管理体系，加强湿地资源保护和修复，对集中连片、破碎化严重、功能退化的自然湿地进行综合整治和生态补水，推进新疆玛纳斯国家级湿地公园等重点湿地综合修复治理。同步加大湿地保护力度，实施湿地生态恢复、水体保护与生态护坡等工程，并运用天空地一体化技术建立监测体系，提升湿地生态功能和管理能力。</w:t>
      </w:r>
    </w:p>
    <w:p w14:paraId="2AC1529E">
      <w:pPr>
        <w:pStyle w:val="78"/>
        <w:ind w:firstLine="643"/>
        <w:rPr>
          <w:rFonts w:ascii="仿宋_GB2312"/>
          <w:b/>
          <w:bCs/>
        </w:rPr>
      </w:pPr>
      <w:r>
        <w:rPr>
          <w:rFonts w:hint="eastAsia" w:ascii="仿宋_GB2312"/>
          <w:b/>
          <w:bCs/>
        </w:rPr>
        <w:t>强化荒漠化防治与沙化土地封禁保护。</w:t>
      </w:r>
      <w:r>
        <w:rPr>
          <w:rFonts w:hint="eastAsia" w:ascii="仿宋_GB2312"/>
        </w:rPr>
        <w:t>以“三北”工程为核心，持续推进防沙治沙，重点守住古尔班通古特沙漠南缘防线。强化对全州7个国家沙化土地封禁保护区的管理，完善基础设施与管护队伍，严禁一切破坏活动，促进荒漠植被自然修复。同时，因地制宜推进流域水土流失综合治理。申报实施玛纳斯县玛纳斯河兰州湾段右岸河岸线生态修复项目，对玛纳斯河流域及其支流水体及山地、湿地、森林、沙化土地、退化草原、可利用荒漠开展系统性生态修复，有效遏制荒漠化，提升防风固沙功能。</w:t>
      </w:r>
    </w:p>
    <w:p w14:paraId="3FD2B61D">
      <w:pPr>
        <w:pStyle w:val="78"/>
        <w:ind w:firstLine="643"/>
        <w:rPr>
          <w:rFonts w:ascii="仿宋_GB2312"/>
        </w:rPr>
      </w:pPr>
      <w:r>
        <w:rPr>
          <w:rFonts w:hint="eastAsia" w:ascii="仿宋_GB2312"/>
          <w:b/>
          <w:bCs/>
        </w:rPr>
        <w:t>健全生态监测预警与防火减灾体系。</w:t>
      </w:r>
      <w:r>
        <w:rPr>
          <w:rFonts w:hint="eastAsia" w:ascii="仿宋_GB2312"/>
        </w:rPr>
        <w:t>构建空天地一体化监测网络，强化对森林、草原、湿地的动态监测和生态修复成效评估。完善森林草原火灾应急预案，加强火情监测预警和火灾防控能力，严格管控人为火源，巩固生态保护成果。</w:t>
      </w:r>
    </w:p>
    <w:bookmarkEnd w:id="118"/>
    <w:bookmarkEnd w:id="119"/>
    <w:bookmarkEnd w:id="124"/>
    <w:bookmarkEnd w:id="125"/>
    <w:bookmarkEnd w:id="126"/>
    <w:p w14:paraId="4275B45D">
      <w:pPr>
        <w:pStyle w:val="4"/>
        <w:spacing w:line="700" w:lineRule="exact"/>
        <w:ind w:firstLine="643"/>
        <w:jc w:val="center"/>
      </w:pPr>
      <w:bookmarkStart w:id="127" w:name="_Toc227770783"/>
      <w:bookmarkStart w:id="128" w:name="_Toc218867763"/>
      <w:bookmarkStart w:id="129" w:name="OLE_LINK179"/>
      <w:r>
        <w:rPr>
          <w:rFonts w:hint="eastAsia"/>
        </w:rPr>
        <w:t>第三节 持续推进生物多样性保护</w:t>
      </w:r>
      <w:bookmarkEnd w:id="127"/>
      <w:bookmarkEnd w:id="128"/>
    </w:p>
    <w:p w14:paraId="63ADC6A7">
      <w:pPr>
        <w:pStyle w:val="78"/>
        <w:ind w:firstLine="643"/>
      </w:pPr>
      <w:r>
        <w:rPr>
          <w:rFonts w:hint="eastAsia"/>
          <w:b/>
          <w:bCs/>
        </w:rPr>
        <w:t>持续推进生物多样性调查监测。</w:t>
      </w:r>
      <w:r>
        <w:rPr>
          <w:rFonts w:hint="eastAsia"/>
        </w:rPr>
        <w:t>落实生物多样性保护战略行动计划，持续开展生物多样性调查、监测与评估。持续推进南部山地生态保护，开展新一轮博格达峰冰川考察研究，对少数具有重要旅游经济价值及海拔相对较高的天池和四工河南台子区域加强人工增雨（增雪）</w:t>
      </w:r>
      <w:r>
        <w:rPr>
          <w:rFonts w:hint="eastAsia"/>
          <w:lang w:eastAsia="zh-CN"/>
        </w:rPr>
        <w:t>。</w:t>
      </w:r>
      <w:r>
        <w:t>加强对南部山区冰川、重要水源涵养区、各类生物栖息地（雪豹、北山羊、雪莲等）的保护。</w:t>
      </w:r>
    </w:p>
    <w:p w14:paraId="39DF5BDA">
      <w:pPr>
        <w:pStyle w:val="78"/>
        <w:ind w:firstLine="643"/>
      </w:pPr>
      <w:r>
        <w:rPr>
          <w:rFonts w:hint="eastAsia"/>
          <w:b/>
          <w:bCs/>
        </w:rPr>
        <w:t>完善生物多样性迁地保护体系。</w:t>
      </w:r>
      <w:r>
        <w:rPr>
          <w:rFonts w:hint="eastAsia"/>
        </w:rPr>
        <w:t>优化种质资源库（场、区、圃）等各级各类抢救性迁地保护设施建设，建设玛纳斯国家湿地公园野生动物救助站等项目，完善生物资源迁地保存繁育体系。</w:t>
      </w:r>
    </w:p>
    <w:p w14:paraId="69F17A1C">
      <w:pPr>
        <w:pStyle w:val="78"/>
        <w:ind w:firstLine="643"/>
      </w:pPr>
      <w:r>
        <w:rPr>
          <w:rFonts w:hint="eastAsia"/>
          <w:b/>
          <w:bCs/>
        </w:rPr>
        <w:t>完善生物多样性保护相关制度。</w:t>
      </w:r>
      <w:r>
        <w:rPr>
          <w:rFonts w:hint="eastAsia"/>
        </w:rPr>
        <w:t>健全自然保护地生态保护补偿制度，完善生态环境损害赔偿制度，健全生物多样性损害鉴定评估方法和工作机制，完善打击野生动植物非法贸易制度。</w:t>
      </w:r>
    </w:p>
    <w:bookmarkEnd w:id="111"/>
    <w:bookmarkEnd w:id="112"/>
    <w:bookmarkEnd w:id="129"/>
    <w:p w14:paraId="11E7BD96">
      <w:pPr>
        <w:pStyle w:val="4"/>
        <w:spacing w:line="700" w:lineRule="exact"/>
        <w:ind w:firstLine="643"/>
        <w:jc w:val="center"/>
      </w:pPr>
      <w:bookmarkStart w:id="130" w:name="_Toc227770784"/>
      <w:r>
        <w:rPr>
          <w:rFonts w:hint="eastAsia"/>
        </w:rPr>
        <w:t>第四节</w:t>
      </w:r>
      <w:r>
        <w:t xml:space="preserve"> 强化冰川保护与永续利用</w:t>
      </w:r>
      <w:bookmarkEnd w:id="130"/>
    </w:p>
    <w:p w14:paraId="78FDB40F">
      <w:pPr>
        <w:pStyle w:val="78"/>
        <w:ind w:firstLine="640"/>
        <w:rPr>
          <w:rFonts w:hint="eastAsia" w:ascii="仿宋_GB2312"/>
        </w:rPr>
      </w:pPr>
      <w:bookmarkStart w:id="131" w:name="OLE_LINK180"/>
      <w:r>
        <w:rPr>
          <w:rFonts w:hint="eastAsia" w:ascii="仿宋_GB2312"/>
        </w:rPr>
        <w:t>坚持保护优先、系统治理、科学利用原则，将冰川保护作为筑牢西北生态安全屏障的战略性任务。夯实基础能力，配合开展遥感监测与气象预警，建立部门信息共享机制；实施最严格保护管控，从严审批涉冰川项目，严守生态红线；健全联合执法监督机制，严厉打击违法违规行为；加大科技与人才支撑，推动关键技术研发与平台建设；完善资金投入机制，拓宽融资渠道并积极争取上级资金；同时强化立法研究与宣传教育，营造全社会共同参与的良好氛围，确保</w:t>
      </w:r>
      <w:r>
        <w:rPr>
          <w:rFonts w:hint="eastAsia" w:ascii="仿宋_GB2312"/>
          <w:lang w:eastAsia="zh-CN"/>
        </w:rPr>
        <w:t>保护</w:t>
      </w:r>
      <w:r>
        <w:rPr>
          <w:rFonts w:hint="eastAsia" w:ascii="仿宋_GB2312"/>
        </w:rPr>
        <w:t>工作积极稳妥推进。</w:t>
      </w:r>
    </w:p>
    <w:p w14:paraId="50D4E769">
      <w:pPr>
        <w:pStyle w:val="78"/>
        <w:ind w:left="0" w:leftChars="0" w:firstLine="0" w:firstLineChars="0"/>
        <w:rPr>
          <w:rFonts w:hint="eastAsia" w:ascii="仿宋_GB2312"/>
        </w:rPr>
      </w:pPr>
    </w:p>
    <w:bookmarkEnd w:id="113"/>
    <w:bookmarkEnd w:id="114"/>
    <w:bookmarkEnd w:id="115"/>
    <w:bookmarkEnd w:id="116"/>
    <w:bookmarkEnd w:id="131"/>
    <w:p w14:paraId="0B5E06D3">
      <w:pPr>
        <w:pStyle w:val="78"/>
        <w:ind w:left="0" w:leftChars="0" w:firstLine="0" w:firstLineChars="0"/>
      </w:pPr>
      <w:r>
        <w:rPr>
          <w:rFonts w:asciiTheme="minorHAnsi" w:hAnsiTheme="minorHAnsi" w:eastAsiaTheme="minorEastAsia" w:cstheme="minorBidi"/>
          <w:sz w:val="21"/>
          <w:szCs w:val="22"/>
        </w:rPr>
        <mc:AlternateContent>
          <mc:Choice Requires="wps">
            <w:drawing>
              <wp:anchor distT="0" distB="0" distL="114300" distR="114300" simplePos="0" relativeHeight="251668480" behindDoc="0" locked="0" layoutInCell="1" allowOverlap="1">
                <wp:simplePos x="0" y="0"/>
                <wp:positionH relativeFrom="column">
                  <wp:posOffset>-38100</wp:posOffset>
                </wp:positionH>
                <wp:positionV relativeFrom="paragraph">
                  <wp:posOffset>27940</wp:posOffset>
                </wp:positionV>
                <wp:extent cx="5400040" cy="1403985"/>
                <wp:effectExtent l="0" t="0" r="10160" b="22225"/>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00040" cy="1403985"/>
                        </a:xfrm>
                        <a:prstGeom prst="rect">
                          <a:avLst/>
                        </a:prstGeom>
                        <a:solidFill>
                          <a:srgbClr val="FFFFFF"/>
                        </a:solidFill>
                        <a:ln w="12700">
                          <a:solidFill>
                            <a:srgbClr val="000000"/>
                          </a:solidFill>
                          <a:miter lim="800000"/>
                        </a:ln>
                      </wps:spPr>
                      <wps:txbx>
                        <w:txbxContent>
                          <w:p w14:paraId="17D649CB">
                            <w:pPr>
                              <w:adjustRightInd w:val="0"/>
                              <w:snapToGrid w:val="0"/>
                              <w:spacing w:line="360" w:lineRule="auto"/>
                              <w:jc w:val="center"/>
                              <w:rPr>
                                <w:rFonts w:ascii="仿宋_GB2312" w:eastAsia="仿宋_GB2312"/>
                                <w:b/>
                                <w:sz w:val="28"/>
                                <w:szCs w:val="28"/>
                              </w:rPr>
                            </w:pPr>
                            <w:bookmarkStart w:id="287" w:name="OLE_LINK115"/>
                            <w:bookmarkStart w:id="288" w:name="_Hlk227429574"/>
                            <w:bookmarkStart w:id="289" w:name="OLE_LINK116"/>
                            <w:r>
                              <w:rPr>
                                <w:rFonts w:hint="eastAsia" w:ascii="仿宋_GB2312" w:eastAsia="仿宋_GB2312"/>
                                <w:b/>
                                <w:sz w:val="28"/>
                                <w:szCs w:val="28"/>
                              </w:rPr>
                              <w:t>专栏6 生态系统保护修复重点工程</w:t>
                            </w:r>
                          </w:p>
                          <w:p w14:paraId="7B78EB48">
                            <w:pPr>
                              <w:pStyle w:val="2"/>
                              <w:ind w:left="0" w:right="0"/>
                              <w:jc w:val="left"/>
                              <w:rPr>
                                <w:rFonts w:ascii="仿宋_GB2312" w:eastAsia="仿宋_GB2312"/>
                              </w:rPr>
                            </w:pPr>
                            <w:r>
                              <w:rPr>
                                <w:rFonts w:hint="eastAsia" w:ascii="仿宋_GB2312" w:eastAsia="仿宋_GB2312"/>
                                <w:b/>
                              </w:rPr>
                              <w:t>1.自然生态屏障建设工程。</w:t>
                            </w:r>
                            <w:r>
                              <w:rPr>
                                <w:rFonts w:hint="eastAsia" w:ascii="仿宋_GB2312" w:eastAsia="仿宋_GB2312"/>
                              </w:rPr>
                              <w:t>实施准噶尔盆地绿洲保护综合治理，通过人工造林、退化林修复、封山（沙）育林、草原改良、草原围栏、工程固沙等措施，完成治理面积</w:t>
                            </w:r>
                            <w:r>
                              <w:rPr>
                                <w:rFonts w:ascii="仿宋_GB2312" w:eastAsia="仿宋_GB2312"/>
                              </w:rPr>
                              <w:t>3</w:t>
                            </w:r>
                            <w:r>
                              <w:rPr>
                                <w:rFonts w:hint="eastAsia" w:ascii="仿宋_GB2312" w:eastAsia="仿宋_GB2312"/>
                              </w:rPr>
                              <w:t>3</w:t>
                            </w:r>
                            <w:r>
                              <w:rPr>
                                <w:rFonts w:ascii="仿宋_GB2312" w:eastAsia="仿宋_GB2312"/>
                              </w:rPr>
                              <w:t>0万亩以上</w:t>
                            </w:r>
                            <w:r>
                              <w:rPr>
                                <w:rFonts w:hint="eastAsia" w:ascii="仿宋_GB2312" w:eastAsia="仿宋_GB2312"/>
                              </w:rPr>
                              <w:t>；实施阜康市历史遗留废弃矿山生态修复项目；实施玛纳斯县历史遗留采砂坑治理项目；实施奇台县黄羊山花岗岩矿区生态修复工程；实施昌吉市、阜康市、呼图壁县、木垒县等26处煤田火区综合治理工程</w:t>
                            </w:r>
                            <w:r>
                              <w:rPr>
                                <w:rFonts w:ascii="仿宋_GB2312" w:eastAsia="仿宋_GB2312"/>
                              </w:rPr>
                              <w:t>。</w:t>
                            </w:r>
                          </w:p>
                          <w:p w14:paraId="7010F147">
                            <w:pPr>
                              <w:pStyle w:val="2"/>
                              <w:ind w:left="0" w:right="0"/>
                              <w:jc w:val="left"/>
                              <w:rPr>
                                <w:rFonts w:ascii="仿宋_GB2312" w:eastAsia="仿宋_GB2312"/>
                              </w:rPr>
                            </w:pPr>
                            <w:r>
                              <w:rPr>
                                <w:rFonts w:hint="eastAsia" w:ascii="仿宋_GB2312" w:eastAsia="仿宋_GB2312"/>
                                <w:b/>
                              </w:rPr>
                              <w:t>2.山水林田湖草沙一体化保护修复工程。</w:t>
                            </w:r>
                            <w:r>
                              <w:rPr>
                                <w:rFonts w:hint="eastAsia" w:ascii="仿宋_GB2312" w:eastAsia="仿宋_GB2312"/>
                              </w:rPr>
                              <w:t>实施国土绿化与森林质量提升工程。持续巩固全州</w:t>
                            </w:r>
                            <w:r>
                              <w:rPr>
                                <w:rFonts w:ascii="仿宋_GB2312" w:eastAsia="仿宋_GB2312"/>
                              </w:rPr>
                              <w:t>99.92万亩新一轮退耕还林成果；实施天然林与公益林一体化保护；强化全州7个沙化土地封禁保护区管理，完善基础设施与管护队伍建设，促进荒漠植被自然恢复</w:t>
                            </w:r>
                            <w:r>
                              <w:rPr>
                                <w:rFonts w:hint="eastAsia" w:ascii="仿宋_GB2312" w:eastAsia="仿宋_GB2312"/>
                              </w:rPr>
                              <w:t>；申报实施玛纳斯县玛纳斯河兰州湾段右岸河岸线生态修复项目。实施昌吉回族自治州地表水保护治理项目，聚焦头屯河、玛纳斯河、三屯河等</w:t>
                            </w:r>
                            <w:r>
                              <w:rPr>
                                <w:rFonts w:ascii="仿宋_GB2312" w:eastAsia="仿宋_GB2312"/>
                              </w:rPr>
                              <w:t>5个流域，开展水生态修复、河湖缓冲带恢复、人工湿地建设等</w:t>
                            </w:r>
                            <w:r>
                              <w:rPr>
                                <w:rFonts w:hint="eastAsia" w:ascii="仿宋_GB2312" w:eastAsia="仿宋_GB2312"/>
                              </w:rPr>
                              <w:t>。</w:t>
                            </w:r>
                          </w:p>
                          <w:p w14:paraId="5F3D2CAA">
                            <w:pPr>
                              <w:pStyle w:val="2"/>
                              <w:ind w:left="0" w:right="0"/>
                              <w:jc w:val="left"/>
                              <w:rPr>
                                <w:rFonts w:ascii="仿宋_GB2312" w:eastAsia="仿宋_GB2312"/>
                              </w:rPr>
                            </w:pPr>
                            <w:r>
                              <w:rPr>
                                <w:rFonts w:hint="eastAsia" w:ascii="仿宋_GB2312" w:eastAsia="仿宋_GB2312"/>
                                <w:b/>
                              </w:rPr>
                              <w:t>3.生物多样性保护工程。</w:t>
                            </w:r>
                            <w:r>
                              <w:rPr>
                                <w:rFonts w:hint="eastAsia" w:ascii="仿宋_GB2312" w:eastAsia="仿宋_GB2312"/>
                              </w:rPr>
                              <w:t>实施生物多样性调查监测工程，开展新一轮博格达峰冰川考察研究，加强南部山区冰川、水源涵养区、各类生物栖息地保护。建设玛纳斯国家湿地公园野生动物救助站；优化种质资源库（场、区、圃）等迁地保护设施。</w:t>
                            </w:r>
                          </w:p>
                          <w:p w14:paraId="24859727">
                            <w:pPr>
                              <w:pStyle w:val="2"/>
                              <w:ind w:left="0" w:right="0"/>
                              <w:jc w:val="left"/>
                              <w:rPr>
                                <w:rFonts w:ascii="仿宋_GB2312" w:eastAsia="仿宋_GB2312"/>
                              </w:rPr>
                            </w:pPr>
                            <w:r>
                              <w:rPr>
                                <w:rFonts w:hint="eastAsia" w:ascii="仿宋_GB2312" w:eastAsia="仿宋_GB2312"/>
                                <w:b/>
                              </w:rPr>
                              <w:t>4.</w:t>
                            </w:r>
                            <w:r>
                              <w:rPr>
                                <w:rFonts w:hint="eastAsia"/>
                              </w:rPr>
                              <w:t xml:space="preserve"> </w:t>
                            </w:r>
                            <w:r>
                              <w:rPr>
                                <w:rFonts w:hint="eastAsia" w:ascii="仿宋_GB2312" w:eastAsia="仿宋_GB2312"/>
                                <w:b/>
                              </w:rPr>
                              <w:t>冰川保护与永续利用工程。</w:t>
                            </w:r>
                            <w:r>
                              <w:rPr>
                                <w:rFonts w:hint="eastAsia" w:ascii="仿宋_GB2312" w:eastAsia="仿宋_GB2312"/>
                              </w:rPr>
                              <w:t>配合开展冰川遥感监测与气象预警；建立冰川保护部门信息共享机制；开展冰川保护关键技术研发与应用；实施最严格涉冰川项目审批管理；严守冰川区域生态红线。</w:t>
                            </w:r>
                            <w:bookmarkEnd w:id="287"/>
                            <w:bookmarkEnd w:id="288"/>
                            <w:bookmarkEnd w:id="289"/>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pt;margin-top:2.2pt;height:110.55pt;width:425.2pt;z-index:251668480;mso-width-relative:page;mso-height-relative:margin;mso-height-percent:200;" fillcolor="#FFFFFF" filled="t" stroked="t" coordsize="21600,21600" o:gfxdata="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4h/SdgAAAAIAQAADwAAAAAAAAABACAAAAAiAAAAZHJzL2Rv&#10;d25yZXYueG1sUEsBAhQAFAAAAAgAh07iQGcD2Kc6AgAAfQQAAA4AAAAAAAAAAQAgAAAAJwEAAGRy&#10;cy9lMm9Eb2MueG1sUEsFBgAAAAAGAAYAWQEAANMFAAAAAA==&#10;">
                <v:fill on="t" focussize="0,0"/>
                <v:stroke weight="1pt" color="#000000" miterlimit="8" joinstyle="miter"/>
                <v:imagedata o:title=""/>
                <o:lock v:ext="edit" aspectratio="f"/>
                <v:textbox style="mso-fit-shape-to-text:t;">
                  <w:txbxContent>
                    <w:p w14:paraId="17D649CB">
                      <w:pPr>
                        <w:adjustRightInd w:val="0"/>
                        <w:snapToGrid w:val="0"/>
                        <w:spacing w:line="360" w:lineRule="auto"/>
                        <w:jc w:val="center"/>
                        <w:rPr>
                          <w:rFonts w:ascii="仿宋_GB2312" w:eastAsia="仿宋_GB2312"/>
                          <w:b/>
                          <w:sz w:val="28"/>
                          <w:szCs w:val="28"/>
                        </w:rPr>
                      </w:pPr>
                      <w:bookmarkStart w:id="287" w:name="OLE_LINK115"/>
                      <w:bookmarkStart w:id="288" w:name="_Hlk227429574"/>
                      <w:bookmarkStart w:id="289" w:name="OLE_LINK116"/>
                      <w:r>
                        <w:rPr>
                          <w:rFonts w:hint="eastAsia" w:ascii="仿宋_GB2312" w:eastAsia="仿宋_GB2312"/>
                          <w:b/>
                          <w:sz w:val="28"/>
                          <w:szCs w:val="28"/>
                        </w:rPr>
                        <w:t>专栏6 生态系统保护修复重点工程</w:t>
                      </w:r>
                    </w:p>
                    <w:p w14:paraId="7B78EB48">
                      <w:pPr>
                        <w:pStyle w:val="2"/>
                        <w:ind w:left="0" w:right="0"/>
                        <w:jc w:val="left"/>
                        <w:rPr>
                          <w:rFonts w:ascii="仿宋_GB2312" w:eastAsia="仿宋_GB2312"/>
                        </w:rPr>
                      </w:pPr>
                      <w:r>
                        <w:rPr>
                          <w:rFonts w:hint="eastAsia" w:ascii="仿宋_GB2312" w:eastAsia="仿宋_GB2312"/>
                          <w:b/>
                        </w:rPr>
                        <w:t>1.自然生态屏障建设工程。</w:t>
                      </w:r>
                      <w:r>
                        <w:rPr>
                          <w:rFonts w:hint="eastAsia" w:ascii="仿宋_GB2312" w:eastAsia="仿宋_GB2312"/>
                        </w:rPr>
                        <w:t>实施准噶尔盆地绿洲保护综合治理，通过人工造林、退化林修复、封山（沙）育林、草原改良、草原围栏、工程固沙等措施，完成治理面积</w:t>
                      </w:r>
                      <w:r>
                        <w:rPr>
                          <w:rFonts w:ascii="仿宋_GB2312" w:eastAsia="仿宋_GB2312"/>
                        </w:rPr>
                        <w:t>3</w:t>
                      </w:r>
                      <w:r>
                        <w:rPr>
                          <w:rFonts w:hint="eastAsia" w:ascii="仿宋_GB2312" w:eastAsia="仿宋_GB2312"/>
                        </w:rPr>
                        <w:t>3</w:t>
                      </w:r>
                      <w:r>
                        <w:rPr>
                          <w:rFonts w:ascii="仿宋_GB2312" w:eastAsia="仿宋_GB2312"/>
                        </w:rPr>
                        <w:t>0万亩以上</w:t>
                      </w:r>
                      <w:r>
                        <w:rPr>
                          <w:rFonts w:hint="eastAsia" w:ascii="仿宋_GB2312" w:eastAsia="仿宋_GB2312"/>
                        </w:rPr>
                        <w:t>；实施阜康市历史遗留废弃矿山生态修复项目；实施玛纳斯县历史遗留采砂坑治理项目；实施奇台县黄羊山花岗岩矿区生态修复工程；实施昌吉市、阜康市、呼图壁县、木垒县等26处煤田火区综合治理工程</w:t>
                      </w:r>
                      <w:r>
                        <w:rPr>
                          <w:rFonts w:ascii="仿宋_GB2312" w:eastAsia="仿宋_GB2312"/>
                        </w:rPr>
                        <w:t>。</w:t>
                      </w:r>
                    </w:p>
                    <w:p w14:paraId="7010F147">
                      <w:pPr>
                        <w:pStyle w:val="2"/>
                        <w:ind w:left="0" w:right="0"/>
                        <w:jc w:val="left"/>
                        <w:rPr>
                          <w:rFonts w:ascii="仿宋_GB2312" w:eastAsia="仿宋_GB2312"/>
                        </w:rPr>
                      </w:pPr>
                      <w:r>
                        <w:rPr>
                          <w:rFonts w:hint="eastAsia" w:ascii="仿宋_GB2312" w:eastAsia="仿宋_GB2312"/>
                          <w:b/>
                        </w:rPr>
                        <w:t>2.山水林田湖草沙一体化保护修复工程。</w:t>
                      </w:r>
                      <w:r>
                        <w:rPr>
                          <w:rFonts w:hint="eastAsia" w:ascii="仿宋_GB2312" w:eastAsia="仿宋_GB2312"/>
                        </w:rPr>
                        <w:t>实施国土绿化与森林质量提升工程。持续巩固全州</w:t>
                      </w:r>
                      <w:r>
                        <w:rPr>
                          <w:rFonts w:ascii="仿宋_GB2312" w:eastAsia="仿宋_GB2312"/>
                        </w:rPr>
                        <w:t>99.92万亩新一轮退耕还林成果；实施天然林与公益林一体化保护；强化全州7个沙化土地封禁保护区管理，完善基础设施与管护队伍建设，促进荒漠植被自然恢复</w:t>
                      </w:r>
                      <w:r>
                        <w:rPr>
                          <w:rFonts w:hint="eastAsia" w:ascii="仿宋_GB2312" w:eastAsia="仿宋_GB2312"/>
                        </w:rPr>
                        <w:t>；申报实施玛纳斯县玛纳斯河兰州湾段右岸河岸线生态修复项目。实施昌吉回族自治州地表水保护治理项目，聚焦头屯河、玛纳斯河、三屯河等</w:t>
                      </w:r>
                      <w:r>
                        <w:rPr>
                          <w:rFonts w:ascii="仿宋_GB2312" w:eastAsia="仿宋_GB2312"/>
                        </w:rPr>
                        <w:t>5个流域，开展水生态修复、河湖缓冲带恢复、人工湿地建设等</w:t>
                      </w:r>
                      <w:r>
                        <w:rPr>
                          <w:rFonts w:hint="eastAsia" w:ascii="仿宋_GB2312" w:eastAsia="仿宋_GB2312"/>
                        </w:rPr>
                        <w:t>。</w:t>
                      </w:r>
                    </w:p>
                    <w:p w14:paraId="5F3D2CAA">
                      <w:pPr>
                        <w:pStyle w:val="2"/>
                        <w:ind w:left="0" w:right="0"/>
                        <w:jc w:val="left"/>
                        <w:rPr>
                          <w:rFonts w:ascii="仿宋_GB2312" w:eastAsia="仿宋_GB2312"/>
                        </w:rPr>
                      </w:pPr>
                      <w:r>
                        <w:rPr>
                          <w:rFonts w:hint="eastAsia" w:ascii="仿宋_GB2312" w:eastAsia="仿宋_GB2312"/>
                          <w:b/>
                        </w:rPr>
                        <w:t>3.生物多样性保护工程。</w:t>
                      </w:r>
                      <w:r>
                        <w:rPr>
                          <w:rFonts w:hint="eastAsia" w:ascii="仿宋_GB2312" w:eastAsia="仿宋_GB2312"/>
                        </w:rPr>
                        <w:t>实施生物多样性调查监测工程，开展新一轮博格达峰冰川考察研究，加强南部山区冰川、水源涵养区、各类生物栖息地保护。建设玛纳斯国家湿地公园野生动物救助站；优化种质资源库（场、区、圃）等迁地保护设施。</w:t>
                      </w:r>
                    </w:p>
                    <w:p w14:paraId="24859727">
                      <w:pPr>
                        <w:pStyle w:val="2"/>
                        <w:ind w:left="0" w:right="0"/>
                        <w:jc w:val="left"/>
                        <w:rPr>
                          <w:rFonts w:ascii="仿宋_GB2312" w:eastAsia="仿宋_GB2312"/>
                        </w:rPr>
                      </w:pPr>
                      <w:r>
                        <w:rPr>
                          <w:rFonts w:hint="eastAsia" w:ascii="仿宋_GB2312" w:eastAsia="仿宋_GB2312"/>
                          <w:b/>
                        </w:rPr>
                        <w:t>4.</w:t>
                      </w:r>
                      <w:r>
                        <w:rPr>
                          <w:rFonts w:hint="eastAsia"/>
                        </w:rPr>
                        <w:t xml:space="preserve"> </w:t>
                      </w:r>
                      <w:r>
                        <w:rPr>
                          <w:rFonts w:hint="eastAsia" w:ascii="仿宋_GB2312" w:eastAsia="仿宋_GB2312"/>
                          <w:b/>
                        </w:rPr>
                        <w:t>冰川保护与永续利用工程。</w:t>
                      </w:r>
                      <w:r>
                        <w:rPr>
                          <w:rFonts w:hint="eastAsia" w:ascii="仿宋_GB2312" w:eastAsia="仿宋_GB2312"/>
                        </w:rPr>
                        <w:t>配合开展冰川遥感监测与气象预警；建立冰川保护部门信息共享机制；开展冰川保护关键技术研发与应用；实施最严格涉冰川项目审批管理；严守冰川区域生态红线。</w:t>
                      </w:r>
                      <w:bookmarkEnd w:id="287"/>
                      <w:bookmarkEnd w:id="288"/>
                      <w:bookmarkEnd w:id="289"/>
                    </w:p>
                  </w:txbxContent>
                </v:textbox>
              </v:shape>
            </w:pict>
          </mc:Fallback>
        </mc:AlternateContent>
      </w:r>
    </w:p>
    <w:p w14:paraId="4E4D760E">
      <w:pPr>
        <w:pStyle w:val="78"/>
        <w:ind w:firstLine="640"/>
      </w:pPr>
    </w:p>
    <w:p w14:paraId="0A875C7D">
      <w:pPr>
        <w:pStyle w:val="78"/>
        <w:ind w:firstLine="640"/>
      </w:pPr>
    </w:p>
    <w:p w14:paraId="28E29B2C">
      <w:pPr>
        <w:pStyle w:val="78"/>
        <w:ind w:firstLine="640"/>
      </w:pPr>
    </w:p>
    <w:p w14:paraId="34DCE5FC">
      <w:pPr>
        <w:pStyle w:val="78"/>
        <w:ind w:firstLine="0" w:firstLineChars="0"/>
      </w:pPr>
    </w:p>
    <w:p w14:paraId="1FFD70DA">
      <w:pPr>
        <w:pStyle w:val="78"/>
        <w:ind w:firstLine="640"/>
      </w:pPr>
    </w:p>
    <w:p w14:paraId="56DE1320">
      <w:pPr>
        <w:pStyle w:val="78"/>
        <w:ind w:firstLine="640"/>
      </w:pPr>
    </w:p>
    <w:p w14:paraId="1799BB22">
      <w:pPr>
        <w:pStyle w:val="78"/>
        <w:ind w:firstLine="640"/>
      </w:pPr>
    </w:p>
    <w:p w14:paraId="22EB87DD">
      <w:pPr>
        <w:pStyle w:val="78"/>
        <w:ind w:firstLine="640"/>
      </w:pPr>
    </w:p>
    <w:p w14:paraId="0A5E1E90">
      <w:pPr>
        <w:pStyle w:val="78"/>
        <w:ind w:firstLine="640"/>
      </w:pPr>
    </w:p>
    <w:p w14:paraId="5CB3751B">
      <w:pPr>
        <w:pStyle w:val="78"/>
        <w:ind w:firstLine="640"/>
      </w:pPr>
    </w:p>
    <w:p w14:paraId="6779595C">
      <w:pPr>
        <w:pStyle w:val="78"/>
        <w:ind w:firstLine="640"/>
      </w:pPr>
    </w:p>
    <w:p w14:paraId="6448547D">
      <w:pPr>
        <w:pStyle w:val="78"/>
        <w:ind w:firstLine="640"/>
      </w:pPr>
    </w:p>
    <w:p w14:paraId="5236D180">
      <w:pPr>
        <w:pStyle w:val="78"/>
        <w:ind w:firstLine="640"/>
      </w:pPr>
    </w:p>
    <w:p w14:paraId="3DCAA75E">
      <w:pPr>
        <w:pStyle w:val="78"/>
        <w:ind w:firstLine="640"/>
        <w:sectPr>
          <w:pgSz w:w="11906" w:h="16838"/>
          <w:pgMar w:top="1440" w:right="1800" w:bottom="1440" w:left="1800" w:header="1077" w:footer="992" w:gutter="0"/>
          <w:pgNumType w:fmt="numberInDash"/>
          <w:cols w:space="425" w:num="1"/>
          <w:docGrid w:type="lines" w:linePitch="312" w:charSpace="0"/>
        </w:sectPr>
      </w:pPr>
    </w:p>
    <w:p w14:paraId="16580AFA">
      <w:pPr>
        <w:pStyle w:val="3"/>
        <w:spacing w:after="100" w:afterAutospacing="1" w:line="480" w:lineRule="auto"/>
        <w:ind w:firstLine="640"/>
        <w:jc w:val="center"/>
      </w:pPr>
      <w:bookmarkStart w:id="132" w:name="_Toc227770785"/>
      <w:bookmarkStart w:id="133" w:name="_Toc218867748"/>
      <w:bookmarkStart w:id="134" w:name="OLE_LINK35"/>
      <w:bookmarkStart w:id="135" w:name="OLE_LINK34"/>
      <w:bookmarkStart w:id="136" w:name="OLE_LINK88"/>
      <w:bookmarkStart w:id="137" w:name="OLE_LINK146"/>
      <w:bookmarkStart w:id="138" w:name="OLE_LINK145"/>
      <w:r>
        <w:rPr>
          <w:rFonts w:hint="eastAsia"/>
        </w:rPr>
        <w:t xml:space="preserve">第六章  </w:t>
      </w:r>
      <w:bookmarkStart w:id="139" w:name="OLE_LINK39"/>
      <w:bookmarkStart w:id="140" w:name="OLE_LINK36"/>
      <w:r>
        <w:t>加快</w:t>
      </w:r>
      <w:r>
        <w:rPr>
          <w:rFonts w:hint="eastAsia"/>
        </w:rPr>
        <w:t>绿色</w:t>
      </w:r>
      <w:r>
        <w:t>低碳转型，</w:t>
      </w:r>
      <w:r>
        <w:rPr>
          <w:rFonts w:hint="eastAsia"/>
        </w:rPr>
        <w:t>构建</w:t>
      </w:r>
      <w:r>
        <w:t>现代化生态经济体系</w:t>
      </w:r>
      <w:bookmarkEnd w:id="132"/>
      <w:bookmarkEnd w:id="133"/>
      <w:bookmarkEnd w:id="139"/>
      <w:bookmarkEnd w:id="140"/>
    </w:p>
    <w:bookmarkEnd w:id="134"/>
    <w:bookmarkEnd w:id="135"/>
    <w:p w14:paraId="0B57D950">
      <w:pPr>
        <w:pStyle w:val="4"/>
        <w:spacing w:line="700" w:lineRule="exact"/>
        <w:ind w:firstLine="643"/>
        <w:jc w:val="center"/>
      </w:pPr>
      <w:bookmarkStart w:id="141" w:name="_Toc218867749"/>
      <w:bookmarkStart w:id="142" w:name="_Toc227770786"/>
      <w:bookmarkStart w:id="143" w:name="OLE_LINK58"/>
      <w:bookmarkStart w:id="144" w:name="OLE_LINK38"/>
      <w:bookmarkStart w:id="145" w:name="OLE_LINK37"/>
      <w:r>
        <w:rPr>
          <w:rFonts w:hint="eastAsia"/>
        </w:rPr>
        <w:t>第一节 优化</w:t>
      </w:r>
      <w:r>
        <w:t>国土空间开发</w:t>
      </w:r>
      <w:r>
        <w:rPr>
          <w:rFonts w:hint="eastAsia"/>
        </w:rPr>
        <w:t>保护</w:t>
      </w:r>
      <w:r>
        <w:t>格局</w:t>
      </w:r>
      <w:bookmarkEnd w:id="141"/>
      <w:bookmarkEnd w:id="142"/>
    </w:p>
    <w:p w14:paraId="21BC9176">
      <w:pPr>
        <w:pStyle w:val="78"/>
        <w:ind w:firstLine="643"/>
        <w:rPr>
          <w:b/>
        </w:rPr>
      </w:pPr>
      <w:bookmarkStart w:id="146" w:name="OLE_LINK120"/>
      <w:bookmarkStart w:id="147" w:name="OLE_LINK117"/>
      <w:r>
        <w:rPr>
          <w:rFonts w:hint="eastAsia"/>
          <w:b/>
        </w:rPr>
        <w:t>强化</w:t>
      </w:r>
      <w:r>
        <w:rPr>
          <w:b/>
        </w:rPr>
        <w:t>生态环境分区管控。</w:t>
      </w:r>
      <w:r>
        <w:rPr>
          <w:rFonts w:hint="eastAsia"/>
        </w:rPr>
        <w:t>实施生态环境分区域差异化精准管控，严格落实分区管控要求。全面落实主体功能区战略，充分衔接国土空间规划和用途管制，不断完善生态环境分区管控体系。强化生态环境分区管控实施应用，建立健全问题识别、精准溯源、分区施策的工作闭环，推动解决突出生态环境问题，防范结构性、布局性环境风险。按照《生态环境分区管控管理暂行规定》要求，对昌吉州生态环境分区管控方案进行定期调整、动态更新及跟踪评估，以高水平保护推动高质量发展，努力建设人与自然和谐共生的美丽新疆昌吉典范</w:t>
      </w:r>
      <w:r>
        <w:t>。</w:t>
      </w:r>
    </w:p>
    <w:bookmarkEnd w:id="146"/>
    <w:bookmarkEnd w:id="147"/>
    <w:p w14:paraId="261C0143">
      <w:pPr>
        <w:pStyle w:val="78"/>
        <w:ind w:firstLine="643"/>
        <w:rPr>
          <w:b/>
        </w:rPr>
      </w:pPr>
      <w:bookmarkStart w:id="148" w:name="OLE_LINK27"/>
      <w:bookmarkStart w:id="149" w:name="OLE_LINK29"/>
      <w:r>
        <w:rPr>
          <w:rFonts w:hint="eastAsia"/>
          <w:b/>
          <w:kern w:val="0"/>
          <w:lang w:bidi="en-US"/>
        </w:rPr>
        <w:t>构建区域协调发展新格局。</w:t>
      </w:r>
      <w:r>
        <w:t>推动以准东经济技术开发区为引擎，“一市两区”为高地，辐射带动</w:t>
      </w:r>
      <w:r>
        <w:rPr>
          <w:rFonts w:hint="eastAsia"/>
          <w:lang w:eastAsia="zh-CN"/>
        </w:rPr>
        <w:t>东西部</w:t>
      </w:r>
      <w:r>
        <w:t>协同发展新格局，立足服务国家战略，打造新疆工业高质量发展样板区，强化龙头牵引作用，推动要素向准东集聚、项目向准东集中、产业向准东集群，</w:t>
      </w:r>
      <w:bookmarkStart w:id="150" w:name="OLE_LINK24"/>
      <w:bookmarkStart w:id="151" w:name="OLE_LINK21"/>
      <w:r>
        <w:t>推进西片区环境质量持续改善，东片区</w:t>
      </w:r>
      <w:bookmarkEnd w:id="150"/>
      <w:bookmarkEnd w:id="151"/>
      <w:r>
        <w:t>高质量绿色低碳发展。</w:t>
      </w:r>
      <w:r>
        <w:rPr>
          <w:rFonts w:hint="eastAsia"/>
        </w:rPr>
        <w:t>统筹考虑不同区域的主体功能定位、产业和能源结构、自然资源禀赋，落实差异化碳排放控制要求。</w:t>
      </w:r>
    </w:p>
    <w:bookmarkEnd w:id="148"/>
    <w:bookmarkEnd w:id="149"/>
    <w:p w14:paraId="7001144A">
      <w:pPr>
        <w:pStyle w:val="4"/>
        <w:spacing w:line="700" w:lineRule="exact"/>
        <w:ind w:firstLine="643"/>
        <w:jc w:val="center"/>
      </w:pPr>
      <w:bookmarkStart w:id="152" w:name="_Toc227770787"/>
      <w:bookmarkStart w:id="153" w:name="_Toc218867750"/>
      <w:bookmarkStart w:id="154" w:name="OLE_LINK181"/>
      <w:r>
        <w:rPr>
          <w:rFonts w:hint="eastAsia"/>
        </w:rPr>
        <w:t xml:space="preserve">第二节  </w:t>
      </w:r>
      <w:r>
        <w:t>积极稳妥推进碳达峰碳中和</w:t>
      </w:r>
      <w:bookmarkEnd w:id="152"/>
      <w:bookmarkEnd w:id="153"/>
    </w:p>
    <w:p w14:paraId="5F551275">
      <w:pPr>
        <w:pStyle w:val="78"/>
        <w:ind w:firstLine="643"/>
      </w:pPr>
      <w:bookmarkStart w:id="155" w:name="OLE_LINK41"/>
      <w:bookmarkStart w:id="156" w:name="OLE_LINK40"/>
      <w:r>
        <w:rPr>
          <w:rFonts w:hint="eastAsia"/>
          <w:b/>
        </w:rPr>
        <w:t>完善碳排放总量和强度双控制度体系。</w:t>
      </w:r>
      <w:r>
        <w:rPr>
          <w:rFonts w:hint="eastAsia"/>
        </w:rPr>
        <w:t>全面落实国家碳排放总量和强度双控制度，坚持政府约束与市场引导相结合，以强度控制为主、总量控制为辅。依据《考核办法》要求，科学合理分解自治区下达的碳排放双控目标，制定昌吉州碳排放预算管理方案，完善碳排放统计核算体系，一体推进地方碳考核、行业碳管控、企业碳管理、项目碳评价、产品碳足迹等制度建设。建立碳排放数据质量管理体系，强化重点排放单位数据报送、核查与监管。完善固定资产投资项目节能审查制度，将碳排放评价纳入节能审查，对项目用能和碳排放情况开展综合评价。</w:t>
      </w:r>
    </w:p>
    <w:p w14:paraId="428329DF">
      <w:pPr>
        <w:pStyle w:val="78"/>
        <w:ind w:firstLine="643"/>
      </w:pPr>
      <w:r>
        <w:rPr>
          <w:b/>
        </w:rPr>
        <w:t>加强碳足迹管理体系与能力建设。</w:t>
      </w:r>
      <w:r>
        <w:rPr>
          <w:rFonts w:hint="eastAsia"/>
        </w:rPr>
        <w:t>聚焦电力、电解铝、煤炭、水泥、钢铁等重点产品，全面推行碳足迹核算，引导企业加强核算结果应用。配合自治区建设重点产品碳足迹因子数据库，探索建立州级产品碳足迹核算和认证工作体系。推动碳足迹核算结果在绿色金融、政府采购、企业供应链管理中的深度应用，将碳标识作为绿色信贷、绿电交易和政府绿色采购的重要评价依据。到</w:t>
      </w:r>
      <w:r>
        <w:t>2027年，落实国家、自治区产品碳足迹核算标准，全面开展重点产品碳足迹核算；到2030年，重点行业产品碳足迹核算逐步推行，应用环境持续优化。</w:t>
      </w:r>
    </w:p>
    <w:p w14:paraId="278B17BF">
      <w:pPr>
        <w:pStyle w:val="78"/>
        <w:ind w:firstLine="643"/>
      </w:pPr>
      <w:r>
        <w:rPr>
          <w:rFonts w:hint="eastAsia"/>
          <w:b/>
        </w:rPr>
        <w:t>推动</w:t>
      </w:r>
      <w:r>
        <w:rPr>
          <w:b/>
        </w:rPr>
        <w:t>碳排放技术创新。</w:t>
      </w:r>
      <w:r>
        <w:rPr>
          <w:rFonts w:hint="eastAsia"/>
        </w:rPr>
        <w:t>依托准东经济技术开发区煤化工产业集聚区，开展规模化二氧化碳捕集利用与封存示范项目研究，结合煤基固废、液废综合处置提升二氧化碳资源化利用技术；在彩南、火烧山等重点油田推动二氧化碳驱油与封存，同步建设二氧化碳输送管道。支持煤化工企业与科研机构合作，研发低成本、高效率的碳捕集利用技术，推动技术成果在工业园区规模化应用。鼓励化工企业与科研院所开展以二氧化碳为原料生产可降解塑料、合成燃料等技术攻关，引导企业加大研发投入，开展低碳工艺革新和减碳升级改造，从生产源头降低碳排放强度。推动准东经济技术开发区申建国家碳计量中心（新疆），搭建区块链碳数据平台，建立国家级碳计量实验室，建设多能融合碳计量验证基地。搭建碳智慧管理平台，实现能耗与碳排放实时监测、预测及智能调度。到2</w:t>
      </w:r>
      <w:r>
        <w:t>030</w:t>
      </w:r>
      <w:r>
        <w:rPr>
          <w:rFonts w:hint="eastAsia"/>
        </w:rPr>
        <w:t>年，力争实现年二氧化碳捕集、利用与封存能力达到千万吨级，</w:t>
      </w:r>
      <w:r>
        <w:t>有效推动煤化工等传统高碳产业绿色低碳转型。</w:t>
      </w:r>
    </w:p>
    <w:p w14:paraId="22141761">
      <w:pPr>
        <w:pStyle w:val="78"/>
        <w:ind w:firstLine="643"/>
      </w:pPr>
      <w:r>
        <w:rPr>
          <w:b/>
        </w:rPr>
        <w:t>推广绿色节能措施。</w:t>
      </w:r>
      <w:r>
        <w:rPr>
          <w:rFonts w:hint="eastAsia"/>
        </w:rPr>
        <w:t>积极发挥公共机构的示范引领作用，通过推广绿色办公、节能改造等举措，带动全社会形成低碳生活新风尚。推动重点用能和碳排放单位落实节能降碳管理要求。与国内相关高校、企业、科研机构联合开展绿色低碳行动下的碳普惠制度设计、产品开发，引导市民群众主动参与碳减排行动，形成节约资源、绿色出行的生活意识。逐步降低昌吉州单位</w:t>
      </w:r>
      <w:r>
        <w:t>GDP二氧化碳排放量，确保完成自治区下达的碳排放强度降低目标。</w:t>
      </w:r>
    </w:p>
    <w:p w14:paraId="7F473B94">
      <w:pPr>
        <w:pStyle w:val="78"/>
        <w:ind w:firstLine="643"/>
        <w:rPr>
          <w:b/>
        </w:rPr>
      </w:pPr>
      <w:r>
        <w:rPr>
          <w:rFonts w:hint="eastAsia"/>
          <w:b/>
        </w:rPr>
        <w:t>落实碳排放清单管理与市场机制。</w:t>
      </w:r>
      <w:r>
        <w:rPr>
          <w:rFonts w:hint="eastAsia"/>
        </w:rPr>
        <w:t>推进主要温室气体清单化管理，建立动态监测与评估体系，加强对甲烷等非二氧化碳温室气体排放的精准控制，全方位降低温室气体浓度。积极融入全国碳交易市场，做好重点排放单位碳排放核查、配额分配、交易和配额清缴等工作，强化碳排放数据质量管理和履约管理，完善配额分配机制，严格开展清缴履约工作，确保碳市场规范有序运行，</w:t>
      </w:r>
      <w:r>
        <w:t>同时，做好造林碳汇、并网光热发电等CCER项目开发、核算、核证和交易工作，加快健全完善绿证交易市场，促进绿色电力消费，充分发挥市场机制对碳排放的调节作用。</w:t>
      </w:r>
    </w:p>
    <w:p w14:paraId="7C84A124">
      <w:pPr>
        <w:pStyle w:val="78"/>
        <w:ind w:firstLine="640"/>
      </w:pPr>
      <w:r>
        <w:rPr>
          <w:rFonts w:hint="eastAsia"/>
        </w:rPr>
        <w:t>确保单位国内生产总值二氧化碳排放降低比例和碳排放总量控制在自治区下达</w:t>
      </w:r>
      <w:r>
        <w:rPr>
          <w:rFonts w:hint="eastAsia"/>
          <w:lang w:eastAsia="zh-CN"/>
        </w:rPr>
        <w:t>的指标</w:t>
      </w:r>
      <w:r>
        <w:rPr>
          <w:rFonts w:hint="eastAsia"/>
        </w:rPr>
        <w:t>范围内。</w:t>
      </w:r>
    </w:p>
    <w:bookmarkEnd w:id="154"/>
    <w:bookmarkEnd w:id="155"/>
    <w:bookmarkEnd w:id="156"/>
    <w:p w14:paraId="60BEC0B9">
      <w:pPr>
        <w:pStyle w:val="4"/>
        <w:spacing w:line="700" w:lineRule="exact"/>
        <w:ind w:firstLine="643"/>
        <w:jc w:val="center"/>
      </w:pPr>
      <w:bookmarkStart w:id="157" w:name="OLE_LINK6"/>
      <w:bookmarkStart w:id="158" w:name="_Toc227770788"/>
      <w:bookmarkStart w:id="159" w:name="OLE_LINK7"/>
      <w:bookmarkStart w:id="160" w:name="_Toc218867751"/>
      <w:bookmarkStart w:id="161" w:name="OLE_LINK8"/>
      <w:bookmarkStart w:id="162" w:name="OLE_LINK182"/>
      <w:r>
        <w:rPr>
          <w:rFonts w:hint="eastAsia"/>
        </w:rPr>
        <w:t>第三节 推动</w:t>
      </w:r>
      <w:r>
        <w:t>能源结构清洁低碳转型</w:t>
      </w:r>
      <w:bookmarkEnd w:id="157"/>
      <w:bookmarkEnd w:id="158"/>
      <w:bookmarkEnd w:id="159"/>
      <w:bookmarkEnd w:id="160"/>
    </w:p>
    <w:p w14:paraId="029D3082">
      <w:pPr>
        <w:pStyle w:val="78"/>
        <w:ind w:firstLine="643"/>
        <w:rPr>
          <w:rFonts w:ascii="仿宋_GB2312" w:hAnsi="Segoe UI" w:cs="Segoe UI"/>
          <w:b/>
          <w:shd w:val="clear" w:color="auto" w:fill="FFFFFF"/>
        </w:rPr>
      </w:pPr>
      <w:r>
        <w:rPr>
          <w:rFonts w:hint="eastAsia" w:ascii="仿宋_GB2312" w:hAnsi="Segoe UI" w:cs="Segoe UI"/>
          <w:b/>
          <w:shd w:val="clear" w:color="auto" w:fill="FFFFFF"/>
        </w:rPr>
        <w:t>优化能源供给结构。</w:t>
      </w:r>
      <w:r>
        <w:rPr>
          <w:rFonts w:hint="eastAsia" w:ascii="仿宋_GB2312" w:hAnsi="Segoe UI" w:cs="Segoe UI"/>
          <w:shd w:val="clear" w:color="auto" w:fill="FFFFFF"/>
        </w:rPr>
        <w:t>推动煤炭产业向高端化、多元化和低碳化转型，通过提升发展质量来优化能源结构。大力发展可再生能源，持续提高新能源供给比重，积极推动古尔班通古特沙漠等新能源基地建设，坚持风光水核等多能并举，有序发展光伏、风电，探索“风光火储氢”一体化发展模式，促进清洁能源高质量发展。鼓励工业企业、园区优先使用可再生能源，提高绿色电力消费比例，提高终端用能电气化水平，推动能源消费绿色化低碳化。</w:t>
      </w:r>
    </w:p>
    <w:p w14:paraId="019C9401">
      <w:pPr>
        <w:pStyle w:val="78"/>
        <w:ind w:firstLine="643"/>
        <w:rPr>
          <w:rFonts w:ascii="仿宋_GB2312" w:hAnsi="Segoe UI" w:cs="Segoe UI"/>
          <w:shd w:val="clear" w:color="auto" w:fill="FFFFFF"/>
        </w:rPr>
      </w:pPr>
      <w:bookmarkStart w:id="163" w:name="OLE_LINK119"/>
      <w:bookmarkStart w:id="164" w:name="OLE_LINK118"/>
      <w:bookmarkStart w:id="165" w:name="OLE_LINK46"/>
      <w:r>
        <w:rPr>
          <w:rFonts w:hint="eastAsia" w:ascii="仿宋_GB2312" w:hAnsi="Segoe UI" w:cs="Segoe UI"/>
          <w:b/>
          <w:shd w:val="clear" w:color="auto" w:fill="FFFFFF"/>
        </w:rPr>
        <w:t>推进清洁能源基地建设及</w:t>
      </w:r>
      <w:r>
        <w:rPr>
          <w:rFonts w:ascii="仿宋_GB2312" w:hAnsi="Segoe UI" w:cs="Segoe UI"/>
          <w:b/>
          <w:shd w:val="clear" w:color="auto" w:fill="FFFFFF"/>
        </w:rPr>
        <w:t>零碳园区</w:t>
      </w:r>
      <w:r>
        <w:rPr>
          <w:rFonts w:hint="eastAsia" w:ascii="仿宋_GB2312" w:hAnsi="Segoe UI" w:cs="Segoe UI"/>
          <w:b/>
          <w:shd w:val="clear" w:color="auto" w:fill="FFFFFF"/>
          <w:lang w:eastAsia="zh-CN"/>
        </w:rPr>
        <w:t>创建</w:t>
      </w:r>
      <w:r>
        <w:rPr>
          <w:rFonts w:hint="eastAsia" w:ascii="仿宋_GB2312" w:hAnsi="Segoe UI" w:cs="Segoe UI"/>
          <w:b/>
          <w:shd w:val="clear" w:color="auto" w:fill="FFFFFF"/>
        </w:rPr>
        <w:t>。</w:t>
      </w:r>
      <w:r>
        <w:rPr>
          <w:rFonts w:hint="eastAsia" w:ascii="仿宋_GB2312" w:hAnsi="Segoe UI" w:cs="Segoe UI"/>
          <w:shd w:val="clear" w:color="auto" w:fill="FFFFFF"/>
        </w:rPr>
        <w:t>建设清洁能源基地，协同推进基地建设</w:t>
      </w:r>
      <w:r>
        <w:rPr>
          <w:rFonts w:hint="eastAsia" w:ascii="仿宋_GB2312" w:hAnsi="Segoe UI" w:cs="Segoe UI"/>
          <w:shd w:val="clear" w:color="auto" w:fill="FFFFFF"/>
          <w:lang w:eastAsia="zh-CN"/>
        </w:rPr>
        <w:t>，就</w:t>
      </w:r>
      <w:r>
        <w:rPr>
          <w:rFonts w:hint="eastAsia" w:ascii="仿宋_GB2312" w:hAnsi="Segoe UI" w:cs="Segoe UI"/>
          <w:shd w:val="clear" w:color="auto" w:fill="FFFFFF"/>
        </w:rPr>
        <w:t>地消纳与电力外送，为构建新型能源体系提供坚实支撑。加大煤电机组灵活性改造、抽水蓄能、太阳能发电项目建设力度，推动新型储能工程建设。协同推进昌吉州源网荷储一体化和多能互补发展，加快智能电网和微电网建设。加快木垒县、准东、高新区零碳园区建设，引导阜康、呼图壁、玛纳斯、奇台等自治区级工业园区开展零碳创建，“十五五”期间建成一批零碳园区、零碳工厂。</w:t>
      </w:r>
    </w:p>
    <w:bookmarkEnd w:id="163"/>
    <w:bookmarkEnd w:id="164"/>
    <w:p w14:paraId="14877B2C">
      <w:pPr>
        <w:pStyle w:val="78"/>
        <w:ind w:firstLine="643"/>
        <w:rPr>
          <w:rFonts w:ascii="仿宋_GB2312"/>
          <w:b/>
        </w:rPr>
      </w:pPr>
      <w:r>
        <w:rPr>
          <w:rFonts w:hint="eastAsia" w:ascii="仿宋_GB2312"/>
          <w:b/>
        </w:rPr>
        <w:t>提升能源资源配置效率。</w:t>
      </w:r>
      <w:r>
        <w:rPr>
          <w:rFonts w:hint="eastAsia" w:ascii="仿宋_GB2312"/>
        </w:rPr>
        <w:t>重点推进供热供气“一城一网”与城际管网互联互通，探索长距离供热，因地制宜、逐步依法淘汰天山北坡城市群区域供热燃煤设施，并在冬季重污染天气探索实施燃煤电厂燃气替代。加快推进昌吉市第五热源建设项目。同时，加快准东经济技术开发区至天山北坡城市群骨干电网建设，推动木垒北</w:t>
      </w:r>
      <w:r>
        <w:rPr>
          <w:rFonts w:ascii="仿宋_GB2312"/>
        </w:rPr>
        <w:t>750千伏输变电工程建设，为区域新能源输送提供支撑</w:t>
      </w:r>
      <w:r>
        <w:rPr>
          <w:rFonts w:hint="eastAsia" w:ascii="仿宋_GB2312"/>
        </w:rPr>
        <w:t>。落实煤炭消费总量和石油消费总量达峰要求，合理控制煤电装机规模和发电量，力争年度新增清洁能源电量逐步覆盖全社会新增用电量。</w:t>
      </w:r>
    </w:p>
    <w:bookmarkEnd w:id="165"/>
    <w:p w14:paraId="3B2ACC0C">
      <w:pPr>
        <w:pStyle w:val="78"/>
        <w:ind w:firstLine="643"/>
        <w:rPr>
          <w:rFonts w:ascii="仿宋_GB2312"/>
        </w:rPr>
      </w:pPr>
      <w:bookmarkStart w:id="166" w:name="OLE_LINK50"/>
      <w:bookmarkStart w:id="167" w:name="OLE_LINK49"/>
      <w:r>
        <w:rPr>
          <w:rFonts w:hint="eastAsia" w:ascii="仿宋_GB2312"/>
          <w:b/>
        </w:rPr>
        <w:t>强化企业能源管理。</w:t>
      </w:r>
      <w:r>
        <w:rPr>
          <w:rFonts w:hint="eastAsia" w:ascii="仿宋_GB2312"/>
        </w:rPr>
        <w:t>紧扣产业实际、突出精准施策，全面强化企业能源管理。立足新能源装机占比已近半数的转型基础，为重点用能企业提高可再生能源消纳比例，并大力推广经济适用的智能化节能技术。通过严格执行“新一代煤电升级专项行动”、健全绿电交易等市场机制，并加快电网等基础设施建设，切实推动企业降低用能成本、提升竞争力，让绿色低碳转型成为全州高质量发展的坚实动力。</w:t>
      </w:r>
    </w:p>
    <w:bookmarkEnd w:id="166"/>
    <w:bookmarkEnd w:id="167"/>
    <w:p w14:paraId="04F461C7">
      <w:pPr>
        <w:pStyle w:val="78"/>
        <w:ind w:firstLine="643"/>
        <w:rPr>
          <w:rFonts w:ascii="仿宋_GB2312"/>
          <w:b/>
        </w:rPr>
      </w:pPr>
      <w:r>
        <w:rPr>
          <w:rFonts w:hint="eastAsia" w:ascii="仿宋_GB2312"/>
          <w:b/>
        </w:rPr>
        <w:t>推进电力输送与算力协同发展。</w:t>
      </w:r>
      <w:r>
        <w:rPr>
          <w:rFonts w:hint="eastAsia" w:ascii="仿宋_GB2312"/>
        </w:rPr>
        <w:t>统筹数据中心和新能源资源禀赋，积极打造昌吉市、木垒县2个算电协同示范区，依托当地丰富的清洁能源，推动建成万卡智算集群，构建起绿色高效的算力网(预计达到20000P)，实现能源与数字经济的深度融合，为区域发展提供强大的算力支持。</w:t>
      </w:r>
    </w:p>
    <w:bookmarkEnd w:id="161"/>
    <w:bookmarkEnd w:id="162"/>
    <w:p w14:paraId="372D4D46">
      <w:pPr>
        <w:pStyle w:val="4"/>
        <w:spacing w:line="700" w:lineRule="exact"/>
        <w:ind w:firstLine="643"/>
        <w:jc w:val="center"/>
      </w:pPr>
      <w:bookmarkStart w:id="168" w:name="_Toc227770789"/>
      <w:bookmarkStart w:id="169" w:name="_Toc218867752"/>
      <w:bookmarkStart w:id="170" w:name="OLE_LINK183"/>
      <w:bookmarkStart w:id="171" w:name="OLE_LINK184"/>
      <w:r>
        <w:rPr>
          <w:rFonts w:hint="eastAsia"/>
        </w:rPr>
        <w:t xml:space="preserve">第四节 </w:t>
      </w:r>
      <w:r>
        <w:t>推动产业绿色化数字化</w:t>
      </w:r>
      <w:r>
        <w:rPr>
          <w:rFonts w:hint="eastAsia"/>
        </w:rPr>
        <w:t>协同</w:t>
      </w:r>
      <w:r>
        <w:t>转型</w:t>
      </w:r>
      <w:bookmarkEnd w:id="168"/>
      <w:bookmarkEnd w:id="169"/>
    </w:p>
    <w:p w14:paraId="61F5C534">
      <w:pPr>
        <w:pStyle w:val="78"/>
        <w:ind w:firstLine="643"/>
        <w:rPr>
          <w:b/>
        </w:rPr>
      </w:pPr>
      <w:r>
        <w:rPr>
          <w:rFonts w:hint="eastAsia"/>
          <w:b/>
        </w:rPr>
        <w:t>加快数字化绿色化协调发展。</w:t>
      </w:r>
      <w:r>
        <w:rPr>
          <w:rFonts w:hint="eastAsia"/>
        </w:rPr>
        <w:t>利用数字技术赋能绿色发展，通过大数据、人工智能等手段优化资源配置，提高能源利用效率。持续完善绿色制造体系，围绕有色、化工等重点行业，从产品设计源头入手，引导工业企业加大研发投入，持续开发绿色设计产品，采用环保材料和工艺，降低产品全生命周期的环境影响；着力打造绿色工厂，在工厂建设和运营过程中，推广应用节能设备、节水技术，建设光伏发电、余热回收等绿色能源系统；积极形成绿色供应链，推动上下游企业协同发展，建立绿色采购、绿色物流等机制，实现整个供应链的绿色化。</w:t>
      </w:r>
    </w:p>
    <w:p w14:paraId="12CA809F">
      <w:pPr>
        <w:pStyle w:val="78"/>
        <w:ind w:firstLine="643"/>
        <w:rPr>
          <w:b/>
        </w:rPr>
      </w:pPr>
      <w:bookmarkStart w:id="172" w:name="OLE_LINK64"/>
      <w:r>
        <w:rPr>
          <w:rFonts w:hint="eastAsia"/>
          <w:b/>
        </w:rPr>
        <w:t>严格把控项目准入关口。</w:t>
      </w:r>
      <w:bookmarkEnd w:id="172"/>
      <w:bookmarkStart w:id="173" w:name="OLE_LINK65"/>
      <w:r>
        <w:rPr>
          <w:rFonts w:hint="eastAsia"/>
        </w:rPr>
        <w:t>建立并严格执行分类管理的产业准入制度，依据生态环境分区管控及国家产业政策，对新建项目实施“鼓励、限制、禁止”的差别化管理，严格落实新（改、扩）建“两高”工业项目碳排放等量或减量置换要求以及产能置换政策，坚决遏制盲目发展。建立健全项目评估机制，运用量化指标体系对重大项目进行多部门联合会审与专家论证，综合评估其资源消耗、排放影响与环境风险。引导资源优先配置给煤炭清洁高效利用、绿氢耦合、新能源等战略性新兴产业，确保所有新上项目符合生态环境保护要求与高质量发展方向。</w:t>
      </w:r>
    </w:p>
    <w:bookmarkEnd w:id="173"/>
    <w:p w14:paraId="3C093466">
      <w:pPr>
        <w:pStyle w:val="78"/>
        <w:ind w:firstLine="643"/>
        <w:rPr>
          <w:rFonts w:ascii="仿宋_GB2312"/>
          <w:b/>
        </w:rPr>
      </w:pPr>
      <w:bookmarkStart w:id="174" w:name="OLE_LINK48"/>
      <w:r>
        <w:rPr>
          <w:rFonts w:hint="eastAsia" w:ascii="仿宋_GB2312"/>
          <w:b/>
        </w:rPr>
        <w:t>推动现有产业绿色低碳转型。</w:t>
      </w:r>
      <w:r>
        <w:rPr>
          <w:rFonts w:hint="eastAsia" w:ascii="仿宋_GB2312"/>
          <w:szCs w:val="32"/>
        </w:rPr>
        <w:t>严格执行《产业结构调整指导目录》，依法依规淘汰落后产能。实施木垒泰胜风能装备有限公司风机重型塔架生产线喷漆工艺淘汰项目等落后产能退出工程，为先进产能腾出发展空间。联防联控区进一步提高落后产能能耗、环保、质量、安全、技术等要求，逐步退出限制类涉气行业工艺和装备。不断提升重点行业能效标杆水平产能比例，能效基准水平以下产能基本清零。依托新疆国信煤电能源有限公司1、2号机组18%负荷高效改造等项目，大力推进传统产业工艺、技术、装备升级，实现绿色低碳转型，实施清洁生产水平提升工程。加快构建绿色制造体系，支持龙头企业（煤制油、煤制气等）建设零碳工厂，推动全产业链绿色低碳转型。</w:t>
      </w:r>
    </w:p>
    <w:bookmarkEnd w:id="170"/>
    <w:bookmarkEnd w:id="171"/>
    <w:bookmarkEnd w:id="174"/>
    <w:p w14:paraId="254BF9A5">
      <w:pPr>
        <w:pStyle w:val="4"/>
        <w:spacing w:line="700" w:lineRule="exact"/>
        <w:ind w:firstLine="643"/>
        <w:jc w:val="center"/>
      </w:pPr>
      <w:bookmarkStart w:id="175" w:name="_Toc227770790"/>
      <w:bookmarkStart w:id="176" w:name="_Toc218867753"/>
      <w:bookmarkStart w:id="177" w:name="OLE_LINK185"/>
      <w:bookmarkStart w:id="178" w:name="OLE_LINK186"/>
      <w:r>
        <w:rPr>
          <w:rFonts w:hint="eastAsia"/>
        </w:rPr>
        <w:t>第五节 构建绿色交通运输体系</w:t>
      </w:r>
      <w:bookmarkEnd w:id="175"/>
      <w:bookmarkEnd w:id="176"/>
    </w:p>
    <w:p w14:paraId="0426ECA7">
      <w:pPr>
        <w:pStyle w:val="78"/>
        <w:ind w:firstLine="643"/>
      </w:pPr>
      <w:r>
        <w:rPr>
          <w:rFonts w:hint="eastAsia"/>
          <w:b/>
        </w:rPr>
        <w:t>优化物流枢纽布局。</w:t>
      </w:r>
      <w:r>
        <w:rPr>
          <w:rFonts w:hint="eastAsia"/>
        </w:rPr>
        <w:t>加快昌吉-准东经济技术开发区生产服务型物流枢纽承载城市布局建设，充分发挥其在区域物流网络中的核心作用，整合物流资源，提升物流运作效率。重点推进呼图壁县白杨河矿区专用铁路项目建设</w:t>
      </w:r>
      <w:r>
        <w:t>，加快昌吉州阜康市多式联运综合物流枢纽、中疆物流昌吉物流货运周转基地等项目建设</w:t>
      </w:r>
      <w:r>
        <w:rPr>
          <w:rFonts w:hint="eastAsia"/>
        </w:rPr>
        <w:t>，</w:t>
      </w:r>
      <w:r>
        <w:t>形成布局合理、协同高效的物流网络体系</w:t>
      </w:r>
      <w:r>
        <w:rPr>
          <w:rFonts w:hint="eastAsia"/>
        </w:rPr>
        <w:t>。</w:t>
      </w:r>
    </w:p>
    <w:p w14:paraId="6550F33C">
      <w:pPr>
        <w:pStyle w:val="78"/>
        <w:ind w:firstLine="643"/>
      </w:pPr>
      <w:r>
        <w:rPr>
          <w:rFonts w:hint="eastAsia"/>
          <w:b/>
        </w:rPr>
        <w:t>提升清洁化运输水平。</w:t>
      </w:r>
      <w:r>
        <w:rPr>
          <w:rFonts w:hint="eastAsia"/>
        </w:rPr>
        <w:t>大力发展多式联运，推动大宗货物、集装箱中长距离运输“公转铁”和产业园区物料廊道运输，实施昌吉市煤炭仓储及输煤廊道</w:t>
      </w:r>
      <w:r>
        <w:t>建设项目，</w:t>
      </w:r>
      <w:r>
        <w:rPr>
          <w:rFonts w:hint="eastAsia"/>
        </w:rPr>
        <w:t>有序推进铁路场站、民用机场、物流园区等绿色化改造和铁路电气化改造。推动公共领域和火电、钢铁、煤炭、有色、水泥、煤化工等行业及物流园区中重型货车新能源替代，完善充换电、氢能等基础设施。</w:t>
      </w:r>
      <w:r>
        <w:t>落实新能源车辆补贴政策</w:t>
      </w:r>
      <w:r>
        <w:rPr>
          <w:rFonts w:hint="eastAsia"/>
        </w:rPr>
        <w:t>。</w:t>
      </w:r>
      <w:r>
        <w:t>引导物流企业加大对换电重卡、氢能源车辆等新能源运输设备的应用，大力发展重点运输企业零排放车队，</w:t>
      </w:r>
      <w:r>
        <w:rPr>
          <w:rFonts w:hint="eastAsia"/>
        </w:rPr>
        <w:t>显著提升大宗货物清洁化运输水平。</w:t>
      </w:r>
      <w:bookmarkStart w:id="179" w:name="OLE_LINK161"/>
      <w:bookmarkStart w:id="180" w:name="OLE_LINK162"/>
      <w:r>
        <w:rPr>
          <w:rFonts w:hint="eastAsia"/>
        </w:rPr>
        <w:t>加快公共领域车辆清洁化进程，逐步扩大新能源车辆在公交、出租、环卫等领域的应用范围</w:t>
      </w:r>
      <w:bookmarkEnd w:id="179"/>
      <w:bookmarkEnd w:id="180"/>
      <w:r>
        <w:rPr>
          <w:rFonts w:hint="eastAsia"/>
          <w:lang w:eastAsia="zh-CN"/>
        </w:rPr>
        <w:t>。</w:t>
      </w:r>
      <w:r>
        <w:rPr>
          <w:rFonts w:hint="eastAsia"/>
        </w:rPr>
        <w:t>到2030年，</w:t>
      </w:r>
      <w:r>
        <w:t>基本淘汰国四排放标准货车和国二排放标准非道路移动机械</w:t>
      </w:r>
      <w:r>
        <w:rPr>
          <w:rFonts w:hint="eastAsia"/>
        </w:rPr>
        <w:t>。</w:t>
      </w:r>
      <w:r>
        <w:t>持续推进非道路移动机械清洁低碳应用、综合治理和老旧非道路移动机械更新。科学合理优化机动车禁限行区域及绕行路线，严格落实机动车排放检验与维护制度，利用多源数据感知和大数据模型，实现对移动源的智能化、自动化和精准化监管。</w:t>
      </w:r>
      <w:r>
        <w:rPr>
          <w:rFonts w:hint="eastAsia"/>
        </w:rPr>
        <w:t>推动昌吉市、阜康市、玛纳斯县、呼图壁县率先建成清洁运输先行引领区。</w:t>
      </w:r>
    </w:p>
    <w:bookmarkEnd w:id="177"/>
    <w:bookmarkEnd w:id="178"/>
    <w:p w14:paraId="7E299604">
      <w:pPr>
        <w:pStyle w:val="4"/>
        <w:spacing w:line="700" w:lineRule="exact"/>
        <w:ind w:firstLine="643"/>
        <w:jc w:val="center"/>
      </w:pPr>
      <w:bookmarkStart w:id="181" w:name="_Toc218867754"/>
      <w:bookmarkStart w:id="182" w:name="_Toc227770791"/>
      <w:bookmarkStart w:id="183" w:name="OLE_LINK188"/>
      <w:bookmarkStart w:id="184" w:name="OLE_LINK187"/>
      <w:bookmarkStart w:id="185" w:name="OLE_LINK11"/>
      <w:bookmarkStart w:id="186" w:name="OLE_LINK10"/>
      <w:r>
        <w:rPr>
          <w:rFonts w:hint="eastAsia"/>
        </w:rPr>
        <w:t>第六节 提升资源节约集约利用水平</w:t>
      </w:r>
      <w:bookmarkEnd w:id="181"/>
      <w:bookmarkEnd w:id="182"/>
    </w:p>
    <w:p w14:paraId="739AA504">
      <w:pPr>
        <w:pStyle w:val="78"/>
        <w:ind w:firstLine="643"/>
        <w:rPr>
          <w:b/>
        </w:rPr>
      </w:pPr>
      <w:r>
        <w:rPr>
          <w:rFonts w:hint="eastAsia"/>
          <w:b/>
        </w:rPr>
        <w:t>深化高耗能行业节能改造。</w:t>
      </w:r>
      <w:r>
        <w:rPr>
          <w:rFonts w:hint="eastAsia"/>
        </w:rPr>
        <w:t>实施全面节约战略，推进节能、节水、节地、节材、节矿。持续深化钢铁、有色金属、建材等传统高耗能行业节能改造，严格执行国家产业政策，依法依规关停淘汰能效不达标的落后工艺、设备和生产线，鼓励企业采用《国家重点节能低碳技术推广目录》中的先进节能技术、工艺和设备。加强新型基础设施用能管理，严格执行国家、行业及地方能耗限额标准和能效标识制度，从单体设备高效化、系统协同智能化、能源供给绿色化三方面突破，在保障能源安全和产业链稳定的前提下推进节能降碳。</w:t>
      </w:r>
    </w:p>
    <w:p w14:paraId="41503A05">
      <w:pPr>
        <w:pStyle w:val="78"/>
        <w:ind w:firstLine="640"/>
      </w:pPr>
      <w:r>
        <w:rPr>
          <w:rFonts w:hint="eastAsia"/>
        </w:rPr>
        <w:t>以准东经济技术开发区为重点，针对煤电、煤化工、有色金属、建材等传统高耗能行业，全面实施能效对标达标行动，到2027年能效水平全面超过基准水平。制定“一行一策”节能改造路线图，推广应用高效节能锅炉、富氧燃烧、余热余压利用、能源系统优化等先进技术装备。坚决遏制“两高一低”项目盲目发展，依法依规淘汰落后产能，为先进产能腾出环境容量和发展空间，促进循环经济发展。</w:t>
      </w:r>
    </w:p>
    <w:p w14:paraId="6110B9E9">
      <w:pPr>
        <w:pStyle w:val="78"/>
        <w:ind w:firstLine="643"/>
      </w:pPr>
      <w:bookmarkStart w:id="187" w:name="OLE_LINK144"/>
      <w:r>
        <w:rPr>
          <w:rFonts w:hint="eastAsia"/>
          <w:b/>
        </w:rPr>
        <w:t>提高水资源再生利用水平。</w:t>
      </w:r>
      <w:r>
        <w:rPr>
          <w:rFonts w:hint="eastAsia"/>
        </w:rPr>
        <w:t>深入实施节水行动，强化用水总量和强度双控，完善水资源总量管理制度。实施污水资源化利用和非常规水配置。实施重点区域地下水超采综合治理工程，采取“节、蓄、调、增、治”</w:t>
      </w:r>
      <w:r>
        <w:rPr>
          <w:rFonts w:hint="eastAsia"/>
          <w:lang w:eastAsia="zh-CN"/>
        </w:rPr>
        <w:t>“五位一体”</w:t>
      </w:r>
      <w:r>
        <w:rPr>
          <w:rFonts w:hint="eastAsia"/>
        </w:rPr>
        <w:t>综合措施，推进地表水置换地下水、外调水替代地下水，严格禁采区、限采区管控，逐步实现采补平衡。深入开展农业、工业、城镇等重点领域节水，加快大中型灌区续建配套与现代化改造，推广高效节水灌溉技术；严控高耗水产业准入，推动工业废污水循环利用；改造城镇供水管网，降低漏损率。全面提高水资源再生利用水平，促进水资源循环高效利用，推动循环经济高质量发展。</w:t>
      </w:r>
    </w:p>
    <w:bookmarkEnd w:id="187"/>
    <w:p w14:paraId="44748386">
      <w:pPr>
        <w:pStyle w:val="78"/>
        <w:ind w:firstLine="643"/>
        <w:rPr>
          <w:b/>
        </w:rPr>
      </w:pPr>
      <w:r>
        <w:rPr>
          <w:rFonts w:hint="eastAsia"/>
          <w:b/>
        </w:rPr>
        <w:t>严格落实土地节约集约制度。</w:t>
      </w:r>
      <w:r>
        <w:rPr>
          <w:rFonts w:hint="eastAsia"/>
        </w:rPr>
        <w:t>严格落实节约集约利用土地制度，统筹耕地保护、产业升级与技术创新，结合区域资源禀赋和发展需求，构建“空间管控</w:t>
      </w:r>
      <w:r>
        <w:t>+立体开发+智慧监管”的全链条节地体系，提升土地利用效能，推广节地技术和模式。提升建筑能效水平，需统筹政策标准、技术路径、资金机制与城乡差异，构建“新建+改造”双轨并行的能效提升体系，稳步实施既有农房节能改造，城镇新建建筑全部达到绿色建筑基本级，助力资源全面节约。</w:t>
      </w:r>
      <w:r>
        <w:rPr>
          <w:rFonts w:hint="eastAsia"/>
        </w:rPr>
        <w:t xml:space="preserve"> </w:t>
      </w:r>
    </w:p>
    <w:p w14:paraId="68A81E1A">
      <w:pPr>
        <w:pStyle w:val="78"/>
        <w:ind w:firstLine="643"/>
      </w:pPr>
      <w:r>
        <w:rPr>
          <w:rFonts w:hint="eastAsia"/>
          <w:b/>
        </w:rPr>
        <w:t>加快构建废弃物循环利用体系。</w:t>
      </w:r>
      <w:r>
        <w:rPr>
          <w:rFonts w:hint="eastAsia"/>
        </w:rPr>
        <w:t>全面推进原材料节约、资源循环利用及绿色矿山建设，提高垃圾分类和资源化利用水平。在工业领域，推动危险废物回收处置和资源化利用；加强粉煤灰、炉渣、脱硫石膏等工业固废在建材等领域的规模化利用；加强建筑垃圾填埋处置和资源化处置。</w:t>
      </w:r>
      <w:r>
        <w:rPr>
          <w:rFonts w:hint="eastAsia"/>
          <w:b/>
        </w:rPr>
        <w:t>在生活领域，</w:t>
      </w:r>
      <w:r>
        <w:rPr>
          <w:rFonts w:hint="eastAsia"/>
        </w:rPr>
        <w:t>重点推进生活垃圾减量化</w:t>
      </w:r>
      <w:r>
        <w:rPr>
          <w:rFonts w:hint="eastAsia"/>
          <w:lang w:eastAsia="zh-CN"/>
        </w:rPr>
        <w:t>、</w:t>
      </w:r>
      <w:r>
        <w:rPr>
          <w:rFonts w:hint="eastAsia"/>
        </w:rPr>
        <w:t>绿色分拣和餐厨垃圾资源化处理，通过智能化、集约化、清洁化技术重构传统分拣模式，提升资源化利用效率。</w:t>
      </w:r>
      <w:r>
        <w:rPr>
          <w:rFonts w:hint="eastAsia"/>
          <w:b/>
        </w:rPr>
        <w:t>在农业领域，</w:t>
      </w:r>
      <w:r>
        <w:rPr>
          <w:rFonts w:hint="eastAsia"/>
        </w:rPr>
        <w:t>重点推动畜禽粪污循环利用的产业化模式，为设施农业和灌溉施肥提供优质有机肥料，促进循环经济发展。</w:t>
      </w:r>
      <w:bookmarkEnd w:id="183"/>
      <w:bookmarkEnd w:id="184"/>
    </w:p>
    <w:p w14:paraId="3A24264D">
      <w:pPr>
        <w:pStyle w:val="78"/>
        <w:ind w:firstLine="640"/>
      </w:pPr>
    </w:p>
    <w:bookmarkEnd w:id="136"/>
    <w:p w14:paraId="159CA381">
      <w:pPr>
        <w:pStyle w:val="78"/>
        <w:ind w:firstLine="640"/>
      </w:pPr>
      <w: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34290</wp:posOffset>
                </wp:positionV>
                <wp:extent cx="5445125" cy="5008245"/>
                <wp:effectExtent l="0" t="0" r="22860" b="20955"/>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44837" cy="5008418"/>
                        </a:xfrm>
                        <a:prstGeom prst="rect">
                          <a:avLst/>
                        </a:prstGeom>
                        <a:solidFill>
                          <a:srgbClr val="FFFFFF"/>
                        </a:solidFill>
                        <a:ln w="12700">
                          <a:solidFill>
                            <a:srgbClr val="000000"/>
                          </a:solidFill>
                          <a:miter lim="800000"/>
                        </a:ln>
                      </wps:spPr>
                      <wps:txbx>
                        <w:txbxContent>
                          <w:p w14:paraId="3B4AD90C">
                            <w:pPr>
                              <w:adjustRightInd w:val="0"/>
                              <w:snapToGrid w:val="0"/>
                              <w:spacing w:line="360" w:lineRule="auto"/>
                              <w:jc w:val="center"/>
                              <w:rPr>
                                <w:rFonts w:ascii="仿宋_GB2312" w:eastAsia="仿宋_GB2312"/>
                                <w:b/>
                                <w:sz w:val="28"/>
                                <w:szCs w:val="28"/>
                              </w:rPr>
                            </w:pPr>
                            <w:bookmarkStart w:id="290" w:name="OLE_LINK164"/>
                            <w:bookmarkStart w:id="291" w:name="_Hlk228895550"/>
                            <w:bookmarkStart w:id="292" w:name="OLE_LINK163"/>
                            <w:r>
                              <w:rPr>
                                <w:rFonts w:hint="eastAsia" w:ascii="仿宋_GB2312" w:eastAsia="仿宋_GB2312"/>
                                <w:b/>
                                <w:sz w:val="28"/>
                                <w:szCs w:val="28"/>
                              </w:rPr>
                              <w:t>专栏7 绿色低碳转型重点工程</w:t>
                            </w:r>
                          </w:p>
                          <w:p w14:paraId="27E536E3">
                            <w:pPr>
                              <w:pStyle w:val="2"/>
                              <w:jc w:val="left"/>
                              <w:rPr>
                                <w:rFonts w:ascii="仿宋_GB2312" w:eastAsia="仿宋_GB2312"/>
                              </w:rPr>
                            </w:pPr>
                            <w:r>
                              <w:rPr>
                                <w:rFonts w:hint="eastAsia" w:ascii="仿宋_GB2312" w:eastAsia="仿宋_GB2312"/>
                                <w:b/>
                              </w:rPr>
                              <w:t>1.</w:t>
                            </w:r>
                            <w:r>
                              <w:rPr>
                                <w:rFonts w:hint="eastAsia"/>
                              </w:rPr>
                              <w:t xml:space="preserve"> </w:t>
                            </w:r>
                            <w:r>
                              <w:rPr>
                                <w:rFonts w:hint="eastAsia" w:ascii="仿宋_GB2312" w:eastAsia="仿宋_GB2312"/>
                                <w:b/>
                              </w:rPr>
                              <w:t>清洁能源基地与零碳示范工程。</w:t>
                            </w:r>
                            <w:r>
                              <w:rPr>
                                <w:rFonts w:hint="eastAsia" w:ascii="仿宋_GB2312" w:eastAsia="仿宋_GB2312"/>
                              </w:rPr>
                              <w:t>推进古尔班通古特沙漠新能源基地建设，实施“风光火储氢”一体化项目。重点建设昌吉国投呼图壁县</w:t>
                            </w:r>
                            <w:r>
                              <w:rPr>
                                <w:rFonts w:ascii="仿宋_GB2312" w:eastAsia="仿宋_GB2312"/>
                              </w:rPr>
                              <w:t>20万千瓦/80万千瓦时共享储能、中石油1.65GW光伏等项目。支持准东开发区、木垒县、高新区创建零碳园区，实施昌吉州国投130万千瓦低碳产业园区项目</w:t>
                            </w:r>
                            <w:r>
                              <w:rPr>
                                <w:rFonts w:hint="eastAsia" w:ascii="仿宋_GB2312" w:eastAsia="仿宋_GB2312"/>
                              </w:rPr>
                              <w:t>。</w:t>
                            </w:r>
                          </w:p>
                          <w:p w14:paraId="0C70DACD">
                            <w:pPr>
                              <w:pStyle w:val="2"/>
                              <w:jc w:val="left"/>
                              <w:rPr>
                                <w:rFonts w:ascii="仿宋_GB2312" w:eastAsia="仿宋_GB2312"/>
                              </w:rPr>
                            </w:pPr>
                            <w:r>
                              <w:rPr>
                                <w:rFonts w:hint="eastAsia" w:ascii="仿宋_GB2312" w:eastAsia="仿宋_GB2312"/>
                                <w:b/>
                              </w:rPr>
                              <w:t>2.</w:t>
                            </w:r>
                            <w:r>
                              <w:rPr>
                                <w:rFonts w:hint="eastAsia"/>
                              </w:rPr>
                              <w:t xml:space="preserve"> </w:t>
                            </w:r>
                            <w:r>
                              <w:rPr>
                                <w:rFonts w:hint="eastAsia" w:ascii="仿宋_GB2312" w:eastAsia="仿宋_GB2312"/>
                                <w:b/>
                              </w:rPr>
                              <w:t>二氧化碳捕集利用与封存（</w:t>
                            </w:r>
                            <w:r>
                              <w:rPr>
                                <w:rFonts w:ascii="仿宋_GB2312" w:eastAsia="仿宋_GB2312"/>
                                <w:b/>
                              </w:rPr>
                              <w:t>CCUS）示范工程</w:t>
                            </w:r>
                            <w:r>
                              <w:rPr>
                                <w:rFonts w:hint="eastAsia" w:ascii="仿宋_GB2312" w:eastAsia="仿宋_GB2312"/>
                                <w:b/>
                              </w:rPr>
                              <w:t>。</w:t>
                            </w:r>
                            <w:r>
                              <w:rPr>
                                <w:rFonts w:hint="eastAsia" w:ascii="仿宋_GB2312" w:eastAsia="仿宋_GB2312"/>
                              </w:rPr>
                              <w:t>依托准东开发区建设千万吨级</w:t>
                            </w:r>
                            <w:r>
                              <w:rPr>
                                <w:rFonts w:ascii="仿宋_GB2312" w:eastAsia="仿宋_GB2312"/>
                              </w:rPr>
                              <w:t>CCUS示范项目；</w:t>
                            </w:r>
                            <w:r>
                              <w:rPr>
                                <w:rFonts w:hint="eastAsia" w:ascii="仿宋_GB2312" w:eastAsia="仿宋_GB2312"/>
                              </w:rPr>
                              <w:t>在彩南、火烧山等重点油田实施二氧化碳驱油与封存项目；建设二氧化碳输送管道与碳计量实验室。</w:t>
                            </w:r>
                          </w:p>
                          <w:p w14:paraId="2A4CDA95">
                            <w:pPr>
                              <w:pStyle w:val="2"/>
                              <w:jc w:val="left"/>
                              <w:rPr>
                                <w:rFonts w:ascii="仿宋_GB2312" w:eastAsia="仿宋_GB2312"/>
                              </w:rPr>
                            </w:pPr>
                            <w:r>
                              <w:rPr>
                                <w:rFonts w:hint="eastAsia" w:ascii="仿宋_GB2312" w:eastAsia="仿宋_GB2312"/>
                                <w:b/>
                              </w:rPr>
                              <w:t>3.</w:t>
                            </w:r>
                            <w:r>
                              <w:rPr>
                                <w:rFonts w:hint="eastAsia"/>
                              </w:rPr>
                              <w:t xml:space="preserve"> </w:t>
                            </w:r>
                            <w:r>
                              <w:rPr>
                                <w:rFonts w:hint="eastAsia" w:ascii="仿宋_GB2312" w:eastAsia="仿宋_GB2312"/>
                                <w:b/>
                              </w:rPr>
                              <w:t>产业绿色化数字化协同转型工程。</w:t>
                            </w:r>
                            <w:r>
                              <w:rPr>
                                <w:rFonts w:hint="eastAsia" w:ascii="仿宋_GB2312" w:eastAsia="仿宋_GB2312"/>
                              </w:rPr>
                              <w:t>淘汰燃煤锅炉和工业炉窑（中粮糖业、玛纳斯正新保温等），实施全流程超低排放改造（新疆天电奇台、奇台天山水泥、新疆嘉润资源等）。推进</w:t>
                            </w:r>
                            <w:r>
                              <w:rPr>
                                <w:rFonts w:ascii="仿宋_GB2312" w:eastAsia="仿宋_GB2312"/>
                              </w:rPr>
                              <w:t>VOCs深度治理和低效设施升级（覆盖阜康、呼图壁、昌吉市等百余家企业），推动重点企业环保绩效提标（新疆蓝山屯河、新疆宜化、新疆神火、新疆其亚等）</w:t>
                            </w:r>
                            <w:r>
                              <w:rPr>
                                <w:rFonts w:hint="eastAsia" w:ascii="仿宋_GB2312" w:eastAsia="仿宋_GB2312"/>
                              </w:rPr>
                              <w:t>。</w:t>
                            </w:r>
                          </w:p>
                          <w:p w14:paraId="51B86680">
                            <w:pPr>
                              <w:pStyle w:val="2"/>
                              <w:jc w:val="left"/>
                              <w:rPr>
                                <w:rFonts w:ascii="仿宋_GB2312" w:eastAsia="仿宋_GB2312"/>
                              </w:rPr>
                            </w:pPr>
                            <w:r>
                              <w:rPr>
                                <w:rFonts w:hint="eastAsia" w:ascii="仿宋_GB2312" w:eastAsia="仿宋_GB2312"/>
                                <w:b/>
                              </w:rPr>
                              <w:t>4.</w:t>
                            </w:r>
                            <w:r>
                              <w:rPr>
                                <w:rFonts w:hint="eastAsia"/>
                              </w:rPr>
                              <w:t xml:space="preserve"> </w:t>
                            </w:r>
                            <w:r>
                              <w:rPr>
                                <w:rFonts w:hint="eastAsia" w:ascii="仿宋_GB2312" w:eastAsia="仿宋_GB2312"/>
                                <w:b/>
                              </w:rPr>
                              <w:t>绿色交通运输体系构建工程。</w:t>
                            </w:r>
                            <w:r>
                              <w:rPr>
                                <w:rFonts w:hint="eastAsia" w:ascii="仿宋_GB2312" w:eastAsia="仿宋_GB2312"/>
                              </w:rPr>
                              <w:t>建设昌吉</w:t>
                            </w:r>
                            <w:r>
                              <w:rPr>
                                <w:rFonts w:ascii="仿宋_GB2312" w:eastAsia="仿宋_GB2312"/>
                              </w:rPr>
                              <w:t>-准东物流枢纽，推进“公转铁”及铁路专用线（呼图壁白杨河专用铁路、昌吉市输煤廊道等）。分年度淘汰老旧营运货车1969辆、非营运货车80辆、非道路移动机械50辆，实施环卫车辆新能源替代（昌吉市、呼图壁县、玛纳斯县、农高区等）</w:t>
                            </w:r>
                            <w:r>
                              <w:rPr>
                                <w:rFonts w:hint="eastAsia" w:ascii="仿宋_GB2312" w:eastAsia="仿宋_GB2312"/>
                              </w:rPr>
                              <w:t>。</w:t>
                            </w:r>
                          </w:p>
                          <w:p w14:paraId="4A6D4DC4">
                            <w:pPr>
                              <w:pStyle w:val="2"/>
                              <w:jc w:val="left"/>
                              <w:rPr>
                                <w:rFonts w:ascii="仿宋_GB2312" w:eastAsia="仿宋_GB2312"/>
                              </w:rPr>
                            </w:pPr>
                            <w:r>
                              <w:rPr>
                                <w:rFonts w:hint="eastAsia" w:ascii="仿宋_GB2312" w:eastAsia="仿宋_GB2312"/>
                                <w:b/>
                              </w:rPr>
                              <w:t>5.资源节约集约利用与循环经济发展工程。</w:t>
                            </w:r>
                            <w:bookmarkEnd w:id="290"/>
                            <w:bookmarkEnd w:id="291"/>
                            <w:bookmarkEnd w:id="292"/>
                            <w:r>
                              <w:rPr>
                                <w:rFonts w:hint="eastAsia" w:ascii="仿宋_GB2312" w:eastAsia="仿宋_GB2312"/>
                              </w:rPr>
                              <w:t>实施高耗能行业节能改造（新疆国信煤电、新疆五鑫铜业等）。建设餐厨垃圾资源化处理（奇台县）、垃圾分类设施（吉木萨尔县）。推进畜禽粪污资源化利用（呼图壁县雀尔沟镇、阜康市养殖场等）。实施工业固废</w:t>
                            </w:r>
                            <w:r>
                              <w:rPr>
                                <w:rFonts w:ascii="仿宋_GB2312" w:eastAsia="仿宋_GB2312"/>
                              </w:rPr>
                              <w:t>/危废资源化利用（新疆叶林环保、新疆金源科技、国铝、新绿城、新疆润林环保等）。推进再生水利用及污水处理厂提标（奇台、吉木萨尔、阜康、呼图壁、高新区、农高区等），实施地膜科学使用回收、秸秆综合利用等农业循环经济项目</w:t>
                            </w:r>
                            <w:r>
                              <w:rPr>
                                <w:rFonts w:hint="eastAsia" w:ascii="仿宋_GB2312" w:eastAsia="仿宋_GB2312"/>
                              </w:rPr>
                              <w:t>。</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0.5pt;margin-top:2.7pt;height:394.35pt;width:428.75pt;z-index:251660288;mso-width-relative:page;mso-height-relative:page;" fillcolor="#FFFFFF" filled="t" stroked="t" coordsize="21600,21600" o:gfxdata="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dys99sAAAAIAQAADwAAAAAAAAABACAAAAAiAAAA&#10;ZHJzL2Rvd25yZXYueG1sUEsBAhQAFAAAAAgAh07iQNKyBlc9AgAAfwQAAA4AAAAAAAAAAQAgAAAA&#10;KgEAAGRycy9lMm9Eb2MueG1sUEsFBgAAAAAGAAYAWQEAANkFAAAAAA==&#10;">
                <v:fill on="t" focussize="0,0"/>
                <v:stroke weight="1pt" color="#000000" miterlimit="8" joinstyle="miter"/>
                <v:imagedata o:title=""/>
                <o:lock v:ext="edit" aspectratio="f"/>
                <v:textbox>
                  <w:txbxContent>
                    <w:p w14:paraId="3B4AD90C">
                      <w:pPr>
                        <w:adjustRightInd w:val="0"/>
                        <w:snapToGrid w:val="0"/>
                        <w:spacing w:line="360" w:lineRule="auto"/>
                        <w:jc w:val="center"/>
                        <w:rPr>
                          <w:rFonts w:ascii="仿宋_GB2312" w:eastAsia="仿宋_GB2312"/>
                          <w:b/>
                          <w:sz w:val="28"/>
                          <w:szCs w:val="28"/>
                        </w:rPr>
                      </w:pPr>
                      <w:bookmarkStart w:id="290" w:name="OLE_LINK164"/>
                      <w:bookmarkStart w:id="291" w:name="_Hlk228895550"/>
                      <w:bookmarkStart w:id="292" w:name="OLE_LINK163"/>
                      <w:r>
                        <w:rPr>
                          <w:rFonts w:hint="eastAsia" w:ascii="仿宋_GB2312" w:eastAsia="仿宋_GB2312"/>
                          <w:b/>
                          <w:sz w:val="28"/>
                          <w:szCs w:val="28"/>
                        </w:rPr>
                        <w:t>专栏7 绿色低碳转型重点工程</w:t>
                      </w:r>
                    </w:p>
                    <w:p w14:paraId="27E536E3">
                      <w:pPr>
                        <w:pStyle w:val="2"/>
                        <w:jc w:val="left"/>
                        <w:rPr>
                          <w:rFonts w:ascii="仿宋_GB2312" w:eastAsia="仿宋_GB2312"/>
                        </w:rPr>
                      </w:pPr>
                      <w:r>
                        <w:rPr>
                          <w:rFonts w:hint="eastAsia" w:ascii="仿宋_GB2312" w:eastAsia="仿宋_GB2312"/>
                          <w:b/>
                        </w:rPr>
                        <w:t>1.</w:t>
                      </w:r>
                      <w:r>
                        <w:rPr>
                          <w:rFonts w:hint="eastAsia"/>
                        </w:rPr>
                        <w:t xml:space="preserve"> </w:t>
                      </w:r>
                      <w:r>
                        <w:rPr>
                          <w:rFonts w:hint="eastAsia" w:ascii="仿宋_GB2312" w:eastAsia="仿宋_GB2312"/>
                          <w:b/>
                        </w:rPr>
                        <w:t>清洁能源基地与零碳示范工程。</w:t>
                      </w:r>
                      <w:r>
                        <w:rPr>
                          <w:rFonts w:hint="eastAsia" w:ascii="仿宋_GB2312" w:eastAsia="仿宋_GB2312"/>
                        </w:rPr>
                        <w:t>推进古尔班通古特沙漠新能源基地建设，实施“风光火储氢”一体化项目。重点建设昌吉国投呼图壁县</w:t>
                      </w:r>
                      <w:r>
                        <w:rPr>
                          <w:rFonts w:ascii="仿宋_GB2312" w:eastAsia="仿宋_GB2312"/>
                        </w:rPr>
                        <w:t>20万千瓦/80万千瓦时共享储能、中石油1.65GW光伏等项目。支持准东开发区、木垒县、高新区创建零碳园区，实施昌吉州国投130万千瓦低碳产业园区项目</w:t>
                      </w:r>
                      <w:r>
                        <w:rPr>
                          <w:rFonts w:hint="eastAsia" w:ascii="仿宋_GB2312" w:eastAsia="仿宋_GB2312"/>
                        </w:rPr>
                        <w:t>。</w:t>
                      </w:r>
                    </w:p>
                    <w:p w14:paraId="0C70DACD">
                      <w:pPr>
                        <w:pStyle w:val="2"/>
                        <w:jc w:val="left"/>
                        <w:rPr>
                          <w:rFonts w:ascii="仿宋_GB2312" w:eastAsia="仿宋_GB2312"/>
                        </w:rPr>
                      </w:pPr>
                      <w:r>
                        <w:rPr>
                          <w:rFonts w:hint="eastAsia" w:ascii="仿宋_GB2312" w:eastAsia="仿宋_GB2312"/>
                          <w:b/>
                        </w:rPr>
                        <w:t>2.</w:t>
                      </w:r>
                      <w:r>
                        <w:rPr>
                          <w:rFonts w:hint="eastAsia"/>
                        </w:rPr>
                        <w:t xml:space="preserve"> </w:t>
                      </w:r>
                      <w:r>
                        <w:rPr>
                          <w:rFonts w:hint="eastAsia" w:ascii="仿宋_GB2312" w:eastAsia="仿宋_GB2312"/>
                          <w:b/>
                        </w:rPr>
                        <w:t>二氧化碳捕集利用与封存（</w:t>
                      </w:r>
                      <w:r>
                        <w:rPr>
                          <w:rFonts w:ascii="仿宋_GB2312" w:eastAsia="仿宋_GB2312"/>
                          <w:b/>
                        </w:rPr>
                        <w:t>CCUS）示范工程</w:t>
                      </w:r>
                      <w:r>
                        <w:rPr>
                          <w:rFonts w:hint="eastAsia" w:ascii="仿宋_GB2312" w:eastAsia="仿宋_GB2312"/>
                          <w:b/>
                        </w:rPr>
                        <w:t>。</w:t>
                      </w:r>
                      <w:r>
                        <w:rPr>
                          <w:rFonts w:hint="eastAsia" w:ascii="仿宋_GB2312" w:eastAsia="仿宋_GB2312"/>
                        </w:rPr>
                        <w:t>依托准东开发区建设千万吨级</w:t>
                      </w:r>
                      <w:r>
                        <w:rPr>
                          <w:rFonts w:ascii="仿宋_GB2312" w:eastAsia="仿宋_GB2312"/>
                        </w:rPr>
                        <w:t>CCUS示范项目；</w:t>
                      </w:r>
                      <w:r>
                        <w:rPr>
                          <w:rFonts w:hint="eastAsia" w:ascii="仿宋_GB2312" w:eastAsia="仿宋_GB2312"/>
                        </w:rPr>
                        <w:t>在彩南、火烧山等重点油田实施二氧化碳驱油与封存项目；建设二氧化碳输送管道与碳计量实验室。</w:t>
                      </w:r>
                    </w:p>
                    <w:p w14:paraId="2A4CDA95">
                      <w:pPr>
                        <w:pStyle w:val="2"/>
                        <w:jc w:val="left"/>
                        <w:rPr>
                          <w:rFonts w:ascii="仿宋_GB2312" w:eastAsia="仿宋_GB2312"/>
                        </w:rPr>
                      </w:pPr>
                      <w:r>
                        <w:rPr>
                          <w:rFonts w:hint="eastAsia" w:ascii="仿宋_GB2312" w:eastAsia="仿宋_GB2312"/>
                          <w:b/>
                        </w:rPr>
                        <w:t>3.</w:t>
                      </w:r>
                      <w:r>
                        <w:rPr>
                          <w:rFonts w:hint="eastAsia"/>
                        </w:rPr>
                        <w:t xml:space="preserve"> </w:t>
                      </w:r>
                      <w:r>
                        <w:rPr>
                          <w:rFonts w:hint="eastAsia" w:ascii="仿宋_GB2312" w:eastAsia="仿宋_GB2312"/>
                          <w:b/>
                        </w:rPr>
                        <w:t>产业绿色化数字化协同转型工程。</w:t>
                      </w:r>
                      <w:r>
                        <w:rPr>
                          <w:rFonts w:hint="eastAsia" w:ascii="仿宋_GB2312" w:eastAsia="仿宋_GB2312"/>
                        </w:rPr>
                        <w:t>淘汰燃煤锅炉和工业炉窑（中粮糖业、玛纳斯正新保温等），实施全流程超低排放改造（新疆天电奇台、奇台天山水泥、新疆嘉润资源等）。推进</w:t>
                      </w:r>
                      <w:r>
                        <w:rPr>
                          <w:rFonts w:ascii="仿宋_GB2312" w:eastAsia="仿宋_GB2312"/>
                        </w:rPr>
                        <w:t>VOCs深度治理和低效设施升级（覆盖阜康、呼图壁、昌吉市等百余家企业），推动重点企业环保绩效提标（新疆蓝山屯河、新疆宜化、新疆神火、新疆其亚等）</w:t>
                      </w:r>
                      <w:r>
                        <w:rPr>
                          <w:rFonts w:hint="eastAsia" w:ascii="仿宋_GB2312" w:eastAsia="仿宋_GB2312"/>
                        </w:rPr>
                        <w:t>。</w:t>
                      </w:r>
                    </w:p>
                    <w:p w14:paraId="51B86680">
                      <w:pPr>
                        <w:pStyle w:val="2"/>
                        <w:jc w:val="left"/>
                        <w:rPr>
                          <w:rFonts w:ascii="仿宋_GB2312" w:eastAsia="仿宋_GB2312"/>
                        </w:rPr>
                      </w:pPr>
                      <w:r>
                        <w:rPr>
                          <w:rFonts w:hint="eastAsia" w:ascii="仿宋_GB2312" w:eastAsia="仿宋_GB2312"/>
                          <w:b/>
                        </w:rPr>
                        <w:t>4.</w:t>
                      </w:r>
                      <w:r>
                        <w:rPr>
                          <w:rFonts w:hint="eastAsia"/>
                        </w:rPr>
                        <w:t xml:space="preserve"> </w:t>
                      </w:r>
                      <w:r>
                        <w:rPr>
                          <w:rFonts w:hint="eastAsia" w:ascii="仿宋_GB2312" w:eastAsia="仿宋_GB2312"/>
                          <w:b/>
                        </w:rPr>
                        <w:t>绿色交通运输体系构建工程。</w:t>
                      </w:r>
                      <w:r>
                        <w:rPr>
                          <w:rFonts w:hint="eastAsia" w:ascii="仿宋_GB2312" w:eastAsia="仿宋_GB2312"/>
                        </w:rPr>
                        <w:t>建设昌吉</w:t>
                      </w:r>
                      <w:r>
                        <w:rPr>
                          <w:rFonts w:ascii="仿宋_GB2312" w:eastAsia="仿宋_GB2312"/>
                        </w:rPr>
                        <w:t>-准东物流枢纽，推进“公转铁”及铁路专用线（呼图壁白杨河专用铁路、昌吉市输煤廊道等）。分年度淘汰老旧营运货车1969辆、非营运货车80辆、非道路移动机械50辆，实施环卫车辆新能源替代（昌吉市、呼图壁县、玛纳斯县、农高区等）</w:t>
                      </w:r>
                      <w:r>
                        <w:rPr>
                          <w:rFonts w:hint="eastAsia" w:ascii="仿宋_GB2312" w:eastAsia="仿宋_GB2312"/>
                        </w:rPr>
                        <w:t>。</w:t>
                      </w:r>
                    </w:p>
                    <w:p w14:paraId="4A6D4DC4">
                      <w:pPr>
                        <w:pStyle w:val="2"/>
                        <w:jc w:val="left"/>
                        <w:rPr>
                          <w:rFonts w:ascii="仿宋_GB2312" w:eastAsia="仿宋_GB2312"/>
                        </w:rPr>
                      </w:pPr>
                      <w:r>
                        <w:rPr>
                          <w:rFonts w:hint="eastAsia" w:ascii="仿宋_GB2312" w:eastAsia="仿宋_GB2312"/>
                          <w:b/>
                        </w:rPr>
                        <w:t>5.资源节约集约利用与循环经济发展工程。</w:t>
                      </w:r>
                      <w:bookmarkEnd w:id="290"/>
                      <w:bookmarkEnd w:id="291"/>
                      <w:bookmarkEnd w:id="292"/>
                      <w:r>
                        <w:rPr>
                          <w:rFonts w:hint="eastAsia" w:ascii="仿宋_GB2312" w:eastAsia="仿宋_GB2312"/>
                        </w:rPr>
                        <w:t>实施高耗能行业节能改造（新疆国信煤电、新疆五鑫铜业等）。建设餐厨垃圾资源化处理（奇台县）、垃圾分类设施（吉木萨尔县）。推进畜禽粪污资源化利用（呼图壁县雀尔沟镇、阜康市养殖场等）。实施工业固废</w:t>
                      </w:r>
                      <w:r>
                        <w:rPr>
                          <w:rFonts w:ascii="仿宋_GB2312" w:eastAsia="仿宋_GB2312"/>
                        </w:rPr>
                        <w:t>/危废资源化利用（新疆叶林环保、新疆金源科技、国铝、新绿城、新疆润林环保等）。推进再生水利用及污水处理厂提标（奇台、吉木萨尔、阜康、呼图壁、高新区、农高区等），实施地膜科学使用回收、秸秆综合利用等农业循环经济项目</w:t>
                      </w:r>
                      <w:r>
                        <w:rPr>
                          <w:rFonts w:hint="eastAsia" w:ascii="仿宋_GB2312" w:eastAsia="仿宋_GB2312"/>
                        </w:rPr>
                        <w:t>。</w:t>
                      </w:r>
                    </w:p>
                  </w:txbxContent>
                </v:textbox>
              </v:shape>
            </w:pict>
          </mc:Fallback>
        </mc:AlternateContent>
      </w:r>
    </w:p>
    <w:p w14:paraId="008F17CB">
      <w:pPr>
        <w:pStyle w:val="78"/>
        <w:ind w:firstLine="640"/>
      </w:pPr>
    </w:p>
    <w:p w14:paraId="716F98FC">
      <w:pPr>
        <w:pStyle w:val="78"/>
        <w:ind w:firstLine="640"/>
      </w:pPr>
    </w:p>
    <w:p w14:paraId="470D2406">
      <w:pPr>
        <w:pStyle w:val="78"/>
        <w:ind w:firstLine="640"/>
      </w:pPr>
    </w:p>
    <w:p w14:paraId="44900C8B">
      <w:pPr>
        <w:pStyle w:val="78"/>
        <w:ind w:firstLine="640"/>
      </w:pPr>
    </w:p>
    <w:p w14:paraId="536C9C39">
      <w:pPr>
        <w:pStyle w:val="78"/>
        <w:ind w:firstLine="640"/>
      </w:pPr>
    </w:p>
    <w:p w14:paraId="791E95A3">
      <w:pPr>
        <w:pStyle w:val="78"/>
        <w:ind w:firstLine="640"/>
      </w:pPr>
    </w:p>
    <w:p w14:paraId="416FE7C3">
      <w:pPr>
        <w:pStyle w:val="78"/>
        <w:ind w:firstLine="640"/>
      </w:pPr>
    </w:p>
    <w:p w14:paraId="2E53D0B9">
      <w:pPr>
        <w:pStyle w:val="78"/>
        <w:ind w:firstLine="640"/>
      </w:pPr>
    </w:p>
    <w:p w14:paraId="26363EDF">
      <w:pPr>
        <w:pStyle w:val="78"/>
        <w:ind w:firstLine="640"/>
      </w:pPr>
    </w:p>
    <w:p w14:paraId="118B06C6">
      <w:pPr>
        <w:pStyle w:val="78"/>
        <w:ind w:firstLine="640"/>
      </w:pPr>
    </w:p>
    <w:p w14:paraId="68636801">
      <w:pPr>
        <w:pStyle w:val="78"/>
        <w:ind w:firstLine="640"/>
      </w:pPr>
    </w:p>
    <w:p w14:paraId="0070E177">
      <w:pPr>
        <w:pStyle w:val="78"/>
        <w:ind w:firstLine="640"/>
      </w:pPr>
    </w:p>
    <w:p w14:paraId="25A9D38D">
      <w:pPr>
        <w:pStyle w:val="78"/>
        <w:ind w:firstLine="640"/>
      </w:pPr>
    </w:p>
    <w:p w14:paraId="01AD6CD6">
      <w:pPr>
        <w:pStyle w:val="78"/>
        <w:ind w:firstLine="640"/>
      </w:pPr>
    </w:p>
    <w:p w14:paraId="04B9E80C">
      <w:pPr>
        <w:pStyle w:val="78"/>
        <w:ind w:firstLine="640"/>
      </w:pPr>
    </w:p>
    <w:p w14:paraId="314D8643">
      <w:pPr>
        <w:pStyle w:val="78"/>
        <w:ind w:firstLine="640"/>
      </w:pPr>
    </w:p>
    <w:p w14:paraId="5DF69BF4">
      <w:pPr>
        <w:pStyle w:val="78"/>
        <w:ind w:firstLine="640"/>
      </w:pPr>
    </w:p>
    <w:p w14:paraId="435D6E1A">
      <w:pPr>
        <w:pStyle w:val="78"/>
        <w:ind w:firstLine="640"/>
        <w:sectPr>
          <w:pgSz w:w="11906" w:h="16838"/>
          <w:pgMar w:top="1440" w:right="1800" w:bottom="1440" w:left="1800" w:header="1077" w:footer="992" w:gutter="0"/>
          <w:pgNumType w:fmt="numberInDash"/>
          <w:cols w:space="425" w:num="1"/>
          <w:docGrid w:type="lines" w:linePitch="312" w:charSpace="0"/>
        </w:sectPr>
      </w:pPr>
    </w:p>
    <w:bookmarkEnd w:id="137"/>
    <w:bookmarkEnd w:id="138"/>
    <w:bookmarkEnd w:id="143"/>
    <w:bookmarkEnd w:id="144"/>
    <w:bookmarkEnd w:id="145"/>
    <w:bookmarkEnd w:id="185"/>
    <w:bookmarkEnd w:id="186"/>
    <w:p w14:paraId="5D7F769F">
      <w:pPr>
        <w:pStyle w:val="3"/>
        <w:spacing w:after="100" w:afterAutospacing="1" w:line="480" w:lineRule="auto"/>
        <w:ind w:firstLine="0" w:firstLineChars="0"/>
        <w:jc w:val="center"/>
      </w:pPr>
      <w:bookmarkStart w:id="188" w:name="_Toc227770792"/>
      <w:bookmarkStart w:id="189" w:name="_Toc218867778"/>
      <w:bookmarkStart w:id="190" w:name="OLE_LINK96"/>
      <w:bookmarkStart w:id="191" w:name="OLE_LINK68"/>
      <w:bookmarkStart w:id="192" w:name="OLE_LINK69"/>
      <w:bookmarkStart w:id="193" w:name="OLE_LINK128"/>
      <w:bookmarkStart w:id="194" w:name="OLE_LINK60"/>
      <w:r>
        <w:rPr>
          <w:rFonts w:hint="eastAsia"/>
        </w:rPr>
        <w:t>第七章  推动全民共建共享，培育绿色低碳新风尚</w:t>
      </w:r>
      <w:bookmarkEnd w:id="188"/>
      <w:bookmarkEnd w:id="189"/>
    </w:p>
    <w:p w14:paraId="6DCC3787">
      <w:pPr>
        <w:pStyle w:val="4"/>
        <w:spacing w:line="700" w:lineRule="exact"/>
        <w:ind w:firstLine="0" w:firstLineChars="0"/>
        <w:jc w:val="center"/>
      </w:pPr>
      <w:bookmarkStart w:id="195" w:name="_Toc218867779"/>
      <w:r>
        <w:rPr>
          <w:rFonts w:hint="eastAsia"/>
        </w:rPr>
        <w:t xml:space="preserve">   </w:t>
      </w:r>
      <w:bookmarkStart w:id="196" w:name="_Toc227770793"/>
      <w:r>
        <w:rPr>
          <w:rFonts w:hint="eastAsia"/>
        </w:rPr>
        <w:t>第一节 强化生态文明理念引领</w:t>
      </w:r>
      <w:r>
        <w:t>，筑牢绿色发展思想根基</w:t>
      </w:r>
      <w:bookmarkEnd w:id="195"/>
      <w:bookmarkEnd w:id="196"/>
    </w:p>
    <w:p w14:paraId="282293E0">
      <w:pPr>
        <w:pStyle w:val="78"/>
        <w:ind w:firstLine="640"/>
      </w:pPr>
      <w:r>
        <w:rPr>
          <w:rFonts w:hint="eastAsia"/>
        </w:rPr>
        <w:t>以深入学习宣传贯彻习近平生态文明思想为核心，将其系统融入干部教育、党员教育及国民教育全过程，提升全社会生态文明意识。依托环境日、生态日等重要节点，精心策划并常态化开展主题鲜明、形式多样的生态文化传播活动，广泛宣传绿色发展理念与实践成果。结合铸牢中华民族共同体意识，推动博物馆、展览馆、科教馆等场所的生态文化展示功能提升与宜游化改造，生动展现美丽昌吉建设的典范案例与实践经验，增强公众认同感与参与感</w:t>
      </w:r>
      <w:r>
        <w:t>。</w:t>
      </w:r>
    </w:p>
    <w:p w14:paraId="300CA866">
      <w:pPr>
        <w:pStyle w:val="4"/>
        <w:spacing w:line="700" w:lineRule="exact"/>
        <w:ind w:firstLine="643"/>
        <w:jc w:val="center"/>
      </w:pPr>
      <w:bookmarkStart w:id="197" w:name="_Toc227770794"/>
      <w:bookmarkStart w:id="198" w:name="_Toc218867780"/>
      <w:bookmarkStart w:id="199" w:name="OLE_LINK190"/>
      <w:bookmarkStart w:id="200" w:name="OLE_LINK189"/>
      <w:bookmarkStart w:id="201" w:name="OLE_LINK81"/>
      <w:r>
        <w:rPr>
          <w:rFonts w:hint="eastAsia"/>
        </w:rPr>
        <w:t>第二节 构建多元协同共治格局，激发全社会参与活力</w:t>
      </w:r>
      <w:bookmarkEnd w:id="197"/>
      <w:bookmarkEnd w:id="198"/>
    </w:p>
    <w:p w14:paraId="506B348E">
      <w:pPr>
        <w:pStyle w:val="78"/>
        <w:ind w:firstLine="640"/>
        <w:rPr>
          <w:rFonts w:ascii="仿宋_GB2312"/>
        </w:rPr>
      </w:pPr>
      <w:bookmarkStart w:id="202" w:name="OLE_LINK79"/>
      <w:bookmarkStart w:id="203" w:name="OLE_LINK80"/>
      <w:r>
        <w:rPr>
          <w:rFonts w:hint="eastAsia" w:ascii="仿宋_GB2312"/>
        </w:rPr>
        <w:t>将美丽昌吉建设深度融入基层社会治理体系，引导园区以绿色低碳为导向优化产业布局与能源结构，开展循环化改造；引导企业全面推行清洁生产，实施节能降耗技术改造，构建绿色供应链与产品体系；引导社区倡导绿色生活，系统推进垃圾分类、低碳出行与社区环境提升；引导学校将生态文明教育融入教学实践，建设绿色校园文化；鼓励中小学校中午加餐，减少出行。同时，在具备条件的园区、企业、社区与学校中开展零碳/近零碳试点示范，集成推广可再生能源应用、能效提升与碳汇建设，形成具有示范意义的昌吉实践模式。</w:t>
      </w:r>
      <w:bookmarkEnd w:id="202"/>
      <w:bookmarkEnd w:id="203"/>
      <w:r>
        <w:rPr>
          <w:rFonts w:hint="eastAsia" w:ascii="仿宋_GB2312"/>
        </w:rPr>
        <w:t>持续深化“美丽中国，我是行动者”系列主题活动，丰富活动内涵与形式。大力推行“光盘行动”、绿色旅游，加快城市绿道网络与高效公共交通体系建设，深入开展爱国卫生运动，营造绿色健康生活环境。加大环保设施向公众开放力度，拓展其生态文明宣传教育服务功能。健全完善公众生态环境监督与举报反馈机制，保障公众知情权、参与权、监督权。系统推进生态环境志愿服务体系建设，培育壮大专业化、规范化志愿服务队伍，挖掘、总结并推广一批具有昌吉特色的典型案例与成功模式</w:t>
      </w:r>
      <w:bookmarkEnd w:id="199"/>
      <w:bookmarkEnd w:id="200"/>
      <w:r>
        <w:rPr>
          <w:rFonts w:hint="eastAsia" w:ascii="仿宋_GB2312"/>
        </w:rPr>
        <w:t>。</w:t>
      </w:r>
    </w:p>
    <w:bookmarkEnd w:id="201"/>
    <w:p w14:paraId="6715D738">
      <w:pPr>
        <w:pStyle w:val="4"/>
        <w:spacing w:line="700" w:lineRule="exact"/>
        <w:ind w:left="0" w:leftChars="0" w:firstLine="0" w:firstLineChars="0"/>
        <w:jc w:val="center"/>
      </w:pPr>
      <w:bookmarkStart w:id="204" w:name="_Toc218867781"/>
      <w:bookmarkStart w:id="205" w:name="_Toc227770795"/>
      <w:bookmarkStart w:id="206" w:name="OLE_LINK191"/>
      <w:bookmarkStart w:id="207" w:name="OLE_LINK156"/>
      <w:bookmarkStart w:id="208" w:name="OLE_LINK155"/>
      <w:r>
        <w:rPr>
          <w:rFonts w:hint="eastAsia"/>
        </w:rPr>
        <w:t>第三节</w:t>
      </w:r>
      <w:r>
        <w:rPr>
          <w:rFonts w:hint="eastAsia"/>
          <w:lang w:eastAsia="zh-CN"/>
        </w:rPr>
        <w:t xml:space="preserve"> 健全</w:t>
      </w:r>
      <w:r>
        <w:rPr>
          <w:rFonts w:hint="eastAsia"/>
        </w:rPr>
        <w:t>绿色消费激励机制，推广绿色低碳生活方式</w:t>
      </w:r>
      <w:bookmarkEnd w:id="204"/>
      <w:bookmarkEnd w:id="205"/>
    </w:p>
    <w:p w14:paraId="4B1518AE">
      <w:pPr>
        <w:pStyle w:val="78"/>
        <w:ind w:firstLine="640"/>
      </w:pPr>
      <w:r>
        <w:rPr>
          <w:rFonts w:hint="eastAsia"/>
        </w:rPr>
        <w:t>聚焦形成绿色生活新风尚，将绿色低碳要求全面融入消费各领域与全过程。通过创新激励机制（如绿色积分、补贴优惠等）、优化绿色产品与服务供给、加强宣传引导等多种手段，有效激发全社会参与绿色消费的内生动力。着力构建起政府积极引导、市场有效配置、公众自觉参与的绿色消费长效机制。鼓励公众在衣着方面优先选择棉麻等天然面料、减少频繁添置衣物并推广旧衣回收和二手交易，在饮食方面践行“光盘行动”、减少食物浪费、外出就餐自带餐具、减少一次性塑料制品使用、优先选购本地当季及绿色有机食品，在居住方面节约用水用电、合理设置空调温度、做好垃圾分类投放、减少使用高能耗电器，在出行方面优先步行、骑行或乘坐公共交通工具、倡导“</w:t>
      </w:r>
      <w:r>
        <w:t>135”绿色出行（1公里内步行、3公里内骑行、5公里内公交）并鼓励购买或使用新能源车辆，在旅游方面拒绝过度包装、减少一次性酒店用品消耗、选择低碳环保的旅游方式</w:t>
      </w:r>
      <w:r>
        <w:rPr>
          <w:rFonts w:hint="eastAsia"/>
        </w:rPr>
        <w:t>，推动绿色低碳成为社会新风尚。</w:t>
      </w:r>
    </w:p>
    <w:p w14:paraId="349CCE64">
      <w:pPr>
        <w:pStyle w:val="78"/>
        <w:ind w:left="0" w:leftChars="0" w:firstLine="0" w:firstLineChars="0"/>
      </w:pPr>
    </w:p>
    <w:p w14:paraId="20ED6CE9">
      <w:pPr>
        <w:pStyle w:val="78"/>
        <w:ind w:left="0" w:leftChars="0" w:firstLine="0" w:firstLineChars="0"/>
      </w:pPr>
    </w:p>
    <w:bookmarkEnd w:id="206"/>
    <w:bookmarkEnd w:id="207"/>
    <w:bookmarkEnd w:id="208"/>
    <w:p w14:paraId="1D4F7B37">
      <w:pPr>
        <w:pStyle w:val="78"/>
        <w:ind w:firstLine="640"/>
      </w:pPr>
      <w: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400040" cy="3238500"/>
                <wp:effectExtent l="0" t="0" r="10795" b="19050"/>
                <wp:wrapNone/>
                <wp:docPr id="1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00000" cy="3238500"/>
                        </a:xfrm>
                        <a:prstGeom prst="rect">
                          <a:avLst/>
                        </a:prstGeom>
                        <a:solidFill>
                          <a:srgbClr val="FFFFFF"/>
                        </a:solidFill>
                        <a:ln w="12700">
                          <a:solidFill>
                            <a:srgbClr val="000000"/>
                          </a:solidFill>
                          <a:miter lim="800000"/>
                        </a:ln>
                      </wps:spPr>
                      <wps:txbx>
                        <w:txbxContent>
                          <w:p w14:paraId="15FE9ABE">
                            <w:pPr>
                              <w:adjustRightInd w:val="0"/>
                              <w:snapToGrid w:val="0"/>
                              <w:spacing w:line="360" w:lineRule="auto"/>
                              <w:jc w:val="center"/>
                              <w:rPr>
                                <w:rFonts w:ascii="仿宋_GB2312" w:eastAsia="仿宋_GB2312"/>
                                <w:b/>
                                <w:sz w:val="28"/>
                                <w:szCs w:val="28"/>
                              </w:rPr>
                            </w:pPr>
                            <w:r>
                              <w:rPr>
                                <w:rFonts w:hint="eastAsia" w:ascii="仿宋_GB2312" w:eastAsia="仿宋_GB2312"/>
                                <w:b/>
                                <w:sz w:val="28"/>
                                <w:szCs w:val="28"/>
                              </w:rPr>
                              <w:t>专栏8</w:t>
                            </w:r>
                            <w:r>
                              <w:rPr>
                                <w:rFonts w:ascii="仿宋_GB2312" w:eastAsia="仿宋_GB2312"/>
                                <w:b/>
                                <w:sz w:val="28"/>
                                <w:szCs w:val="28"/>
                              </w:rPr>
                              <w:t xml:space="preserve"> 绿色低碳新风尚培育工程</w:t>
                            </w:r>
                          </w:p>
                          <w:p w14:paraId="2834F32C">
                            <w:pPr>
                              <w:pStyle w:val="2"/>
                              <w:jc w:val="left"/>
                              <w:rPr>
                                <w:rFonts w:ascii="仿宋_GB2312" w:eastAsia="仿宋_GB2312"/>
                              </w:rPr>
                            </w:pPr>
                            <w:r>
                              <w:rPr>
                                <w:rFonts w:hint="eastAsia" w:ascii="仿宋_GB2312" w:eastAsia="仿宋_GB2312"/>
                                <w:b/>
                              </w:rPr>
                              <w:t>1.生态文明理念传播与教育工程。</w:t>
                            </w:r>
                            <w:r>
                              <w:rPr>
                                <w:rFonts w:ascii="仿宋_GB2312" w:eastAsia="仿宋_GB2312"/>
                              </w:rPr>
                              <w:t>开展生态文明教育示范学校创建活动；建设一批生态文明教育实践基地。实施博物馆、展览馆、科教馆生态文化展示功能提升与宜游化改造项目；编印美丽昌吉建设典范案例集，制作生态文明宣传片；建设生态文明数字展馆与线上体验平台。</w:t>
                            </w:r>
                          </w:p>
                          <w:p w14:paraId="785B87BB">
                            <w:pPr>
                              <w:pStyle w:val="2"/>
                              <w:jc w:val="left"/>
                              <w:rPr>
                                <w:rFonts w:ascii="仿宋_GB2312" w:eastAsia="仿宋_GB2312"/>
                              </w:rPr>
                            </w:pPr>
                            <w:r>
                              <w:rPr>
                                <w:rFonts w:hint="eastAsia" w:ascii="仿宋_GB2312" w:eastAsia="仿宋_GB2312"/>
                                <w:b/>
                              </w:rPr>
                              <w:t>2.多元主体协同共治工程。</w:t>
                            </w:r>
                            <w:r>
                              <w:rPr>
                                <w:rFonts w:ascii="仿宋_GB2312" w:eastAsia="仿宋_GB2312"/>
                              </w:rPr>
                              <w:t>在具备条件的园区、企业、社区、学校开展零碳/近零碳试点；集成推广可再生能源应用、能效提升与碳汇建设技术；总结形成具有示范意义的昌吉实践模式。</w:t>
                            </w:r>
                          </w:p>
                          <w:p w14:paraId="737C24D6">
                            <w:pPr>
                              <w:pStyle w:val="2"/>
                              <w:jc w:val="left"/>
                              <w:rPr>
                                <w:rFonts w:ascii="仿宋_GB2312" w:eastAsia="仿宋_GB2312"/>
                              </w:rPr>
                            </w:pPr>
                            <w:r>
                              <w:rPr>
                                <w:rFonts w:hint="eastAsia" w:ascii="仿宋_GB2312" w:eastAsia="仿宋_GB2312"/>
                                <w:b/>
                              </w:rPr>
                              <w:t>3.“美丽中国，我是行动者”深化工程。</w:t>
                            </w:r>
                            <w:r>
                              <w:rPr>
                                <w:rFonts w:ascii="仿宋_GB2312" w:eastAsia="仿宋_GB2312"/>
                              </w:rPr>
                              <w:t>开展“光盘行动”示范单位创建；推广绿色旅游线路与绿色景区建设；深入开展爱国卫生运动。推广新能源公共交通工具。加大污水处理、垃圾焚烧、环境监测等环保设施向公众开放力度</w:t>
                            </w:r>
                            <w:r>
                              <w:rPr>
                                <w:rFonts w:hint="eastAsia" w:ascii="仿宋_GB2312" w:eastAsia="仿宋_GB2312"/>
                              </w:rPr>
                              <w:t>。</w:t>
                            </w:r>
                          </w:p>
                          <w:p w14:paraId="5D983A5D">
                            <w:pPr>
                              <w:pStyle w:val="2"/>
                              <w:jc w:val="left"/>
                              <w:rPr>
                                <w:rFonts w:ascii="仿宋_GB2312" w:eastAsia="仿宋_GB2312"/>
                              </w:rPr>
                            </w:pPr>
                            <w:r>
                              <w:rPr>
                                <w:rFonts w:hint="eastAsia" w:ascii="仿宋_GB2312" w:eastAsia="仿宋_GB2312"/>
                                <w:b/>
                              </w:rPr>
                              <w:t>4.绿色消费激励工程。</w:t>
                            </w:r>
                            <w:r>
                              <w:rPr>
                                <w:rFonts w:ascii="仿宋_GB2312" w:eastAsia="仿宋_GB2312"/>
                              </w:rPr>
                              <w:t>建立绿色积分、补贴优惠等创新激励机制；完善绿色产品认证与标识体系；扩大政府绿色采购范围与规模；引导商场、超市设立绿色产品专区</w:t>
                            </w:r>
                            <w:r>
                              <w:rPr>
                                <w:rFonts w:hint="eastAsia" w:ascii="仿宋_GB2312" w:eastAsia="仿宋_GB2312"/>
                              </w:rPr>
                              <w:t>；</w:t>
                            </w:r>
                            <w:r>
                              <w:rPr>
                                <w:rFonts w:ascii="仿宋_GB2312" w:eastAsia="仿宋_GB2312"/>
                              </w:rPr>
                              <w:t>开展节约适度、绿色低碳、文明健康生活理念宣传；鼓励公众在衣、食、住、行、游等方面践行绿色生活方式；选树绿色生活典型，发挥示范引领作用。</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0pt;margin-top:0pt;height:255pt;width:425.2pt;z-index:251669504;mso-width-relative:page;mso-height-relative:page;" fillcolor="#FFFFFF" filled="t" stroked="t" coordsize="21600,21600" o:gfxdata="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LM1Fn1wAAAAUBAAAPAAAAAAAAAAEAIAAAACIAAABkcnMvZG93&#10;bnJldi54bWxQSwECFAAUAAAACACHTuJABe4ndDoCAAB+BAAADgAAAAAAAAABACAAAAAmAQAAZHJz&#10;L2Uyb0RvYy54bWxQSwUGAAAAAAYABgBZAQAA0gUAAAAA&#10;">
                <v:fill on="t" focussize="0,0"/>
                <v:stroke weight="1pt" color="#000000" miterlimit="8" joinstyle="miter"/>
                <v:imagedata o:title=""/>
                <o:lock v:ext="edit" aspectratio="f"/>
                <v:textbox>
                  <w:txbxContent>
                    <w:p w14:paraId="15FE9ABE">
                      <w:pPr>
                        <w:adjustRightInd w:val="0"/>
                        <w:snapToGrid w:val="0"/>
                        <w:spacing w:line="360" w:lineRule="auto"/>
                        <w:jc w:val="center"/>
                        <w:rPr>
                          <w:rFonts w:ascii="仿宋_GB2312" w:eastAsia="仿宋_GB2312"/>
                          <w:b/>
                          <w:sz w:val="28"/>
                          <w:szCs w:val="28"/>
                        </w:rPr>
                      </w:pPr>
                      <w:r>
                        <w:rPr>
                          <w:rFonts w:hint="eastAsia" w:ascii="仿宋_GB2312" w:eastAsia="仿宋_GB2312"/>
                          <w:b/>
                          <w:sz w:val="28"/>
                          <w:szCs w:val="28"/>
                        </w:rPr>
                        <w:t>专栏8</w:t>
                      </w:r>
                      <w:r>
                        <w:rPr>
                          <w:rFonts w:ascii="仿宋_GB2312" w:eastAsia="仿宋_GB2312"/>
                          <w:b/>
                          <w:sz w:val="28"/>
                          <w:szCs w:val="28"/>
                        </w:rPr>
                        <w:t xml:space="preserve"> 绿色低碳新风尚培育工程</w:t>
                      </w:r>
                    </w:p>
                    <w:p w14:paraId="2834F32C">
                      <w:pPr>
                        <w:pStyle w:val="2"/>
                        <w:jc w:val="left"/>
                        <w:rPr>
                          <w:rFonts w:ascii="仿宋_GB2312" w:eastAsia="仿宋_GB2312"/>
                        </w:rPr>
                      </w:pPr>
                      <w:r>
                        <w:rPr>
                          <w:rFonts w:hint="eastAsia" w:ascii="仿宋_GB2312" w:eastAsia="仿宋_GB2312"/>
                          <w:b/>
                        </w:rPr>
                        <w:t>1.生态文明理念传播与教育工程。</w:t>
                      </w:r>
                      <w:r>
                        <w:rPr>
                          <w:rFonts w:ascii="仿宋_GB2312" w:eastAsia="仿宋_GB2312"/>
                        </w:rPr>
                        <w:t>开展生态文明教育示范学校创建活动；建设一批生态文明教育实践基地。实施博物馆、展览馆、科教馆生态文化展示功能提升与宜游化改造项目；编印美丽昌吉建设典范案例集，制作生态文明宣传片；建设生态文明数字展馆与线上体验平台。</w:t>
                      </w:r>
                    </w:p>
                    <w:p w14:paraId="785B87BB">
                      <w:pPr>
                        <w:pStyle w:val="2"/>
                        <w:jc w:val="left"/>
                        <w:rPr>
                          <w:rFonts w:ascii="仿宋_GB2312" w:eastAsia="仿宋_GB2312"/>
                        </w:rPr>
                      </w:pPr>
                      <w:r>
                        <w:rPr>
                          <w:rFonts w:hint="eastAsia" w:ascii="仿宋_GB2312" w:eastAsia="仿宋_GB2312"/>
                          <w:b/>
                        </w:rPr>
                        <w:t>2.多元主体协同共治工程。</w:t>
                      </w:r>
                      <w:r>
                        <w:rPr>
                          <w:rFonts w:ascii="仿宋_GB2312" w:eastAsia="仿宋_GB2312"/>
                        </w:rPr>
                        <w:t>在具备条件的园区、企业、社区、学校开展零碳/近零碳试点；集成推广可再生能源应用、能效提升与碳汇建设技术；总结形成具有示范意义的昌吉实践模式。</w:t>
                      </w:r>
                    </w:p>
                    <w:p w14:paraId="737C24D6">
                      <w:pPr>
                        <w:pStyle w:val="2"/>
                        <w:jc w:val="left"/>
                        <w:rPr>
                          <w:rFonts w:ascii="仿宋_GB2312" w:eastAsia="仿宋_GB2312"/>
                        </w:rPr>
                      </w:pPr>
                      <w:r>
                        <w:rPr>
                          <w:rFonts w:hint="eastAsia" w:ascii="仿宋_GB2312" w:eastAsia="仿宋_GB2312"/>
                          <w:b/>
                        </w:rPr>
                        <w:t>3.“美丽中国，我是行动者”深化工程。</w:t>
                      </w:r>
                      <w:r>
                        <w:rPr>
                          <w:rFonts w:ascii="仿宋_GB2312" w:eastAsia="仿宋_GB2312"/>
                        </w:rPr>
                        <w:t>开展“光盘行动”示范单位创建；推广绿色旅游线路与绿色景区建设；深入开展爱国卫生运动。推广新能源公共交通工具。加大污水处理、垃圾焚烧、环境监测等环保设施向公众开放力度</w:t>
                      </w:r>
                      <w:r>
                        <w:rPr>
                          <w:rFonts w:hint="eastAsia" w:ascii="仿宋_GB2312" w:eastAsia="仿宋_GB2312"/>
                        </w:rPr>
                        <w:t>。</w:t>
                      </w:r>
                    </w:p>
                    <w:p w14:paraId="5D983A5D">
                      <w:pPr>
                        <w:pStyle w:val="2"/>
                        <w:jc w:val="left"/>
                        <w:rPr>
                          <w:rFonts w:ascii="仿宋_GB2312" w:eastAsia="仿宋_GB2312"/>
                        </w:rPr>
                      </w:pPr>
                      <w:r>
                        <w:rPr>
                          <w:rFonts w:hint="eastAsia" w:ascii="仿宋_GB2312" w:eastAsia="仿宋_GB2312"/>
                          <w:b/>
                        </w:rPr>
                        <w:t>4.绿色消费激励工程。</w:t>
                      </w:r>
                      <w:r>
                        <w:rPr>
                          <w:rFonts w:ascii="仿宋_GB2312" w:eastAsia="仿宋_GB2312"/>
                        </w:rPr>
                        <w:t>建立绿色积分、补贴优惠等创新激励机制；完善绿色产品认证与标识体系；扩大政府绿色采购范围与规模；引导商场、超市设立绿色产品专区</w:t>
                      </w:r>
                      <w:r>
                        <w:rPr>
                          <w:rFonts w:hint="eastAsia" w:ascii="仿宋_GB2312" w:eastAsia="仿宋_GB2312"/>
                        </w:rPr>
                        <w:t>；</w:t>
                      </w:r>
                      <w:r>
                        <w:rPr>
                          <w:rFonts w:ascii="仿宋_GB2312" w:eastAsia="仿宋_GB2312"/>
                        </w:rPr>
                        <w:t>开展节约适度、绿色低碳、文明健康生活理念宣传；鼓励公众在衣、食、住、行、游等方面践行绿色生活方式；选树绿色生活典型，发挥示范引领作用。</w:t>
                      </w:r>
                    </w:p>
                  </w:txbxContent>
                </v:textbox>
              </v:shape>
            </w:pict>
          </mc:Fallback>
        </mc:AlternateContent>
      </w:r>
    </w:p>
    <w:p w14:paraId="54E74F0B">
      <w:pPr>
        <w:pStyle w:val="78"/>
        <w:ind w:firstLine="640"/>
      </w:pPr>
    </w:p>
    <w:p w14:paraId="3631A877">
      <w:pPr>
        <w:pStyle w:val="78"/>
        <w:ind w:firstLine="640"/>
      </w:pPr>
    </w:p>
    <w:bookmarkEnd w:id="190"/>
    <w:p w14:paraId="2BCCAF09">
      <w:pPr>
        <w:pStyle w:val="78"/>
        <w:ind w:firstLine="640"/>
      </w:pPr>
    </w:p>
    <w:p w14:paraId="78BFA5AD">
      <w:pPr>
        <w:pStyle w:val="78"/>
        <w:ind w:firstLine="640"/>
      </w:pPr>
    </w:p>
    <w:p w14:paraId="4B73F8E9">
      <w:pPr>
        <w:pStyle w:val="78"/>
        <w:ind w:firstLine="640"/>
      </w:pPr>
    </w:p>
    <w:p w14:paraId="63148051">
      <w:pPr>
        <w:pStyle w:val="78"/>
        <w:ind w:firstLine="640"/>
      </w:pPr>
    </w:p>
    <w:p w14:paraId="56A3DCC1">
      <w:pPr>
        <w:pStyle w:val="78"/>
        <w:ind w:firstLine="640"/>
      </w:pPr>
    </w:p>
    <w:p w14:paraId="4D4FCDAF">
      <w:pPr>
        <w:pStyle w:val="78"/>
        <w:ind w:firstLine="640"/>
      </w:pPr>
    </w:p>
    <w:p w14:paraId="27A1EB32">
      <w:pPr>
        <w:pStyle w:val="78"/>
        <w:ind w:firstLine="640"/>
      </w:pPr>
    </w:p>
    <w:p w14:paraId="2F4FEBA2">
      <w:pPr>
        <w:pStyle w:val="78"/>
        <w:ind w:firstLine="640"/>
      </w:pPr>
    </w:p>
    <w:p w14:paraId="65EE9AE4">
      <w:pPr>
        <w:pStyle w:val="78"/>
        <w:ind w:firstLine="640"/>
      </w:pPr>
    </w:p>
    <w:p w14:paraId="670EA9E5">
      <w:pPr>
        <w:pStyle w:val="78"/>
        <w:ind w:firstLine="640"/>
      </w:pPr>
    </w:p>
    <w:p w14:paraId="223EBE84">
      <w:pPr>
        <w:pStyle w:val="78"/>
        <w:ind w:firstLine="640"/>
      </w:pPr>
    </w:p>
    <w:p w14:paraId="6108C51C">
      <w:pPr>
        <w:pStyle w:val="78"/>
        <w:ind w:firstLine="640"/>
      </w:pPr>
    </w:p>
    <w:p w14:paraId="1666B3ED">
      <w:pPr>
        <w:pStyle w:val="78"/>
        <w:ind w:firstLine="640"/>
      </w:pPr>
    </w:p>
    <w:p w14:paraId="40C6F160">
      <w:pPr>
        <w:pStyle w:val="78"/>
        <w:ind w:firstLine="640"/>
      </w:pPr>
    </w:p>
    <w:p w14:paraId="00BECCC2">
      <w:pPr>
        <w:pStyle w:val="78"/>
        <w:ind w:firstLine="640"/>
      </w:pPr>
    </w:p>
    <w:p w14:paraId="613D089A">
      <w:pPr>
        <w:pStyle w:val="78"/>
        <w:ind w:firstLine="640"/>
      </w:pPr>
    </w:p>
    <w:p w14:paraId="54403072">
      <w:pPr>
        <w:pStyle w:val="78"/>
        <w:ind w:firstLine="640"/>
      </w:pPr>
    </w:p>
    <w:p w14:paraId="0E39292D">
      <w:pPr>
        <w:pStyle w:val="78"/>
        <w:ind w:firstLine="640"/>
      </w:pPr>
    </w:p>
    <w:p w14:paraId="1B7FB70F">
      <w:pPr>
        <w:pStyle w:val="78"/>
        <w:ind w:firstLine="640"/>
      </w:pPr>
    </w:p>
    <w:p w14:paraId="7DD8B2B6">
      <w:pPr>
        <w:pStyle w:val="78"/>
        <w:ind w:firstLine="640"/>
        <w:sectPr>
          <w:pgSz w:w="11906" w:h="16838"/>
          <w:pgMar w:top="1440" w:right="1800" w:bottom="1440" w:left="1800" w:header="1077" w:footer="992" w:gutter="0"/>
          <w:pgNumType w:fmt="numberInDash"/>
          <w:cols w:space="425" w:num="1"/>
          <w:docGrid w:type="lines" w:linePitch="312" w:charSpace="0"/>
        </w:sectPr>
      </w:pPr>
    </w:p>
    <w:bookmarkEnd w:id="191"/>
    <w:bookmarkEnd w:id="192"/>
    <w:bookmarkEnd w:id="193"/>
    <w:p w14:paraId="29DA233F">
      <w:pPr>
        <w:pStyle w:val="3"/>
        <w:spacing w:after="100" w:afterAutospacing="1" w:line="480" w:lineRule="auto"/>
        <w:ind w:firstLine="0" w:firstLineChars="0"/>
        <w:jc w:val="center"/>
      </w:pPr>
      <w:bookmarkStart w:id="209" w:name="_Toc227770796"/>
      <w:bookmarkStart w:id="210" w:name="_Toc218867764"/>
      <w:bookmarkStart w:id="211" w:name="OLE_LINK131"/>
      <w:bookmarkStart w:id="212" w:name="OLE_LINK132"/>
      <w:bookmarkStart w:id="213" w:name="OLE_LINK133"/>
      <w:bookmarkStart w:id="214" w:name="OLE_LINK92"/>
      <w:bookmarkStart w:id="215" w:name="OLE_LINK91"/>
      <w:r>
        <w:rPr>
          <w:rFonts w:hint="eastAsia"/>
        </w:rPr>
        <w:t>第八章  统筹发展与安全，构建全域生态安全体系</w:t>
      </w:r>
      <w:bookmarkEnd w:id="209"/>
      <w:bookmarkEnd w:id="210"/>
    </w:p>
    <w:bookmarkEnd w:id="194"/>
    <w:p w14:paraId="1DBAABD8">
      <w:pPr>
        <w:pStyle w:val="4"/>
        <w:spacing w:line="700" w:lineRule="exact"/>
        <w:ind w:firstLine="643"/>
        <w:jc w:val="center"/>
      </w:pPr>
      <w:bookmarkStart w:id="216" w:name="_Toc218867765"/>
      <w:bookmarkStart w:id="217" w:name="_Toc227770797"/>
      <w:bookmarkStart w:id="218" w:name="OLE_LINK61"/>
      <w:bookmarkStart w:id="219" w:name="OLE_LINK62"/>
      <w:r>
        <w:rPr>
          <w:rFonts w:hint="eastAsia"/>
        </w:rPr>
        <w:t>第一节 强化</w:t>
      </w:r>
      <w:r>
        <w:t>生态安全与核安全监管</w:t>
      </w:r>
      <w:bookmarkEnd w:id="216"/>
      <w:bookmarkEnd w:id="217"/>
    </w:p>
    <w:p w14:paraId="2AF8AE2A">
      <w:pPr>
        <w:pStyle w:val="78"/>
        <w:ind w:firstLine="643"/>
        <w:rPr>
          <w:rFonts w:ascii="仿宋_GB2312"/>
        </w:rPr>
      </w:pPr>
      <w:bookmarkStart w:id="220" w:name="OLE_LINK129"/>
      <w:bookmarkStart w:id="221" w:name="OLE_LINK130"/>
      <w:r>
        <w:rPr>
          <w:rFonts w:hint="eastAsia" w:ascii="仿宋_GB2312"/>
          <w:b/>
          <w:bCs/>
        </w:rPr>
        <w:t>健全生态安全协调机制</w:t>
      </w:r>
      <w:r>
        <w:rPr>
          <w:rFonts w:hint="eastAsia" w:ascii="仿宋_GB2312"/>
        </w:rPr>
        <w:t>。加强与经济安全、资源安全等相关领域的协同合作，推动生态安全风险研判、监测预警、应急响应和处置能力整体提升，构建全域联动、立体高效的生态安全防护体系。构建生态安全风险监测预警体系，依托“天空地”一体化监测网络，围绕南部天山、北部荒漠等重点生态功能区，动态更新生态安全风险清单，完善监测预警指标，提升对生态破坏、生物入侵等风险的早期识别和预警能力，实现生态安全风险从被动应对向主动防控转变。</w:t>
      </w:r>
    </w:p>
    <w:bookmarkEnd w:id="220"/>
    <w:bookmarkEnd w:id="221"/>
    <w:p w14:paraId="676A1DD9">
      <w:pPr>
        <w:pStyle w:val="78"/>
        <w:ind w:firstLine="643"/>
        <w:rPr>
          <w:rFonts w:ascii="仿宋_GB2312"/>
        </w:rPr>
      </w:pPr>
      <w:r>
        <w:rPr>
          <w:rFonts w:hint="eastAsia" w:ascii="仿宋_GB2312"/>
          <w:b/>
          <w:bCs/>
        </w:rPr>
        <w:t>加强核与辐射安全监管。</w:t>
      </w:r>
      <w:r>
        <w:rPr>
          <w:rFonts w:hint="eastAsia" w:ascii="仿宋_GB2312"/>
        </w:rPr>
        <w:t>持续加强核与辐射安全监管能力建设，优化监管体制机制，加强监管队伍专业化建设，提升技术人员业务水平和应急处置能力，配齐配强与监管任务相适应的设施设备，确保监管力量与监管任务相匹配。持续增强辐射监测能力，健全核与辐射应急响应机制，及时修订和完善辐射应急预案，常态化开展辐射事故综合应急演练，切实提升应急响应与处置水平。强化核技术利用单位辐射安全管理，全面开展辐射安全隐患排查，严格伴生放射性矿产资源开发利用的环境监管</w:t>
      </w:r>
      <w:r>
        <w:rPr>
          <w:rFonts w:hint="eastAsia" w:ascii="仿宋_GB2312"/>
          <w:lang w:eastAsia="zh-CN"/>
        </w:rPr>
        <w:t>，</w:t>
      </w:r>
      <w:r>
        <w:rPr>
          <w:rFonts w:hint="eastAsia" w:ascii="仿宋_GB2312"/>
        </w:rPr>
        <w:t>坚决防范放射源辐射事故发生。</w:t>
      </w:r>
    </w:p>
    <w:p w14:paraId="0AABAB99">
      <w:pPr>
        <w:pStyle w:val="78"/>
        <w:ind w:firstLine="643"/>
        <w:rPr>
          <w:rFonts w:ascii="仿宋_GB2312"/>
        </w:rPr>
      </w:pPr>
      <w:r>
        <w:rPr>
          <w:rFonts w:hint="eastAsia" w:ascii="仿宋_GB2312"/>
          <w:b/>
          <w:bCs/>
        </w:rPr>
        <w:t>加强生物安全管理。</w:t>
      </w:r>
      <w:r>
        <w:rPr>
          <w:rFonts w:hint="eastAsia" w:ascii="仿宋_GB2312"/>
        </w:rPr>
        <w:t>加强生物技术及其产品的环境风险检测、识别、评价与监测，实施全链条风险防控和系统治理，完善生物安全监管预警和防控体系。推进白蜡窄吉丁、草原蝗虫等有害生物防治，开展外来入侵物种普查、监测预警与影响评估，严格进境动植物检疫，强化外来物种入侵防控。坚持山水林田湖草沙一体化保护，将生物安全治理纳入全域生态系统协同管理框架。积极推广生物制剂、天敌防治等绿色防控手段，实施有害生物综合防治项目，严防疫情传播扩散。健全草原监测和草种管理制度体系，加强草原生物灾害监测预警，提升草原有害生物及外来入侵物种防治能力。完善种质资源保护与利用体系，强化生物遗传资源保护和管理。</w:t>
      </w:r>
    </w:p>
    <w:p w14:paraId="65C1C940">
      <w:pPr>
        <w:pStyle w:val="4"/>
        <w:spacing w:line="700" w:lineRule="exact"/>
        <w:ind w:firstLine="643"/>
        <w:jc w:val="center"/>
      </w:pPr>
      <w:bookmarkStart w:id="222" w:name="_Toc218867766"/>
      <w:bookmarkStart w:id="223" w:name="_Toc227770798"/>
      <w:r>
        <w:rPr>
          <w:rFonts w:hint="eastAsia"/>
        </w:rPr>
        <w:t>第二节 严密防控环境风险</w:t>
      </w:r>
      <w:bookmarkEnd w:id="222"/>
      <w:bookmarkEnd w:id="223"/>
    </w:p>
    <w:p w14:paraId="1E601747">
      <w:pPr>
        <w:pStyle w:val="78"/>
        <w:ind w:firstLine="643"/>
        <w:rPr>
          <w:rFonts w:ascii="仿宋_GB2312"/>
          <w:b/>
          <w:bCs/>
        </w:rPr>
      </w:pPr>
      <w:r>
        <w:rPr>
          <w:rFonts w:hint="eastAsia" w:ascii="仿宋_GB2312"/>
          <w:b/>
          <w:bCs/>
        </w:rPr>
        <w:t>强化应急风险能力建设。</w:t>
      </w:r>
      <w:r>
        <w:rPr>
          <w:rFonts w:hint="eastAsia" w:ascii="仿宋_GB2312"/>
        </w:rPr>
        <w:t>强化兵地一体、上下游、跨区域的应急联动合作，编制《自治州突发环境事件应急响应工作手册》。坚持源头防控、过程严管、末端治理的全链条闭环管理理念，强化环境风险源头防控、过程管控，常态化开展现场环境隐患排查整治，防范化解风险源企业、危险废物、尾矿库、重金属等重点领域环境风险。强化应急风险能力建设，建立昌吉州环境应急管理预报预警平台。组织开展化工园区“一园一策一图”工作，深化“一河一策一图”，建立健全上下游、跨区域的应急联动机制。优化应急物资储备，</w:t>
      </w:r>
      <w:r>
        <w:rPr>
          <w:rFonts w:hint="eastAsia" w:ascii="仿宋_GB2312"/>
          <w:lang w:eastAsia="zh-CN"/>
        </w:rPr>
        <w:t>因地制宜</w:t>
      </w:r>
      <w:r>
        <w:rPr>
          <w:rFonts w:hint="eastAsia" w:ascii="仿宋_GB2312"/>
        </w:rPr>
        <w:t>建立生态环境应急物资储备库分库。</w:t>
      </w:r>
    </w:p>
    <w:p w14:paraId="32D3A1AB">
      <w:pPr>
        <w:pStyle w:val="78"/>
        <w:ind w:firstLine="643"/>
        <w:rPr>
          <w:rFonts w:ascii="仿宋_GB2312"/>
        </w:rPr>
      </w:pPr>
      <w:r>
        <w:rPr>
          <w:rFonts w:hint="eastAsia" w:ascii="仿宋_GB2312"/>
          <w:b/>
          <w:bCs/>
        </w:rPr>
        <w:t>防范化解尾矿库安全风险。</w:t>
      </w:r>
      <w:r>
        <w:rPr>
          <w:rFonts w:hint="eastAsia" w:ascii="仿宋_GB2312"/>
        </w:rPr>
        <w:t>严格新建尾矿库项目立项、项目选址、环境影响评价、河道保护、安全生产等方面的审查。落实各方安全生产责任，着力提升尾矿库安全风险管控能力，有效防范化解尾矿库安全风险。更新完善环境应急预案，开展应急演练培训，防范尾矿库安全事故次生突发环境事件发生；严格依法查处尾矿库企业违规排放尾矿等违法行为。</w:t>
      </w:r>
    </w:p>
    <w:p w14:paraId="3F594181">
      <w:pPr>
        <w:pStyle w:val="78"/>
        <w:ind w:firstLine="643"/>
        <w:rPr>
          <w:rFonts w:ascii="仿宋_GB2312"/>
        </w:rPr>
      </w:pPr>
      <w:r>
        <w:rPr>
          <w:rFonts w:hint="eastAsia" w:ascii="仿宋_GB2312"/>
          <w:b/>
          <w:bCs/>
        </w:rPr>
        <w:t>排查整治环境风险隐患。</w:t>
      </w:r>
      <w:r>
        <w:rPr>
          <w:rFonts w:hint="eastAsia" w:ascii="仿宋_GB2312"/>
        </w:rPr>
        <w:t>加强危险废物产生单位自行利用处置危险废物环境风险隐患排查整治，提升自行利用处置设施环境管理水平。强化对危险废物环境风险隐患排查治理的指导帮扶，推动依法淘汰经改造仍不能稳定运行、达标排放的危险废物利用处置设施。开展危险废物填埋处置设施环境风险调查评估，强化环境风险排查治理。以“无废城市”建设为牵引，推动危险废物源头减量、资源化利用和无害化处置，构建“保护-减量-增值-再保护”的良性循环</w:t>
      </w:r>
      <w:r>
        <w:rPr>
          <w:rFonts w:hint="eastAsia"/>
          <w:lang w:eastAsia="zh-CN"/>
        </w:rPr>
        <w:t>，</w:t>
      </w:r>
      <w:r>
        <w:rPr>
          <w:rFonts w:hint="eastAsia" w:ascii="仿宋_GB2312"/>
        </w:rPr>
        <w:t>危险废物环境风险得到有效防控。</w:t>
      </w:r>
    </w:p>
    <w:p w14:paraId="6E008257">
      <w:pPr>
        <w:pStyle w:val="4"/>
        <w:spacing w:line="700" w:lineRule="exact"/>
        <w:ind w:firstLine="643"/>
        <w:jc w:val="center"/>
      </w:pPr>
      <w:bookmarkStart w:id="224" w:name="_Toc227770799"/>
      <w:bookmarkStart w:id="225" w:name="_Toc218867767"/>
      <w:bookmarkStart w:id="226" w:name="OLE_LINK157"/>
      <w:r>
        <w:rPr>
          <w:rFonts w:hint="eastAsia"/>
        </w:rPr>
        <w:t>第三节 提升适应气候变化能力</w:t>
      </w:r>
      <w:bookmarkEnd w:id="224"/>
      <w:bookmarkEnd w:id="225"/>
    </w:p>
    <w:bookmarkEnd w:id="226"/>
    <w:p w14:paraId="49A31626">
      <w:pPr>
        <w:pStyle w:val="78"/>
        <w:ind w:firstLine="640"/>
        <w:rPr>
          <w:rFonts w:ascii="仿宋_GB2312"/>
        </w:rPr>
      </w:pPr>
      <w:bookmarkStart w:id="227" w:name="OLE_LINK192"/>
      <w:r>
        <w:rPr>
          <w:rFonts w:hint="eastAsia" w:ascii="仿宋_GB2312"/>
        </w:rPr>
        <w:t>开展气候变化风险和脆弱性评估，重点针对东三县山旱区、荒漠绿洲过渡带等脆弱区域，提升农业、健康、基础设施等重点领域气候韧性，提高脆弱地区气候适应水平。加强气候变化监测预警，依托现有气象、生态环境监测网络，配合自治区完善气候系统观测网络，强化对全球气候变暖背景下我州冰川、草原、荒漠等生态脆弱区的影响观测与研究，提升干旱、寒潮、大风沙尘等气象灾害预报预警精准度，为防灾减灾和气候适应行动提供科学支撑。统筹减污降碳协同增效与气候适应能力建设，以碳达峰碳中和目标倒逼能源结构、产业结构、交通运输结构绿色转型，推动准东等重点区域从源</w:t>
      </w:r>
      <w:r>
        <w:rPr>
          <w:rFonts w:hint="eastAsia" w:ascii="仿宋_GB2312"/>
          <w:lang w:eastAsia="zh-CN"/>
        </w:rPr>
        <w:t>头上</w:t>
      </w:r>
      <w:r>
        <w:rPr>
          <w:rFonts w:hint="eastAsia" w:ascii="仿宋_GB2312"/>
        </w:rPr>
        <w:t>降低气候风险。建立健全气候防灾减灾体系，完善干旱、暴雪、山洪等极端天气气候事件应急预案，提升灾害防御和应急处置能力。到</w:t>
      </w:r>
      <w:r>
        <w:rPr>
          <w:rFonts w:ascii="仿宋_GB2312"/>
        </w:rPr>
        <w:t>2030年，适应气候变化相关重大风险防范和灾害防治能力显著提升，各领域和区域适应气候变化行动全面开展，自然生态系统和经济社会系统气候脆弱性明显降低，全社会适应气候变化理念广泛普及，适应气候变化技术体系和标准体系基本形成，气候适应型社会建设取得阶段性成效。探索城市适应气候变化管理模式，在昌吉市、阜康市率先推动海绵城市、韧性城市建设，提升城市应对气候风</w:t>
      </w:r>
      <w:r>
        <w:rPr>
          <w:rFonts w:hint="eastAsia" w:ascii="仿宋_GB2312"/>
        </w:rPr>
        <w:t>险能力。</w:t>
      </w:r>
    </w:p>
    <w:bookmarkEnd w:id="211"/>
    <w:bookmarkEnd w:id="212"/>
    <w:bookmarkEnd w:id="213"/>
    <w:bookmarkEnd w:id="227"/>
    <w:p w14:paraId="61870168">
      <w:pPr>
        <w:pStyle w:val="78"/>
        <w:ind w:firstLine="420"/>
      </w:pPr>
      <w:r>
        <w:rPr>
          <w:rFonts w:asciiTheme="minorHAnsi" w:hAnsiTheme="minorHAnsi" w:eastAsiaTheme="minorEastAsia" w:cstheme="minorBidi"/>
          <w:sz w:val="21"/>
          <w:szCs w:val="22"/>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83820</wp:posOffset>
                </wp:positionV>
                <wp:extent cx="5399405" cy="1403985"/>
                <wp:effectExtent l="0" t="0" r="10795" b="18415"/>
                <wp:wrapNone/>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99405" cy="1403985"/>
                        </a:xfrm>
                        <a:prstGeom prst="rect">
                          <a:avLst/>
                        </a:prstGeom>
                        <a:solidFill>
                          <a:srgbClr val="FFFFFF"/>
                        </a:solidFill>
                        <a:ln w="12700">
                          <a:solidFill>
                            <a:srgbClr val="000000"/>
                          </a:solidFill>
                          <a:miter lim="800000"/>
                        </a:ln>
                      </wps:spPr>
                      <wps:txbx>
                        <w:txbxContent>
                          <w:p w14:paraId="6B4EB193">
                            <w:pPr>
                              <w:adjustRightInd w:val="0"/>
                              <w:snapToGrid w:val="0"/>
                              <w:spacing w:line="360" w:lineRule="auto"/>
                              <w:jc w:val="center"/>
                              <w:rPr>
                                <w:rFonts w:ascii="仿宋_GB2312" w:eastAsia="仿宋_GB2312"/>
                                <w:b/>
                                <w:sz w:val="28"/>
                                <w:szCs w:val="28"/>
                              </w:rPr>
                            </w:pPr>
                            <w:r>
                              <w:rPr>
                                <w:rFonts w:hint="eastAsia" w:ascii="仿宋_GB2312" w:eastAsia="仿宋_GB2312"/>
                                <w:b/>
                                <w:sz w:val="28"/>
                                <w:szCs w:val="28"/>
                              </w:rPr>
                              <w:t>专栏9 全域生态安全体系构建重点工程</w:t>
                            </w:r>
                          </w:p>
                          <w:p w14:paraId="5483349C">
                            <w:pPr>
                              <w:pStyle w:val="2"/>
                              <w:ind w:left="0" w:right="0"/>
                              <w:jc w:val="left"/>
                              <w:rPr>
                                <w:rFonts w:ascii="仿宋_GB2312" w:eastAsia="仿宋_GB2312"/>
                              </w:rPr>
                            </w:pPr>
                            <w:r>
                              <w:rPr>
                                <w:rFonts w:hint="eastAsia" w:ascii="仿宋_GB2312" w:eastAsia="仿宋_GB2312"/>
                                <w:b/>
                              </w:rPr>
                              <w:t>1.生态安全与核安全监管工程。</w:t>
                            </w:r>
                            <w:r>
                              <w:rPr>
                                <w:rFonts w:ascii="仿宋_GB2312" w:eastAsia="仿宋_GB2312"/>
                              </w:rPr>
                              <w:t>实施白蜡窄吉丁、草原蝗虫等有害生物综合防治；开展外来入侵物种普查、监测预警与影响评估；修订《昌吉州辐射事故应急预案》</w:t>
                            </w:r>
                            <w:r>
                              <w:rPr>
                                <w:rFonts w:hint="eastAsia" w:ascii="仿宋_GB2312" w:eastAsia="仿宋_GB2312"/>
                              </w:rPr>
                              <w:t>；</w:t>
                            </w:r>
                            <w:r>
                              <w:rPr>
                                <w:rFonts w:ascii="仿宋_GB2312" w:eastAsia="仿宋_GB2312"/>
                              </w:rPr>
                              <w:t>实施核技术利用单位辐射安全隐患排查专项行动</w:t>
                            </w:r>
                            <w:r>
                              <w:rPr>
                                <w:rFonts w:hint="eastAsia" w:ascii="仿宋_GB2312" w:eastAsia="仿宋_GB2312"/>
                              </w:rPr>
                              <w:t>。</w:t>
                            </w:r>
                          </w:p>
                          <w:p w14:paraId="05FC9D19">
                            <w:pPr>
                              <w:pStyle w:val="2"/>
                              <w:ind w:left="0" w:right="0"/>
                              <w:jc w:val="left"/>
                              <w:rPr>
                                <w:rFonts w:ascii="仿宋_GB2312" w:eastAsia="仿宋_GB2312"/>
                              </w:rPr>
                            </w:pPr>
                            <w:r>
                              <w:rPr>
                                <w:rFonts w:hint="eastAsia" w:ascii="仿宋_GB2312" w:eastAsia="仿宋_GB2312"/>
                                <w:b/>
                              </w:rPr>
                              <w:t>2.环境风险防控能力提升工程。</w:t>
                            </w:r>
                            <w:r>
                              <w:rPr>
                                <w:rFonts w:hint="eastAsia" w:ascii="仿宋_GB2312" w:eastAsia="仿宋_GB2312"/>
                              </w:rPr>
                              <w:t>编制《自治州突发环境事件应急响应工作手册》；组织开展化工园区“一园一策一图”工作；深化重点流域“一河一策一图”成果应用；因地建立生态环境应急物资储备库分库；更新完善尾矿库环境应急预案；实施尾矿库安全隐患排查整治专项行动。完善危险废物“五即”规范化管理体系；依法淘汰经改造仍不能稳定运行、达标排放的危险废物利用处置设施。</w:t>
                            </w:r>
                          </w:p>
                          <w:p w14:paraId="5693410B">
                            <w:pPr>
                              <w:pStyle w:val="2"/>
                              <w:ind w:left="0" w:right="0"/>
                              <w:jc w:val="left"/>
                              <w:rPr>
                                <w:rFonts w:ascii="仿宋_GB2312" w:eastAsia="仿宋_GB2312"/>
                              </w:rPr>
                            </w:pPr>
                            <w:r>
                              <w:rPr>
                                <w:rFonts w:hint="eastAsia" w:ascii="仿宋_GB2312" w:eastAsia="仿宋_GB2312"/>
                                <w:b/>
                              </w:rPr>
                              <w:t>3.适应气候变化能力提升工程。</w:t>
                            </w:r>
                            <w:r>
                              <w:rPr>
                                <w:rFonts w:hint="eastAsia" w:ascii="仿宋_GB2312" w:eastAsia="仿宋_GB2312"/>
                              </w:rPr>
                              <w:t>开展重点领域（农业、健康）气候变化风险和脆弱性评估；探索城市适应气候变化管理模式；开展脆弱地区气候适应能力提升试点；推进自然生态系统和经济社会系统气候脆弱性降低行动。</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2pt;margin-top:6.6pt;height:110.55pt;width:425.15pt;z-index:251662336;mso-width-relative:page;mso-height-relative:margin;mso-height-percent:200;" fillcolor="#FFFFFF" filled="t" stroked="t" coordsize="21600,21600" o:gfxdata="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6kFk2AAAAAkBAAAPAAAAAAAAAAEAIAAAACIAAABkcnMv&#10;ZG93bnJldi54bWxQSwECFAAUAAAACACHTuJAmjUPWjwCAAB+BAAADgAAAAAAAAABACAAAAAnAQAA&#10;ZHJzL2Uyb0RvYy54bWxQSwUGAAAAAAYABgBZAQAA1QUAAAAA&#10;">
                <v:fill on="t" focussize="0,0"/>
                <v:stroke weight="1pt" color="#000000" miterlimit="8" joinstyle="miter"/>
                <v:imagedata o:title=""/>
                <o:lock v:ext="edit" aspectratio="f"/>
                <v:textbox style="mso-fit-shape-to-text:t;">
                  <w:txbxContent>
                    <w:p w14:paraId="6B4EB193">
                      <w:pPr>
                        <w:adjustRightInd w:val="0"/>
                        <w:snapToGrid w:val="0"/>
                        <w:spacing w:line="360" w:lineRule="auto"/>
                        <w:jc w:val="center"/>
                        <w:rPr>
                          <w:rFonts w:ascii="仿宋_GB2312" w:eastAsia="仿宋_GB2312"/>
                          <w:b/>
                          <w:sz w:val="28"/>
                          <w:szCs w:val="28"/>
                        </w:rPr>
                      </w:pPr>
                      <w:r>
                        <w:rPr>
                          <w:rFonts w:hint="eastAsia" w:ascii="仿宋_GB2312" w:eastAsia="仿宋_GB2312"/>
                          <w:b/>
                          <w:sz w:val="28"/>
                          <w:szCs w:val="28"/>
                        </w:rPr>
                        <w:t>专栏9 全域生态安全体系构建重点工程</w:t>
                      </w:r>
                    </w:p>
                    <w:p w14:paraId="5483349C">
                      <w:pPr>
                        <w:pStyle w:val="2"/>
                        <w:ind w:left="0" w:right="0"/>
                        <w:jc w:val="left"/>
                        <w:rPr>
                          <w:rFonts w:ascii="仿宋_GB2312" w:eastAsia="仿宋_GB2312"/>
                        </w:rPr>
                      </w:pPr>
                      <w:r>
                        <w:rPr>
                          <w:rFonts w:hint="eastAsia" w:ascii="仿宋_GB2312" w:eastAsia="仿宋_GB2312"/>
                          <w:b/>
                        </w:rPr>
                        <w:t>1.生态安全与核安全监管工程。</w:t>
                      </w:r>
                      <w:r>
                        <w:rPr>
                          <w:rFonts w:ascii="仿宋_GB2312" w:eastAsia="仿宋_GB2312"/>
                        </w:rPr>
                        <w:t>实施白蜡窄吉丁、草原蝗虫等有害生物综合防治；开展外来入侵物种普查、监测预警与影响评估；修订《昌吉州辐射事故应急预案》</w:t>
                      </w:r>
                      <w:r>
                        <w:rPr>
                          <w:rFonts w:hint="eastAsia" w:ascii="仿宋_GB2312" w:eastAsia="仿宋_GB2312"/>
                        </w:rPr>
                        <w:t>；</w:t>
                      </w:r>
                      <w:r>
                        <w:rPr>
                          <w:rFonts w:ascii="仿宋_GB2312" w:eastAsia="仿宋_GB2312"/>
                        </w:rPr>
                        <w:t>实施核技术利用单位辐射安全隐患排查专项行动</w:t>
                      </w:r>
                      <w:r>
                        <w:rPr>
                          <w:rFonts w:hint="eastAsia" w:ascii="仿宋_GB2312" w:eastAsia="仿宋_GB2312"/>
                        </w:rPr>
                        <w:t>。</w:t>
                      </w:r>
                    </w:p>
                    <w:p w14:paraId="05FC9D19">
                      <w:pPr>
                        <w:pStyle w:val="2"/>
                        <w:ind w:left="0" w:right="0"/>
                        <w:jc w:val="left"/>
                        <w:rPr>
                          <w:rFonts w:ascii="仿宋_GB2312" w:eastAsia="仿宋_GB2312"/>
                        </w:rPr>
                      </w:pPr>
                      <w:r>
                        <w:rPr>
                          <w:rFonts w:hint="eastAsia" w:ascii="仿宋_GB2312" w:eastAsia="仿宋_GB2312"/>
                          <w:b/>
                        </w:rPr>
                        <w:t>2.环境风险防控能力提升工程。</w:t>
                      </w:r>
                      <w:r>
                        <w:rPr>
                          <w:rFonts w:hint="eastAsia" w:ascii="仿宋_GB2312" w:eastAsia="仿宋_GB2312"/>
                        </w:rPr>
                        <w:t>编制《自治州突发环境事件应急响应工作手册》；组织开展化工园区“一园一策一图”工作；深化重点流域“一河一策一图”成果应用；因地建立生态环境应急物资储备库分库；更新完善尾矿库环境应急预案；实施尾矿库安全隐患排查整治专项行动。完善危险废物“五即”规范化管理体系；依法淘汰经改造仍不能稳定运行、达标排放的危险废物利用处置设施。</w:t>
                      </w:r>
                    </w:p>
                    <w:p w14:paraId="5693410B">
                      <w:pPr>
                        <w:pStyle w:val="2"/>
                        <w:ind w:left="0" w:right="0"/>
                        <w:jc w:val="left"/>
                        <w:rPr>
                          <w:rFonts w:ascii="仿宋_GB2312" w:eastAsia="仿宋_GB2312"/>
                        </w:rPr>
                      </w:pPr>
                      <w:r>
                        <w:rPr>
                          <w:rFonts w:hint="eastAsia" w:ascii="仿宋_GB2312" w:eastAsia="仿宋_GB2312"/>
                          <w:b/>
                        </w:rPr>
                        <w:t>3.适应气候变化能力提升工程。</w:t>
                      </w:r>
                      <w:r>
                        <w:rPr>
                          <w:rFonts w:hint="eastAsia" w:ascii="仿宋_GB2312" w:eastAsia="仿宋_GB2312"/>
                        </w:rPr>
                        <w:t>开展重点领域（农业、健康）气候变化风险和脆弱性评估；探索城市适应气候变化管理模式；开展脆弱地区气候适应能力提升试点；推进自然生态系统和经济社会系统气候脆弱性降低行动。</w:t>
                      </w:r>
                    </w:p>
                  </w:txbxContent>
                </v:textbox>
              </v:shape>
            </w:pict>
          </mc:Fallback>
        </mc:AlternateContent>
      </w:r>
    </w:p>
    <w:p w14:paraId="3D5CD8A2">
      <w:pPr>
        <w:pStyle w:val="78"/>
        <w:ind w:firstLine="640"/>
      </w:pPr>
    </w:p>
    <w:p w14:paraId="4D4D70FA">
      <w:pPr>
        <w:pStyle w:val="78"/>
        <w:ind w:firstLine="640"/>
      </w:pPr>
    </w:p>
    <w:bookmarkEnd w:id="214"/>
    <w:bookmarkEnd w:id="215"/>
    <w:p w14:paraId="49D236C1">
      <w:pPr>
        <w:pStyle w:val="78"/>
        <w:ind w:firstLine="640"/>
      </w:pPr>
    </w:p>
    <w:p w14:paraId="67D99526">
      <w:pPr>
        <w:pStyle w:val="78"/>
        <w:ind w:firstLine="640"/>
      </w:pPr>
    </w:p>
    <w:p w14:paraId="63FCEDEC">
      <w:pPr>
        <w:pStyle w:val="78"/>
        <w:ind w:firstLine="640"/>
      </w:pPr>
    </w:p>
    <w:p w14:paraId="20252F43">
      <w:pPr>
        <w:pStyle w:val="78"/>
        <w:ind w:firstLine="640"/>
      </w:pPr>
    </w:p>
    <w:bookmarkEnd w:id="218"/>
    <w:bookmarkEnd w:id="219"/>
    <w:p w14:paraId="7D2BB08D">
      <w:pPr>
        <w:pStyle w:val="78"/>
        <w:ind w:firstLine="640"/>
      </w:pPr>
      <w:bookmarkStart w:id="228" w:name="OLE_LINK93"/>
      <w:bookmarkStart w:id="229" w:name="OLE_LINK44"/>
      <w:bookmarkStart w:id="230" w:name="OLE_LINK43"/>
    </w:p>
    <w:p w14:paraId="50CA411B">
      <w:pPr>
        <w:pStyle w:val="78"/>
        <w:ind w:firstLine="640"/>
      </w:pPr>
    </w:p>
    <w:p w14:paraId="4A73B027">
      <w:pPr>
        <w:pStyle w:val="78"/>
        <w:ind w:firstLine="640"/>
      </w:pPr>
    </w:p>
    <w:p w14:paraId="0E3CBFD0">
      <w:pPr>
        <w:pStyle w:val="78"/>
        <w:ind w:firstLine="640"/>
      </w:pPr>
    </w:p>
    <w:p w14:paraId="1F6C535B">
      <w:pPr>
        <w:pStyle w:val="78"/>
        <w:ind w:firstLine="640"/>
      </w:pPr>
    </w:p>
    <w:p w14:paraId="39889644">
      <w:pPr>
        <w:pStyle w:val="78"/>
        <w:ind w:firstLine="640"/>
      </w:pPr>
    </w:p>
    <w:p w14:paraId="7D2D9704">
      <w:pPr>
        <w:pStyle w:val="78"/>
        <w:ind w:firstLine="640"/>
      </w:pPr>
    </w:p>
    <w:p w14:paraId="3DBF5A99">
      <w:pPr>
        <w:pStyle w:val="78"/>
        <w:ind w:firstLine="640"/>
      </w:pPr>
    </w:p>
    <w:p w14:paraId="60547914">
      <w:pPr>
        <w:pStyle w:val="78"/>
        <w:ind w:firstLine="640"/>
        <w:sectPr>
          <w:pgSz w:w="11906" w:h="16838"/>
          <w:pgMar w:top="1440" w:right="1800" w:bottom="1440" w:left="1800" w:header="1077" w:footer="992" w:gutter="0"/>
          <w:pgNumType w:fmt="numberInDash"/>
          <w:cols w:space="425" w:num="1"/>
          <w:docGrid w:type="lines" w:linePitch="312" w:charSpace="0"/>
        </w:sectPr>
      </w:pPr>
    </w:p>
    <w:bookmarkEnd w:id="228"/>
    <w:p w14:paraId="441CCB7C">
      <w:pPr>
        <w:pStyle w:val="3"/>
        <w:spacing w:after="100" w:afterAutospacing="1" w:line="480" w:lineRule="auto"/>
        <w:ind w:firstLine="0" w:firstLineChars="0"/>
        <w:jc w:val="center"/>
      </w:pPr>
      <w:bookmarkStart w:id="231" w:name="_Toc227770800"/>
      <w:bookmarkStart w:id="232" w:name="_Toc218867772"/>
      <w:bookmarkStart w:id="233" w:name="OLE_LINK73"/>
      <w:bookmarkStart w:id="234" w:name="OLE_LINK72"/>
      <w:bookmarkStart w:id="235" w:name="OLE_LINK134"/>
      <w:bookmarkStart w:id="236" w:name="OLE_LINK135"/>
      <w:bookmarkStart w:id="237" w:name="OLE_LINK95"/>
      <w:bookmarkStart w:id="238" w:name="OLE_LINK94"/>
      <w:r>
        <w:rPr>
          <w:rFonts w:hint="eastAsia"/>
        </w:rPr>
        <w:t>第九章  健全现代环境治理体系，提升治理能力现代化水平</w:t>
      </w:r>
      <w:bookmarkEnd w:id="231"/>
      <w:bookmarkEnd w:id="232"/>
    </w:p>
    <w:bookmarkEnd w:id="229"/>
    <w:bookmarkEnd w:id="230"/>
    <w:p w14:paraId="6B6D0EA3">
      <w:pPr>
        <w:pStyle w:val="4"/>
        <w:spacing w:line="700" w:lineRule="exact"/>
        <w:ind w:firstLine="643"/>
        <w:jc w:val="center"/>
      </w:pPr>
      <w:bookmarkStart w:id="239" w:name="_Toc227770801"/>
      <w:bookmarkStart w:id="240" w:name="_Toc218867773"/>
      <w:bookmarkStart w:id="241" w:name="OLE_LINK194"/>
      <w:bookmarkStart w:id="242" w:name="OLE_LINK193"/>
      <w:bookmarkStart w:id="243" w:name="OLE_LINK57"/>
      <w:bookmarkStart w:id="244" w:name="OLE_LINK55"/>
      <w:bookmarkStart w:id="245" w:name="OLE_LINK47"/>
      <w:r>
        <w:rPr>
          <w:rFonts w:hint="eastAsia"/>
        </w:rPr>
        <w:t xml:space="preserve">第一节 </w:t>
      </w:r>
      <w:r>
        <w:t>完善体制机制</w:t>
      </w:r>
      <w:bookmarkEnd w:id="239"/>
      <w:bookmarkEnd w:id="240"/>
    </w:p>
    <w:p w14:paraId="12945946">
      <w:pPr>
        <w:pStyle w:val="78"/>
        <w:ind w:firstLine="640"/>
      </w:pPr>
      <w:bookmarkStart w:id="246" w:name="OLE_LINK98"/>
      <w:bookmarkStart w:id="247" w:name="OLE_LINK104"/>
      <w:bookmarkStart w:id="248" w:name="OLE_LINK105"/>
      <w:r>
        <w:rPr>
          <w:rFonts w:hint="eastAsia"/>
        </w:rPr>
        <w:t>围绕构建现代环境治理体系要求，系统推进生态文明体制机制改革创新。健全生态环境损害赔偿与责任追究制度，加强生态环境部门与市场监管、自然资源、林草、公安、司法等部门的执法协同与信息共享，深化州、县（园区）两级生态环境执法队伍的纵向联动。强化行政执法与刑事司法、检察公益诉讼的衔接，接受司法、纪委监委等部门的监督，构建全域闭环的执法协作网络。落实“乌</w:t>
      </w:r>
      <w:r>
        <w:t>-昌-石”区域大气污染联防联控，重点推进</w:t>
      </w:r>
      <w:r>
        <w:rPr>
          <w:rFonts w:hint="eastAsia" w:ascii="仿宋_GB2312"/>
        </w:rPr>
        <w:t>“五家渠-米东区-甘泉堡-阜康”</w:t>
      </w:r>
      <w:r>
        <w:t>协同治理，建立污染物排放数据共享、预测预警联动、应急响应协同机制</w:t>
      </w:r>
      <w:r>
        <w:rPr>
          <w:rFonts w:hint="eastAsia"/>
        </w:rPr>
        <w:t>。</w:t>
      </w:r>
    </w:p>
    <w:p w14:paraId="3CFA1392">
      <w:pPr>
        <w:pStyle w:val="78"/>
        <w:ind w:firstLine="640"/>
      </w:pPr>
      <w:r>
        <w:t>牢固树立兵地</w:t>
      </w:r>
      <w:r>
        <w:rPr>
          <w:rFonts w:hint="eastAsia" w:ascii="仿宋_GB2312"/>
        </w:rPr>
        <w:t>“一盘棋”</w:t>
      </w:r>
      <w:r>
        <w:t>思想，推动与兵团第六师五家渠市、第八师石河子市签署联防联控协议，统一应急减排标准，实施联合执法与交叉检查</w:t>
      </w:r>
      <w:r>
        <w:rPr>
          <w:rFonts w:hint="eastAsia"/>
        </w:rPr>
        <w:t>。</w:t>
      </w:r>
      <w:r>
        <w:t>深</w:t>
      </w:r>
      <w:r>
        <w:rPr>
          <w:rFonts w:hint="eastAsia"/>
        </w:rPr>
        <w:t>化兵地在生态环境规划、监测、执法、应急及污染治理、生态修复等方面深度协作，建立兵地一体化的突发环境事件应急响应体系，联合开展应急演练，统筹应急物资储备与救援力量布局，构建设施共建、资源共享、责任共担、成果共享的兵地融合发展新格局。</w:t>
      </w:r>
    </w:p>
    <w:p w14:paraId="111BC04D">
      <w:pPr>
        <w:pStyle w:val="78"/>
        <w:ind w:firstLine="640"/>
      </w:pPr>
      <w:r>
        <w:rPr>
          <w:rFonts w:hint="eastAsia"/>
        </w:rPr>
        <w:t>坚持山水林田湖草沙一体化保护和系统治理，推动减污降碳协同增效、多污染物协同控制、环境治理与生态修复协同推进，构建“源头防控-过程管控-末端治理-生态修复”的全链条闭环。</w:t>
      </w:r>
      <w:r>
        <w:t>完善环境信用评价与联合奖惩机制，提升生态环境监测网络覆盖与智慧化水平。结合昌吉州自然地理特征与实际治理需求，探索具有本地特色的生态保护制度，推动形成从雪山冰川到荒漠绿洲的全域生态系统保护治理格局，实现高水平保护与高</w:t>
      </w:r>
      <w:r>
        <w:rPr>
          <w:rFonts w:hint="eastAsia"/>
        </w:rPr>
        <w:t>质量发展良性互动。</w:t>
      </w:r>
      <w:bookmarkEnd w:id="241"/>
      <w:bookmarkEnd w:id="242"/>
      <w:bookmarkEnd w:id="246"/>
    </w:p>
    <w:bookmarkEnd w:id="233"/>
    <w:bookmarkEnd w:id="234"/>
    <w:bookmarkEnd w:id="243"/>
    <w:bookmarkEnd w:id="244"/>
    <w:bookmarkEnd w:id="247"/>
    <w:bookmarkEnd w:id="248"/>
    <w:p w14:paraId="23A8A5F3">
      <w:pPr>
        <w:pStyle w:val="4"/>
        <w:spacing w:line="700" w:lineRule="exact"/>
        <w:ind w:firstLine="643"/>
        <w:jc w:val="center"/>
      </w:pPr>
      <w:bookmarkStart w:id="249" w:name="_Toc218867774"/>
      <w:bookmarkStart w:id="250" w:name="_Toc227770802"/>
      <w:bookmarkStart w:id="251" w:name="OLE_LINK196"/>
      <w:bookmarkStart w:id="252" w:name="OLE_LINK195"/>
      <w:r>
        <w:rPr>
          <w:rFonts w:hint="eastAsia"/>
        </w:rPr>
        <w:t>第二节 健全固定污染源监管制度</w:t>
      </w:r>
      <w:bookmarkEnd w:id="249"/>
      <w:bookmarkEnd w:id="250"/>
    </w:p>
    <w:p w14:paraId="40B5ED4F">
      <w:pPr>
        <w:pStyle w:val="78"/>
        <w:ind w:firstLine="640"/>
      </w:pPr>
      <w:bookmarkStart w:id="253" w:name="OLE_LINK83"/>
      <w:r>
        <w:rPr>
          <w:rFonts w:hint="eastAsia"/>
        </w:rPr>
        <w:t>坚持把排污许可制作为固定污染源环境管理的核心制度，全面深化环评、总量控制、排污权交易及环境统计等多制度与排污许可的深度融合，实现重点行业企业“一证式”监管全覆盖。依托大数据和物联网技术，构建全州统一的固定污染源排污许可管理信息平台，推动排污单位从准入到退出的全生命周期数字化、智能化管理。同时，强化证后监管与执法，建立基于排污许可证的日常管理、守法核查与执法检查清单，严厉查处无证排污、不按证排污等违法行为，并通过分级分类监管和“帮扶式”执法，压实企业污染治理主体责任，将绿色低碳技术、节能环保产业作为新的增长极，为深入打好污染防治攻坚战、持续改善区域环境质量提供坚实制度保障。</w:t>
      </w:r>
    </w:p>
    <w:bookmarkEnd w:id="251"/>
    <w:bookmarkEnd w:id="252"/>
    <w:bookmarkEnd w:id="253"/>
    <w:p w14:paraId="58BA7F57">
      <w:pPr>
        <w:pStyle w:val="4"/>
        <w:spacing w:line="700" w:lineRule="exact"/>
        <w:ind w:firstLine="643"/>
        <w:jc w:val="center"/>
      </w:pPr>
      <w:bookmarkStart w:id="254" w:name="_Toc227770803"/>
      <w:bookmarkStart w:id="255" w:name="_Toc218867775"/>
      <w:bookmarkStart w:id="256" w:name="OLE_LINK198"/>
      <w:bookmarkStart w:id="257" w:name="OLE_LINK197"/>
      <w:r>
        <w:rPr>
          <w:rFonts w:hint="eastAsia"/>
        </w:rPr>
        <w:t xml:space="preserve">第三节 </w:t>
      </w:r>
      <w:bookmarkStart w:id="258" w:name="OLE_LINK74"/>
      <w:r>
        <w:t>强化监测与执法能力</w:t>
      </w:r>
      <w:bookmarkEnd w:id="254"/>
      <w:bookmarkEnd w:id="255"/>
      <w:bookmarkEnd w:id="258"/>
    </w:p>
    <w:p w14:paraId="30235452">
      <w:pPr>
        <w:pStyle w:val="78"/>
        <w:ind w:firstLine="640"/>
      </w:pPr>
      <w:bookmarkStart w:id="259" w:name="OLE_LINK151"/>
      <w:bookmarkStart w:id="260" w:name="OLE_LINK152"/>
      <w:bookmarkStart w:id="261" w:name="OLE_LINK99"/>
      <w:r>
        <w:rPr>
          <w:rFonts w:hint="eastAsia"/>
        </w:rPr>
        <w:t>为全面提升生态环境治理现代化水平，昌吉州将系统强化监测预警与监管执法两大核心能力。在监测方面，致力于构建覆盖更全面、感知更智能的“天地空一体化”生态环境智慧监测体系。有序推动昌吉市新增一个国家城市环境空气质量监测点位，</w:t>
      </w:r>
      <w:r>
        <w:rPr>
          <w:rFonts w:hint="eastAsia"/>
          <w:lang w:eastAsia="zh-CN"/>
        </w:rPr>
        <w:t>开展阜康市</w:t>
      </w:r>
      <w:r>
        <w:rPr>
          <w:rFonts w:hint="eastAsia"/>
        </w:rPr>
        <w:t>和呼图壁县优化调整自治区城市环境空气质量监测点位工作。通过科学加密与优化大气、水、土壤、噪声等要素的监测站点布局，并融合卫星遥感、无人机、地面自动站与移动监测平台，形成多维数据网络。同步建设全州统一的“生态环境智慧监管平台”，强化大数据分析和污染溯源能力，实现从现状监控向精准预警、智能决策的跨越。将生态安全风险研判、监测预警纳入一体化监测体系，围绕南部天山、北部荒漠等重点生态功能区动态更新风险清单，实现生态安全风险从被动应对向主动防控转变。</w:t>
      </w:r>
    </w:p>
    <w:bookmarkEnd w:id="259"/>
    <w:bookmarkEnd w:id="260"/>
    <w:p w14:paraId="3AFE341E">
      <w:pPr>
        <w:pStyle w:val="78"/>
        <w:ind w:firstLine="640"/>
      </w:pPr>
      <w:bookmarkStart w:id="262" w:name="OLE_LINK149"/>
      <w:bookmarkStart w:id="263" w:name="OLE_LINK150"/>
      <w:r>
        <w:rPr>
          <w:rFonts w:hint="eastAsia"/>
        </w:rPr>
        <w:t>在执法方面，全面落实</w:t>
      </w:r>
      <w:bookmarkStart w:id="264" w:name="OLE_LINK165"/>
      <w:r>
        <w:rPr>
          <w:rFonts w:hint="eastAsia"/>
        </w:rPr>
        <w:t>《中华人民共和国生态环境法典》要求，依法赋予县级派出机构独立执法主体资格，明确其可以自己的名义实施现场检查、查封扣押、行政处罚等职权，推动执法重心下移，破解“看得见、管不着”的基层困局。</w:t>
      </w:r>
      <w:bookmarkEnd w:id="264"/>
      <w:r>
        <w:rPr>
          <w:rFonts w:hint="eastAsia"/>
        </w:rPr>
        <w:t>同时，强化县级以上人民政府对跨部门、跨区域执法的统筹协调责任，全面推进能力标准化、流程规范化建设。核心举措包括在重点区域打造集模拟实训、装备操作、智慧平台演练于一体的生态环境保护综合执法实战实训基地。全面推行以自动监控、物联网为核心的“非现场”监管和以减少干扰为目标的“扫码入企”、“综合查一次”等执法模式。通过配强装备、常态化练兵和完善跨部门协同机制，打造一支反应迅速、业务精通、执法规范的专业队伍，强化兵地一体、跨区域联动执法，实现严格执法与精准服务的统一，为深入打好污染防治攻坚战、持续改善生态环境质量提供坚实保障。</w:t>
      </w:r>
    </w:p>
    <w:bookmarkEnd w:id="256"/>
    <w:bookmarkEnd w:id="257"/>
    <w:bookmarkEnd w:id="261"/>
    <w:bookmarkEnd w:id="262"/>
    <w:bookmarkEnd w:id="263"/>
    <w:p w14:paraId="64031BD4">
      <w:pPr>
        <w:pStyle w:val="4"/>
        <w:spacing w:line="700" w:lineRule="exact"/>
        <w:ind w:firstLine="643"/>
        <w:jc w:val="center"/>
      </w:pPr>
      <w:bookmarkStart w:id="265" w:name="_Toc218867777"/>
      <w:bookmarkStart w:id="266" w:name="_Toc227770804"/>
      <w:bookmarkStart w:id="267" w:name="OLE_LINK199"/>
      <w:r>
        <w:rPr>
          <w:rFonts w:hint="eastAsia"/>
        </w:rPr>
        <w:t>第四</w:t>
      </w:r>
      <w:r>
        <w:t>节</w:t>
      </w:r>
      <w:r>
        <w:rPr>
          <w:rFonts w:hint="eastAsia"/>
        </w:rPr>
        <w:t xml:space="preserve"> </w:t>
      </w:r>
      <w:bookmarkEnd w:id="265"/>
      <w:r>
        <w:rPr>
          <w:rFonts w:hint="eastAsia"/>
        </w:rPr>
        <w:t>健全生态产品价值实现机制</w:t>
      </w:r>
      <w:bookmarkEnd w:id="266"/>
    </w:p>
    <w:p w14:paraId="6886152E">
      <w:pPr>
        <w:pStyle w:val="78"/>
        <w:ind w:firstLine="640"/>
        <w:rPr>
          <w:rFonts w:ascii="仿宋_GB2312"/>
        </w:rPr>
      </w:pPr>
      <w:bookmarkStart w:id="268" w:name="OLE_LINK102"/>
      <w:bookmarkStart w:id="269" w:name="OLE_LINK103"/>
      <w:r>
        <w:rPr>
          <w:rFonts w:hint="eastAsia" w:ascii="仿宋_GB2312"/>
        </w:rPr>
        <w:t>着力打通“绿水青山”向“金山银山”的转化通道，构建“保护-增值-收益-再保护”的良性循环，从根本上解决生态保护内生动力不足问题。将生态产品价值实现机制作为</w:t>
      </w:r>
      <w:r>
        <w:rPr>
          <w:rFonts w:hint="eastAsia" w:ascii="仿宋_GB2312"/>
          <w:lang w:eastAsia="zh-CN"/>
        </w:rPr>
        <w:t>生态文明体制改革</w:t>
      </w:r>
      <w:r>
        <w:rPr>
          <w:rFonts w:hint="eastAsia" w:ascii="仿宋_GB2312"/>
        </w:rPr>
        <w:t>的突破口，将昌吉州的生态优势转化为发展优势。建立科学的价值核算体系，对天山北麓特色林果（如香妃海棠、阜康蟠桃）、绿色食品</w:t>
      </w:r>
      <w:r>
        <w:rPr>
          <w:rFonts w:ascii="仿宋_GB2312"/>
        </w:rPr>
        <w:t>(如木垒鹰嘴豆、玛纳斯萨福克羊肉)</w:t>
      </w:r>
      <w:r>
        <w:rPr>
          <w:rFonts w:hint="eastAsia" w:ascii="仿宋_GB2312"/>
        </w:rPr>
        <w:t>以及荒漠生态修复产品（如奇台沙漠榛子）等典型品类，开展生态产品价值核算研究，量化其生态调节、气候贡献等多元价值。在此基础上，探索生态产业化路径，通过培育“昌吉生态”区域公共品牌、发展精深加工与生态文旅等多元化模式，推动生态资源市场化运营。让生态保护成果持续赋能经济发展，构建互利共赢新格局。</w:t>
      </w:r>
    </w:p>
    <w:bookmarkEnd w:id="235"/>
    <w:bookmarkEnd w:id="236"/>
    <w:bookmarkEnd w:id="237"/>
    <w:bookmarkEnd w:id="238"/>
    <w:bookmarkEnd w:id="267"/>
    <w:bookmarkEnd w:id="268"/>
    <w:bookmarkEnd w:id="269"/>
    <w:p w14:paraId="489B1004">
      <w:pPr>
        <w:pStyle w:val="78"/>
        <w:ind w:firstLine="640"/>
      </w:pPr>
      <w: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121920</wp:posOffset>
                </wp:positionV>
                <wp:extent cx="5399405" cy="1403985"/>
                <wp:effectExtent l="0" t="0" r="10795" b="26035"/>
                <wp:wrapNone/>
                <wp:docPr id="1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99405" cy="1403985"/>
                        </a:xfrm>
                        <a:prstGeom prst="rect">
                          <a:avLst/>
                        </a:prstGeom>
                        <a:solidFill>
                          <a:srgbClr val="FFFFFF"/>
                        </a:solidFill>
                        <a:ln w="12700">
                          <a:solidFill>
                            <a:srgbClr val="000000"/>
                          </a:solidFill>
                          <a:miter lim="800000"/>
                        </a:ln>
                      </wps:spPr>
                      <wps:txbx>
                        <w:txbxContent>
                          <w:p w14:paraId="5ACFCC1A">
                            <w:pPr>
                              <w:adjustRightInd w:val="0"/>
                              <w:snapToGrid w:val="0"/>
                              <w:spacing w:line="360" w:lineRule="auto"/>
                              <w:jc w:val="center"/>
                              <w:rPr>
                                <w:rFonts w:ascii="仿宋_GB2312" w:eastAsia="仿宋_GB2312"/>
                                <w:b/>
                                <w:sz w:val="28"/>
                                <w:szCs w:val="28"/>
                              </w:rPr>
                            </w:pPr>
                            <w:r>
                              <w:rPr>
                                <w:rFonts w:hint="eastAsia" w:ascii="仿宋_GB2312" w:eastAsia="仿宋_GB2312"/>
                                <w:b/>
                                <w:sz w:val="28"/>
                                <w:szCs w:val="28"/>
                              </w:rPr>
                              <w:t>专栏10</w:t>
                            </w:r>
                            <w:r>
                              <w:rPr>
                                <w:rFonts w:ascii="仿宋_GB2312" w:eastAsia="仿宋_GB2312"/>
                                <w:b/>
                                <w:sz w:val="28"/>
                                <w:szCs w:val="28"/>
                              </w:rPr>
                              <w:t xml:space="preserve"> 现代环境治理体系建设工程</w:t>
                            </w:r>
                          </w:p>
                          <w:p w14:paraId="31CA3E01">
                            <w:pPr>
                              <w:pStyle w:val="2"/>
                              <w:jc w:val="left"/>
                              <w:rPr>
                                <w:rFonts w:ascii="仿宋_GB2312" w:eastAsia="仿宋_GB2312"/>
                              </w:rPr>
                            </w:pPr>
                            <w:r>
                              <w:rPr>
                                <w:rFonts w:ascii="仿宋_GB2312" w:eastAsia="仿宋_GB2312"/>
                              </w:rPr>
                              <w:t>1.</w:t>
                            </w:r>
                            <w:r>
                              <w:rPr>
                                <w:rFonts w:ascii="仿宋_GB2312" w:eastAsia="仿宋_GB2312"/>
                                <w:b/>
                              </w:rPr>
                              <w:t>“天地空一体化”智慧监测</w:t>
                            </w:r>
                            <w:r>
                              <w:rPr>
                                <w:rFonts w:hint="eastAsia" w:ascii="仿宋_GB2312" w:eastAsia="仿宋_GB2312"/>
                                <w:b/>
                              </w:rPr>
                              <w:t>监管</w:t>
                            </w:r>
                            <w:r>
                              <w:rPr>
                                <w:rFonts w:ascii="仿宋_GB2312" w:eastAsia="仿宋_GB2312"/>
                                <w:b/>
                              </w:rPr>
                              <w:t>体系建设</w:t>
                            </w:r>
                            <w:r>
                              <w:rPr>
                                <w:rFonts w:hint="eastAsia" w:ascii="仿宋_GB2312" w:eastAsia="仿宋_GB2312"/>
                                <w:b/>
                              </w:rPr>
                              <w:t>工程。</w:t>
                            </w:r>
                            <w:r>
                              <w:rPr>
                                <w:rFonts w:hint="eastAsia" w:ascii="仿宋_GB2312" w:eastAsia="仿宋_GB2312"/>
                              </w:rPr>
                              <w:t>升级环境监测实验室及黑烟车智能监控网络；构建覆盖大中小企业的产治排智能监管系统；配备红外热成像、无人机等现代化执法装备；打造融合多源数据的综合监管信息化平台及</w:t>
                            </w:r>
                            <w:r>
                              <w:rPr>
                                <w:rFonts w:ascii="仿宋_GB2312" w:eastAsia="仿宋_GB2312"/>
                              </w:rPr>
                              <w:t>AI大模型；并在重点工业园区</w:t>
                            </w:r>
                            <w:r>
                              <w:rPr>
                                <w:rFonts w:hint="eastAsia" w:ascii="仿宋_GB2312" w:eastAsia="仿宋_GB2312"/>
                              </w:rPr>
                              <w:t>和产业集群</w:t>
                            </w:r>
                            <w:r>
                              <w:rPr>
                                <w:rFonts w:ascii="仿宋_GB2312" w:eastAsia="仿宋_GB2312"/>
                              </w:rPr>
                              <w:t>增设VOCs等特征污染物监测站点，全面提升智慧监测、精准执法与协同监管能力。</w:t>
                            </w:r>
                          </w:p>
                          <w:p w14:paraId="4E329AD9">
                            <w:pPr>
                              <w:pStyle w:val="2"/>
                              <w:jc w:val="left"/>
                              <w:rPr>
                                <w:rFonts w:ascii="仿宋_GB2312" w:eastAsia="仿宋_GB2312"/>
                              </w:rPr>
                            </w:pPr>
                            <w:r>
                              <w:rPr>
                                <w:rFonts w:ascii="仿宋_GB2312" w:eastAsia="仿宋_GB2312"/>
                                <w:b/>
                              </w:rPr>
                              <w:t>2.生态环境保护综合执法实战实训基地建设</w:t>
                            </w:r>
                            <w:r>
                              <w:rPr>
                                <w:rFonts w:hint="eastAsia" w:ascii="仿宋_GB2312" w:eastAsia="仿宋_GB2312"/>
                                <w:b/>
                              </w:rPr>
                              <w:t>工程</w:t>
                            </w:r>
                            <w:r>
                              <w:rPr>
                                <w:rFonts w:hint="eastAsia" w:ascii="仿宋_GB2312" w:eastAsia="仿宋_GB2312"/>
                              </w:rPr>
                              <w:t>。</w:t>
                            </w:r>
                            <w:r>
                              <w:rPr>
                                <w:rFonts w:ascii="仿宋_GB2312" w:eastAsia="仿宋_GB2312"/>
                              </w:rPr>
                              <w:t>在重点区域打造集模拟实训、装备操作、智慧平台演练于一体的实战实训基地；全面推行“非现场”监管和“扫码入企”、“综合查一次”等执法模式；配强执法装备，常态化开展执法大练兵；提升队伍反应速度、业务水平和规范化程度。</w:t>
                            </w:r>
                          </w:p>
                          <w:p w14:paraId="2B43AA27">
                            <w:pPr>
                              <w:pStyle w:val="2"/>
                              <w:jc w:val="left"/>
                              <w:rPr>
                                <w:rFonts w:ascii="仿宋_GB2312" w:eastAsia="仿宋_GB2312"/>
                              </w:rPr>
                            </w:pPr>
                            <w:r>
                              <w:rPr>
                                <w:rFonts w:hint="eastAsia" w:ascii="仿宋_GB2312" w:eastAsia="仿宋_GB2312"/>
                                <w:b/>
                              </w:rPr>
                              <w:t>3</w:t>
                            </w:r>
                            <w:r>
                              <w:rPr>
                                <w:rFonts w:ascii="仿宋_GB2312" w:eastAsia="仿宋_GB2312"/>
                                <w:b/>
                              </w:rPr>
                              <w:t>.生态产品价值核算研究</w:t>
                            </w:r>
                            <w:r>
                              <w:rPr>
                                <w:rFonts w:hint="eastAsia" w:ascii="仿宋_GB2312" w:eastAsia="仿宋_GB2312"/>
                                <w:b/>
                              </w:rPr>
                              <w:t>。</w:t>
                            </w:r>
                            <w:r>
                              <w:rPr>
                                <w:rFonts w:ascii="仿宋_GB2312" w:eastAsia="仿宋_GB2312"/>
                              </w:rPr>
                              <w:t>对天山北麓特色林果（香妃海棠、阜康蟠桃）、</w:t>
                            </w:r>
                            <w:r>
                              <w:rPr>
                                <w:rFonts w:hint="eastAsia" w:ascii="仿宋_GB2312" w:eastAsia="仿宋_GB2312"/>
                              </w:rPr>
                              <w:t>绿色食品</w:t>
                            </w:r>
                            <w:r>
                              <w:rPr>
                                <w:rFonts w:ascii="仿宋_GB2312" w:eastAsia="仿宋_GB2312"/>
                              </w:rPr>
                              <w:t>(木垒鹰嘴豆、玛纳斯萨福克羊肉)、荒漠生态修复产品（奇台沙漠榛子）等典型品类开展生态产品价值核算研究。</w:t>
                            </w:r>
                          </w:p>
                          <w:p w14:paraId="6E7AD4CA">
                            <w:pPr>
                              <w:pStyle w:val="2"/>
                              <w:jc w:val="left"/>
                              <w:rPr>
                                <w:rFonts w:ascii="仿宋_GB2312" w:eastAsia="仿宋_GB2312"/>
                              </w:rPr>
                            </w:pPr>
                            <w:r>
                              <w:rPr>
                                <w:rFonts w:hint="eastAsia" w:ascii="仿宋_GB2312" w:eastAsia="仿宋_GB2312"/>
                                <w:b/>
                              </w:rPr>
                              <w:t>4</w:t>
                            </w:r>
                            <w:r>
                              <w:rPr>
                                <w:rFonts w:ascii="仿宋_GB2312" w:eastAsia="仿宋_GB2312"/>
                                <w:b/>
                              </w:rPr>
                              <w:t>.“昌吉生态”区域公共品牌培育</w:t>
                            </w:r>
                            <w:r>
                              <w:rPr>
                                <w:rFonts w:hint="eastAsia" w:ascii="仿宋_GB2312" w:eastAsia="仿宋_GB2312"/>
                                <w:b/>
                              </w:rPr>
                              <w:t>。</w:t>
                            </w:r>
                            <w:r>
                              <w:rPr>
                                <w:rFonts w:ascii="仿宋_GB2312" w:eastAsia="仿宋_GB2312"/>
                              </w:rPr>
                              <w:t>培育“昌吉生态”区域公共品牌；发展精深加工与生态文旅等多元化模式，推动生态资源市场化运营；</w:t>
                            </w:r>
                            <w:r>
                              <w:rPr>
                                <w:rFonts w:hint="eastAsia" w:ascii="仿宋_GB2312" w:eastAsia="仿宋_GB2312"/>
                              </w:rPr>
                              <w:t>构建“保护</w:t>
                            </w:r>
                            <w:r>
                              <w:rPr>
                                <w:rFonts w:ascii="仿宋_GB2312" w:eastAsia="仿宋_GB2312"/>
                              </w:rPr>
                              <w:t>-增值-收益-再保护”的良性循环。</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6pt;margin-top:9.6pt;height:110.55pt;width:425.15pt;z-index:251661312;mso-width-relative:page;mso-height-relative:margin;mso-height-percent:200;" fillcolor="#FFFFFF" filled="t" stroked="t" coordsize="21600,21600" o:gfxdata="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jPfbNkAAAAJAQAADwAAAAAAAAABACAAAAAiAAAAZHJz&#10;L2Rvd25yZXYueG1sUEsBAhQAFAAAAAgAh07iQPmCvvg8AgAAfgQAAA4AAAAAAAAAAQAgAAAAKAEA&#10;AGRycy9lMm9Eb2MueG1sUEsFBgAAAAAGAAYAWQEAANYFAAAAAA==&#10;">
                <v:fill on="t" focussize="0,0"/>
                <v:stroke weight="1pt" color="#000000" miterlimit="8" joinstyle="miter"/>
                <v:imagedata o:title=""/>
                <o:lock v:ext="edit" aspectratio="f"/>
                <v:textbox style="mso-fit-shape-to-text:t;">
                  <w:txbxContent>
                    <w:p w14:paraId="5ACFCC1A">
                      <w:pPr>
                        <w:adjustRightInd w:val="0"/>
                        <w:snapToGrid w:val="0"/>
                        <w:spacing w:line="360" w:lineRule="auto"/>
                        <w:jc w:val="center"/>
                        <w:rPr>
                          <w:rFonts w:ascii="仿宋_GB2312" w:eastAsia="仿宋_GB2312"/>
                          <w:b/>
                          <w:sz w:val="28"/>
                          <w:szCs w:val="28"/>
                        </w:rPr>
                      </w:pPr>
                      <w:r>
                        <w:rPr>
                          <w:rFonts w:hint="eastAsia" w:ascii="仿宋_GB2312" w:eastAsia="仿宋_GB2312"/>
                          <w:b/>
                          <w:sz w:val="28"/>
                          <w:szCs w:val="28"/>
                        </w:rPr>
                        <w:t>专栏10</w:t>
                      </w:r>
                      <w:r>
                        <w:rPr>
                          <w:rFonts w:ascii="仿宋_GB2312" w:eastAsia="仿宋_GB2312"/>
                          <w:b/>
                          <w:sz w:val="28"/>
                          <w:szCs w:val="28"/>
                        </w:rPr>
                        <w:t xml:space="preserve"> 现代环境治理体系建设工程</w:t>
                      </w:r>
                    </w:p>
                    <w:p w14:paraId="31CA3E01">
                      <w:pPr>
                        <w:pStyle w:val="2"/>
                        <w:jc w:val="left"/>
                        <w:rPr>
                          <w:rFonts w:ascii="仿宋_GB2312" w:eastAsia="仿宋_GB2312"/>
                        </w:rPr>
                      </w:pPr>
                      <w:r>
                        <w:rPr>
                          <w:rFonts w:ascii="仿宋_GB2312" w:eastAsia="仿宋_GB2312"/>
                        </w:rPr>
                        <w:t>1.</w:t>
                      </w:r>
                      <w:r>
                        <w:rPr>
                          <w:rFonts w:ascii="仿宋_GB2312" w:eastAsia="仿宋_GB2312"/>
                          <w:b/>
                        </w:rPr>
                        <w:t>“天地空一体化”智慧监测</w:t>
                      </w:r>
                      <w:r>
                        <w:rPr>
                          <w:rFonts w:hint="eastAsia" w:ascii="仿宋_GB2312" w:eastAsia="仿宋_GB2312"/>
                          <w:b/>
                        </w:rPr>
                        <w:t>监管</w:t>
                      </w:r>
                      <w:r>
                        <w:rPr>
                          <w:rFonts w:ascii="仿宋_GB2312" w:eastAsia="仿宋_GB2312"/>
                          <w:b/>
                        </w:rPr>
                        <w:t>体系建设</w:t>
                      </w:r>
                      <w:r>
                        <w:rPr>
                          <w:rFonts w:hint="eastAsia" w:ascii="仿宋_GB2312" w:eastAsia="仿宋_GB2312"/>
                          <w:b/>
                        </w:rPr>
                        <w:t>工程。</w:t>
                      </w:r>
                      <w:r>
                        <w:rPr>
                          <w:rFonts w:hint="eastAsia" w:ascii="仿宋_GB2312" w:eastAsia="仿宋_GB2312"/>
                        </w:rPr>
                        <w:t>升级环境监测实验室及黑烟车智能监控网络；构建覆盖大中小企业的产治排智能监管系统；配备红外热成像、无人机等现代化执法装备；打造融合多源数据的综合监管信息化平台及</w:t>
                      </w:r>
                      <w:r>
                        <w:rPr>
                          <w:rFonts w:ascii="仿宋_GB2312" w:eastAsia="仿宋_GB2312"/>
                        </w:rPr>
                        <w:t>AI大模型；并在重点工业园区</w:t>
                      </w:r>
                      <w:r>
                        <w:rPr>
                          <w:rFonts w:hint="eastAsia" w:ascii="仿宋_GB2312" w:eastAsia="仿宋_GB2312"/>
                        </w:rPr>
                        <w:t>和产业集群</w:t>
                      </w:r>
                      <w:r>
                        <w:rPr>
                          <w:rFonts w:ascii="仿宋_GB2312" w:eastAsia="仿宋_GB2312"/>
                        </w:rPr>
                        <w:t>增设VOCs等特征污染物监测站点，全面提升智慧监测、精准执法与协同监管能力。</w:t>
                      </w:r>
                    </w:p>
                    <w:p w14:paraId="4E329AD9">
                      <w:pPr>
                        <w:pStyle w:val="2"/>
                        <w:jc w:val="left"/>
                        <w:rPr>
                          <w:rFonts w:ascii="仿宋_GB2312" w:eastAsia="仿宋_GB2312"/>
                        </w:rPr>
                      </w:pPr>
                      <w:r>
                        <w:rPr>
                          <w:rFonts w:ascii="仿宋_GB2312" w:eastAsia="仿宋_GB2312"/>
                          <w:b/>
                        </w:rPr>
                        <w:t>2.生态环境保护综合执法实战实训基地建设</w:t>
                      </w:r>
                      <w:r>
                        <w:rPr>
                          <w:rFonts w:hint="eastAsia" w:ascii="仿宋_GB2312" w:eastAsia="仿宋_GB2312"/>
                          <w:b/>
                        </w:rPr>
                        <w:t>工程</w:t>
                      </w:r>
                      <w:r>
                        <w:rPr>
                          <w:rFonts w:hint="eastAsia" w:ascii="仿宋_GB2312" w:eastAsia="仿宋_GB2312"/>
                        </w:rPr>
                        <w:t>。</w:t>
                      </w:r>
                      <w:r>
                        <w:rPr>
                          <w:rFonts w:ascii="仿宋_GB2312" w:eastAsia="仿宋_GB2312"/>
                        </w:rPr>
                        <w:t>在重点区域打造集模拟实训、装备操作、智慧平台演练于一体的实战实训基地；全面推行“非现场”监管和“扫码入企”、“综合查一次”等执法模式；配强执法装备，常态化开展执法大练兵；提升队伍反应速度、业务水平和规范化程度。</w:t>
                      </w:r>
                    </w:p>
                    <w:p w14:paraId="2B43AA27">
                      <w:pPr>
                        <w:pStyle w:val="2"/>
                        <w:jc w:val="left"/>
                        <w:rPr>
                          <w:rFonts w:ascii="仿宋_GB2312" w:eastAsia="仿宋_GB2312"/>
                        </w:rPr>
                      </w:pPr>
                      <w:r>
                        <w:rPr>
                          <w:rFonts w:hint="eastAsia" w:ascii="仿宋_GB2312" w:eastAsia="仿宋_GB2312"/>
                          <w:b/>
                        </w:rPr>
                        <w:t>3</w:t>
                      </w:r>
                      <w:r>
                        <w:rPr>
                          <w:rFonts w:ascii="仿宋_GB2312" w:eastAsia="仿宋_GB2312"/>
                          <w:b/>
                        </w:rPr>
                        <w:t>.生态产品价值核算研究</w:t>
                      </w:r>
                      <w:r>
                        <w:rPr>
                          <w:rFonts w:hint="eastAsia" w:ascii="仿宋_GB2312" w:eastAsia="仿宋_GB2312"/>
                          <w:b/>
                        </w:rPr>
                        <w:t>。</w:t>
                      </w:r>
                      <w:r>
                        <w:rPr>
                          <w:rFonts w:ascii="仿宋_GB2312" w:eastAsia="仿宋_GB2312"/>
                        </w:rPr>
                        <w:t>对天山北麓特色林果（香妃海棠、阜康蟠桃）、</w:t>
                      </w:r>
                      <w:r>
                        <w:rPr>
                          <w:rFonts w:hint="eastAsia" w:ascii="仿宋_GB2312" w:eastAsia="仿宋_GB2312"/>
                        </w:rPr>
                        <w:t>绿色食品</w:t>
                      </w:r>
                      <w:r>
                        <w:rPr>
                          <w:rFonts w:ascii="仿宋_GB2312" w:eastAsia="仿宋_GB2312"/>
                        </w:rPr>
                        <w:t>(木垒鹰嘴豆、玛纳斯萨福克羊肉)、荒漠生态修复产品（奇台沙漠榛子）等典型品类开展生态产品价值核算研究。</w:t>
                      </w:r>
                    </w:p>
                    <w:p w14:paraId="6E7AD4CA">
                      <w:pPr>
                        <w:pStyle w:val="2"/>
                        <w:jc w:val="left"/>
                        <w:rPr>
                          <w:rFonts w:ascii="仿宋_GB2312" w:eastAsia="仿宋_GB2312"/>
                        </w:rPr>
                      </w:pPr>
                      <w:r>
                        <w:rPr>
                          <w:rFonts w:hint="eastAsia" w:ascii="仿宋_GB2312" w:eastAsia="仿宋_GB2312"/>
                          <w:b/>
                        </w:rPr>
                        <w:t>4</w:t>
                      </w:r>
                      <w:r>
                        <w:rPr>
                          <w:rFonts w:ascii="仿宋_GB2312" w:eastAsia="仿宋_GB2312"/>
                          <w:b/>
                        </w:rPr>
                        <w:t>.“昌吉生态”区域公共品牌培育</w:t>
                      </w:r>
                      <w:r>
                        <w:rPr>
                          <w:rFonts w:hint="eastAsia" w:ascii="仿宋_GB2312" w:eastAsia="仿宋_GB2312"/>
                          <w:b/>
                        </w:rPr>
                        <w:t>。</w:t>
                      </w:r>
                      <w:r>
                        <w:rPr>
                          <w:rFonts w:ascii="仿宋_GB2312" w:eastAsia="仿宋_GB2312"/>
                        </w:rPr>
                        <w:t>培育“昌吉生态”区域公共品牌；发展精深加工与生态文旅等多元化模式，推动生态资源市场化运营；</w:t>
                      </w:r>
                      <w:r>
                        <w:rPr>
                          <w:rFonts w:hint="eastAsia" w:ascii="仿宋_GB2312" w:eastAsia="仿宋_GB2312"/>
                        </w:rPr>
                        <w:t>构建“保护</w:t>
                      </w:r>
                      <w:r>
                        <w:rPr>
                          <w:rFonts w:ascii="仿宋_GB2312" w:eastAsia="仿宋_GB2312"/>
                        </w:rPr>
                        <w:t>-增值-收益-再保护”的良性循环。</w:t>
                      </w:r>
                    </w:p>
                  </w:txbxContent>
                </v:textbox>
              </v:shape>
            </w:pict>
          </mc:Fallback>
        </mc:AlternateContent>
      </w:r>
    </w:p>
    <w:p w14:paraId="21D40AF9">
      <w:pPr>
        <w:pStyle w:val="78"/>
        <w:ind w:firstLine="640"/>
      </w:pPr>
    </w:p>
    <w:p w14:paraId="4D8AFA8D">
      <w:pPr>
        <w:pStyle w:val="78"/>
        <w:ind w:firstLine="640"/>
      </w:pPr>
    </w:p>
    <w:p w14:paraId="5BDF21A2">
      <w:pPr>
        <w:pStyle w:val="78"/>
        <w:ind w:firstLine="640"/>
      </w:pPr>
    </w:p>
    <w:p w14:paraId="45C27890">
      <w:pPr>
        <w:pStyle w:val="78"/>
        <w:ind w:firstLine="640"/>
      </w:pPr>
    </w:p>
    <w:p w14:paraId="3F3AFBB8">
      <w:pPr>
        <w:pStyle w:val="78"/>
        <w:ind w:firstLine="640"/>
      </w:pPr>
    </w:p>
    <w:p w14:paraId="6094E257">
      <w:pPr>
        <w:pStyle w:val="78"/>
        <w:ind w:firstLine="640"/>
      </w:pPr>
    </w:p>
    <w:p w14:paraId="274DB715">
      <w:pPr>
        <w:pStyle w:val="78"/>
        <w:ind w:firstLine="640"/>
      </w:pPr>
    </w:p>
    <w:p w14:paraId="24A6B679">
      <w:pPr>
        <w:pStyle w:val="78"/>
        <w:ind w:firstLine="640"/>
      </w:pPr>
    </w:p>
    <w:p w14:paraId="4186460F">
      <w:pPr>
        <w:pStyle w:val="78"/>
        <w:ind w:firstLine="640"/>
      </w:pPr>
    </w:p>
    <w:p w14:paraId="1924CFE8">
      <w:pPr>
        <w:pStyle w:val="78"/>
        <w:ind w:firstLine="640"/>
      </w:pPr>
    </w:p>
    <w:p w14:paraId="259E93FA">
      <w:pPr>
        <w:pStyle w:val="78"/>
        <w:ind w:firstLine="640"/>
      </w:pPr>
    </w:p>
    <w:p w14:paraId="2AAF776B">
      <w:pPr>
        <w:pStyle w:val="78"/>
        <w:ind w:firstLine="640"/>
      </w:pPr>
    </w:p>
    <w:p w14:paraId="79AD0D5F">
      <w:pPr>
        <w:pStyle w:val="78"/>
        <w:ind w:firstLine="640"/>
        <w:sectPr>
          <w:pgSz w:w="11906" w:h="16838"/>
          <w:pgMar w:top="1440" w:right="1800" w:bottom="1440" w:left="1800" w:header="1077" w:footer="992" w:gutter="0"/>
          <w:pgNumType w:fmt="numberInDash"/>
          <w:cols w:space="425" w:num="1"/>
          <w:docGrid w:type="lines" w:linePitch="312" w:charSpace="0"/>
        </w:sectPr>
      </w:pPr>
    </w:p>
    <w:bookmarkEnd w:id="245"/>
    <w:p w14:paraId="5B0C315C">
      <w:pPr>
        <w:pStyle w:val="3"/>
        <w:spacing w:after="100" w:afterAutospacing="1" w:line="480" w:lineRule="auto"/>
        <w:ind w:firstLine="0" w:firstLineChars="0"/>
        <w:jc w:val="center"/>
      </w:pPr>
      <w:bookmarkStart w:id="270" w:name="_Toc218867782"/>
      <w:bookmarkStart w:id="271" w:name="_Toc227770805"/>
      <w:r>
        <w:rPr>
          <w:rFonts w:hint="eastAsia"/>
        </w:rPr>
        <w:t xml:space="preserve">第十章  </w:t>
      </w:r>
      <w:r>
        <w:t>保障措施与实施机制</w:t>
      </w:r>
      <w:bookmarkEnd w:id="270"/>
      <w:bookmarkEnd w:id="271"/>
    </w:p>
    <w:p w14:paraId="213ECD46">
      <w:pPr>
        <w:pStyle w:val="78"/>
        <w:ind w:firstLine="640"/>
      </w:pPr>
      <w:r>
        <w:t>为确保昌吉州</w:t>
      </w:r>
      <w:r>
        <w:rPr>
          <w:rFonts w:hint="eastAsia" w:ascii="仿宋_GB2312"/>
        </w:rPr>
        <w:t>“十五五”</w:t>
      </w:r>
      <w:r>
        <w:t>生态环境保护规划目标顺利实现、任务有效落地，建立以下系统化保障措施与实施机制：</w:t>
      </w:r>
    </w:p>
    <w:p w14:paraId="48E12A3A">
      <w:pPr>
        <w:pStyle w:val="4"/>
        <w:spacing w:line="700" w:lineRule="exact"/>
        <w:ind w:firstLine="643"/>
        <w:jc w:val="center"/>
      </w:pPr>
      <w:bookmarkStart w:id="272" w:name="_Toc218867783"/>
      <w:bookmarkStart w:id="273" w:name="_Toc227770806"/>
      <w:r>
        <w:rPr>
          <w:rFonts w:hint="eastAsia"/>
        </w:rPr>
        <w:t xml:space="preserve">第一节 </w:t>
      </w:r>
      <w:r>
        <w:t>强化组织领导，压实目标任务责任</w:t>
      </w:r>
      <w:bookmarkEnd w:id="272"/>
      <w:bookmarkEnd w:id="273"/>
    </w:p>
    <w:p w14:paraId="130EDAED">
      <w:pPr>
        <w:pStyle w:val="78"/>
        <w:ind w:firstLine="640"/>
      </w:pPr>
      <w:r>
        <w:t>各县市（园区）、各部门是规划实施的核心责任主体，须将生态环境保护置于全局工作的突出战略位置。将规划目标、核心任务、重点工程全面纳入本级国民经济和社会发展规划。建立政府统一领导、部门分工协作的环境保护目标责任制，将规划目标任务逐级分解落实到县市（园区）政府和相关职能部门。州级相关部门各司其职、强化责任、加强沟通、密切协作，形成州、县（区）分级管理、部门联动协同、上下贯通、运转高效的工作机制。严格落实企业污染治理、达标排放和生态环境保护主体责任。坚持在发展中保护、在保护中发展，统筹推进经济社会高质量发展与生态环境高水平保护。</w:t>
      </w:r>
    </w:p>
    <w:p w14:paraId="026838E5">
      <w:pPr>
        <w:pStyle w:val="4"/>
        <w:spacing w:line="700" w:lineRule="exact"/>
        <w:ind w:firstLine="643"/>
        <w:jc w:val="center"/>
      </w:pPr>
      <w:bookmarkStart w:id="274" w:name="_Toc218867784"/>
      <w:bookmarkStart w:id="275" w:name="_Toc227770807"/>
      <w:r>
        <w:rPr>
          <w:rFonts w:hint="eastAsia"/>
        </w:rPr>
        <w:t xml:space="preserve">第二节 </w:t>
      </w:r>
      <w:r>
        <w:t>强化资金保障，夯实项目实施基础</w:t>
      </w:r>
      <w:bookmarkEnd w:id="274"/>
      <w:bookmarkEnd w:id="275"/>
    </w:p>
    <w:p w14:paraId="632ACA3E">
      <w:pPr>
        <w:pStyle w:val="78"/>
        <w:ind w:firstLine="640"/>
      </w:pPr>
      <w:r>
        <w:t>强化各级财政对规划的支撑作用，将生态环境保护作为公共财政支出的重点领域，加强财政预算安排与规划重点任务的衔接协调。围绕规划确定的重点工程任务（如环境污染综合治理、污染减排、重大环境基础设施建设等），加大财政资金投入力度，确保项目实施。积极争取国家、自治区在生态环保领域的各类专项资金和政策性贷款支持。</w:t>
      </w:r>
      <w:r>
        <w:rPr>
          <w:rFonts w:hint="eastAsia"/>
        </w:rPr>
        <w:t>积极推动生态环境导向的开发（</w:t>
      </w:r>
      <w:r>
        <w:t>EOD）模式项目落地，探索开展州级气候投融资试点</w:t>
      </w:r>
      <w:r>
        <w:rPr>
          <w:rFonts w:hint="eastAsia"/>
        </w:rPr>
        <w:t>。</w:t>
      </w:r>
      <w:r>
        <w:t>大力发展绿色信贷、绿色债券、绿色基金等，拓宽融资渠道。持续完善</w:t>
      </w:r>
      <w:r>
        <w:rPr>
          <w:rFonts w:hint="eastAsia" w:ascii="仿宋_GB2312"/>
        </w:rPr>
        <w:t>“政府引导、市场运作、社会参与”</w:t>
      </w:r>
      <w:r>
        <w:t>的多元化投入机制，鼓励和引导各类社会资本通过多种形式参与生态环保项目和基础设施投资建设。</w:t>
      </w:r>
    </w:p>
    <w:p w14:paraId="2258876B">
      <w:pPr>
        <w:pStyle w:val="4"/>
        <w:spacing w:line="700" w:lineRule="exact"/>
        <w:ind w:firstLine="643"/>
        <w:jc w:val="center"/>
      </w:pPr>
      <w:bookmarkStart w:id="276" w:name="_Toc227770808"/>
      <w:bookmarkStart w:id="277" w:name="_Toc218867785"/>
      <w:r>
        <w:rPr>
          <w:rFonts w:hint="eastAsia"/>
        </w:rPr>
        <w:t xml:space="preserve">第三节 </w:t>
      </w:r>
      <w:r>
        <w:t>强化评估考核，建立闭环管理机制</w:t>
      </w:r>
      <w:bookmarkEnd w:id="276"/>
      <w:bookmarkEnd w:id="277"/>
    </w:p>
    <w:p w14:paraId="6C2FF3ED">
      <w:pPr>
        <w:pStyle w:val="78"/>
        <w:ind w:firstLine="640"/>
      </w:pPr>
      <w:r>
        <w:t>建立规划实施全过程动态监测与评估机制，</w:t>
      </w:r>
      <w:r>
        <w:rPr>
          <w:rFonts w:hint="eastAsia"/>
        </w:rPr>
        <w:t>建立大气环境整治季度调度与半年通报制度，对空气质量改善进展、重点工程完成情况、应急减排落实情况实行清单化管理</w:t>
      </w:r>
      <w:r>
        <w:t>。在规划中期开展全面评估，期末进行最终评估。将规划评估结果（尤其是年度调度和中期评估结果）作为优化调整规划目标、任务和措施的重要依据，确保持续适应新形势新要求。通过严格考核评估，层层传导压力，压实各级、各部门在规划落实中的工作责任。</w:t>
      </w:r>
    </w:p>
    <w:p w14:paraId="4728919D">
      <w:pPr>
        <w:pStyle w:val="4"/>
        <w:spacing w:line="700" w:lineRule="exact"/>
        <w:ind w:firstLine="643"/>
        <w:jc w:val="center"/>
      </w:pPr>
      <w:bookmarkStart w:id="278" w:name="_Toc218867786"/>
      <w:bookmarkStart w:id="279" w:name="_Toc227770809"/>
      <w:bookmarkStart w:id="280" w:name="OLE_LINK82"/>
      <w:bookmarkStart w:id="281" w:name="OLE_LINK142"/>
      <w:bookmarkStart w:id="282" w:name="OLE_LINK143"/>
      <w:r>
        <w:rPr>
          <w:rFonts w:hint="eastAsia"/>
        </w:rPr>
        <w:t xml:space="preserve">第四节 </w:t>
      </w:r>
      <w:r>
        <w:t>强化宣传动员，营造全民共治氛围</w:t>
      </w:r>
      <w:bookmarkEnd w:id="278"/>
      <w:bookmarkEnd w:id="279"/>
    </w:p>
    <w:bookmarkEnd w:id="280"/>
    <w:p w14:paraId="14523FF1">
      <w:pPr>
        <w:pStyle w:val="78"/>
        <w:spacing w:line="554" w:lineRule="exact"/>
        <w:ind w:firstLine="640"/>
      </w:pPr>
      <w:r>
        <w:rPr>
          <w:rFonts w:hint="eastAsia"/>
        </w:rPr>
        <w:t>持续加大生态环境保护宣传教育力度，广泛普及生态环保科学知识与相关法律法规。全面深入</w:t>
      </w:r>
      <w:r>
        <w:rPr>
          <w:rFonts w:hint="eastAsia"/>
          <w:lang w:eastAsia="zh-CN"/>
        </w:rPr>
        <w:t>学习宣传贯彻</w:t>
      </w:r>
      <w:r>
        <w:rPr>
          <w:rFonts w:hint="eastAsia"/>
        </w:rPr>
        <w:t>《中华人民共和国生态环境法典》，准确把握法典的核心要义和精神内涵，做好法典新规定的承接落实。及时梳理权责清单</w:t>
      </w:r>
      <w:r>
        <w:t>。</w:t>
      </w:r>
      <w:r>
        <w:rPr>
          <w:rFonts w:hint="eastAsia"/>
        </w:rPr>
        <w:t>深入宣传“绿水青山就是金山银山”等习近平生态文明思想的核心要义，筑牢全社会生态文明理念根基。积极发掘并推广规划实施中的先进典型、成功经验与有效做法，强化示范引领作用。引导公众树立生态文明价值观，增强生态环境保护意识，积极推广倡导“135”绿色出行等绿色低碳生活方式。进一步拓宽公众参与渠道，鼓励公众、社会组织及媒体依法有序参与环境监督，推动形成“人人关心、人人参与、人人共享”的生态环境保护良好社会风尚。</w:t>
      </w:r>
      <w:bookmarkEnd w:id="281"/>
      <w:bookmarkEnd w:id="282"/>
    </w:p>
    <w:sectPr>
      <w:pgSz w:w="11906" w:h="16838"/>
      <w:pgMar w:top="1440" w:right="1800" w:bottom="1440" w:left="1800" w:header="1077"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A578E0FE-C2B2-4170-BEA8-0C5404F0645D}"/>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B1428EDF-5CF0-489E-9C41-218B09DEC712}"/>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3" w:fontKey="{8A8FE060-C559-414B-8592-A0553C512A5F}"/>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4" w:fontKey="{01B7786D-A31B-4531-82BE-28822511FF1F}"/>
  </w:font>
  <w:font w:name="楷体_GB2312">
    <w:altName w:val="楷体"/>
    <w:panose1 w:val="02010609030101010101"/>
    <w:charset w:val="86"/>
    <w:family w:val="auto"/>
    <w:pitch w:val="default"/>
    <w:sig w:usb0="00000000" w:usb1="00000000" w:usb2="00000000" w:usb3="00000000" w:csb0="00040000" w:csb1="00000000"/>
    <w:embedRegular r:id="rId5" w:fontKey="{6813E4F9-9B29-42B2-86EB-AC442D4D9A6C}"/>
  </w:font>
  <w:font w:name="Segoe UI">
    <w:panose1 w:val="020B0502040204020203"/>
    <w:charset w:val="00"/>
    <w:family w:val="swiss"/>
    <w:pitch w:val="default"/>
    <w:sig w:usb0="E4002EFF" w:usb1="C000E47F" w:usb2="00000009" w:usb3="00000000" w:csb0="200001FF" w:csb1="00000000"/>
    <w:embedRegular r:id="rId6" w:fontKey="{7201B749-C32D-4C28-9933-BD1D9CCDCA94}"/>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25E23">
    <w:pPr>
      <w:pStyle w:val="2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747"/>
                          </w:sdtPr>
                          <w:sdtContent>
                            <w:p w14:paraId="2B68527D">
                              <w:pPr>
                                <w:pStyle w:val="20"/>
                                <w:jc w:val="right"/>
                              </w:pPr>
                              <w:r>
                                <w:fldChar w:fldCharType="begin"/>
                              </w:r>
                              <w:r>
                                <w:instrText xml:space="preserve">PAGE   \* MERGEFORMAT</w:instrText>
                              </w:r>
                              <w:r>
                                <w:fldChar w:fldCharType="separate"/>
                              </w:r>
                              <w:r>
                                <w:rPr>
                                  <w:lang w:val="zh-CN"/>
                                </w:rPr>
                                <w:t>I</w:t>
                              </w:r>
                              <w:r>
                                <w:fldChar w:fldCharType="end"/>
                              </w:r>
                            </w:p>
                          </w:sdtContent>
                        </w:sdt>
                        <w:p w14:paraId="078DA99C">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5747"/>
                    </w:sdtPr>
                    <w:sdtContent>
                      <w:p w14:paraId="2B68527D">
                        <w:pPr>
                          <w:pStyle w:val="20"/>
                          <w:jc w:val="right"/>
                        </w:pPr>
                        <w:r>
                          <w:fldChar w:fldCharType="begin"/>
                        </w:r>
                        <w:r>
                          <w:instrText xml:space="preserve">PAGE   \* MERGEFORMAT</w:instrText>
                        </w:r>
                        <w:r>
                          <w:fldChar w:fldCharType="separate"/>
                        </w:r>
                        <w:r>
                          <w:rPr>
                            <w:lang w:val="zh-CN"/>
                          </w:rPr>
                          <w:t>I</w:t>
                        </w:r>
                        <w:r>
                          <w:fldChar w:fldCharType="end"/>
                        </w:r>
                      </w:p>
                    </w:sdtContent>
                  </w:sdt>
                  <w:p w14:paraId="078DA99C">
                    <w:pPr>
                      <w:pStyle w:val="2"/>
                    </w:pPr>
                  </w:p>
                </w:txbxContent>
              </v:textbox>
            </v:shape>
          </w:pict>
        </mc:Fallback>
      </mc:AlternateContent>
    </w:r>
  </w:p>
  <w:p w14:paraId="25E12AE4">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589D5">
    <w:pPr>
      <w:pStyle w:val="20"/>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175"/>
                          </w:sdtPr>
                          <w:sdtEndPr>
                            <w:rPr>
                              <w:sz w:val="24"/>
                              <w:szCs w:val="24"/>
                            </w:rPr>
                          </w:sdtEndPr>
                          <w:sdtContent>
                            <w:p w14:paraId="779F1225">
                              <w:pPr>
                                <w:pStyle w:val="20"/>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II</w:t>
                              </w:r>
                              <w:r>
                                <w:rPr>
                                  <w:sz w:val="24"/>
                                  <w:szCs w:val="24"/>
                                </w:rPr>
                                <w:fldChar w:fldCharType="end"/>
                              </w:r>
                            </w:p>
                          </w:sdtContent>
                        </w:sdt>
                        <w:p w14:paraId="325DBE17">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175"/>
                    </w:sdtPr>
                    <w:sdtEndPr>
                      <w:rPr>
                        <w:sz w:val="24"/>
                        <w:szCs w:val="24"/>
                      </w:rPr>
                    </w:sdtEndPr>
                    <w:sdtContent>
                      <w:p w14:paraId="779F1225">
                        <w:pPr>
                          <w:pStyle w:val="20"/>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II</w:t>
                        </w:r>
                        <w:r>
                          <w:rPr>
                            <w:sz w:val="24"/>
                            <w:szCs w:val="24"/>
                          </w:rPr>
                          <w:fldChar w:fldCharType="end"/>
                        </w:r>
                      </w:p>
                    </w:sdtContent>
                  </w:sdt>
                  <w:p w14:paraId="325DBE17">
                    <w:pPr>
                      <w:pStyle w:val="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1A359">
    <w:pPr>
      <w:pStyle w:val="20"/>
      <w:jc w:val="right"/>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745"/>
                          </w:sdtPr>
                          <w:sdtEndPr>
                            <w:rPr>
                              <w:rFonts w:hint="eastAsia" w:ascii="宋体" w:hAnsi="宋体" w:eastAsia="宋体" w:cs="宋体"/>
                              <w:sz w:val="28"/>
                              <w:szCs w:val="28"/>
                            </w:rPr>
                          </w:sdtEndPr>
                          <w:sdtContent>
                            <w:p w14:paraId="778D86F9">
                              <w:pPr>
                                <w:pStyle w:val="20"/>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p>
                          </w:sdtContent>
                        </w:sdt>
                        <w:p w14:paraId="69A4361E">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73745"/>
                    </w:sdtPr>
                    <w:sdtEndPr>
                      <w:rPr>
                        <w:rFonts w:hint="eastAsia" w:ascii="宋体" w:hAnsi="宋体" w:eastAsia="宋体" w:cs="宋体"/>
                        <w:sz w:val="28"/>
                        <w:szCs w:val="28"/>
                      </w:rPr>
                    </w:sdtEndPr>
                    <w:sdtContent>
                      <w:p w14:paraId="778D86F9">
                        <w:pPr>
                          <w:pStyle w:val="20"/>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p>
                    </w:sdtContent>
                  </w:sdt>
                  <w:p w14:paraId="69A4361E">
                    <w:pPr>
                      <w:pStyle w:val="2"/>
                    </w:pPr>
                  </w:p>
                </w:txbxContent>
              </v:textbox>
            </v:shape>
          </w:pict>
        </mc:Fallback>
      </mc:AlternateContent>
    </w:r>
  </w:p>
  <w:p w14:paraId="1593A4A3">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86494">
    <w:pPr>
      <w:pStyle w:val="20"/>
      <w:rPr>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467"/>
                          </w:sdtPr>
                          <w:sdtEndPr>
                            <w:rPr>
                              <w:sz w:val="24"/>
                              <w:szCs w:val="24"/>
                            </w:rPr>
                          </w:sdtEndPr>
                          <w:sdtContent>
                            <w:p w14:paraId="1AA25DDE">
                              <w:pPr>
                                <w:pStyle w:val="20"/>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II</w:t>
                              </w:r>
                              <w:r>
                                <w:rPr>
                                  <w:sz w:val="24"/>
                                  <w:szCs w:val="24"/>
                                </w:rPr>
                                <w:fldChar w:fldCharType="end"/>
                              </w:r>
                            </w:p>
                          </w:sdtContent>
                        </w:sdt>
                        <w:p w14:paraId="5D415588">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47470467"/>
                    </w:sdtPr>
                    <w:sdtEndPr>
                      <w:rPr>
                        <w:sz w:val="24"/>
                        <w:szCs w:val="24"/>
                      </w:rPr>
                    </w:sdtEndPr>
                    <w:sdtContent>
                      <w:p w14:paraId="1AA25DDE">
                        <w:pPr>
                          <w:pStyle w:val="20"/>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II</w:t>
                        </w:r>
                        <w:r>
                          <w:rPr>
                            <w:sz w:val="24"/>
                            <w:szCs w:val="24"/>
                          </w:rPr>
                          <w:fldChar w:fldCharType="end"/>
                        </w:r>
                      </w:p>
                    </w:sdtContent>
                  </w:sdt>
                  <w:p w14:paraId="5D415588">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CA67">
    <w:pPr>
      <w:pStyle w:val="2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kZGVmNmQ5ODc3ZjgxZTJhNWU1YzlhZTAzZTg3ZDcifQ=="/>
  </w:docVars>
  <w:rsids>
    <w:rsidRoot w:val="00172A27"/>
    <w:rsid w:val="00000278"/>
    <w:rsid w:val="00004CD3"/>
    <w:rsid w:val="0000590E"/>
    <w:rsid w:val="000063E8"/>
    <w:rsid w:val="000129B1"/>
    <w:rsid w:val="00012DE8"/>
    <w:rsid w:val="00012EE9"/>
    <w:rsid w:val="000134E7"/>
    <w:rsid w:val="000137EB"/>
    <w:rsid w:val="0002003D"/>
    <w:rsid w:val="000225B8"/>
    <w:rsid w:val="00023388"/>
    <w:rsid w:val="00023AF9"/>
    <w:rsid w:val="00025741"/>
    <w:rsid w:val="00026FE9"/>
    <w:rsid w:val="000277C9"/>
    <w:rsid w:val="00027D49"/>
    <w:rsid w:val="00030B3D"/>
    <w:rsid w:val="00030D92"/>
    <w:rsid w:val="00032985"/>
    <w:rsid w:val="00034403"/>
    <w:rsid w:val="000364E5"/>
    <w:rsid w:val="00036945"/>
    <w:rsid w:val="0004187E"/>
    <w:rsid w:val="0004231D"/>
    <w:rsid w:val="00045014"/>
    <w:rsid w:val="00045152"/>
    <w:rsid w:val="00045370"/>
    <w:rsid w:val="0004628E"/>
    <w:rsid w:val="00047D0D"/>
    <w:rsid w:val="000510B0"/>
    <w:rsid w:val="000513CD"/>
    <w:rsid w:val="00052F3A"/>
    <w:rsid w:val="00055520"/>
    <w:rsid w:val="00055F38"/>
    <w:rsid w:val="00056099"/>
    <w:rsid w:val="0005631F"/>
    <w:rsid w:val="00066313"/>
    <w:rsid w:val="0006696C"/>
    <w:rsid w:val="00066C65"/>
    <w:rsid w:val="000672A2"/>
    <w:rsid w:val="000700E5"/>
    <w:rsid w:val="00071B4C"/>
    <w:rsid w:val="00071CFD"/>
    <w:rsid w:val="0007212D"/>
    <w:rsid w:val="00074066"/>
    <w:rsid w:val="000741C1"/>
    <w:rsid w:val="00074D6E"/>
    <w:rsid w:val="00075C79"/>
    <w:rsid w:val="00075DA5"/>
    <w:rsid w:val="000808AE"/>
    <w:rsid w:val="00080AFA"/>
    <w:rsid w:val="00080CFE"/>
    <w:rsid w:val="00080DB2"/>
    <w:rsid w:val="00081CFF"/>
    <w:rsid w:val="0008264D"/>
    <w:rsid w:val="00082D9C"/>
    <w:rsid w:val="00084401"/>
    <w:rsid w:val="00084DF6"/>
    <w:rsid w:val="000864A4"/>
    <w:rsid w:val="0008763E"/>
    <w:rsid w:val="00090B84"/>
    <w:rsid w:val="00091672"/>
    <w:rsid w:val="000940B2"/>
    <w:rsid w:val="000A045B"/>
    <w:rsid w:val="000A097F"/>
    <w:rsid w:val="000A1D55"/>
    <w:rsid w:val="000A2160"/>
    <w:rsid w:val="000A3A6B"/>
    <w:rsid w:val="000A43D6"/>
    <w:rsid w:val="000A779C"/>
    <w:rsid w:val="000A7DE5"/>
    <w:rsid w:val="000B1C8B"/>
    <w:rsid w:val="000B2B54"/>
    <w:rsid w:val="000B5243"/>
    <w:rsid w:val="000B5AB9"/>
    <w:rsid w:val="000C0566"/>
    <w:rsid w:val="000C08EC"/>
    <w:rsid w:val="000C0D10"/>
    <w:rsid w:val="000C2CB7"/>
    <w:rsid w:val="000C2E0E"/>
    <w:rsid w:val="000C593E"/>
    <w:rsid w:val="000C600B"/>
    <w:rsid w:val="000C6141"/>
    <w:rsid w:val="000C7DC5"/>
    <w:rsid w:val="000D02BE"/>
    <w:rsid w:val="000D0629"/>
    <w:rsid w:val="000D06FA"/>
    <w:rsid w:val="000D13CF"/>
    <w:rsid w:val="000D37ED"/>
    <w:rsid w:val="000D5A92"/>
    <w:rsid w:val="000D75DA"/>
    <w:rsid w:val="000D784F"/>
    <w:rsid w:val="000E27CE"/>
    <w:rsid w:val="000E4896"/>
    <w:rsid w:val="000E4D45"/>
    <w:rsid w:val="000E578C"/>
    <w:rsid w:val="000E6ACF"/>
    <w:rsid w:val="000F01CB"/>
    <w:rsid w:val="000F1372"/>
    <w:rsid w:val="000F17DF"/>
    <w:rsid w:val="000F1BB2"/>
    <w:rsid w:val="000F227B"/>
    <w:rsid w:val="000F26E0"/>
    <w:rsid w:val="000F27EB"/>
    <w:rsid w:val="000F45F2"/>
    <w:rsid w:val="001009BD"/>
    <w:rsid w:val="001019AD"/>
    <w:rsid w:val="00105D13"/>
    <w:rsid w:val="001078D8"/>
    <w:rsid w:val="00107C6C"/>
    <w:rsid w:val="00110038"/>
    <w:rsid w:val="001107D4"/>
    <w:rsid w:val="0011136E"/>
    <w:rsid w:val="001124DA"/>
    <w:rsid w:val="0011326A"/>
    <w:rsid w:val="001137B2"/>
    <w:rsid w:val="00115BE7"/>
    <w:rsid w:val="0011704F"/>
    <w:rsid w:val="0011780C"/>
    <w:rsid w:val="00117D29"/>
    <w:rsid w:val="0012430E"/>
    <w:rsid w:val="00125A25"/>
    <w:rsid w:val="00127303"/>
    <w:rsid w:val="00127931"/>
    <w:rsid w:val="0013005A"/>
    <w:rsid w:val="00130E0B"/>
    <w:rsid w:val="00130FA4"/>
    <w:rsid w:val="00135912"/>
    <w:rsid w:val="001372D9"/>
    <w:rsid w:val="00140C88"/>
    <w:rsid w:val="0014332C"/>
    <w:rsid w:val="00145B08"/>
    <w:rsid w:val="0014653C"/>
    <w:rsid w:val="00153548"/>
    <w:rsid w:val="00156FF0"/>
    <w:rsid w:val="00162003"/>
    <w:rsid w:val="001630C6"/>
    <w:rsid w:val="00166233"/>
    <w:rsid w:val="00166750"/>
    <w:rsid w:val="00170C1E"/>
    <w:rsid w:val="00170E8E"/>
    <w:rsid w:val="00171BD3"/>
    <w:rsid w:val="00172A27"/>
    <w:rsid w:val="00172CA7"/>
    <w:rsid w:val="001731D8"/>
    <w:rsid w:val="0017359D"/>
    <w:rsid w:val="001739BA"/>
    <w:rsid w:val="00176701"/>
    <w:rsid w:val="001821F6"/>
    <w:rsid w:val="00187E6D"/>
    <w:rsid w:val="00192F73"/>
    <w:rsid w:val="001936D3"/>
    <w:rsid w:val="00194A1E"/>
    <w:rsid w:val="00194F48"/>
    <w:rsid w:val="001A0512"/>
    <w:rsid w:val="001A2221"/>
    <w:rsid w:val="001A3120"/>
    <w:rsid w:val="001A4863"/>
    <w:rsid w:val="001A591F"/>
    <w:rsid w:val="001A6AF2"/>
    <w:rsid w:val="001B09B2"/>
    <w:rsid w:val="001B20CD"/>
    <w:rsid w:val="001B22CE"/>
    <w:rsid w:val="001B3B17"/>
    <w:rsid w:val="001B614C"/>
    <w:rsid w:val="001B6DFC"/>
    <w:rsid w:val="001C10DC"/>
    <w:rsid w:val="001C2ACF"/>
    <w:rsid w:val="001C4A24"/>
    <w:rsid w:val="001C5627"/>
    <w:rsid w:val="001C5817"/>
    <w:rsid w:val="001C59E2"/>
    <w:rsid w:val="001C6D6A"/>
    <w:rsid w:val="001D2CFD"/>
    <w:rsid w:val="001D494D"/>
    <w:rsid w:val="001D4B81"/>
    <w:rsid w:val="001D5144"/>
    <w:rsid w:val="001D5B30"/>
    <w:rsid w:val="001D5CD3"/>
    <w:rsid w:val="001D731A"/>
    <w:rsid w:val="001D7478"/>
    <w:rsid w:val="001D776C"/>
    <w:rsid w:val="001E0490"/>
    <w:rsid w:val="001E0A1B"/>
    <w:rsid w:val="001E0E6D"/>
    <w:rsid w:val="001E19C5"/>
    <w:rsid w:val="001E35CD"/>
    <w:rsid w:val="001E4B7A"/>
    <w:rsid w:val="001E65A0"/>
    <w:rsid w:val="001F0D9E"/>
    <w:rsid w:val="001F56E5"/>
    <w:rsid w:val="001F5C66"/>
    <w:rsid w:val="001F64F6"/>
    <w:rsid w:val="00200887"/>
    <w:rsid w:val="00200E9C"/>
    <w:rsid w:val="00201BC6"/>
    <w:rsid w:val="00203EEC"/>
    <w:rsid w:val="0020544E"/>
    <w:rsid w:val="002070A2"/>
    <w:rsid w:val="00207A3F"/>
    <w:rsid w:val="00210DCB"/>
    <w:rsid w:val="00211DE8"/>
    <w:rsid w:val="00214087"/>
    <w:rsid w:val="002141B9"/>
    <w:rsid w:val="002142FC"/>
    <w:rsid w:val="0021789F"/>
    <w:rsid w:val="002179E7"/>
    <w:rsid w:val="0022205C"/>
    <w:rsid w:val="00222700"/>
    <w:rsid w:val="00224834"/>
    <w:rsid w:val="00226308"/>
    <w:rsid w:val="00226BBE"/>
    <w:rsid w:val="00226E95"/>
    <w:rsid w:val="00227F9D"/>
    <w:rsid w:val="00230E24"/>
    <w:rsid w:val="002317FF"/>
    <w:rsid w:val="00232242"/>
    <w:rsid w:val="0023247F"/>
    <w:rsid w:val="002402D2"/>
    <w:rsid w:val="00241B76"/>
    <w:rsid w:val="00241CBB"/>
    <w:rsid w:val="00241F14"/>
    <w:rsid w:val="0024256D"/>
    <w:rsid w:val="00244790"/>
    <w:rsid w:val="00245D8A"/>
    <w:rsid w:val="002502BD"/>
    <w:rsid w:val="0025189D"/>
    <w:rsid w:val="00253A0B"/>
    <w:rsid w:val="002542D7"/>
    <w:rsid w:val="00260A48"/>
    <w:rsid w:val="0026235E"/>
    <w:rsid w:val="00262D62"/>
    <w:rsid w:val="00264512"/>
    <w:rsid w:val="00265186"/>
    <w:rsid w:val="002671F7"/>
    <w:rsid w:val="002715B7"/>
    <w:rsid w:val="00272376"/>
    <w:rsid w:val="0027526F"/>
    <w:rsid w:val="00276730"/>
    <w:rsid w:val="00280FDC"/>
    <w:rsid w:val="00281B96"/>
    <w:rsid w:val="0028225D"/>
    <w:rsid w:val="00283283"/>
    <w:rsid w:val="00283D28"/>
    <w:rsid w:val="00284C58"/>
    <w:rsid w:val="00285C95"/>
    <w:rsid w:val="002865B1"/>
    <w:rsid w:val="00286C44"/>
    <w:rsid w:val="00287061"/>
    <w:rsid w:val="00290C51"/>
    <w:rsid w:val="002918D1"/>
    <w:rsid w:val="00292EF1"/>
    <w:rsid w:val="00293276"/>
    <w:rsid w:val="0029364D"/>
    <w:rsid w:val="00295767"/>
    <w:rsid w:val="0029632E"/>
    <w:rsid w:val="0029647C"/>
    <w:rsid w:val="00296727"/>
    <w:rsid w:val="00297429"/>
    <w:rsid w:val="002974A9"/>
    <w:rsid w:val="002A10A4"/>
    <w:rsid w:val="002A2166"/>
    <w:rsid w:val="002A380A"/>
    <w:rsid w:val="002A3EC2"/>
    <w:rsid w:val="002A4331"/>
    <w:rsid w:val="002A686E"/>
    <w:rsid w:val="002A70F3"/>
    <w:rsid w:val="002A728B"/>
    <w:rsid w:val="002B11F4"/>
    <w:rsid w:val="002B1BDD"/>
    <w:rsid w:val="002B3499"/>
    <w:rsid w:val="002B43CD"/>
    <w:rsid w:val="002B4D92"/>
    <w:rsid w:val="002B7B65"/>
    <w:rsid w:val="002C12C2"/>
    <w:rsid w:val="002C4C72"/>
    <w:rsid w:val="002C7C63"/>
    <w:rsid w:val="002C7F17"/>
    <w:rsid w:val="002D1DA4"/>
    <w:rsid w:val="002D3CBA"/>
    <w:rsid w:val="002D3EF5"/>
    <w:rsid w:val="002D5373"/>
    <w:rsid w:val="002D78FE"/>
    <w:rsid w:val="002E0BB6"/>
    <w:rsid w:val="002E1A05"/>
    <w:rsid w:val="002E1EAB"/>
    <w:rsid w:val="002E3ED4"/>
    <w:rsid w:val="002E6123"/>
    <w:rsid w:val="002E65CF"/>
    <w:rsid w:val="002F3D45"/>
    <w:rsid w:val="002F44DC"/>
    <w:rsid w:val="002F4C05"/>
    <w:rsid w:val="002F59DE"/>
    <w:rsid w:val="002F7359"/>
    <w:rsid w:val="00300F6A"/>
    <w:rsid w:val="003010A4"/>
    <w:rsid w:val="003011E8"/>
    <w:rsid w:val="0030247B"/>
    <w:rsid w:val="00303D2E"/>
    <w:rsid w:val="00306FD8"/>
    <w:rsid w:val="003105D6"/>
    <w:rsid w:val="003116FC"/>
    <w:rsid w:val="00311AF2"/>
    <w:rsid w:val="003145C1"/>
    <w:rsid w:val="00314C7A"/>
    <w:rsid w:val="00315AD0"/>
    <w:rsid w:val="00322482"/>
    <w:rsid w:val="00322556"/>
    <w:rsid w:val="00324363"/>
    <w:rsid w:val="0032475C"/>
    <w:rsid w:val="00324E95"/>
    <w:rsid w:val="00331CF6"/>
    <w:rsid w:val="00332236"/>
    <w:rsid w:val="00333CF4"/>
    <w:rsid w:val="00334685"/>
    <w:rsid w:val="00340117"/>
    <w:rsid w:val="003413BD"/>
    <w:rsid w:val="003414A6"/>
    <w:rsid w:val="00343188"/>
    <w:rsid w:val="0034473A"/>
    <w:rsid w:val="00344B06"/>
    <w:rsid w:val="00344FB3"/>
    <w:rsid w:val="00346D19"/>
    <w:rsid w:val="00346D95"/>
    <w:rsid w:val="003502A7"/>
    <w:rsid w:val="0035155A"/>
    <w:rsid w:val="00351607"/>
    <w:rsid w:val="00351D1A"/>
    <w:rsid w:val="00353491"/>
    <w:rsid w:val="0035419C"/>
    <w:rsid w:val="00354F19"/>
    <w:rsid w:val="003557F0"/>
    <w:rsid w:val="003562D0"/>
    <w:rsid w:val="00357353"/>
    <w:rsid w:val="00360453"/>
    <w:rsid w:val="003634D4"/>
    <w:rsid w:val="00366B7A"/>
    <w:rsid w:val="00370BBD"/>
    <w:rsid w:val="00371A5F"/>
    <w:rsid w:val="00371F06"/>
    <w:rsid w:val="00374E12"/>
    <w:rsid w:val="003758D5"/>
    <w:rsid w:val="00375F98"/>
    <w:rsid w:val="00377B33"/>
    <w:rsid w:val="0038391A"/>
    <w:rsid w:val="00383C4E"/>
    <w:rsid w:val="00384328"/>
    <w:rsid w:val="00384C1C"/>
    <w:rsid w:val="00384DAD"/>
    <w:rsid w:val="0038661D"/>
    <w:rsid w:val="003870DB"/>
    <w:rsid w:val="003921A8"/>
    <w:rsid w:val="003958EF"/>
    <w:rsid w:val="00397B83"/>
    <w:rsid w:val="003A0A04"/>
    <w:rsid w:val="003A13EF"/>
    <w:rsid w:val="003A6D11"/>
    <w:rsid w:val="003A727F"/>
    <w:rsid w:val="003B1588"/>
    <w:rsid w:val="003B1DF2"/>
    <w:rsid w:val="003B23BC"/>
    <w:rsid w:val="003B43CA"/>
    <w:rsid w:val="003B56EC"/>
    <w:rsid w:val="003B61FC"/>
    <w:rsid w:val="003B6F14"/>
    <w:rsid w:val="003C08A8"/>
    <w:rsid w:val="003C0DF7"/>
    <w:rsid w:val="003C3843"/>
    <w:rsid w:val="003C67C5"/>
    <w:rsid w:val="003C71CB"/>
    <w:rsid w:val="003C74D4"/>
    <w:rsid w:val="003D15B7"/>
    <w:rsid w:val="003D1B9D"/>
    <w:rsid w:val="003D295D"/>
    <w:rsid w:val="003D3E01"/>
    <w:rsid w:val="003D47B7"/>
    <w:rsid w:val="003D6F81"/>
    <w:rsid w:val="003D7954"/>
    <w:rsid w:val="003D79E6"/>
    <w:rsid w:val="003E17FE"/>
    <w:rsid w:val="003E2578"/>
    <w:rsid w:val="003E4518"/>
    <w:rsid w:val="003E4600"/>
    <w:rsid w:val="003E6163"/>
    <w:rsid w:val="003E733E"/>
    <w:rsid w:val="003E77CB"/>
    <w:rsid w:val="003F0699"/>
    <w:rsid w:val="003F4C1B"/>
    <w:rsid w:val="003F5C95"/>
    <w:rsid w:val="003F6E47"/>
    <w:rsid w:val="003F79D3"/>
    <w:rsid w:val="00401B90"/>
    <w:rsid w:val="00401D1E"/>
    <w:rsid w:val="00401EAA"/>
    <w:rsid w:val="0040253C"/>
    <w:rsid w:val="00404805"/>
    <w:rsid w:val="0040541A"/>
    <w:rsid w:val="004055E9"/>
    <w:rsid w:val="00406669"/>
    <w:rsid w:val="004067C8"/>
    <w:rsid w:val="004124B0"/>
    <w:rsid w:val="00412684"/>
    <w:rsid w:val="0041297E"/>
    <w:rsid w:val="00415C1B"/>
    <w:rsid w:val="004202A6"/>
    <w:rsid w:val="00420348"/>
    <w:rsid w:val="00421063"/>
    <w:rsid w:val="00427D17"/>
    <w:rsid w:val="00427FC7"/>
    <w:rsid w:val="004410F3"/>
    <w:rsid w:val="00441629"/>
    <w:rsid w:val="0044217C"/>
    <w:rsid w:val="00442292"/>
    <w:rsid w:val="00442B66"/>
    <w:rsid w:val="004437C5"/>
    <w:rsid w:val="004454D8"/>
    <w:rsid w:val="00445574"/>
    <w:rsid w:val="00450365"/>
    <w:rsid w:val="00450EFB"/>
    <w:rsid w:val="00451967"/>
    <w:rsid w:val="00452978"/>
    <w:rsid w:val="00453F8B"/>
    <w:rsid w:val="00454F35"/>
    <w:rsid w:val="004575E4"/>
    <w:rsid w:val="004604EC"/>
    <w:rsid w:val="0046231D"/>
    <w:rsid w:val="00463668"/>
    <w:rsid w:val="00464611"/>
    <w:rsid w:val="00464D23"/>
    <w:rsid w:val="004650E0"/>
    <w:rsid w:val="00467A6C"/>
    <w:rsid w:val="004703C1"/>
    <w:rsid w:val="00470DE1"/>
    <w:rsid w:val="004712B5"/>
    <w:rsid w:val="00472A1A"/>
    <w:rsid w:val="00473054"/>
    <w:rsid w:val="004733BD"/>
    <w:rsid w:val="0047683C"/>
    <w:rsid w:val="00476A52"/>
    <w:rsid w:val="0048059E"/>
    <w:rsid w:val="0049023B"/>
    <w:rsid w:val="00493027"/>
    <w:rsid w:val="00494500"/>
    <w:rsid w:val="00497AFF"/>
    <w:rsid w:val="004A053A"/>
    <w:rsid w:val="004A2A8A"/>
    <w:rsid w:val="004A36B5"/>
    <w:rsid w:val="004A38E1"/>
    <w:rsid w:val="004A5012"/>
    <w:rsid w:val="004A5166"/>
    <w:rsid w:val="004A5FDD"/>
    <w:rsid w:val="004A6F39"/>
    <w:rsid w:val="004B1A6D"/>
    <w:rsid w:val="004B271B"/>
    <w:rsid w:val="004B54A6"/>
    <w:rsid w:val="004B7943"/>
    <w:rsid w:val="004C136A"/>
    <w:rsid w:val="004C22E7"/>
    <w:rsid w:val="004C2430"/>
    <w:rsid w:val="004C4595"/>
    <w:rsid w:val="004C65BB"/>
    <w:rsid w:val="004D0D47"/>
    <w:rsid w:val="004D5052"/>
    <w:rsid w:val="004D655C"/>
    <w:rsid w:val="004E0430"/>
    <w:rsid w:val="004E08DD"/>
    <w:rsid w:val="004E1608"/>
    <w:rsid w:val="004E41B1"/>
    <w:rsid w:val="004F0B91"/>
    <w:rsid w:val="004F151E"/>
    <w:rsid w:val="004F3DE4"/>
    <w:rsid w:val="004F405C"/>
    <w:rsid w:val="004F6352"/>
    <w:rsid w:val="0050314E"/>
    <w:rsid w:val="00503780"/>
    <w:rsid w:val="00503A54"/>
    <w:rsid w:val="00504E6E"/>
    <w:rsid w:val="00505641"/>
    <w:rsid w:val="0050754D"/>
    <w:rsid w:val="005077C8"/>
    <w:rsid w:val="00507975"/>
    <w:rsid w:val="00507D9C"/>
    <w:rsid w:val="005108E6"/>
    <w:rsid w:val="00513419"/>
    <w:rsid w:val="00513B7A"/>
    <w:rsid w:val="00513D64"/>
    <w:rsid w:val="0052018F"/>
    <w:rsid w:val="005201C4"/>
    <w:rsid w:val="005239A3"/>
    <w:rsid w:val="005257C2"/>
    <w:rsid w:val="00527090"/>
    <w:rsid w:val="005303AA"/>
    <w:rsid w:val="005322B0"/>
    <w:rsid w:val="00533A44"/>
    <w:rsid w:val="00533F81"/>
    <w:rsid w:val="0053708E"/>
    <w:rsid w:val="0053790A"/>
    <w:rsid w:val="00540077"/>
    <w:rsid w:val="00540C03"/>
    <w:rsid w:val="005442E3"/>
    <w:rsid w:val="00545C5B"/>
    <w:rsid w:val="005471F3"/>
    <w:rsid w:val="00554E82"/>
    <w:rsid w:val="00555317"/>
    <w:rsid w:val="00557475"/>
    <w:rsid w:val="005576AD"/>
    <w:rsid w:val="00557A93"/>
    <w:rsid w:val="00562190"/>
    <w:rsid w:val="00562A71"/>
    <w:rsid w:val="0056523C"/>
    <w:rsid w:val="00565869"/>
    <w:rsid w:val="00566AD8"/>
    <w:rsid w:val="00566D99"/>
    <w:rsid w:val="00567B28"/>
    <w:rsid w:val="00571EB6"/>
    <w:rsid w:val="005777FE"/>
    <w:rsid w:val="005805F4"/>
    <w:rsid w:val="00581C74"/>
    <w:rsid w:val="00586433"/>
    <w:rsid w:val="005906B1"/>
    <w:rsid w:val="005906D9"/>
    <w:rsid w:val="00591691"/>
    <w:rsid w:val="0059187E"/>
    <w:rsid w:val="00591B0D"/>
    <w:rsid w:val="00596268"/>
    <w:rsid w:val="005967BC"/>
    <w:rsid w:val="005A0360"/>
    <w:rsid w:val="005A08E1"/>
    <w:rsid w:val="005A321F"/>
    <w:rsid w:val="005A5246"/>
    <w:rsid w:val="005A6D88"/>
    <w:rsid w:val="005A7510"/>
    <w:rsid w:val="005A767E"/>
    <w:rsid w:val="005A77EC"/>
    <w:rsid w:val="005B0A37"/>
    <w:rsid w:val="005B0CB3"/>
    <w:rsid w:val="005B1327"/>
    <w:rsid w:val="005B41FA"/>
    <w:rsid w:val="005B472E"/>
    <w:rsid w:val="005B5067"/>
    <w:rsid w:val="005B5DC3"/>
    <w:rsid w:val="005B61E9"/>
    <w:rsid w:val="005B69DC"/>
    <w:rsid w:val="005B6F4F"/>
    <w:rsid w:val="005B7913"/>
    <w:rsid w:val="005B7C5C"/>
    <w:rsid w:val="005C0218"/>
    <w:rsid w:val="005C0C57"/>
    <w:rsid w:val="005C19ED"/>
    <w:rsid w:val="005C3893"/>
    <w:rsid w:val="005C4938"/>
    <w:rsid w:val="005C5AAB"/>
    <w:rsid w:val="005C64A7"/>
    <w:rsid w:val="005C6636"/>
    <w:rsid w:val="005C76B9"/>
    <w:rsid w:val="005D1299"/>
    <w:rsid w:val="005D18E9"/>
    <w:rsid w:val="005D1F57"/>
    <w:rsid w:val="005D7DB5"/>
    <w:rsid w:val="005E00E5"/>
    <w:rsid w:val="005E0AA6"/>
    <w:rsid w:val="005E0B48"/>
    <w:rsid w:val="005E0E2C"/>
    <w:rsid w:val="005E1130"/>
    <w:rsid w:val="005E40E0"/>
    <w:rsid w:val="005E436F"/>
    <w:rsid w:val="005E5435"/>
    <w:rsid w:val="005E5D42"/>
    <w:rsid w:val="005E5F93"/>
    <w:rsid w:val="005E69C7"/>
    <w:rsid w:val="005F02A9"/>
    <w:rsid w:val="005F0962"/>
    <w:rsid w:val="005F0DC8"/>
    <w:rsid w:val="005F111D"/>
    <w:rsid w:val="005F225F"/>
    <w:rsid w:val="005F29FD"/>
    <w:rsid w:val="005F3555"/>
    <w:rsid w:val="005F3AB8"/>
    <w:rsid w:val="005F4686"/>
    <w:rsid w:val="005F4F8D"/>
    <w:rsid w:val="005F65CD"/>
    <w:rsid w:val="005F7147"/>
    <w:rsid w:val="006003CB"/>
    <w:rsid w:val="0060164D"/>
    <w:rsid w:val="00602C66"/>
    <w:rsid w:val="006035CB"/>
    <w:rsid w:val="006067C8"/>
    <w:rsid w:val="006077C4"/>
    <w:rsid w:val="00615647"/>
    <w:rsid w:val="00615B6A"/>
    <w:rsid w:val="006165CB"/>
    <w:rsid w:val="00617247"/>
    <w:rsid w:val="00617C29"/>
    <w:rsid w:val="006224B2"/>
    <w:rsid w:val="00622E12"/>
    <w:rsid w:val="00623366"/>
    <w:rsid w:val="0062456C"/>
    <w:rsid w:val="00625311"/>
    <w:rsid w:val="006253D5"/>
    <w:rsid w:val="00630E04"/>
    <w:rsid w:val="0063201C"/>
    <w:rsid w:val="00632FBB"/>
    <w:rsid w:val="0063515B"/>
    <w:rsid w:val="00637DF2"/>
    <w:rsid w:val="00637E66"/>
    <w:rsid w:val="006409D3"/>
    <w:rsid w:val="00644713"/>
    <w:rsid w:val="006448BE"/>
    <w:rsid w:val="00644B8A"/>
    <w:rsid w:val="0064665B"/>
    <w:rsid w:val="00647EE4"/>
    <w:rsid w:val="00650047"/>
    <w:rsid w:val="00650438"/>
    <w:rsid w:val="00653804"/>
    <w:rsid w:val="00653D38"/>
    <w:rsid w:val="00654835"/>
    <w:rsid w:val="00654C4E"/>
    <w:rsid w:val="006552DF"/>
    <w:rsid w:val="00655F2B"/>
    <w:rsid w:val="0065699B"/>
    <w:rsid w:val="00657360"/>
    <w:rsid w:val="00660D34"/>
    <w:rsid w:val="00661334"/>
    <w:rsid w:val="00661A28"/>
    <w:rsid w:val="006634AD"/>
    <w:rsid w:val="00665844"/>
    <w:rsid w:val="00665D98"/>
    <w:rsid w:val="00665E45"/>
    <w:rsid w:val="00667580"/>
    <w:rsid w:val="00667C75"/>
    <w:rsid w:val="00677647"/>
    <w:rsid w:val="00681F82"/>
    <w:rsid w:val="006827BB"/>
    <w:rsid w:val="0068464F"/>
    <w:rsid w:val="00687A5D"/>
    <w:rsid w:val="0069114F"/>
    <w:rsid w:val="0069278C"/>
    <w:rsid w:val="00692E29"/>
    <w:rsid w:val="006931AC"/>
    <w:rsid w:val="006933CF"/>
    <w:rsid w:val="006962E0"/>
    <w:rsid w:val="0069758B"/>
    <w:rsid w:val="00697B3E"/>
    <w:rsid w:val="006A1B43"/>
    <w:rsid w:val="006A29EA"/>
    <w:rsid w:val="006A33CE"/>
    <w:rsid w:val="006A3D66"/>
    <w:rsid w:val="006A4863"/>
    <w:rsid w:val="006B0E7D"/>
    <w:rsid w:val="006B219C"/>
    <w:rsid w:val="006B6557"/>
    <w:rsid w:val="006C14B4"/>
    <w:rsid w:val="006C17F0"/>
    <w:rsid w:val="006C1B19"/>
    <w:rsid w:val="006C332C"/>
    <w:rsid w:val="006C6696"/>
    <w:rsid w:val="006D06FF"/>
    <w:rsid w:val="006D1759"/>
    <w:rsid w:val="006D34EB"/>
    <w:rsid w:val="006D3542"/>
    <w:rsid w:val="006D5EB7"/>
    <w:rsid w:val="006E3253"/>
    <w:rsid w:val="006E3863"/>
    <w:rsid w:val="006E3865"/>
    <w:rsid w:val="006E5411"/>
    <w:rsid w:val="006E6E96"/>
    <w:rsid w:val="006E73D2"/>
    <w:rsid w:val="006E79C9"/>
    <w:rsid w:val="006F0E7F"/>
    <w:rsid w:val="006F2C41"/>
    <w:rsid w:val="006F3E2B"/>
    <w:rsid w:val="006F52A0"/>
    <w:rsid w:val="006F5495"/>
    <w:rsid w:val="006F694A"/>
    <w:rsid w:val="00700D39"/>
    <w:rsid w:val="00703618"/>
    <w:rsid w:val="00707B9A"/>
    <w:rsid w:val="007100ED"/>
    <w:rsid w:val="00710350"/>
    <w:rsid w:val="0071065F"/>
    <w:rsid w:val="00712B2F"/>
    <w:rsid w:val="00714A32"/>
    <w:rsid w:val="00715008"/>
    <w:rsid w:val="00717A62"/>
    <w:rsid w:val="007201E0"/>
    <w:rsid w:val="00720988"/>
    <w:rsid w:val="00723692"/>
    <w:rsid w:val="007245C1"/>
    <w:rsid w:val="00725EAE"/>
    <w:rsid w:val="00725F15"/>
    <w:rsid w:val="00727EA0"/>
    <w:rsid w:val="00730A25"/>
    <w:rsid w:val="00731253"/>
    <w:rsid w:val="00735866"/>
    <w:rsid w:val="00735C0E"/>
    <w:rsid w:val="00736AFA"/>
    <w:rsid w:val="007371AE"/>
    <w:rsid w:val="00737D03"/>
    <w:rsid w:val="0074333F"/>
    <w:rsid w:val="007435EA"/>
    <w:rsid w:val="00743908"/>
    <w:rsid w:val="00745901"/>
    <w:rsid w:val="00756354"/>
    <w:rsid w:val="00757507"/>
    <w:rsid w:val="00760516"/>
    <w:rsid w:val="0076103E"/>
    <w:rsid w:val="00761E56"/>
    <w:rsid w:val="00762699"/>
    <w:rsid w:val="0076581B"/>
    <w:rsid w:val="00772FB1"/>
    <w:rsid w:val="0077506F"/>
    <w:rsid w:val="00775B53"/>
    <w:rsid w:val="00777A84"/>
    <w:rsid w:val="00780B24"/>
    <w:rsid w:val="00781FDF"/>
    <w:rsid w:val="0078236A"/>
    <w:rsid w:val="007837AE"/>
    <w:rsid w:val="00784622"/>
    <w:rsid w:val="00784EC0"/>
    <w:rsid w:val="007850E5"/>
    <w:rsid w:val="00786772"/>
    <w:rsid w:val="007869C2"/>
    <w:rsid w:val="00787523"/>
    <w:rsid w:val="007904B2"/>
    <w:rsid w:val="00794ABE"/>
    <w:rsid w:val="00795CEF"/>
    <w:rsid w:val="00796CE6"/>
    <w:rsid w:val="007A0ECB"/>
    <w:rsid w:val="007A2F4D"/>
    <w:rsid w:val="007A37E8"/>
    <w:rsid w:val="007A3BA7"/>
    <w:rsid w:val="007A7340"/>
    <w:rsid w:val="007B0BF6"/>
    <w:rsid w:val="007B0EA4"/>
    <w:rsid w:val="007B2DF8"/>
    <w:rsid w:val="007B2F59"/>
    <w:rsid w:val="007B2FFA"/>
    <w:rsid w:val="007B56EC"/>
    <w:rsid w:val="007B7645"/>
    <w:rsid w:val="007C18D0"/>
    <w:rsid w:val="007C286B"/>
    <w:rsid w:val="007C328D"/>
    <w:rsid w:val="007C4F62"/>
    <w:rsid w:val="007C5AAA"/>
    <w:rsid w:val="007C76A7"/>
    <w:rsid w:val="007D1AD3"/>
    <w:rsid w:val="007D27CB"/>
    <w:rsid w:val="007D3A40"/>
    <w:rsid w:val="007D574C"/>
    <w:rsid w:val="007D6EBA"/>
    <w:rsid w:val="007D6EF3"/>
    <w:rsid w:val="007E15D9"/>
    <w:rsid w:val="007E2A2F"/>
    <w:rsid w:val="007E2EBA"/>
    <w:rsid w:val="007E381D"/>
    <w:rsid w:val="007E3FDB"/>
    <w:rsid w:val="007E745F"/>
    <w:rsid w:val="007F22C3"/>
    <w:rsid w:val="007F2659"/>
    <w:rsid w:val="007F462E"/>
    <w:rsid w:val="007F5973"/>
    <w:rsid w:val="007F7358"/>
    <w:rsid w:val="007F7B7C"/>
    <w:rsid w:val="007F7FEE"/>
    <w:rsid w:val="0080025D"/>
    <w:rsid w:val="00801A24"/>
    <w:rsid w:val="0080372B"/>
    <w:rsid w:val="00803AE1"/>
    <w:rsid w:val="00806ADE"/>
    <w:rsid w:val="00806D89"/>
    <w:rsid w:val="00810658"/>
    <w:rsid w:val="00810BB6"/>
    <w:rsid w:val="00810BE4"/>
    <w:rsid w:val="00811791"/>
    <w:rsid w:val="0081405B"/>
    <w:rsid w:val="008151AE"/>
    <w:rsid w:val="00815E7C"/>
    <w:rsid w:val="008161E1"/>
    <w:rsid w:val="0081755C"/>
    <w:rsid w:val="00817A28"/>
    <w:rsid w:val="0082121D"/>
    <w:rsid w:val="00830762"/>
    <w:rsid w:val="00831D8E"/>
    <w:rsid w:val="00833769"/>
    <w:rsid w:val="00834BBB"/>
    <w:rsid w:val="00836B36"/>
    <w:rsid w:val="00840E3D"/>
    <w:rsid w:val="0084108C"/>
    <w:rsid w:val="00845D77"/>
    <w:rsid w:val="0084685B"/>
    <w:rsid w:val="00846EAB"/>
    <w:rsid w:val="008501A8"/>
    <w:rsid w:val="00850FB2"/>
    <w:rsid w:val="008510F3"/>
    <w:rsid w:val="00853EBF"/>
    <w:rsid w:val="00860E75"/>
    <w:rsid w:val="008629E0"/>
    <w:rsid w:val="008646E3"/>
    <w:rsid w:val="0086668A"/>
    <w:rsid w:val="0086746F"/>
    <w:rsid w:val="008704F9"/>
    <w:rsid w:val="00870D0B"/>
    <w:rsid w:val="00874F11"/>
    <w:rsid w:val="00876A93"/>
    <w:rsid w:val="00876C22"/>
    <w:rsid w:val="00876D43"/>
    <w:rsid w:val="008777AD"/>
    <w:rsid w:val="0088003B"/>
    <w:rsid w:val="008843D2"/>
    <w:rsid w:val="00885D32"/>
    <w:rsid w:val="0088649F"/>
    <w:rsid w:val="008866E7"/>
    <w:rsid w:val="00894022"/>
    <w:rsid w:val="00896D19"/>
    <w:rsid w:val="008A0685"/>
    <w:rsid w:val="008A1760"/>
    <w:rsid w:val="008A192D"/>
    <w:rsid w:val="008A1B19"/>
    <w:rsid w:val="008A2112"/>
    <w:rsid w:val="008A37A5"/>
    <w:rsid w:val="008A75D7"/>
    <w:rsid w:val="008B0007"/>
    <w:rsid w:val="008B0530"/>
    <w:rsid w:val="008B2A56"/>
    <w:rsid w:val="008B2BF1"/>
    <w:rsid w:val="008B3024"/>
    <w:rsid w:val="008B30B7"/>
    <w:rsid w:val="008B413F"/>
    <w:rsid w:val="008B4C15"/>
    <w:rsid w:val="008B5E37"/>
    <w:rsid w:val="008B6821"/>
    <w:rsid w:val="008C3574"/>
    <w:rsid w:val="008C46C0"/>
    <w:rsid w:val="008C6A4A"/>
    <w:rsid w:val="008C72EA"/>
    <w:rsid w:val="008C743A"/>
    <w:rsid w:val="008C74A1"/>
    <w:rsid w:val="008C771C"/>
    <w:rsid w:val="008D1ACA"/>
    <w:rsid w:val="008D3141"/>
    <w:rsid w:val="008D499A"/>
    <w:rsid w:val="008D4CB2"/>
    <w:rsid w:val="008D6528"/>
    <w:rsid w:val="008D6DFB"/>
    <w:rsid w:val="008D7EB5"/>
    <w:rsid w:val="008E12E4"/>
    <w:rsid w:val="008E5EBB"/>
    <w:rsid w:val="008E7986"/>
    <w:rsid w:val="008F1005"/>
    <w:rsid w:val="008F10D7"/>
    <w:rsid w:val="008F1D2C"/>
    <w:rsid w:val="008F31F1"/>
    <w:rsid w:val="008F53D8"/>
    <w:rsid w:val="008F547D"/>
    <w:rsid w:val="0090045C"/>
    <w:rsid w:val="0090139F"/>
    <w:rsid w:val="00903BE1"/>
    <w:rsid w:val="00905BB4"/>
    <w:rsid w:val="00911502"/>
    <w:rsid w:val="00911DEC"/>
    <w:rsid w:val="00911E98"/>
    <w:rsid w:val="0091353E"/>
    <w:rsid w:val="00915222"/>
    <w:rsid w:val="00917D4E"/>
    <w:rsid w:val="00920305"/>
    <w:rsid w:val="0092078D"/>
    <w:rsid w:val="00921306"/>
    <w:rsid w:val="009216D5"/>
    <w:rsid w:val="00921C2E"/>
    <w:rsid w:val="009220F0"/>
    <w:rsid w:val="00930C15"/>
    <w:rsid w:val="00933FE1"/>
    <w:rsid w:val="00934840"/>
    <w:rsid w:val="00934B7E"/>
    <w:rsid w:val="00936832"/>
    <w:rsid w:val="009370BB"/>
    <w:rsid w:val="00940D8F"/>
    <w:rsid w:val="00944ADB"/>
    <w:rsid w:val="0094534C"/>
    <w:rsid w:val="00945C60"/>
    <w:rsid w:val="00946AB5"/>
    <w:rsid w:val="009479CB"/>
    <w:rsid w:val="0095138A"/>
    <w:rsid w:val="009528C6"/>
    <w:rsid w:val="0095535F"/>
    <w:rsid w:val="00960A4E"/>
    <w:rsid w:val="00962D3B"/>
    <w:rsid w:val="009652E1"/>
    <w:rsid w:val="00966A48"/>
    <w:rsid w:val="009721C9"/>
    <w:rsid w:val="009724B7"/>
    <w:rsid w:val="009736FE"/>
    <w:rsid w:val="0097421B"/>
    <w:rsid w:val="009756EF"/>
    <w:rsid w:val="0097582F"/>
    <w:rsid w:val="00975C80"/>
    <w:rsid w:val="0097762C"/>
    <w:rsid w:val="009776E5"/>
    <w:rsid w:val="00981DB6"/>
    <w:rsid w:val="0098451E"/>
    <w:rsid w:val="00990C6D"/>
    <w:rsid w:val="009920BA"/>
    <w:rsid w:val="009930AF"/>
    <w:rsid w:val="0099319C"/>
    <w:rsid w:val="009A05CA"/>
    <w:rsid w:val="009A0BBC"/>
    <w:rsid w:val="009A10D3"/>
    <w:rsid w:val="009A2C89"/>
    <w:rsid w:val="009A377E"/>
    <w:rsid w:val="009A3D68"/>
    <w:rsid w:val="009A4F64"/>
    <w:rsid w:val="009A6391"/>
    <w:rsid w:val="009B4247"/>
    <w:rsid w:val="009B5E56"/>
    <w:rsid w:val="009B6B67"/>
    <w:rsid w:val="009B747D"/>
    <w:rsid w:val="009B7528"/>
    <w:rsid w:val="009C1158"/>
    <w:rsid w:val="009C1A58"/>
    <w:rsid w:val="009C220D"/>
    <w:rsid w:val="009C2E6E"/>
    <w:rsid w:val="009C2FEB"/>
    <w:rsid w:val="009C3E37"/>
    <w:rsid w:val="009C3FF9"/>
    <w:rsid w:val="009C4CF6"/>
    <w:rsid w:val="009C5FB7"/>
    <w:rsid w:val="009C602F"/>
    <w:rsid w:val="009C6FDA"/>
    <w:rsid w:val="009D1699"/>
    <w:rsid w:val="009D3765"/>
    <w:rsid w:val="009D427F"/>
    <w:rsid w:val="009D498E"/>
    <w:rsid w:val="009D59D5"/>
    <w:rsid w:val="009D792D"/>
    <w:rsid w:val="009D79D7"/>
    <w:rsid w:val="009E228F"/>
    <w:rsid w:val="009E3A44"/>
    <w:rsid w:val="009E3F8A"/>
    <w:rsid w:val="009E5D80"/>
    <w:rsid w:val="009F0A67"/>
    <w:rsid w:val="009F1F47"/>
    <w:rsid w:val="009F2A5E"/>
    <w:rsid w:val="009F6B20"/>
    <w:rsid w:val="009F70FD"/>
    <w:rsid w:val="00A0025F"/>
    <w:rsid w:val="00A021B3"/>
    <w:rsid w:val="00A045B6"/>
    <w:rsid w:val="00A05095"/>
    <w:rsid w:val="00A074B6"/>
    <w:rsid w:val="00A077B7"/>
    <w:rsid w:val="00A112FD"/>
    <w:rsid w:val="00A12184"/>
    <w:rsid w:val="00A1264D"/>
    <w:rsid w:val="00A15341"/>
    <w:rsid w:val="00A15402"/>
    <w:rsid w:val="00A16641"/>
    <w:rsid w:val="00A16D72"/>
    <w:rsid w:val="00A170AE"/>
    <w:rsid w:val="00A20645"/>
    <w:rsid w:val="00A2257F"/>
    <w:rsid w:val="00A24392"/>
    <w:rsid w:val="00A3009D"/>
    <w:rsid w:val="00A30CCD"/>
    <w:rsid w:val="00A317FD"/>
    <w:rsid w:val="00A31B53"/>
    <w:rsid w:val="00A335C6"/>
    <w:rsid w:val="00A33E24"/>
    <w:rsid w:val="00A359CA"/>
    <w:rsid w:val="00A40E92"/>
    <w:rsid w:val="00A42A89"/>
    <w:rsid w:val="00A44925"/>
    <w:rsid w:val="00A50978"/>
    <w:rsid w:val="00A50B47"/>
    <w:rsid w:val="00A514BC"/>
    <w:rsid w:val="00A52FF5"/>
    <w:rsid w:val="00A54645"/>
    <w:rsid w:val="00A54C83"/>
    <w:rsid w:val="00A57184"/>
    <w:rsid w:val="00A605AD"/>
    <w:rsid w:val="00A60933"/>
    <w:rsid w:val="00A61072"/>
    <w:rsid w:val="00A61462"/>
    <w:rsid w:val="00A627EB"/>
    <w:rsid w:val="00A63432"/>
    <w:rsid w:val="00A63CCC"/>
    <w:rsid w:val="00A6451F"/>
    <w:rsid w:val="00A70045"/>
    <w:rsid w:val="00A71C09"/>
    <w:rsid w:val="00A7249A"/>
    <w:rsid w:val="00A74421"/>
    <w:rsid w:val="00A74633"/>
    <w:rsid w:val="00A75458"/>
    <w:rsid w:val="00A75C4C"/>
    <w:rsid w:val="00A7656E"/>
    <w:rsid w:val="00A811D5"/>
    <w:rsid w:val="00A816D7"/>
    <w:rsid w:val="00A832DD"/>
    <w:rsid w:val="00A832F0"/>
    <w:rsid w:val="00A8646A"/>
    <w:rsid w:val="00A902F0"/>
    <w:rsid w:val="00A969E1"/>
    <w:rsid w:val="00A96E4A"/>
    <w:rsid w:val="00A9708B"/>
    <w:rsid w:val="00AA1039"/>
    <w:rsid w:val="00AA1B3F"/>
    <w:rsid w:val="00AA1FB7"/>
    <w:rsid w:val="00AA3A5F"/>
    <w:rsid w:val="00AA5DFC"/>
    <w:rsid w:val="00AA6702"/>
    <w:rsid w:val="00AA7F3E"/>
    <w:rsid w:val="00AB2CB3"/>
    <w:rsid w:val="00AB3189"/>
    <w:rsid w:val="00AB3440"/>
    <w:rsid w:val="00AC047F"/>
    <w:rsid w:val="00AC1621"/>
    <w:rsid w:val="00AC2BC9"/>
    <w:rsid w:val="00AC2DF9"/>
    <w:rsid w:val="00AC3C17"/>
    <w:rsid w:val="00AC5D7C"/>
    <w:rsid w:val="00AC7581"/>
    <w:rsid w:val="00AC782D"/>
    <w:rsid w:val="00AD08F1"/>
    <w:rsid w:val="00AD0B44"/>
    <w:rsid w:val="00AD39AD"/>
    <w:rsid w:val="00AD534F"/>
    <w:rsid w:val="00AD6190"/>
    <w:rsid w:val="00AE0B8E"/>
    <w:rsid w:val="00AE1A70"/>
    <w:rsid w:val="00AE3732"/>
    <w:rsid w:val="00AE3AC7"/>
    <w:rsid w:val="00AE3B49"/>
    <w:rsid w:val="00AE4849"/>
    <w:rsid w:val="00AE53EB"/>
    <w:rsid w:val="00AE6642"/>
    <w:rsid w:val="00AE6C4E"/>
    <w:rsid w:val="00AF0F35"/>
    <w:rsid w:val="00AF0F8A"/>
    <w:rsid w:val="00AF1C29"/>
    <w:rsid w:val="00AF1FAB"/>
    <w:rsid w:val="00AF4865"/>
    <w:rsid w:val="00AF4CC7"/>
    <w:rsid w:val="00AF77FB"/>
    <w:rsid w:val="00B0005D"/>
    <w:rsid w:val="00B006B4"/>
    <w:rsid w:val="00B00A33"/>
    <w:rsid w:val="00B02AE4"/>
    <w:rsid w:val="00B04921"/>
    <w:rsid w:val="00B05C01"/>
    <w:rsid w:val="00B076D7"/>
    <w:rsid w:val="00B10E82"/>
    <w:rsid w:val="00B113A5"/>
    <w:rsid w:val="00B11BBA"/>
    <w:rsid w:val="00B13386"/>
    <w:rsid w:val="00B14E41"/>
    <w:rsid w:val="00B153CC"/>
    <w:rsid w:val="00B16051"/>
    <w:rsid w:val="00B22710"/>
    <w:rsid w:val="00B259A3"/>
    <w:rsid w:val="00B2782C"/>
    <w:rsid w:val="00B309F9"/>
    <w:rsid w:val="00B31BC4"/>
    <w:rsid w:val="00B31D2A"/>
    <w:rsid w:val="00B33129"/>
    <w:rsid w:val="00B34F84"/>
    <w:rsid w:val="00B35DED"/>
    <w:rsid w:val="00B369AA"/>
    <w:rsid w:val="00B37A94"/>
    <w:rsid w:val="00B37C05"/>
    <w:rsid w:val="00B44809"/>
    <w:rsid w:val="00B45142"/>
    <w:rsid w:val="00B4519B"/>
    <w:rsid w:val="00B453D7"/>
    <w:rsid w:val="00B508A8"/>
    <w:rsid w:val="00B5255E"/>
    <w:rsid w:val="00B534EF"/>
    <w:rsid w:val="00B5413F"/>
    <w:rsid w:val="00B54479"/>
    <w:rsid w:val="00B56A67"/>
    <w:rsid w:val="00B57B8B"/>
    <w:rsid w:val="00B6001B"/>
    <w:rsid w:val="00B60058"/>
    <w:rsid w:val="00B6054A"/>
    <w:rsid w:val="00B625A1"/>
    <w:rsid w:val="00B6357F"/>
    <w:rsid w:val="00B6392D"/>
    <w:rsid w:val="00B64048"/>
    <w:rsid w:val="00B655A3"/>
    <w:rsid w:val="00B660A7"/>
    <w:rsid w:val="00B73B49"/>
    <w:rsid w:val="00B7536D"/>
    <w:rsid w:val="00B765D5"/>
    <w:rsid w:val="00B76867"/>
    <w:rsid w:val="00B8088C"/>
    <w:rsid w:val="00B81021"/>
    <w:rsid w:val="00B82AF6"/>
    <w:rsid w:val="00B82DE9"/>
    <w:rsid w:val="00B8764C"/>
    <w:rsid w:val="00B90FB9"/>
    <w:rsid w:val="00B911E5"/>
    <w:rsid w:val="00B96340"/>
    <w:rsid w:val="00B9691D"/>
    <w:rsid w:val="00BA0662"/>
    <w:rsid w:val="00BA29DD"/>
    <w:rsid w:val="00BA34B9"/>
    <w:rsid w:val="00BA7785"/>
    <w:rsid w:val="00BB759E"/>
    <w:rsid w:val="00BC0511"/>
    <w:rsid w:val="00BC4D60"/>
    <w:rsid w:val="00BC73EC"/>
    <w:rsid w:val="00BD0528"/>
    <w:rsid w:val="00BD26CF"/>
    <w:rsid w:val="00BD2AD1"/>
    <w:rsid w:val="00BD2DDD"/>
    <w:rsid w:val="00BD34A4"/>
    <w:rsid w:val="00BD6539"/>
    <w:rsid w:val="00BD75F3"/>
    <w:rsid w:val="00BD7E8B"/>
    <w:rsid w:val="00BE229B"/>
    <w:rsid w:val="00BE32F3"/>
    <w:rsid w:val="00BE4612"/>
    <w:rsid w:val="00BE7412"/>
    <w:rsid w:val="00BF4680"/>
    <w:rsid w:val="00BF5214"/>
    <w:rsid w:val="00C0075C"/>
    <w:rsid w:val="00C00F7D"/>
    <w:rsid w:val="00C0540C"/>
    <w:rsid w:val="00C057A4"/>
    <w:rsid w:val="00C11BD4"/>
    <w:rsid w:val="00C13098"/>
    <w:rsid w:val="00C1707F"/>
    <w:rsid w:val="00C205BB"/>
    <w:rsid w:val="00C2220A"/>
    <w:rsid w:val="00C2564E"/>
    <w:rsid w:val="00C26B0F"/>
    <w:rsid w:val="00C27F3E"/>
    <w:rsid w:val="00C30B9C"/>
    <w:rsid w:val="00C354E7"/>
    <w:rsid w:val="00C35817"/>
    <w:rsid w:val="00C35819"/>
    <w:rsid w:val="00C3624E"/>
    <w:rsid w:val="00C3684C"/>
    <w:rsid w:val="00C402AE"/>
    <w:rsid w:val="00C416DE"/>
    <w:rsid w:val="00C41F2D"/>
    <w:rsid w:val="00C44CAD"/>
    <w:rsid w:val="00C45A80"/>
    <w:rsid w:val="00C45FB6"/>
    <w:rsid w:val="00C5469A"/>
    <w:rsid w:val="00C5533D"/>
    <w:rsid w:val="00C5671E"/>
    <w:rsid w:val="00C56D08"/>
    <w:rsid w:val="00C57541"/>
    <w:rsid w:val="00C630C6"/>
    <w:rsid w:val="00C6657F"/>
    <w:rsid w:val="00C66FCA"/>
    <w:rsid w:val="00C676E2"/>
    <w:rsid w:val="00C72FA9"/>
    <w:rsid w:val="00C73331"/>
    <w:rsid w:val="00C74A0B"/>
    <w:rsid w:val="00C76E16"/>
    <w:rsid w:val="00C839AC"/>
    <w:rsid w:val="00C8406C"/>
    <w:rsid w:val="00C84A3A"/>
    <w:rsid w:val="00C84B32"/>
    <w:rsid w:val="00C86442"/>
    <w:rsid w:val="00C86502"/>
    <w:rsid w:val="00C87788"/>
    <w:rsid w:val="00C87B0E"/>
    <w:rsid w:val="00C91034"/>
    <w:rsid w:val="00C93C7D"/>
    <w:rsid w:val="00C949AA"/>
    <w:rsid w:val="00C96C3E"/>
    <w:rsid w:val="00CA1BF5"/>
    <w:rsid w:val="00CA1F31"/>
    <w:rsid w:val="00CA2E14"/>
    <w:rsid w:val="00CA3693"/>
    <w:rsid w:val="00CA3771"/>
    <w:rsid w:val="00CA3ECE"/>
    <w:rsid w:val="00CA49CB"/>
    <w:rsid w:val="00CA4A9B"/>
    <w:rsid w:val="00CA5499"/>
    <w:rsid w:val="00CA5932"/>
    <w:rsid w:val="00CA5DBB"/>
    <w:rsid w:val="00CA5F5B"/>
    <w:rsid w:val="00CA6274"/>
    <w:rsid w:val="00CA6E2C"/>
    <w:rsid w:val="00CB0B30"/>
    <w:rsid w:val="00CB0CFC"/>
    <w:rsid w:val="00CB6013"/>
    <w:rsid w:val="00CC28CA"/>
    <w:rsid w:val="00CC5619"/>
    <w:rsid w:val="00CC5B80"/>
    <w:rsid w:val="00CC6B10"/>
    <w:rsid w:val="00CD10AE"/>
    <w:rsid w:val="00CD592F"/>
    <w:rsid w:val="00CD7A30"/>
    <w:rsid w:val="00CE0615"/>
    <w:rsid w:val="00CE3B91"/>
    <w:rsid w:val="00CE44C5"/>
    <w:rsid w:val="00CE4F20"/>
    <w:rsid w:val="00CE6866"/>
    <w:rsid w:val="00CE728E"/>
    <w:rsid w:val="00CE7D7F"/>
    <w:rsid w:val="00CF03E3"/>
    <w:rsid w:val="00CF14D4"/>
    <w:rsid w:val="00CF3334"/>
    <w:rsid w:val="00CF3757"/>
    <w:rsid w:val="00D01170"/>
    <w:rsid w:val="00D07535"/>
    <w:rsid w:val="00D130DF"/>
    <w:rsid w:val="00D137D6"/>
    <w:rsid w:val="00D151C1"/>
    <w:rsid w:val="00D158E8"/>
    <w:rsid w:val="00D15DD1"/>
    <w:rsid w:val="00D16113"/>
    <w:rsid w:val="00D163A4"/>
    <w:rsid w:val="00D170B7"/>
    <w:rsid w:val="00D20D93"/>
    <w:rsid w:val="00D214B3"/>
    <w:rsid w:val="00D22A42"/>
    <w:rsid w:val="00D238FD"/>
    <w:rsid w:val="00D23B57"/>
    <w:rsid w:val="00D24705"/>
    <w:rsid w:val="00D24904"/>
    <w:rsid w:val="00D24F01"/>
    <w:rsid w:val="00D25436"/>
    <w:rsid w:val="00D26305"/>
    <w:rsid w:val="00D350CC"/>
    <w:rsid w:val="00D35C14"/>
    <w:rsid w:val="00D378FB"/>
    <w:rsid w:val="00D37D5F"/>
    <w:rsid w:val="00D4011A"/>
    <w:rsid w:val="00D42D36"/>
    <w:rsid w:val="00D44200"/>
    <w:rsid w:val="00D44E42"/>
    <w:rsid w:val="00D47FC4"/>
    <w:rsid w:val="00D533D0"/>
    <w:rsid w:val="00D53C87"/>
    <w:rsid w:val="00D5560F"/>
    <w:rsid w:val="00D6065C"/>
    <w:rsid w:val="00D61F36"/>
    <w:rsid w:val="00D624DD"/>
    <w:rsid w:val="00D6289D"/>
    <w:rsid w:val="00D65475"/>
    <w:rsid w:val="00D656FF"/>
    <w:rsid w:val="00D65F6C"/>
    <w:rsid w:val="00D6693D"/>
    <w:rsid w:val="00D673F6"/>
    <w:rsid w:val="00D71344"/>
    <w:rsid w:val="00D7305E"/>
    <w:rsid w:val="00D769BE"/>
    <w:rsid w:val="00D76CBE"/>
    <w:rsid w:val="00D7734B"/>
    <w:rsid w:val="00D773BA"/>
    <w:rsid w:val="00D77559"/>
    <w:rsid w:val="00D819F7"/>
    <w:rsid w:val="00D821A4"/>
    <w:rsid w:val="00D82277"/>
    <w:rsid w:val="00D8242A"/>
    <w:rsid w:val="00D82E95"/>
    <w:rsid w:val="00D84C5F"/>
    <w:rsid w:val="00D84FFC"/>
    <w:rsid w:val="00D85813"/>
    <w:rsid w:val="00D86B9E"/>
    <w:rsid w:val="00D922DE"/>
    <w:rsid w:val="00D93050"/>
    <w:rsid w:val="00D93666"/>
    <w:rsid w:val="00D938F2"/>
    <w:rsid w:val="00D94A35"/>
    <w:rsid w:val="00D95096"/>
    <w:rsid w:val="00D956B6"/>
    <w:rsid w:val="00D96CD9"/>
    <w:rsid w:val="00DA2062"/>
    <w:rsid w:val="00DA391F"/>
    <w:rsid w:val="00DA3A3D"/>
    <w:rsid w:val="00DA4562"/>
    <w:rsid w:val="00DA48A9"/>
    <w:rsid w:val="00DA710C"/>
    <w:rsid w:val="00DA78D2"/>
    <w:rsid w:val="00DB0004"/>
    <w:rsid w:val="00DB079F"/>
    <w:rsid w:val="00DB2120"/>
    <w:rsid w:val="00DB2906"/>
    <w:rsid w:val="00DB3492"/>
    <w:rsid w:val="00DB4511"/>
    <w:rsid w:val="00DB5865"/>
    <w:rsid w:val="00DB61E7"/>
    <w:rsid w:val="00DB6351"/>
    <w:rsid w:val="00DB64E2"/>
    <w:rsid w:val="00DB7EF7"/>
    <w:rsid w:val="00DD150D"/>
    <w:rsid w:val="00DD45BC"/>
    <w:rsid w:val="00DD59C3"/>
    <w:rsid w:val="00DD6DC2"/>
    <w:rsid w:val="00DD7051"/>
    <w:rsid w:val="00DD7D10"/>
    <w:rsid w:val="00DE09B6"/>
    <w:rsid w:val="00DE0D97"/>
    <w:rsid w:val="00DE247E"/>
    <w:rsid w:val="00DE6042"/>
    <w:rsid w:val="00DE609B"/>
    <w:rsid w:val="00DE72DA"/>
    <w:rsid w:val="00DF07BA"/>
    <w:rsid w:val="00DF136E"/>
    <w:rsid w:val="00DF16A2"/>
    <w:rsid w:val="00DF1855"/>
    <w:rsid w:val="00DF1FB7"/>
    <w:rsid w:val="00DF2321"/>
    <w:rsid w:val="00DF3441"/>
    <w:rsid w:val="00DF3FCC"/>
    <w:rsid w:val="00DF473E"/>
    <w:rsid w:val="00DF4BAC"/>
    <w:rsid w:val="00DF50C2"/>
    <w:rsid w:val="00DF7EE9"/>
    <w:rsid w:val="00E04EA4"/>
    <w:rsid w:val="00E06EAA"/>
    <w:rsid w:val="00E07294"/>
    <w:rsid w:val="00E10040"/>
    <w:rsid w:val="00E10CEF"/>
    <w:rsid w:val="00E12B2C"/>
    <w:rsid w:val="00E12FE7"/>
    <w:rsid w:val="00E132E9"/>
    <w:rsid w:val="00E13E5B"/>
    <w:rsid w:val="00E13E9C"/>
    <w:rsid w:val="00E14396"/>
    <w:rsid w:val="00E15134"/>
    <w:rsid w:val="00E1538E"/>
    <w:rsid w:val="00E15BE9"/>
    <w:rsid w:val="00E2122F"/>
    <w:rsid w:val="00E21E9E"/>
    <w:rsid w:val="00E25510"/>
    <w:rsid w:val="00E25747"/>
    <w:rsid w:val="00E26FC7"/>
    <w:rsid w:val="00E30180"/>
    <w:rsid w:val="00E30212"/>
    <w:rsid w:val="00E31AB0"/>
    <w:rsid w:val="00E34EB4"/>
    <w:rsid w:val="00E354B1"/>
    <w:rsid w:val="00E35E76"/>
    <w:rsid w:val="00E36B90"/>
    <w:rsid w:val="00E37386"/>
    <w:rsid w:val="00E41B51"/>
    <w:rsid w:val="00E41B9A"/>
    <w:rsid w:val="00E420DA"/>
    <w:rsid w:val="00E4272C"/>
    <w:rsid w:val="00E43E65"/>
    <w:rsid w:val="00E43F5D"/>
    <w:rsid w:val="00E4473A"/>
    <w:rsid w:val="00E45C74"/>
    <w:rsid w:val="00E45D7B"/>
    <w:rsid w:val="00E464EC"/>
    <w:rsid w:val="00E52356"/>
    <w:rsid w:val="00E53B92"/>
    <w:rsid w:val="00E54B26"/>
    <w:rsid w:val="00E54DA0"/>
    <w:rsid w:val="00E5603A"/>
    <w:rsid w:val="00E575F7"/>
    <w:rsid w:val="00E61B47"/>
    <w:rsid w:val="00E62E0A"/>
    <w:rsid w:val="00E63141"/>
    <w:rsid w:val="00E63ED7"/>
    <w:rsid w:val="00E6431B"/>
    <w:rsid w:val="00E6614F"/>
    <w:rsid w:val="00E66306"/>
    <w:rsid w:val="00E66C7D"/>
    <w:rsid w:val="00E67EF9"/>
    <w:rsid w:val="00E72771"/>
    <w:rsid w:val="00E72CA7"/>
    <w:rsid w:val="00E749D8"/>
    <w:rsid w:val="00E80CBA"/>
    <w:rsid w:val="00E81019"/>
    <w:rsid w:val="00E81850"/>
    <w:rsid w:val="00E82664"/>
    <w:rsid w:val="00E839BA"/>
    <w:rsid w:val="00E84C4C"/>
    <w:rsid w:val="00E84D6A"/>
    <w:rsid w:val="00E85126"/>
    <w:rsid w:val="00E858FF"/>
    <w:rsid w:val="00E85C4E"/>
    <w:rsid w:val="00E92110"/>
    <w:rsid w:val="00E93A77"/>
    <w:rsid w:val="00E94FF8"/>
    <w:rsid w:val="00E961C7"/>
    <w:rsid w:val="00EA0443"/>
    <w:rsid w:val="00EA18A6"/>
    <w:rsid w:val="00EA415A"/>
    <w:rsid w:val="00EA569B"/>
    <w:rsid w:val="00EA696F"/>
    <w:rsid w:val="00EA6F14"/>
    <w:rsid w:val="00EA7F2F"/>
    <w:rsid w:val="00EB52BC"/>
    <w:rsid w:val="00EB6511"/>
    <w:rsid w:val="00EB6AF8"/>
    <w:rsid w:val="00EC11B5"/>
    <w:rsid w:val="00EC12E4"/>
    <w:rsid w:val="00EC14F5"/>
    <w:rsid w:val="00EC19CC"/>
    <w:rsid w:val="00EC3D1D"/>
    <w:rsid w:val="00EC5BDE"/>
    <w:rsid w:val="00EC6B0A"/>
    <w:rsid w:val="00EC6B58"/>
    <w:rsid w:val="00EC76EA"/>
    <w:rsid w:val="00ED2BA6"/>
    <w:rsid w:val="00ED2C95"/>
    <w:rsid w:val="00ED3531"/>
    <w:rsid w:val="00ED59EF"/>
    <w:rsid w:val="00ED62A7"/>
    <w:rsid w:val="00ED6C25"/>
    <w:rsid w:val="00ED78DE"/>
    <w:rsid w:val="00ED7A55"/>
    <w:rsid w:val="00EE46E3"/>
    <w:rsid w:val="00EE5105"/>
    <w:rsid w:val="00EE517C"/>
    <w:rsid w:val="00EE5FC8"/>
    <w:rsid w:val="00EF2B9C"/>
    <w:rsid w:val="00EF525B"/>
    <w:rsid w:val="00EF56D3"/>
    <w:rsid w:val="00EF5F48"/>
    <w:rsid w:val="00EF65AF"/>
    <w:rsid w:val="00F0036A"/>
    <w:rsid w:val="00F0085A"/>
    <w:rsid w:val="00F00D34"/>
    <w:rsid w:val="00F064EA"/>
    <w:rsid w:val="00F11338"/>
    <w:rsid w:val="00F11F8E"/>
    <w:rsid w:val="00F12CC7"/>
    <w:rsid w:val="00F12E36"/>
    <w:rsid w:val="00F12F6A"/>
    <w:rsid w:val="00F1371F"/>
    <w:rsid w:val="00F154CA"/>
    <w:rsid w:val="00F1607A"/>
    <w:rsid w:val="00F17A51"/>
    <w:rsid w:val="00F20CBD"/>
    <w:rsid w:val="00F20F5D"/>
    <w:rsid w:val="00F26806"/>
    <w:rsid w:val="00F323B7"/>
    <w:rsid w:val="00F32544"/>
    <w:rsid w:val="00F3287C"/>
    <w:rsid w:val="00F379A7"/>
    <w:rsid w:val="00F417B1"/>
    <w:rsid w:val="00F427A4"/>
    <w:rsid w:val="00F43E49"/>
    <w:rsid w:val="00F43E56"/>
    <w:rsid w:val="00F447EC"/>
    <w:rsid w:val="00F454C8"/>
    <w:rsid w:val="00F46C2A"/>
    <w:rsid w:val="00F4788C"/>
    <w:rsid w:val="00F501AF"/>
    <w:rsid w:val="00F51E41"/>
    <w:rsid w:val="00F524F9"/>
    <w:rsid w:val="00F546B4"/>
    <w:rsid w:val="00F54B77"/>
    <w:rsid w:val="00F54E17"/>
    <w:rsid w:val="00F5639E"/>
    <w:rsid w:val="00F601F1"/>
    <w:rsid w:val="00F634D9"/>
    <w:rsid w:val="00F6663C"/>
    <w:rsid w:val="00F672DF"/>
    <w:rsid w:val="00F6742C"/>
    <w:rsid w:val="00F676F1"/>
    <w:rsid w:val="00F702CD"/>
    <w:rsid w:val="00F70406"/>
    <w:rsid w:val="00F74136"/>
    <w:rsid w:val="00F81DF1"/>
    <w:rsid w:val="00F8400E"/>
    <w:rsid w:val="00F858F8"/>
    <w:rsid w:val="00F86F10"/>
    <w:rsid w:val="00F87FA8"/>
    <w:rsid w:val="00F92F2C"/>
    <w:rsid w:val="00F9314B"/>
    <w:rsid w:val="00F933EF"/>
    <w:rsid w:val="00F93F92"/>
    <w:rsid w:val="00F94FBC"/>
    <w:rsid w:val="00F95DEB"/>
    <w:rsid w:val="00FA0640"/>
    <w:rsid w:val="00FA2A23"/>
    <w:rsid w:val="00FA376B"/>
    <w:rsid w:val="00FA4116"/>
    <w:rsid w:val="00FA4EDE"/>
    <w:rsid w:val="00FA6B5F"/>
    <w:rsid w:val="00FA6BCE"/>
    <w:rsid w:val="00FA72B4"/>
    <w:rsid w:val="00FB02C4"/>
    <w:rsid w:val="00FB075A"/>
    <w:rsid w:val="00FB2D2C"/>
    <w:rsid w:val="00FB3182"/>
    <w:rsid w:val="00FB4E17"/>
    <w:rsid w:val="00FC218F"/>
    <w:rsid w:val="00FC38E7"/>
    <w:rsid w:val="00FC6B0B"/>
    <w:rsid w:val="00FD29E8"/>
    <w:rsid w:val="00FD2D1D"/>
    <w:rsid w:val="00FD2E28"/>
    <w:rsid w:val="00FD3658"/>
    <w:rsid w:val="00FD36B3"/>
    <w:rsid w:val="00FD388B"/>
    <w:rsid w:val="00FD5093"/>
    <w:rsid w:val="00FD62CA"/>
    <w:rsid w:val="00FD6906"/>
    <w:rsid w:val="00FD7D50"/>
    <w:rsid w:val="00FE0254"/>
    <w:rsid w:val="00FE0773"/>
    <w:rsid w:val="00FE2658"/>
    <w:rsid w:val="00FE3990"/>
    <w:rsid w:val="00FE4182"/>
    <w:rsid w:val="00FE6287"/>
    <w:rsid w:val="00FE6AB7"/>
    <w:rsid w:val="00FE7D81"/>
    <w:rsid w:val="00FF1138"/>
    <w:rsid w:val="00FF2C70"/>
    <w:rsid w:val="00FF3A1F"/>
    <w:rsid w:val="00FF3F5B"/>
    <w:rsid w:val="00FF4A49"/>
    <w:rsid w:val="00FF4DE1"/>
    <w:rsid w:val="00FF5F4D"/>
    <w:rsid w:val="00FF6FC8"/>
    <w:rsid w:val="00FF72E2"/>
    <w:rsid w:val="00FF789C"/>
    <w:rsid w:val="017264CA"/>
    <w:rsid w:val="01984B23"/>
    <w:rsid w:val="01A85D51"/>
    <w:rsid w:val="01CE3A0A"/>
    <w:rsid w:val="025C4DA7"/>
    <w:rsid w:val="02685C0C"/>
    <w:rsid w:val="02E35293"/>
    <w:rsid w:val="030C5137"/>
    <w:rsid w:val="031C3871"/>
    <w:rsid w:val="032456CC"/>
    <w:rsid w:val="03360DC4"/>
    <w:rsid w:val="036E5EBF"/>
    <w:rsid w:val="039119BF"/>
    <w:rsid w:val="042C3A16"/>
    <w:rsid w:val="043D4E77"/>
    <w:rsid w:val="045126D0"/>
    <w:rsid w:val="04801CC7"/>
    <w:rsid w:val="04846602"/>
    <w:rsid w:val="049A4077"/>
    <w:rsid w:val="04FE63B4"/>
    <w:rsid w:val="052027CE"/>
    <w:rsid w:val="05461B09"/>
    <w:rsid w:val="056401E1"/>
    <w:rsid w:val="064222D0"/>
    <w:rsid w:val="06DA4BFF"/>
    <w:rsid w:val="06F07F7E"/>
    <w:rsid w:val="07293490"/>
    <w:rsid w:val="07AA2823"/>
    <w:rsid w:val="081E0B1B"/>
    <w:rsid w:val="083B791F"/>
    <w:rsid w:val="086C5D2B"/>
    <w:rsid w:val="087D1CE6"/>
    <w:rsid w:val="08E81855"/>
    <w:rsid w:val="09037352"/>
    <w:rsid w:val="091C029C"/>
    <w:rsid w:val="09322AD0"/>
    <w:rsid w:val="099C43EE"/>
    <w:rsid w:val="09AB2883"/>
    <w:rsid w:val="09D156CD"/>
    <w:rsid w:val="09DA6CC4"/>
    <w:rsid w:val="0A00361B"/>
    <w:rsid w:val="0A0C1573"/>
    <w:rsid w:val="0A3A15D0"/>
    <w:rsid w:val="0A42052C"/>
    <w:rsid w:val="0A83110A"/>
    <w:rsid w:val="0A8B50FB"/>
    <w:rsid w:val="0A9D21CB"/>
    <w:rsid w:val="0B492353"/>
    <w:rsid w:val="0B9C3825"/>
    <w:rsid w:val="0C5114BF"/>
    <w:rsid w:val="0CA912FB"/>
    <w:rsid w:val="0CD36378"/>
    <w:rsid w:val="0CF14A50"/>
    <w:rsid w:val="0D04775A"/>
    <w:rsid w:val="0D1150F2"/>
    <w:rsid w:val="0D6D5138"/>
    <w:rsid w:val="0D9F0A63"/>
    <w:rsid w:val="0DBE1A50"/>
    <w:rsid w:val="0DC36A25"/>
    <w:rsid w:val="0DF5231E"/>
    <w:rsid w:val="0E0B1B42"/>
    <w:rsid w:val="0E1924B1"/>
    <w:rsid w:val="0E2449B2"/>
    <w:rsid w:val="0E303356"/>
    <w:rsid w:val="0E377879"/>
    <w:rsid w:val="0EB14497"/>
    <w:rsid w:val="0EB421D9"/>
    <w:rsid w:val="0F182768"/>
    <w:rsid w:val="0F212E80"/>
    <w:rsid w:val="0F554A6D"/>
    <w:rsid w:val="0FA933C0"/>
    <w:rsid w:val="0FBA381F"/>
    <w:rsid w:val="0FBD50BE"/>
    <w:rsid w:val="1074577C"/>
    <w:rsid w:val="10AA5642"/>
    <w:rsid w:val="11D0732A"/>
    <w:rsid w:val="12093E91"/>
    <w:rsid w:val="12475522"/>
    <w:rsid w:val="12844F29"/>
    <w:rsid w:val="12B207DE"/>
    <w:rsid w:val="12BD660D"/>
    <w:rsid w:val="12EA441C"/>
    <w:rsid w:val="130E2328"/>
    <w:rsid w:val="13294F44"/>
    <w:rsid w:val="1366123E"/>
    <w:rsid w:val="136A730B"/>
    <w:rsid w:val="1380268A"/>
    <w:rsid w:val="13B36E3E"/>
    <w:rsid w:val="13F43E5A"/>
    <w:rsid w:val="13FE7062"/>
    <w:rsid w:val="141C6857"/>
    <w:rsid w:val="14CD18FF"/>
    <w:rsid w:val="152C0D1B"/>
    <w:rsid w:val="15783F61"/>
    <w:rsid w:val="15AF4B05"/>
    <w:rsid w:val="15C91D48"/>
    <w:rsid w:val="1642631D"/>
    <w:rsid w:val="164B3423"/>
    <w:rsid w:val="16C620EA"/>
    <w:rsid w:val="16CB43AA"/>
    <w:rsid w:val="17110FDD"/>
    <w:rsid w:val="17124B39"/>
    <w:rsid w:val="171B2DF6"/>
    <w:rsid w:val="173168C1"/>
    <w:rsid w:val="1768590F"/>
    <w:rsid w:val="18B057C0"/>
    <w:rsid w:val="18C36641"/>
    <w:rsid w:val="18E37943"/>
    <w:rsid w:val="18E722AD"/>
    <w:rsid w:val="197D2D6E"/>
    <w:rsid w:val="1A18186E"/>
    <w:rsid w:val="1A1B4EA0"/>
    <w:rsid w:val="1A4E5290"/>
    <w:rsid w:val="1A5F749D"/>
    <w:rsid w:val="1A757778"/>
    <w:rsid w:val="1A911621"/>
    <w:rsid w:val="1AC9700C"/>
    <w:rsid w:val="1B373F76"/>
    <w:rsid w:val="1B657C4C"/>
    <w:rsid w:val="1B8151F1"/>
    <w:rsid w:val="1C0C5403"/>
    <w:rsid w:val="1C974092"/>
    <w:rsid w:val="1CA0712C"/>
    <w:rsid w:val="1CB02232"/>
    <w:rsid w:val="1CE115D8"/>
    <w:rsid w:val="1D0A7561"/>
    <w:rsid w:val="1D2058DB"/>
    <w:rsid w:val="1DD40180"/>
    <w:rsid w:val="1DFB572F"/>
    <w:rsid w:val="1E76242F"/>
    <w:rsid w:val="1EE53CE9"/>
    <w:rsid w:val="1F283C8B"/>
    <w:rsid w:val="1F92308D"/>
    <w:rsid w:val="1FAD2A59"/>
    <w:rsid w:val="2076109D"/>
    <w:rsid w:val="208F16B6"/>
    <w:rsid w:val="21A47E8B"/>
    <w:rsid w:val="21D249F9"/>
    <w:rsid w:val="22D80C7C"/>
    <w:rsid w:val="22E06CA1"/>
    <w:rsid w:val="238B1303"/>
    <w:rsid w:val="23C12F77"/>
    <w:rsid w:val="245154E7"/>
    <w:rsid w:val="24D34D10"/>
    <w:rsid w:val="24F20F0E"/>
    <w:rsid w:val="253634F0"/>
    <w:rsid w:val="255319AC"/>
    <w:rsid w:val="258059B6"/>
    <w:rsid w:val="261601D3"/>
    <w:rsid w:val="2665408D"/>
    <w:rsid w:val="27233601"/>
    <w:rsid w:val="27324DC3"/>
    <w:rsid w:val="27387582"/>
    <w:rsid w:val="27554250"/>
    <w:rsid w:val="276B56D3"/>
    <w:rsid w:val="28A6098D"/>
    <w:rsid w:val="28A91D3B"/>
    <w:rsid w:val="28B74948"/>
    <w:rsid w:val="29235B3A"/>
    <w:rsid w:val="294D1E33"/>
    <w:rsid w:val="2961371B"/>
    <w:rsid w:val="29A55B78"/>
    <w:rsid w:val="29B33415"/>
    <w:rsid w:val="29F51284"/>
    <w:rsid w:val="2A36189D"/>
    <w:rsid w:val="2A790107"/>
    <w:rsid w:val="2A8E16D9"/>
    <w:rsid w:val="2AE36994"/>
    <w:rsid w:val="2B514BE0"/>
    <w:rsid w:val="2B964CE9"/>
    <w:rsid w:val="2BA54F2C"/>
    <w:rsid w:val="2BC2163A"/>
    <w:rsid w:val="2BCC6CEC"/>
    <w:rsid w:val="2C2F5E8B"/>
    <w:rsid w:val="2C624BCB"/>
    <w:rsid w:val="2C92725E"/>
    <w:rsid w:val="2C990698"/>
    <w:rsid w:val="2C994A91"/>
    <w:rsid w:val="2CEA52EC"/>
    <w:rsid w:val="2CF9108B"/>
    <w:rsid w:val="2D187257"/>
    <w:rsid w:val="2D1E4F96"/>
    <w:rsid w:val="2D5F20C7"/>
    <w:rsid w:val="2E1559AA"/>
    <w:rsid w:val="2E44624B"/>
    <w:rsid w:val="2E531825"/>
    <w:rsid w:val="2EBF4557"/>
    <w:rsid w:val="2EC851B9"/>
    <w:rsid w:val="2F0D19D2"/>
    <w:rsid w:val="2F3E191F"/>
    <w:rsid w:val="2F436F36"/>
    <w:rsid w:val="2F4C0A41"/>
    <w:rsid w:val="2F7E7F6E"/>
    <w:rsid w:val="2F923A19"/>
    <w:rsid w:val="2FE778C1"/>
    <w:rsid w:val="2FF344B8"/>
    <w:rsid w:val="301461DC"/>
    <w:rsid w:val="30275F10"/>
    <w:rsid w:val="302C5C1C"/>
    <w:rsid w:val="30977539"/>
    <w:rsid w:val="30C938DD"/>
    <w:rsid w:val="31235140"/>
    <w:rsid w:val="318C4BC4"/>
    <w:rsid w:val="31AA6DF8"/>
    <w:rsid w:val="321B5F48"/>
    <w:rsid w:val="328E671A"/>
    <w:rsid w:val="32B1065A"/>
    <w:rsid w:val="32B7447E"/>
    <w:rsid w:val="33353039"/>
    <w:rsid w:val="33550FE6"/>
    <w:rsid w:val="34E15227"/>
    <w:rsid w:val="35291B07"/>
    <w:rsid w:val="35380BBF"/>
    <w:rsid w:val="35D22DC1"/>
    <w:rsid w:val="35DA3A24"/>
    <w:rsid w:val="36201D7F"/>
    <w:rsid w:val="3700570C"/>
    <w:rsid w:val="37621F23"/>
    <w:rsid w:val="377F2AD5"/>
    <w:rsid w:val="37A97B52"/>
    <w:rsid w:val="38080D1C"/>
    <w:rsid w:val="383E473E"/>
    <w:rsid w:val="38F1355F"/>
    <w:rsid w:val="39900FC9"/>
    <w:rsid w:val="39B822CE"/>
    <w:rsid w:val="39D54C2E"/>
    <w:rsid w:val="39EE1D4B"/>
    <w:rsid w:val="39EF1994"/>
    <w:rsid w:val="3A4C5988"/>
    <w:rsid w:val="3A6001BA"/>
    <w:rsid w:val="3AD636F1"/>
    <w:rsid w:val="3B673FAC"/>
    <w:rsid w:val="3BAC458A"/>
    <w:rsid w:val="3C601127"/>
    <w:rsid w:val="3CBC20D5"/>
    <w:rsid w:val="3CFB0E50"/>
    <w:rsid w:val="3D491BBB"/>
    <w:rsid w:val="3D612B98"/>
    <w:rsid w:val="3D695DB9"/>
    <w:rsid w:val="3D8902D7"/>
    <w:rsid w:val="3DAB4624"/>
    <w:rsid w:val="3DBF00CF"/>
    <w:rsid w:val="3DDA21DC"/>
    <w:rsid w:val="3E6D7B2B"/>
    <w:rsid w:val="3EF773F5"/>
    <w:rsid w:val="3F142562"/>
    <w:rsid w:val="3F7548EF"/>
    <w:rsid w:val="3F9E57D1"/>
    <w:rsid w:val="3FAE03FB"/>
    <w:rsid w:val="3FB82805"/>
    <w:rsid w:val="3FC84AD1"/>
    <w:rsid w:val="3FF027C2"/>
    <w:rsid w:val="3FF1635C"/>
    <w:rsid w:val="402661E4"/>
    <w:rsid w:val="404269AC"/>
    <w:rsid w:val="411B386E"/>
    <w:rsid w:val="41214BFD"/>
    <w:rsid w:val="419E624E"/>
    <w:rsid w:val="41A15A5D"/>
    <w:rsid w:val="41BE244C"/>
    <w:rsid w:val="42184F4E"/>
    <w:rsid w:val="42332E3A"/>
    <w:rsid w:val="42894808"/>
    <w:rsid w:val="429A0044"/>
    <w:rsid w:val="43171E14"/>
    <w:rsid w:val="431A5FE7"/>
    <w:rsid w:val="43482915"/>
    <w:rsid w:val="434C41B3"/>
    <w:rsid w:val="434F15AD"/>
    <w:rsid w:val="43885B98"/>
    <w:rsid w:val="43EF0FE2"/>
    <w:rsid w:val="443E1DDE"/>
    <w:rsid w:val="44817E8C"/>
    <w:rsid w:val="44B55D88"/>
    <w:rsid w:val="44CE0BF8"/>
    <w:rsid w:val="44D7252F"/>
    <w:rsid w:val="44FD4545"/>
    <w:rsid w:val="45C7769E"/>
    <w:rsid w:val="4624585C"/>
    <w:rsid w:val="463B050F"/>
    <w:rsid w:val="467632F5"/>
    <w:rsid w:val="47013507"/>
    <w:rsid w:val="47C87B80"/>
    <w:rsid w:val="485A0F5D"/>
    <w:rsid w:val="48F0738F"/>
    <w:rsid w:val="48F826E7"/>
    <w:rsid w:val="494D658F"/>
    <w:rsid w:val="49FD78DD"/>
    <w:rsid w:val="4A6A4F1F"/>
    <w:rsid w:val="4A802994"/>
    <w:rsid w:val="4AE051E1"/>
    <w:rsid w:val="4AEE3DA2"/>
    <w:rsid w:val="4AFA2747"/>
    <w:rsid w:val="4B411C82"/>
    <w:rsid w:val="4B425E9C"/>
    <w:rsid w:val="4B553E21"/>
    <w:rsid w:val="4C0F2222"/>
    <w:rsid w:val="4C101AF6"/>
    <w:rsid w:val="4C37199F"/>
    <w:rsid w:val="4C7E73A7"/>
    <w:rsid w:val="4D0B0C3B"/>
    <w:rsid w:val="4D1C3CBA"/>
    <w:rsid w:val="4D7314F9"/>
    <w:rsid w:val="4D87403A"/>
    <w:rsid w:val="4D9D560B"/>
    <w:rsid w:val="4E2D698F"/>
    <w:rsid w:val="4E334223"/>
    <w:rsid w:val="4E3800E7"/>
    <w:rsid w:val="4E3969D9"/>
    <w:rsid w:val="4E593C28"/>
    <w:rsid w:val="4E5E4D9B"/>
    <w:rsid w:val="4EB62E28"/>
    <w:rsid w:val="4F155DA1"/>
    <w:rsid w:val="4F2002A2"/>
    <w:rsid w:val="4F4E3061"/>
    <w:rsid w:val="4F6E725F"/>
    <w:rsid w:val="4F895E47"/>
    <w:rsid w:val="50370772"/>
    <w:rsid w:val="50C87034"/>
    <w:rsid w:val="50EE68AA"/>
    <w:rsid w:val="51051E45"/>
    <w:rsid w:val="510671E4"/>
    <w:rsid w:val="525A3ACB"/>
    <w:rsid w:val="52887788"/>
    <w:rsid w:val="52BE04FE"/>
    <w:rsid w:val="533662E6"/>
    <w:rsid w:val="53394028"/>
    <w:rsid w:val="53650979"/>
    <w:rsid w:val="53DB0C3B"/>
    <w:rsid w:val="548A4B3B"/>
    <w:rsid w:val="54BA6AA3"/>
    <w:rsid w:val="54EC3CE9"/>
    <w:rsid w:val="55236D3E"/>
    <w:rsid w:val="55935C72"/>
    <w:rsid w:val="55CF0A12"/>
    <w:rsid w:val="55D3606E"/>
    <w:rsid w:val="56835CE6"/>
    <w:rsid w:val="56C9121F"/>
    <w:rsid w:val="57A44166"/>
    <w:rsid w:val="57B82B15"/>
    <w:rsid w:val="57DD4F82"/>
    <w:rsid w:val="57E57F32"/>
    <w:rsid w:val="58586CFE"/>
    <w:rsid w:val="587A05D7"/>
    <w:rsid w:val="58DF2F7C"/>
    <w:rsid w:val="593B2011"/>
    <w:rsid w:val="5A1B6236"/>
    <w:rsid w:val="5A3D43FE"/>
    <w:rsid w:val="5A5D6DA5"/>
    <w:rsid w:val="5A751DEA"/>
    <w:rsid w:val="5B0616A5"/>
    <w:rsid w:val="5B452A95"/>
    <w:rsid w:val="5B5163B3"/>
    <w:rsid w:val="5BA1276A"/>
    <w:rsid w:val="5BCA7F13"/>
    <w:rsid w:val="5BD20B76"/>
    <w:rsid w:val="5BED775E"/>
    <w:rsid w:val="5C2313D1"/>
    <w:rsid w:val="5C2630B6"/>
    <w:rsid w:val="5C447CC6"/>
    <w:rsid w:val="5C855BE8"/>
    <w:rsid w:val="5CAE3391"/>
    <w:rsid w:val="5CDA36A3"/>
    <w:rsid w:val="5CE172C2"/>
    <w:rsid w:val="5D432D73"/>
    <w:rsid w:val="5D55202D"/>
    <w:rsid w:val="5D573A29"/>
    <w:rsid w:val="5D6A1FF5"/>
    <w:rsid w:val="5DB842A8"/>
    <w:rsid w:val="5DCA244C"/>
    <w:rsid w:val="5E167440"/>
    <w:rsid w:val="5E3F1A16"/>
    <w:rsid w:val="5F0059FA"/>
    <w:rsid w:val="5FB24F46"/>
    <w:rsid w:val="60492278"/>
    <w:rsid w:val="60EB4E90"/>
    <w:rsid w:val="618C17C7"/>
    <w:rsid w:val="619743F4"/>
    <w:rsid w:val="61CB6793"/>
    <w:rsid w:val="61D07906"/>
    <w:rsid w:val="61EA5539"/>
    <w:rsid w:val="61F45CEA"/>
    <w:rsid w:val="621519D0"/>
    <w:rsid w:val="62467BC8"/>
    <w:rsid w:val="626F5370"/>
    <w:rsid w:val="62A72D5C"/>
    <w:rsid w:val="62F309F4"/>
    <w:rsid w:val="63634A89"/>
    <w:rsid w:val="63DD630A"/>
    <w:rsid w:val="644C4C33"/>
    <w:rsid w:val="644F25E8"/>
    <w:rsid w:val="64EE4878"/>
    <w:rsid w:val="65303DD9"/>
    <w:rsid w:val="65420894"/>
    <w:rsid w:val="65534AD5"/>
    <w:rsid w:val="66FE4F15"/>
    <w:rsid w:val="67050CBD"/>
    <w:rsid w:val="671001D4"/>
    <w:rsid w:val="67650AF0"/>
    <w:rsid w:val="67654998"/>
    <w:rsid w:val="679F04A6"/>
    <w:rsid w:val="67A41618"/>
    <w:rsid w:val="67F3434E"/>
    <w:rsid w:val="67FD7FA9"/>
    <w:rsid w:val="68444BA9"/>
    <w:rsid w:val="685C4465"/>
    <w:rsid w:val="68776D2D"/>
    <w:rsid w:val="688651C2"/>
    <w:rsid w:val="692B7FA2"/>
    <w:rsid w:val="69573707"/>
    <w:rsid w:val="697A484E"/>
    <w:rsid w:val="69C54BCF"/>
    <w:rsid w:val="69EC0B0C"/>
    <w:rsid w:val="6A107439"/>
    <w:rsid w:val="6A3D5D54"/>
    <w:rsid w:val="6AB44268"/>
    <w:rsid w:val="6AE368FC"/>
    <w:rsid w:val="6B0D1BCA"/>
    <w:rsid w:val="6B1C0DC7"/>
    <w:rsid w:val="6B2524C2"/>
    <w:rsid w:val="6B5A1A48"/>
    <w:rsid w:val="6B841E8D"/>
    <w:rsid w:val="6B981494"/>
    <w:rsid w:val="6BEC7A32"/>
    <w:rsid w:val="6C094140"/>
    <w:rsid w:val="6C7D4B2E"/>
    <w:rsid w:val="6CAB169B"/>
    <w:rsid w:val="6CD41B88"/>
    <w:rsid w:val="6D01756A"/>
    <w:rsid w:val="6D231231"/>
    <w:rsid w:val="6D6A6E60"/>
    <w:rsid w:val="6D6F7FB5"/>
    <w:rsid w:val="6D7221B9"/>
    <w:rsid w:val="6DEC5AC7"/>
    <w:rsid w:val="6E001573"/>
    <w:rsid w:val="6E2D0FE4"/>
    <w:rsid w:val="6E5D4C17"/>
    <w:rsid w:val="6E5F44EB"/>
    <w:rsid w:val="6E713F45"/>
    <w:rsid w:val="6E8E4DD0"/>
    <w:rsid w:val="6EB16810"/>
    <w:rsid w:val="6F6B6EC0"/>
    <w:rsid w:val="6FF17334"/>
    <w:rsid w:val="706A4E21"/>
    <w:rsid w:val="713C6D66"/>
    <w:rsid w:val="71502811"/>
    <w:rsid w:val="71995F66"/>
    <w:rsid w:val="71BB0C14"/>
    <w:rsid w:val="71E60A7F"/>
    <w:rsid w:val="71F72C8D"/>
    <w:rsid w:val="728E21F7"/>
    <w:rsid w:val="72D62900"/>
    <w:rsid w:val="73155AC0"/>
    <w:rsid w:val="73187D5A"/>
    <w:rsid w:val="732F7BB3"/>
    <w:rsid w:val="735A5194"/>
    <w:rsid w:val="73D35062"/>
    <w:rsid w:val="740D38FB"/>
    <w:rsid w:val="74161AF0"/>
    <w:rsid w:val="74321820"/>
    <w:rsid w:val="75023E22"/>
    <w:rsid w:val="7521074C"/>
    <w:rsid w:val="75271ADB"/>
    <w:rsid w:val="755521A4"/>
    <w:rsid w:val="758C4F5A"/>
    <w:rsid w:val="75CB763D"/>
    <w:rsid w:val="760A5684"/>
    <w:rsid w:val="76124539"/>
    <w:rsid w:val="762F4CA1"/>
    <w:rsid w:val="7641097A"/>
    <w:rsid w:val="76A07D97"/>
    <w:rsid w:val="76EB7C9B"/>
    <w:rsid w:val="7726029C"/>
    <w:rsid w:val="77274FD5"/>
    <w:rsid w:val="77685434"/>
    <w:rsid w:val="77BF5FFA"/>
    <w:rsid w:val="77E45AFC"/>
    <w:rsid w:val="78250553"/>
    <w:rsid w:val="78397B5B"/>
    <w:rsid w:val="78AC47D1"/>
    <w:rsid w:val="78D635FC"/>
    <w:rsid w:val="78E8332F"/>
    <w:rsid w:val="79E66C6E"/>
    <w:rsid w:val="7A205476"/>
    <w:rsid w:val="7AF95CC7"/>
    <w:rsid w:val="7B1E74DC"/>
    <w:rsid w:val="7B3311D9"/>
    <w:rsid w:val="7BF81ADB"/>
    <w:rsid w:val="7C352D2F"/>
    <w:rsid w:val="7C3C5E6C"/>
    <w:rsid w:val="7C991510"/>
    <w:rsid w:val="7D1943FF"/>
    <w:rsid w:val="7D2C5EE0"/>
    <w:rsid w:val="7DC9372C"/>
    <w:rsid w:val="7DEF5611"/>
    <w:rsid w:val="7E464E77"/>
    <w:rsid w:val="7E7C1CCD"/>
    <w:rsid w:val="7EC87E8B"/>
    <w:rsid w:val="7ED44A81"/>
    <w:rsid w:val="7F1A1A41"/>
    <w:rsid w:val="7F9843DD"/>
    <w:rsid w:val="7FCF6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qFormat/>
    <w:uiPriority w:val="9"/>
    <w:pPr>
      <w:keepNext/>
      <w:keepLines/>
      <w:spacing w:line="560" w:lineRule="exact"/>
      <w:ind w:firstLine="200" w:firstLineChars="200"/>
      <w:outlineLvl w:val="0"/>
    </w:pPr>
    <w:rPr>
      <w:rFonts w:ascii="Times New Roman" w:hAnsi="Times New Roman" w:eastAsia="黑体"/>
      <w:bCs/>
      <w:kern w:val="44"/>
      <w:sz w:val="32"/>
      <w:szCs w:val="44"/>
    </w:rPr>
  </w:style>
  <w:style w:type="paragraph" w:styleId="4">
    <w:name w:val="heading 2"/>
    <w:basedOn w:val="1"/>
    <w:next w:val="1"/>
    <w:link w:val="66"/>
    <w:unhideWhenUsed/>
    <w:qFormat/>
    <w:uiPriority w:val="9"/>
    <w:pPr>
      <w:keepNext/>
      <w:keepLines/>
      <w:spacing w:line="560" w:lineRule="exact"/>
      <w:ind w:firstLine="200" w:firstLineChars="200"/>
      <w:outlineLvl w:val="1"/>
    </w:pPr>
    <w:rPr>
      <w:rFonts w:ascii="Times New Roman" w:hAnsi="Times New Roman" w:eastAsia="楷体"/>
      <w:b/>
      <w:sz w:val="32"/>
    </w:rPr>
  </w:style>
  <w:style w:type="paragraph" w:styleId="5">
    <w:name w:val="heading 3"/>
    <w:basedOn w:val="1"/>
    <w:next w:val="1"/>
    <w:link w:val="62"/>
    <w:unhideWhenUsed/>
    <w:qFormat/>
    <w:uiPriority w:val="9"/>
    <w:pPr>
      <w:keepNext/>
      <w:keepLines/>
      <w:spacing w:line="560" w:lineRule="exact"/>
      <w:ind w:firstLine="200" w:firstLineChars="200"/>
      <w:outlineLvl w:val="2"/>
    </w:pPr>
    <w:rPr>
      <w:rFonts w:ascii="Times New Roman" w:hAnsi="Times New Roman" w:eastAsia="仿宋"/>
      <w:b/>
      <w:sz w:val="32"/>
    </w:rPr>
  </w:style>
  <w:style w:type="paragraph" w:styleId="6">
    <w:name w:val="heading 4"/>
    <w:basedOn w:val="1"/>
    <w:next w:val="1"/>
    <w:link w:val="63"/>
    <w:unhideWhenUsed/>
    <w:qFormat/>
    <w:uiPriority w:val="9"/>
    <w:pPr>
      <w:keepNext/>
      <w:keepLines/>
      <w:spacing w:line="560" w:lineRule="exact"/>
      <w:ind w:firstLine="200" w:firstLineChars="200"/>
      <w:outlineLvl w:val="3"/>
    </w:pPr>
    <w:rPr>
      <w:rFonts w:ascii="Times New Roman" w:hAnsi="Times New Roman" w:eastAsia="仿宋"/>
      <w:b/>
      <w:sz w:val="32"/>
    </w:rPr>
  </w:style>
  <w:style w:type="paragraph" w:styleId="7">
    <w:name w:val="heading 5"/>
    <w:basedOn w:val="1"/>
    <w:next w:val="1"/>
    <w:link w:val="59"/>
    <w:unhideWhenUsed/>
    <w:qFormat/>
    <w:uiPriority w:val="9"/>
    <w:pPr>
      <w:keepNext/>
      <w:keepLines/>
      <w:spacing w:line="560" w:lineRule="exact"/>
      <w:ind w:firstLine="200" w:firstLineChars="200"/>
      <w:outlineLvl w:val="4"/>
    </w:pPr>
    <w:rPr>
      <w:rFonts w:ascii="Times New Roman" w:hAnsi="Times New Roman" w:eastAsia="仿宋"/>
      <w:b/>
      <w:bCs/>
      <w:sz w:val="32"/>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widowControl/>
      <w:ind w:left="-113" w:right="-113"/>
      <w:jc w:val="center"/>
    </w:pPr>
    <w:rPr>
      <w:rFonts w:ascii="宋体" w:hAnsi="宋体" w:eastAsia="仿宋" w:cs="宋体"/>
      <w:kern w:val="0"/>
      <w:sz w:val="24"/>
      <w:szCs w:val="21"/>
    </w:rPr>
  </w:style>
  <w:style w:type="paragraph" w:styleId="8">
    <w:name w:val="toc 7"/>
    <w:basedOn w:val="1"/>
    <w:next w:val="1"/>
    <w:unhideWhenUsed/>
    <w:qFormat/>
    <w:uiPriority w:val="39"/>
    <w:pPr>
      <w:ind w:left="2520" w:leftChars="1200"/>
    </w:pPr>
  </w:style>
  <w:style w:type="paragraph" w:styleId="9">
    <w:name w:val="caption"/>
    <w:next w:val="1"/>
    <w:unhideWhenUsed/>
    <w:qFormat/>
    <w:uiPriority w:val="0"/>
    <w:pPr>
      <w:widowControl w:val="0"/>
      <w:adjustRightInd w:val="0"/>
      <w:snapToGrid w:val="0"/>
      <w:spacing w:line="360" w:lineRule="auto"/>
      <w:ind w:firstLine="880" w:firstLineChars="200"/>
      <w:jc w:val="center"/>
    </w:pPr>
    <w:rPr>
      <w:rFonts w:ascii="Times New Roman" w:hAnsi="Times New Roman" w:eastAsia="黑体" w:cs="Times New Roman"/>
      <w:kern w:val="2"/>
      <w:sz w:val="24"/>
      <w:szCs w:val="24"/>
      <w:lang w:val="en-US" w:eastAsia="zh-CN" w:bidi="ar-SA"/>
    </w:rPr>
  </w:style>
  <w:style w:type="paragraph" w:styleId="10">
    <w:name w:val="annotation text"/>
    <w:basedOn w:val="1"/>
    <w:link w:val="38"/>
    <w:semiHidden/>
    <w:unhideWhenUsed/>
    <w:qFormat/>
    <w:uiPriority w:val="99"/>
    <w:pPr>
      <w:jc w:val="left"/>
    </w:pPr>
  </w:style>
  <w:style w:type="paragraph" w:styleId="11">
    <w:name w:val="Body Text"/>
    <w:basedOn w:val="1"/>
    <w:next w:val="12"/>
    <w:link w:val="67"/>
    <w:qFormat/>
    <w:uiPriority w:val="0"/>
    <w:pPr>
      <w:widowControl/>
      <w:adjustRightInd w:val="0"/>
      <w:snapToGrid w:val="0"/>
      <w:spacing w:after="120"/>
      <w:jc w:val="left"/>
    </w:pPr>
    <w:rPr>
      <w:rFonts w:ascii="Tahoma" w:hAnsi="Tahoma" w:eastAsia="微软雅黑"/>
      <w:kern w:val="0"/>
      <w:sz w:val="22"/>
    </w:rPr>
  </w:style>
  <w:style w:type="paragraph" w:styleId="12">
    <w:name w:val="Body Text First Indent"/>
    <w:basedOn w:val="11"/>
    <w:link w:val="68"/>
    <w:qFormat/>
    <w:uiPriority w:val="0"/>
    <w:pPr>
      <w:ind w:firstLine="420" w:firstLineChars="100"/>
    </w:pPr>
  </w:style>
  <w:style w:type="paragraph" w:styleId="13">
    <w:name w:val="Body Text Indent"/>
    <w:basedOn w:val="1"/>
    <w:next w:val="11"/>
    <w:link w:val="69"/>
    <w:qFormat/>
    <w:uiPriority w:val="0"/>
    <w:pPr>
      <w:spacing w:after="120"/>
      <w:ind w:left="420" w:leftChars="200"/>
    </w:pPr>
  </w:style>
  <w:style w:type="paragraph" w:styleId="14">
    <w:name w:val="toc 5"/>
    <w:basedOn w:val="1"/>
    <w:next w:val="1"/>
    <w:unhideWhenUsed/>
    <w:qFormat/>
    <w:uiPriority w:val="39"/>
    <w:pPr>
      <w:ind w:left="1680" w:leftChars="800"/>
    </w:pPr>
  </w:style>
  <w:style w:type="paragraph" w:styleId="15">
    <w:name w:val="toc 3"/>
    <w:basedOn w:val="1"/>
    <w:next w:val="1"/>
    <w:unhideWhenUsed/>
    <w:qFormat/>
    <w:uiPriority w:val="39"/>
    <w:pPr>
      <w:ind w:left="840" w:leftChars="400"/>
    </w:pPr>
  </w:style>
  <w:style w:type="paragraph" w:styleId="16">
    <w:name w:val="toc 8"/>
    <w:basedOn w:val="1"/>
    <w:next w:val="1"/>
    <w:unhideWhenUsed/>
    <w:qFormat/>
    <w:uiPriority w:val="39"/>
    <w:pPr>
      <w:ind w:left="2940" w:leftChars="1400"/>
    </w:pPr>
  </w:style>
  <w:style w:type="paragraph" w:styleId="17">
    <w:name w:val="Date"/>
    <w:basedOn w:val="1"/>
    <w:next w:val="1"/>
    <w:link w:val="65"/>
    <w:semiHidden/>
    <w:unhideWhenUsed/>
    <w:qFormat/>
    <w:uiPriority w:val="99"/>
    <w:pPr>
      <w:ind w:left="100" w:leftChars="2500"/>
    </w:pPr>
  </w:style>
  <w:style w:type="paragraph" w:styleId="18">
    <w:name w:val="Body Text Indent 2"/>
    <w:basedOn w:val="1"/>
    <w:qFormat/>
    <w:uiPriority w:val="99"/>
    <w:pPr>
      <w:spacing w:after="120" w:line="480" w:lineRule="auto"/>
      <w:ind w:left="420" w:leftChars="200"/>
    </w:pPr>
  </w:style>
  <w:style w:type="paragraph" w:styleId="19">
    <w:name w:val="Balloon Text"/>
    <w:basedOn w:val="1"/>
    <w:link w:val="39"/>
    <w:semiHidden/>
    <w:unhideWhenUsed/>
    <w:qFormat/>
    <w:uiPriority w:val="99"/>
    <w:rPr>
      <w:sz w:val="18"/>
      <w:szCs w:val="18"/>
    </w:rPr>
  </w:style>
  <w:style w:type="paragraph" w:styleId="20">
    <w:name w:val="footer"/>
    <w:basedOn w:val="1"/>
    <w:link w:val="40"/>
    <w:unhideWhenUsed/>
    <w:qFormat/>
    <w:uiPriority w:val="99"/>
    <w:pPr>
      <w:tabs>
        <w:tab w:val="center" w:pos="4153"/>
        <w:tab w:val="right" w:pos="8306"/>
      </w:tabs>
      <w:snapToGrid w:val="0"/>
      <w:jc w:val="left"/>
    </w:pPr>
    <w:rPr>
      <w:sz w:val="18"/>
      <w:szCs w:val="18"/>
    </w:rPr>
  </w:style>
  <w:style w:type="paragraph" w:styleId="21">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qFormat/>
    <w:uiPriority w:val="39"/>
    <w:pPr>
      <w:ind w:left="1260" w:leftChars="600"/>
    </w:pPr>
  </w:style>
  <w:style w:type="paragraph" w:styleId="24">
    <w:name w:val="toc 6"/>
    <w:basedOn w:val="1"/>
    <w:next w:val="1"/>
    <w:unhideWhenUsed/>
    <w:qFormat/>
    <w:uiPriority w:val="39"/>
    <w:pPr>
      <w:ind w:left="2100" w:leftChars="1000"/>
    </w:pPr>
  </w:style>
  <w:style w:type="paragraph" w:styleId="25">
    <w:name w:val="toc 2"/>
    <w:basedOn w:val="1"/>
    <w:next w:val="1"/>
    <w:unhideWhenUsed/>
    <w:qFormat/>
    <w:uiPriority w:val="39"/>
    <w:pPr>
      <w:ind w:left="420" w:leftChars="200"/>
    </w:pPr>
  </w:style>
  <w:style w:type="paragraph" w:styleId="26">
    <w:name w:val="toc 9"/>
    <w:basedOn w:val="1"/>
    <w:next w:val="1"/>
    <w:unhideWhenUsed/>
    <w:qFormat/>
    <w:uiPriority w:val="39"/>
    <w:pPr>
      <w:ind w:left="3360" w:leftChars="1600"/>
    </w:pPr>
  </w:style>
  <w:style w:type="paragraph" w:styleId="27">
    <w:name w:val="Body Text 2"/>
    <w:basedOn w:val="1"/>
    <w:qFormat/>
    <w:uiPriority w:val="0"/>
    <w:rPr>
      <w:b/>
      <w:bCs/>
      <w:sz w:val="24"/>
    </w:rPr>
  </w:style>
  <w:style w:type="paragraph" w:styleId="28">
    <w:name w:val="Normal (Web)"/>
    <w:basedOn w:val="1"/>
    <w:unhideWhenUsed/>
    <w:qFormat/>
    <w:uiPriority w:val="99"/>
    <w:rPr>
      <w:sz w:val="24"/>
    </w:rPr>
  </w:style>
  <w:style w:type="paragraph" w:styleId="29">
    <w:name w:val="annotation subject"/>
    <w:basedOn w:val="10"/>
    <w:next w:val="10"/>
    <w:link w:val="46"/>
    <w:semiHidden/>
    <w:unhideWhenUsed/>
    <w:qFormat/>
    <w:uiPriority w:val="99"/>
    <w:rPr>
      <w:b/>
      <w:bCs/>
    </w:rPr>
  </w:style>
  <w:style w:type="paragraph" w:styleId="30">
    <w:name w:val="Body Text First Indent 2"/>
    <w:basedOn w:val="13"/>
    <w:next w:val="1"/>
    <w:link w:val="70"/>
    <w:qFormat/>
    <w:uiPriority w:val="0"/>
    <w:pPr>
      <w:ind w:firstLine="420" w:firstLineChars="200"/>
    </w:pPr>
  </w:style>
  <w:style w:type="table" w:styleId="32">
    <w:name w:val="Table Grid"/>
    <w:basedOn w:val="3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4">
    <w:name w:val="Strong"/>
    <w:basedOn w:val="33"/>
    <w:qFormat/>
    <w:uiPriority w:val="22"/>
    <w:rPr>
      <w:b/>
    </w:rPr>
  </w:style>
  <w:style w:type="character" w:styleId="35">
    <w:name w:val="Hyperlink"/>
    <w:basedOn w:val="33"/>
    <w:unhideWhenUsed/>
    <w:qFormat/>
    <w:uiPriority w:val="99"/>
    <w:rPr>
      <w:color w:val="0563C1" w:themeColor="hyperlink"/>
      <w:u w:val="single"/>
      <w14:textFill>
        <w14:solidFill>
          <w14:schemeClr w14:val="hlink"/>
        </w14:solidFill>
      </w14:textFill>
    </w:rPr>
  </w:style>
  <w:style w:type="character" w:styleId="36">
    <w:name w:val="annotation reference"/>
    <w:basedOn w:val="33"/>
    <w:semiHidden/>
    <w:unhideWhenUsed/>
    <w:qFormat/>
    <w:uiPriority w:val="99"/>
    <w:rPr>
      <w:sz w:val="21"/>
      <w:szCs w:val="21"/>
    </w:rPr>
  </w:style>
  <w:style w:type="character" w:customStyle="1" w:styleId="37">
    <w:name w:val="标题 1 Char"/>
    <w:basedOn w:val="33"/>
    <w:link w:val="3"/>
    <w:qFormat/>
    <w:uiPriority w:val="9"/>
    <w:rPr>
      <w:rFonts w:eastAsia="黑体" w:cstheme="minorBidi"/>
      <w:bCs/>
      <w:kern w:val="44"/>
      <w:sz w:val="32"/>
      <w:szCs w:val="44"/>
    </w:rPr>
  </w:style>
  <w:style w:type="character" w:customStyle="1" w:styleId="38">
    <w:name w:val="批注文字 Char"/>
    <w:basedOn w:val="33"/>
    <w:link w:val="10"/>
    <w:semiHidden/>
    <w:qFormat/>
    <w:uiPriority w:val="99"/>
    <w:rPr>
      <w:kern w:val="2"/>
      <w:sz w:val="21"/>
      <w:szCs w:val="22"/>
    </w:rPr>
  </w:style>
  <w:style w:type="character" w:customStyle="1" w:styleId="39">
    <w:name w:val="批注框文本 Char"/>
    <w:basedOn w:val="33"/>
    <w:link w:val="19"/>
    <w:semiHidden/>
    <w:qFormat/>
    <w:uiPriority w:val="99"/>
    <w:rPr>
      <w:rFonts w:asciiTheme="minorHAnsi" w:hAnsiTheme="minorHAnsi" w:eastAsiaTheme="minorEastAsia" w:cstheme="minorBidi"/>
      <w:kern w:val="2"/>
      <w:sz w:val="18"/>
      <w:szCs w:val="18"/>
    </w:rPr>
  </w:style>
  <w:style w:type="character" w:customStyle="1" w:styleId="40">
    <w:name w:val="页脚 Char"/>
    <w:basedOn w:val="33"/>
    <w:link w:val="20"/>
    <w:qFormat/>
    <w:uiPriority w:val="99"/>
    <w:rPr>
      <w:sz w:val="18"/>
      <w:szCs w:val="18"/>
    </w:rPr>
  </w:style>
  <w:style w:type="character" w:customStyle="1" w:styleId="41">
    <w:name w:val="页眉 Char"/>
    <w:basedOn w:val="33"/>
    <w:link w:val="21"/>
    <w:qFormat/>
    <w:uiPriority w:val="99"/>
    <w:rPr>
      <w:sz w:val="18"/>
      <w:szCs w:val="18"/>
    </w:rPr>
  </w:style>
  <w:style w:type="paragraph" w:styleId="42">
    <w:name w:val="List Paragraph"/>
    <w:basedOn w:val="1"/>
    <w:qFormat/>
    <w:uiPriority w:val="34"/>
    <w:pPr>
      <w:ind w:firstLine="420" w:firstLineChars="200"/>
    </w:pPr>
  </w:style>
  <w:style w:type="paragraph" w:customStyle="1" w:styleId="43">
    <w:name w:val="BodyText"/>
    <w:basedOn w:val="1"/>
    <w:next w:val="1"/>
    <w:qFormat/>
    <w:uiPriority w:val="0"/>
    <w:pPr>
      <w:spacing w:after="120"/>
    </w:pPr>
    <w:rPr>
      <w:rFonts w:ascii="Times New Roman" w:hAnsi="Times New Roman" w:eastAsia="宋体" w:cs="Times New Roman"/>
      <w:szCs w:val="21"/>
    </w:rPr>
  </w:style>
  <w:style w:type="paragraph" w:customStyle="1" w:styleId="44">
    <w:name w:val="新正文"/>
    <w:basedOn w:val="1"/>
    <w:qFormat/>
    <w:uiPriority w:val="0"/>
    <w:pPr>
      <w:spacing w:before="60" w:line="460" w:lineRule="exact"/>
      <w:ind w:firstLine="200" w:firstLineChars="200"/>
    </w:pPr>
    <w:rPr>
      <w:rFonts w:ascii="Times New Roman" w:hAnsi="Times New Roman" w:eastAsia="宋体" w:cs="Times New Roman"/>
      <w:sz w:val="24"/>
      <w:szCs w:val="20"/>
    </w:rPr>
  </w:style>
  <w:style w:type="table" w:customStyle="1" w:styleId="45">
    <w:name w:val="网格型9"/>
    <w:basedOn w:val="31"/>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6">
    <w:name w:val="批注主题 Char"/>
    <w:basedOn w:val="38"/>
    <w:link w:val="29"/>
    <w:semiHidden/>
    <w:qFormat/>
    <w:uiPriority w:val="99"/>
    <w:rPr>
      <w:b/>
      <w:bCs/>
      <w:kern w:val="2"/>
      <w:sz w:val="21"/>
      <w:szCs w:val="22"/>
    </w:rPr>
  </w:style>
  <w:style w:type="character" w:customStyle="1" w:styleId="47">
    <w:name w:val="font51"/>
    <w:basedOn w:val="33"/>
    <w:qFormat/>
    <w:uiPriority w:val="0"/>
    <w:rPr>
      <w:rFonts w:hint="default" w:ascii="Times New Roman" w:hAnsi="Times New Roman" w:cs="Times New Roman"/>
      <w:b/>
      <w:bCs/>
      <w:color w:val="000000"/>
      <w:sz w:val="24"/>
      <w:szCs w:val="24"/>
      <w:u w:val="none"/>
    </w:rPr>
  </w:style>
  <w:style w:type="character" w:customStyle="1" w:styleId="48">
    <w:name w:val="font61"/>
    <w:basedOn w:val="33"/>
    <w:qFormat/>
    <w:uiPriority w:val="0"/>
    <w:rPr>
      <w:rFonts w:hint="eastAsia" w:ascii="仿宋_GB2312" w:eastAsia="仿宋_GB2312" w:cs="仿宋_GB2312"/>
      <w:b/>
      <w:bCs/>
      <w:color w:val="000000"/>
      <w:sz w:val="24"/>
      <w:szCs w:val="24"/>
      <w:u w:val="none"/>
    </w:rPr>
  </w:style>
  <w:style w:type="character" w:customStyle="1" w:styleId="49">
    <w:name w:val="font71"/>
    <w:basedOn w:val="33"/>
    <w:qFormat/>
    <w:uiPriority w:val="0"/>
    <w:rPr>
      <w:rFonts w:hint="default" w:ascii="Times New Roman" w:hAnsi="Times New Roman" w:cs="Times New Roman"/>
      <w:b/>
      <w:bCs/>
      <w:color w:val="000000"/>
      <w:sz w:val="24"/>
      <w:szCs w:val="24"/>
      <w:u w:val="none"/>
    </w:rPr>
  </w:style>
  <w:style w:type="character" w:customStyle="1" w:styleId="50">
    <w:name w:val="font81"/>
    <w:basedOn w:val="33"/>
    <w:qFormat/>
    <w:uiPriority w:val="0"/>
    <w:rPr>
      <w:rFonts w:hint="default" w:ascii="Times New Roman" w:hAnsi="Times New Roman" w:cs="Times New Roman"/>
      <w:color w:val="000000"/>
      <w:sz w:val="24"/>
      <w:szCs w:val="24"/>
      <w:u w:val="none"/>
    </w:rPr>
  </w:style>
  <w:style w:type="character" w:customStyle="1" w:styleId="51">
    <w:name w:val="font91"/>
    <w:basedOn w:val="33"/>
    <w:qFormat/>
    <w:uiPriority w:val="0"/>
    <w:rPr>
      <w:rFonts w:hint="eastAsia" w:ascii="仿宋_GB2312" w:eastAsia="仿宋_GB2312" w:cs="仿宋_GB2312"/>
      <w:color w:val="000000"/>
      <w:sz w:val="24"/>
      <w:szCs w:val="24"/>
      <w:u w:val="none"/>
    </w:rPr>
  </w:style>
  <w:style w:type="paragraph" w:customStyle="1" w:styleId="52">
    <w:name w:val="样式 (西文) 仿宋_GB2312 (中文) 仿宋_GB2312 黑色"/>
    <w:basedOn w:val="1"/>
    <w:link w:val="53"/>
    <w:qFormat/>
    <w:uiPriority w:val="0"/>
    <w:pPr>
      <w:adjustRightInd w:val="0"/>
      <w:snapToGrid w:val="0"/>
      <w:spacing w:after="100" w:afterLines="100" w:line="300" w:lineRule="auto"/>
      <w:ind w:firstLine="200" w:firstLineChars="200"/>
    </w:pPr>
    <w:rPr>
      <w:rFonts w:ascii="仿宋_GB2312" w:hAnsi="Times New Roman" w:eastAsia="仿宋_GB2312" w:cs="Times New Roman"/>
      <w:color w:val="000000"/>
      <w:sz w:val="28"/>
      <w:szCs w:val="24"/>
    </w:rPr>
  </w:style>
  <w:style w:type="character" w:customStyle="1" w:styleId="53">
    <w:name w:val="样式 (西文) 仿宋_GB2312 (中文) 仿宋_GB2312 黑色 Char"/>
    <w:basedOn w:val="33"/>
    <w:link w:val="52"/>
    <w:qFormat/>
    <w:uiPriority w:val="0"/>
    <w:rPr>
      <w:rFonts w:ascii="仿宋_GB2312" w:eastAsia="仿宋_GB2312"/>
      <w:color w:val="000000"/>
      <w:kern w:val="2"/>
      <w:sz w:val="28"/>
      <w:szCs w:val="24"/>
    </w:rPr>
  </w:style>
  <w:style w:type="paragraph" w:customStyle="1" w:styleId="54">
    <w:name w:val="样式 样式 (西文) 仿宋_GB2312 (中文) 仿宋_GB2312 黑色 段前: 0.5 行 行距: 1.5 倍行距 首....."/>
    <w:basedOn w:val="55"/>
    <w:qFormat/>
    <w:uiPriority w:val="0"/>
    <w:pPr>
      <w:adjustRightInd w:val="0"/>
      <w:snapToGrid w:val="0"/>
      <w:spacing w:line="300" w:lineRule="auto"/>
    </w:pPr>
    <w:rPr>
      <w:rFonts w:ascii="Times New Roman" w:hAnsi="Times New Roman"/>
      <w:sz w:val="28"/>
    </w:rPr>
  </w:style>
  <w:style w:type="paragraph" w:customStyle="1" w:styleId="55">
    <w:name w:val="样式 (西文) 仿宋_GB2312 (中文) 仿宋_GB2312 黑色 段前: 0.5 行 行距: 1.5 倍行距 首...1"/>
    <w:basedOn w:val="1"/>
    <w:qFormat/>
    <w:uiPriority w:val="0"/>
    <w:pPr>
      <w:spacing w:after="100" w:afterLines="100"/>
      <w:ind w:firstLine="200" w:firstLineChars="200"/>
      <w:contextualSpacing/>
    </w:pPr>
    <w:rPr>
      <w:rFonts w:ascii="仿宋_GB2312" w:eastAsia="仿宋_GB2312" w:cs="宋体"/>
      <w:color w:val="000000"/>
      <w:szCs w:val="20"/>
    </w:rPr>
  </w:style>
  <w:style w:type="paragraph" w:customStyle="1" w:styleId="56">
    <w:name w:val="样式 段前: 0.5 行 段后: 6 磅 首行缩进:  5 字符"/>
    <w:basedOn w:val="1"/>
    <w:qFormat/>
    <w:uiPriority w:val="0"/>
    <w:pPr>
      <w:adjustRightInd w:val="0"/>
      <w:snapToGrid w:val="0"/>
      <w:spacing w:beforeLines="50" w:after="120" w:line="300" w:lineRule="auto"/>
      <w:ind w:firstLine="1400" w:firstLineChars="500"/>
    </w:pPr>
    <w:rPr>
      <w:rFonts w:ascii="Times New Roman" w:hAnsi="Times New Roman" w:eastAsia="仿宋_GB2312" w:cs="宋体"/>
      <w:sz w:val="28"/>
      <w:szCs w:val="20"/>
    </w:rPr>
  </w:style>
  <w:style w:type="paragraph" w:customStyle="1" w:styleId="57">
    <w:name w:val="样式 (西文) 仿宋_GB2312 (中文) 仿宋_GB2312"/>
    <w:basedOn w:val="1"/>
    <w:link w:val="58"/>
    <w:qFormat/>
    <w:uiPriority w:val="0"/>
    <w:pPr>
      <w:adjustRightInd w:val="0"/>
      <w:snapToGrid w:val="0"/>
      <w:spacing w:after="100" w:afterLines="100" w:line="300" w:lineRule="auto"/>
      <w:ind w:firstLine="200" w:firstLineChars="200"/>
      <w:contextualSpacing/>
    </w:pPr>
    <w:rPr>
      <w:rFonts w:ascii="仿宋_GB2312" w:hAnsi="Times New Roman" w:eastAsia="仿宋_GB2312" w:cs="Times New Roman"/>
      <w:sz w:val="28"/>
      <w:szCs w:val="30"/>
    </w:rPr>
  </w:style>
  <w:style w:type="character" w:customStyle="1" w:styleId="58">
    <w:name w:val="样式 (西文) 仿宋_GB2312 (中文) 仿宋_GB2312 Char"/>
    <w:link w:val="57"/>
    <w:qFormat/>
    <w:uiPriority w:val="0"/>
    <w:rPr>
      <w:rFonts w:ascii="仿宋_GB2312" w:eastAsia="仿宋_GB2312"/>
      <w:kern w:val="2"/>
      <w:sz w:val="28"/>
      <w:szCs w:val="30"/>
    </w:rPr>
  </w:style>
  <w:style w:type="character" w:customStyle="1" w:styleId="59">
    <w:name w:val="标题 5 Char"/>
    <w:basedOn w:val="33"/>
    <w:link w:val="7"/>
    <w:qFormat/>
    <w:uiPriority w:val="9"/>
    <w:rPr>
      <w:rFonts w:eastAsia="仿宋" w:cstheme="minorBidi"/>
      <w:b/>
      <w:bCs/>
      <w:kern w:val="2"/>
      <w:sz w:val="32"/>
      <w:szCs w:val="28"/>
    </w:rPr>
  </w:style>
  <w:style w:type="character" w:styleId="60">
    <w:name w:val="Placeholder Text"/>
    <w:basedOn w:val="33"/>
    <w:qFormat/>
    <w:uiPriority w:val="99"/>
    <w:rPr>
      <w:color w:val="808080"/>
    </w:rPr>
  </w:style>
  <w:style w:type="table" w:customStyle="1" w:styleId="61">
    <w:name w:val="Table Normal"/>
    <w:unhideWhenUsed/>
    <w:qFormat/>
    <w:uiPriority w:val="0"/>
    <w:tblPr>
      <w:tblCellMar>
        <w:top w:w="0" w:type="dxa"/>
        <w:left w:w="0" w:type="dxa"/>
        <w:bottom w:w="0" w:type="dxa"/>
        <w:right w:w="0" w:type="dxa"/>
      </w:tblCellMar>
    </w:tblPr>
  </w:style>
  <w:style w:type="character" w:customStyle="1" w:styleId="62">
    <w:name w:val="标题 3 Char"/>
    <w:basedOn w:val="33"/>
    <w:link w:val="5"/>
    <w:qFormat/>
    <w:uiPriority w:val="9"/>
    <w:rPr>
      <w:rFonts w:eastAsia="仿宋" w:cstheme="minorBidi"/>
      <w:b/>
      <w:kern w:val="2"/>
      <w:sz w:val="32"/>
      <w:szCs w:val="22"/>
    </w:rPr>
  </w:style>
  <w:style w:type="character" w:customStyle="1" w:styleId="63">
    <w:name w:val="标题 4 Char"/>
    <w:basedOn w:val="33"/>
    <w:link w:val="6"/>
    <w:qFormat/>
    <w:uiPriority w:val="9"/>
    <w:rPr>
      <w:rFonts w:eastAsia="仿宋" w:cstheme="minorBidi"/>
      <w:b/>
      <w:kern w:val="2"/>
      <w:sz w:val="32"/>
      <w:szCs w:val="22"/>
    </w:rPr>
  </w:style>
  <w:style w:type="character" w:customStyle="1" w:styleId="64">
    <w:name w:val="font21"/>
    <w:basedOn w:val="33"/>
    <w:qFormat/>
    <w:uiPriority w:val="0"/>
    <w:rPr>
      <w:rFonts w:hint="eastAsia" w:ascii="仿宋" w:hAnsi="仿宋" w:eastAsia="仿宋"/>
      <w:b/>
      <w:bCs/>
      <w:color w:val="000000"/>
      <w:sz w:val="21"/>
      <w:szCs w:val="21"/>
      <w:u w:val="none"/>
    </w:rPr>
  </w:style>
  <w:style w:type="character" w:customStyle="1" w:styleId="65">
    <w:name w:val="日期 Char"/>
    <w:basedOn w:val="33"/>
    <w:link w:val="17"/>
    <w:semiHidden/>
    <w:qFormat/>
    <w:uiPriority w:val="99"/>
    <w:rPr>
      <w:rFonts w:asciiTheme="minorHAnsi" w:hAnsiTheme="minorHAnsi" w:eastAsiaTheme="minorEastAsia" w:cstheme="minorBidi"/>
      <w:kern w:val="2"/>
      <w:sz w:val="21"/>
      <w:szCs w:val="22"/>
    </w:rPr>
  </w:style>
  <w:style w:type="character" w:customStyle="1" w:styleId="66">
    <w:name w:val="标题 2 Char"/>
    <w:basedOn w:val="33"/>
    <w:link w:val="4"/>
    <w:qFormat/>
    <w:uiPriority w:val="9"/>
    <w:rPr>
      <w:rFonts w:eastAsia="楷体" w:cstheme="minorBidi"/>
      <w:b/>
      <w:kern w:val="2"/>
      <w:sz w:val="32"/>
      <w:szCs w:val="22"/>
    </w:rPr>
  </w:style>
  <w:style w:type="character" w:customStyle="1" w:styleId="67">
    <w:name w:val="正文文本 Char"/>
    <w:basedOn w:val="33"/>
    <w:link w:val="11"/>
    <w:qFormat/>
    <w:uiPriority w:val="0"/>
    <w:rPr>
      <w:rFonts w:ascii="Tahoma" w:hAnsi="Tahoma" w:eastAsia="微软雅黑" w:cstheme="minorBidi"/>
      <w:sz w:val="22"/>
      <w:szCs w:val="22"/>
    </w:rPr>
  </w:style>
  <w:style w:type="character" w:customStyle="1" w:styleId="68">
    <w:name w:val="正文首行缩进 Char"/>
    <w:basedOn w:val="67"/>
    <w:link w:val="12"/>
    <w:qFormat/>
    <w:uiPriority w:val="0"/>
    <w:rPr>
      <w:rFonts w:ascii="Tahoma" w:hAnsi="Tahoma" w:eastAsia="微软雅黑" w:cstheme="minorBidi"/>
      <w:sz w:val="22"/>
      <w:szCs w:val="22"/>
    </w:rPr>
  </w:style>
  <w:style w:type="character" w:customStyle="1" w:styleId="69">
    <w:name w:val="正文文本缩进 Char"/>
    <w:basedOn w:val="33"/>
    <w:link w:val="13"/>
    <w:qFormat/>
    <w:uiPriority w:val="0"/>
    <w:rPr>
      <w:rFonts w:asciiTheme="minorHAnsi" w:hAnsiTheme="minorHAnsi" w:eastAsiaTheme="minorEastAsia" w:cstheme="minorBidi"/>
      <w:kern w:val="2"/>
      <w:sz w:val="21"/>
      <w:szCs w:val="22"/>
    </w:rPr>
  </w:style>
  <w:style w:type="character" w:customStyle="1" w:styleId="70">
    <w:name w:val="正文首行缩进 2 Char"/>
    <w:basedOn w:val="69"/>
    <w:link w:val="30"/>
    <w:qFormat/>
    <w:uiPriority w:val="0"/>
    <w:rPr>
      <w:rFonts w:asciiTheme="minorHAnsi" w:hAnsiTheme="minorHAnsi" w:eastAsiaTheme="minorEastAsia" w:cstheme="minorBidi"/>
      <w:kern w:val="2"/>
      <w:sz w:val="21"/>
      <w:szCs w:val="22"/>
    </w:rPr>
  </w:style>
  <w:style w:type="character" w:customStyle="1" w:styleId="71">
    <w:name w:val="批注主题 Char1"/>
    <w:basedOn w:val="38"/>
    <w:semiHidden/>
    <w:qFormat/>
    <w:uiPriority w:val="99"/>
    <w:rPr>
      <w:b/>
      <w:bCs/>
      <w:kern w:val="2"/>
      <w:sz w:val="21"/>
      <w:szCs w:val="22"/>
    </w:rPr>
  </w:style>
  <w:style w:type="paragraph" w:customStyle="1" w:styleId="72">
    <w:name w:val="样式2"/>
    <w:basedOn w:val="1"/>
    <w:qFormat/>
    <w:uiPriority w:val="0"/>
    <w:pPr>
      <w:adjustRightInd w:val="0"/>
      <w:jc w:val="left"/>
    </w:pPr>
    <w:rPr>
      <w:rFonts w:ascii="Times New Roman" w:hAnsi="宋体" w:eastAsia="宋体" w:cs="Times New Roman"/>
      <w:sz w:val="22"/>
    </w:rPr>
  </w:style>
  <w:style w:type="character" w:customStyle="1" w:styleId="73">
    <w:name w:val="15"/>
    <w:basedOn w:val="33"/>
    <w:qFormat/>
    <w:uiPriority w:val="0"/>
    <w:rPr>
      <w:rFonts w:hint="eastAsia" w:ascii="仿宋_GB2312" w:hAnsi="Times New Roman" w:eastAsia="仿宋_GB2312"/>
      <w:kern w:val="2"/>
      <w:sz w:val="28"/>
      <w:szCs w:val="28"/>
    </w:rPr>
  </w:style>
  <w:style w:type="character" w:customStyle="1" w:styleId="74">
    <w:name w:val="16"/>
    <w:basedOn w:val="33"/>
    <w:qFormat/>
    <w:uiPriority w:val="0"/>
    <w:rPr>
      <w:rFonts w:hint="eastAsia" w:ascii="仿宋_GB2312" w:hAnsi="Times New Roman" w:eastAsia="仿宋_GB2312"/>
      <w:color w:val="000000"/>
      <w:kern w:val="2"/>
      <w:sz w:val="28"/>
      <w:szCs w:val="28"/>
    </w:rPr>
  </w:style>
  <w:style w:type="paragraph" w:customStyle="1" w:styleId="75">
    <w:name w:val="表格内容(居中)"/>
    <w:basedOn w:val="1"/>
    <w:qFormat/>
    <w:uiPriority w:val="0"/>
    <w:pPr>
      <w:jc w:val="center"/>
    </w:pPr>
    <w:rPr>
      <w:rFonts w:ascii="宋体" w:hAnsi="宋体" w:eastAsia="宋体" w:cs="宋体"/>
      <w:szCs w:val="21"/>
    </w:rPr>
  </w:style>
  <w:style w:type="character" w:customStyle="1" w:styleId="76">
    <w:name w:val="font31"/>
    <w:basedOn w:val="33"/>
    <w:qFormat/>
    <w:uiPriority w:val="0"/>
    <w:rPr>
      <w:rFonts w:hint="eastAsia" w:ascii="仿宋" w:hAnsi="仿宋" w:eastAsia="仿宋" w:cs="仿宋"/>
      <w:color w:val="FF0000"/>
      <w:sz w:val="24"/>
      <w:szCs w:val="24"/>
      <w:u w:val="none"/>
      <w:vertAlign w:val="subscript"/>
    </w:rPr>
  </w:style>
  <w:style w:type="paragraph" w:customStyle="1" w:styleId="7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8">
    <w:name w:val="0000"/>
    <w:basedOn w:val="1"/>
    <w:link w:val="79"/>
    <w:qFormat/>
    <w:uiPriority w:val="0"/>
    <w:pPr>
      <w:spacing w:line="560" w:lineRule="exact"/>
      <w:ind w:firstLine="200" w:firstLineChars="200"/>
    </w:pPr>
    <w:rPr>
      <w:rFonts w:ascii="Times New Roman" w:hAnsi="Times New Roman" w:eastAsia="仿宋_GB2312" w:cs="Times New Roman"/>
      <w:sz w:val="32"/>
      <w:szCs w:val="28"/>
    </w:rPr>
  </w:style>
  <w:style w:type="character" w:customStyle="1" w:styleId="79">
    <w:name w:val="0000 字符"/>
    <w:basedOn w:val="33"/>
    <w:link w:val="78"/>
    <w:qFormat/>
    <w:uiPriority w:val="0"/>
    <w:rPr>
      <w:rFonts w:eastAsia="仿宋_GB2312"/>
      <w:kern w:val="2"/>
      <w:sz w:val="32"/>
      <w:szCs w:val="28"/>
    </w:rPr>
  </w:style>
  <w:style w:type="paragraph" w:customStyle="1" w:styleId="80">
    <w:name w:val="TOC 标题1"/>
    <w:basedOn w:val="3"/>
    <w:next w:val="1"/>
    <w:semiHidden/>
    <w:unhideWhenUsed/>
    <w:qFormat/>
    <w:uiPriority w:val="39"/>
    <w:pPr>
      <w:widowControl/>
      <w:spacing w:before="480" w:line="276" w:lineRule="auto"/>
      <w:ind w:firstLine="0" w:firstLineChars="0"/>
      <w:jc w:val="left"/>
      <w:outlineLvl w:val="9"/>
    </w:pPr>
    <w:rPr>
      <w:rFonts w:asciiTheme="majorHAnsi" w:hAnsiTheme="majorHAnsi" w:eastAsiaTheme="majorEastAsia" w:cstheme="majorBidi"/>
      <w:b/>
      <w:color w:val="2F5597"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ae25c16f-27c8-47e9-9ad6-c7db283d42f5</errorID>
      <errorWord>%以上</errorWord>
      <group>L1_Grammar</group>
      <groupName>语法问题</groupName>
      <ability>L2_Grammar</ability>
      <abilityName>语法错误</abilityName>
      <candidateList>
        <item>%</item>
      </candidateList>
      <explain/>
      <paraID>29E9457D</paraID>
      <start>31</start>
      <end>34</end>
      <status>ignored</status>
      <modifiedWord/>
      <trackRevisions>false</trackRevisions>
    </reviewItem>
    <reviewItem>
      <errorID>ba058b9c-3259-4f99-947f-3fee7da962e6</errorID>
      <errorWord>加强</errorWord>
      <group>L1_Grammar</group>
      <groupName>语法问题</groupName>
      <ability>L2_Grammar</ability>
      <abilityName>语法错误</abilityName>
      <candidateList>
        <item>促进</item>
      </candidateList>
      <explain>“水平～加强”搭配不当，建议修改为“水平～促进”。</explain>
      <paraID>307C2952</paraID>
      <start>18</start>
      <end>20</end>
      <status>ignored</status>
      <modifiedWord/>
      <trackRevisions>false</trackRevisions>
    </reviewItem>
    <reviewItem>
      <errorID>bea7b6d3-b39c-49c1-b1ab-796bf718c26d</errorID>
      <errorWord>坚持环保为民、人民至上</errorWord>
      <group>L1_Political</group>
      <groupName>政治性问题</groupName>
      <ability>L2_Keyword</ability>
      <abilityName>固定表述</abilityName>
      <candidateList>
        <item>坚持人民至上、环保为民</item>
      </candidateList>
      <explain>此处内容疑似含有固定表述相关错误，建议核查。</explain>
      <paraID>3A3AD3A2</paraID>
      <start>0</start>
      <end>11</end>
      <status>ignored</status>
      <modifiedWord/>
      <trackRevisions>false</trackRevisions>
    </reviewItem>
    <reviewItem>
      <errorID>b666acc3-d2a7-46ad-a1c4-f28632bada66</errorID>
      <errorWord>统筹发展与安全</errorWord>
      <group>L1_Political</group>
      <groupName>政治性问题</groupName>
      <ability>L2_Unpolitical</ability>
      <abilityName>政治敏感错误</abilityName>
      <candidateList>
        <item>统筹发展和安全</item>
      </candidateList>
      <explain/>
      <paraID>75261027</paraID>
      <start>7</start>
      <end>14</end>
      <status>ignored</status>
      <modifiedWord/>
      <trackRevisions>false</trackRevisions>
    </reviewItem>
    <reviewItem>
      <errorID>0f5d5b30-c818-45e6-a1c1-ecdcb5b75191</errorID>
      <errorWord>高质量发展与高水平安全</errorWord>
      <group>L1_Word</group>
      <groupName>字词问题</groupName>
      <ability>L2_Typo</ability>
      <abilityName>字词错误</abilityName>
      <candidateList>
        <item>高质量发展和高水平安全</item>
      </candidateList>
      <explain/>
      <paraID>23FA9A64</paraID>
      <start>114</start>
      <end>125</end>
      <status>ignored</status>
      <modifiedWord/>
      <trackRevisions>false</trackRevisions>
    </reviewItem>
    <reviewItem>
      <errorID>44c43f83-f09d-41ef-8908-a81180bc32a5</errorID>
      <errorWord>州府昌吉市</errorWord>
      <group>L1_Grammar</group>
      <groupName>语法问题</groupName>
      <ability>L2_Grammar</ability>
      <abilityName>语法错误</abilityName>
      <candidateList>
        <item>昌吉市</item>
      </candidateList>
      <explain/>
      <paraID>2CD913E2</paraID>
      <start>101</start>
      <end>106</end>
      <status>ignored</status>
      <modifiedWord/>
      <trackRevisions>false</trackRevisions>
    </reviewItem>
    <reviewItem>
      <errorID>6dea1372-5063-4706-ab19-2f0ca754a835</errorID>
      <errorWord>上线</errorWord>
      <group>L1_Word</group>
      <groupName>字词问题</groupName>
      <ability>L2_Typo</ability>
      <abilityName>字词错误</abilityName>
      <candidateList>
        <item>上限</item>
      </candidateList>
      <explain/>
      <paraID>46FECCDB</paraID>
      <start>7</start>
      <end>9</end>
      <status>modified</status>
      <modifiedWord>上限</modifiedWord>
      <trackRevisions>false</trackRevisions>
    </reviewItem>
    <reviewItem>
      <errorID>6d901001-2835-485b-93a0-b9edfed44c04</errorID>
      <errorWord>或提积</errorWord>
      <group>L1_Grammar</group>
      <groupName>语法问题</groupName>
      <ability>L2_Grammar</ability>
      <abilityName>语法错误</abilityName>
      <candidateList>
        <item>或</item>
      </candidateList>
      <explain/>
      <paraID>16922A2E</paraID>
      <start>77</start>
      <end>80</end>
      <status>ignored</status>
      <modifiedWord/>
      <trackRevisions>false</trackRevisions>
    </reviewItem>
    <reviewItem>
      <errorID>042f4642-8be6-46f9-b045-1bac12ce365b</errorID>
      <errorWord>水土保持与水源涵养</errorWord>
      <group>L1_Political</group>
      <groupName>政治性问题</groupName>
      <ability>L2_Keyword</ability>
      <abilityName>固定表述</abilityName>
      <candidateList>
        <item>水源涵养与水土保持</item>
      </candidateList>
      <explain>词汇“水源涵养与水土保持”在特定场景下为固定表述形式，请确认此处的“水土保持与水源涵养”是否存在不当。</explain>
      <paraID>28CDFEA2</paraID>
      <start>39</start>
      <end>48</end>
      <status>ignored</status>
      <modifiedWord/>
      <trackRevisions>false</trackRevisions>
    </reviewItem>
    <reviewItem>
      <errorID>78a2ce79-63a0-4d57-bfb7-775e75c7e8c7</errorID>
      <errorWord>生态修复成效评估</errorWord>
      <group>L1_Political</group>
      <groupName>政治性问题</groupName>
      <ability>L2_Keyword</ability>
      <abilityName>固定表述</abilityName>
      <candidateList>
        <item>生态保护修复成效评估</item>
      </candidateList>
      <explain>词汇“生态保护修复成效评估”在特定场景下为固定表述形式，请确认此处的“生态修复成效评估”是否存在不当。</explain>
      <paraID>3FD2B61D</paraID>
      <start>46</start>
      <end>54</end>
      <status>ignored</status>
      <modifiedWord/>
      <trackRevisions>false</trackRevisions>
    </reviewItem>
    <reviewItem>
      <errorID>b6ecb517-7723-4c19-ac44-b1e2c649721b</errorID>
      <errorWord>就</errorWord>
      <group>L1_Grammar</group>
      <groupName>语法问题</groupName>
      <ability>L2_Grammar</ability>
      <abilityName>语法错误</abilityName>
      <candidateList>
        <item>实现就</item>
      </candidateList>
      <explain/>
      <paraID> 19C9401</paraID>
      <start>36</start>
      <end>37</end>
      <status>ignored</status>
      <modifiedWord/>
      <trackRevisions>false</trackRevisions>
    </reviewItem>
    <reviewItem>
      <errorID>7f866b45-1ba6-48bb-b73e-9838c4d69924</errorID>
      <errorWord>并大力推广</errorWord>
      <group>L1_Word</group>
      <groupName>字词问题</groupName>
      <ability>L2_Typo</ability>
      <abilityName>字词错误</abilityName>
      <candidateList>
        <item>大力推广</item>
      </candidateList>
      <explain/>
      <paraID>3B2ACC0C</paraID>
      <start>72</start>
      <end>77</end>
      <status>ignored</status>
      <modifiedWord/>
      <trackRevisions>false</trackRevisions>
    </reviewItem>
    <reviewItem>
      <errorID>f56f577a-299b-4b26-9ba8-5ac4bb952519</errorID>
      <errorWord>比例</errorWord>
      <group>L1_Word</group>
      <groupName>字词问题</groupName>
      <ability>L2_Typo</ability>
      <abilityName>字词错误</abilityName>
      <candidateList>
        <item>占比</item>
      </candidateList>
      <explain/>
      <paraID>3C093466</paraID>
      <start>159</start>
      <end>161</end>
      <status>ignored</status>
      <modifiedWord/>
      <trackRevisions>false</trackRevisions>
    </reviewItem>
    <reviewItem>
      <errorID>0b798c36-8727-4f5b-88de-137444aa76e6</errorID>
      <errorWord>新能源</errorWord>
      <group>L1_Political</group>
      <groupName>政治性问题</groupName>
      <ability>L2_Keyword</ability>
      <abilityName>固定表述</abilityName>
      <candidateList>
        <item>实现新能源</item>
      </candidateList>
      <explain>此处内容疑似含有固定表述相关错误，建议核查。</explain>
      <paraID>6550F33C</paraID>
      <start>162</start>
      <end>165</end>
      <status>ignored</status>
      <modifiedWord/>
      <trackRevisions>false</trackRevisions>
    </reviewItem>
    <reviewItem>
      <errorID>e74ac5d9-05b2-420f-a9c7-6cb6f1241103</errorID>
      <errorWord>制度</errorWord>
      <group>L1_Grammar</group>
      <groupName>语法问题</groupName>
      <ability>L2_Grammar</ability>
      <abilityName>语法错误</abilityName>
      <candidateList>
        <item>利用土地制度</item>
      </candidateList>
      <explain/>
      <paraID>44748386</paraID>
      <start>10</start>
      <end>12</end>
      <status>ignored</status>
      <modifiedWord/>
      <trackRevisions>false</trackRevisions>
    </reviewItem>
    <reviewItem>
      <errorID>cce2975e-5f7f-4c79-8505-088625e83bb5</errorID>
      <errorWord>、生活垃圾</errorWord>
      <group>L1_Grammar</group>
      <groupName>语法问题</groupName>
      <ability>L2_Grammar</ability>
      <abilityName>语法错误</abilityName>
      <candidateList>
        <item>、</item>
      </candidateList>
      <explain/>
      <paraID>68A81E1A</paraID>
      <start>141</start>
      <end>142</end>
      <status>modified</status>
      <modifiedWord>、</modifiedWord>
      <trackRevisions>false</trackRevisions>
    </reviewItem>
    <reviewItem>
      <errorID>46bab576-1f7b-45ee-bd3d-18f3404871a7</errorID>
      <errorWord>统筹发展与安全</errorWord>
      <group>L1_Political</group>
      <groupName>政治性问题</groupName>
      <ability>L2_Unpolitical</ability>
      <abilityName>政治敏感错误</abilityName>
      <candidateList>
        <item>统筹发展和安全</item>
      </candidateList>
      <explain/>
      <paraID>29DA233F</paraID>
      <start>5</start>
      <end>12</end>
      <status>ignored</status>
      <modifiedWord/>
      <trackRevisions>false</trackRevisions>
    </reviewItem>
    <reviewItem>
      <errorID>f7666947-f322-47e1-9f8b-b4d93d6be081</errorID>
      <errorWord>生物安全监管预警和防控体系</errorWord>
      <group>L1_Political</group>
      <groupName>政治性问题</groupName>
      <ability>L2_Keyword</ability>
      <abilityName>固定表述</abilityName>
      <candidateList>
        <item>生物安全监管预警防控体系</item>
      </candidateList>
      <explain>词汇“生物安全监管预警防控体系”在特定场景下为固定表述形式，请确认此处的“生物安全监管预警和防控体系”是否存在不当。</explain>
      <paraID> AABAB99</paraID>
      <start>53</start>
      <end>66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1DD6A4-2174-4107-9B9B-13C60A38ACBD}">
  <ds:schemaRefs/>
</ds:datastoreItem>
</file>

<file path=customXml/itemProps3.xml><?xml version="1.0" encoding="utf-8"?>
<ds:datastoreItem xmlns:ds="http://schemas.openxmlformats.org/officeDocument/2006/customXml" ds:itemID="{f7029bbd-ed61-4dab-9a74-36429baaf77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14227</Words>
  <Characters>14582</Characters>
  <Lines>246</Lines>
  <Paragraphs>69</Paragraphs>
  <TotalTime>0</TotalTime>
  <ScaleCrop>false</ScaleCrop>
  <LinksUpToDate>false</LinksUpToDate>
  <CharactersWithSpaces>14728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2026-02-28T03:01:00Z</dcterms:created>
  <dc:creator>Administrator</dc:creator>
  <cp:lastModifiedBy>小麦啾</cp:lastModifiedBy>
  <cp:lastPrinted>2026-04-20T02:58:00Z</cp:lastPrinted>
  <dcterms:modified xsi:type="dcterms:W3CDTF">2026-05-25T04:08:47Z</dcterms:modified>
  <cp:revision>1063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eyJoZGlkIjoiM2Q5NDlmNDc3N2ZkYzk3ZGJmOTUwNTM0Mzc5MTVlNDMiLCJ1c2VySWQiOiIzMjQ5NjUzODcifQ==</vt:lpwstr>
  </property>
  <property fmtid="{D5CDD505-2E9C-101B-9397-08002B2CF9AE}" pid="3" name="KSOProductBuildVer">
    <vt:lpwstr>2052-12.1.0.25865</vt:lpwstr>
  </property>
  <property fmtid="{D5CDD505-2E9C-101B-9397-08002B2CF9AE}" pid="4" name="ICV">
    <vt:lpwstr>17C880C7ED4E42D58C8E7CBD6A83BD1A_13</vt:lpwstr>
  </property>
</Properties>
</file>