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1B6ECA">
      <w:pPr>
        <w:pStyle w:val="21"/>
        <w:jc w:val="center"/>
        <w:outlineLvl w:val="0"/>
        <w:rPr>
          <w:rFonts w:hint="eastAsia" w:ascii="Times New Roman" w:hAnsi="Times New Roman" w:eastAsia="黑体" w:cs="Times New Roman"/>
          <w:snapToGrid w:val="0"/>
          <w:color w:val="auto"/>
          <w:sz w:val="30"/>
          <w:szCs w:val="30"/>
          <w:highlight w:val="none"/>
          <w:lang w:eastAsia="zh-CN"/>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bookmarkStart w:id="7" w:name="_GoBack"/>
      <w:bookmarkEnd w:id="7"/>
      <w:r>
        <w:rPr>
          <w:rFonts w:hint="eastAsia" w:ascii="Times New Roman" w:hAnsi="Times New Roman" w:eastAsia="黑体" w:cs="Times New Roman"/>
          <w:snapToGrid w:val="0"/>
          <w:color w:val="auto"/>
          <w:sz w:val="30"/>
          <w:szCs w:val="30"/>
          <w:highlight w:val="none"/>
          <w:lang w:eastAsia="zh-CN"/>
        </w:rPr>
        <w:drawing>
          <wp:inline distT="0" distB="0" distL="114300" distR="114300">
            <wp:extent cx="5266690" cy="7402830"/>
            <wp:effectExtent l="0" t="0" r="10160" b="7620"/>
            <wp:docPr id="70" name="图片 70" descr="b97bbd197da2ecdc4b9a9cfcc3a8b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b97bbd197da2ecdc4b9a9cfcc3a8b3e"/>
                    <pic:cNvPicPr>
                      <a:picLocks noChangeAspect="1"/>
                    </pic:cNvPicPr>
                  </pic:nvPicPr>
                  <pic:blipFill>
                    <a:blip r:embed="rId9"/>
                    <a:stretch>
                      <a:fillRect/>
                    </a:stretch>
                  </pic:blipFill>
                  <pic:spPr>
                    <a:xfrm>
                      <a:off x="0" y="0"/>
                      <a:ext cx="5266690" cy="7402830"/>
                    </a:xfrm>
                    <a:prstGeom prst="rect">
                      <a:avLst/>
                    </a:prstGeom>
                  </pic:spPr>
                </pic:pic>
              </a:graphicData>
            </a:graphic>
          </wp:inline>
        </w:drawing>
      </w:r>
    </w:p>
    <w:p w14:paraId="7CD70B75">
      <w:pPr>
        <w:pStyle w:val="21"/>
        <w:jc w:val="center"/>
        <w:outlineLvl w:val="0"/>
        <w:rPr>
          <w:rFonts w:hint="eastAsia" w:ascii="Times New Roman" w:hAnsi="Times New Roman" w:eastAsia="黑体" w:cs="Times New Roman"/>
          <w:snapToGrid w:val="0"/>
          <w:color w:val="auto"/>
          <w:sz w:val="30"/>
          <w:szCs w:val="30"/>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ascii="Times New Roman" w:hAnsi="Times New Roman" w:eastAsia="黑体" w:cs="Times New Roman"/>
          <w:snapToGrid w:val="0"/>
          <w:color w:val="auto"/>
          <w:sz w:val="30"/>
          <w:szCs w:val="30"/>
          <w:highlight w:val="none"/>
          <w:lang w:eastAsia="zh-CN"/>
        </w:rPr>
        <w:drawing>
          <wp:inline distT="0" distB="0" distL="114300" distR="114300">
            <wp:extent cx="5264785" cy="7364730"/>
            <wp:effectExtent l="0" t="0" r="12065" b="7620"/>
            <wp:docPr id="71" name="图片 71" descr="编制单位和编制人员情况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编制单位和编制人员情况表"/>
                    <pic:cNvPicPr>
                      <a:picLocks noChangeAspect="1"/>
                    </pic:cNvPicPr>
                  </pic:nvPicPr>
                  <pic:blipFill>
                    <a:blip r:embed="rId10"/>
                    <a:stretch>
                      <a:fillRect/>
                    </a:stretch>
                  </pic:blipFill>
                  <pic:spPr>
                    <a:xfrm>
                      <a:off x="0" y="0"/>
                      <a:ext cx="5264785" cy="7364730"/>
                    </a:xfrm>
                    <a:prstGeom prst="rect">
                      <a:avLst/>
                    </a:prstGeom>
                  </pic:spPr>
                </pic:pic>
              </a:graphicData>
            </a:graphic>
          </wp:inline>
        </w:drawing>
      </w:r>
    </w:p>
    <w:p w14:paraId="5E096810">
      <w:pPr>
        <w:pStyle w:val="21"/>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黑体" w:cs="Times New Roman"/>
          <w:snapToGrid w:val="0"/>
          <w:color w:val="auto"/>
          <w:sz w:val="30"/>
          <w:szCs w:val="30"/>
          <w:highlight w:val="none"/>
        </w:rPr>
        <w:t>一、建设项目基本情况</w:t>
      </w:r>
    </w:p>
    <w:tbl>
      <w:tblPr>
        <w:tblStyle w:val="23"/>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543"/>
        <w:gridCol w:w="2030"/>
        <w:gridCol w:w="1870"/>
        <w:gridCol w:w="2892"/>
      </w:tblGrid>
      <w:tr w14:paraId="58AF55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72E6AFF9">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建设项目名称</w:t>
            </w:r>
          </w:p>
        </w:tc>
        <w:tc>
          <w:tcPr>
            <w:tcW w:w="6792" w:type="dxa"/>
            <w:gridSpan w:val="3"/>
            <w:tcBorders>
              <w:tl2br w:val="nil"/>
              <w:tr2bl w:val="nil"/>
            </w:tcBorders>
            <w:vAlign w:val="center"/>
          </w:tcPr>
          <w:p w14:paraId="17098BC5">
            <w:pPr>
              <w:adjustRightInd w:val="0"/>
              <w:snapToGrid w:val="0"/>
              <w:jc w:val="center"/>
              <w:rPr>
                <w:rFonts w:hint="eastAsia" w:asciiTheme="minorEastAsia" w:hAnsiTheme="minorEastAsia" w:eastAsiaTheme="minorEastAsia" w:cstheme="minorEastAsia"/>
                <w:color w:val="auto"/>
                <w:sz w:val="24"/>
                <w:szCs w:val="24"/>
                <w:highlight w:val="none"/>
                <w:lang w:eastAsia="zh-CN"/>
              </w:rPr>
            </w:pPr>
            <w:r>
              <w:rPr>
                <w:rFonts w:hint="eastAsia" w:asciiTheme="minorEastAsia" w:hAnsiTheme="minorEastAsia" w:eastAsiaTheme="minorEastAsia" w:cstheme="minorEastAsia"/>
                <w:color w:val="auto"/>
                <w:sz w:val="24"/>
                <w:szCs w:val="24"/>
                <w:highlight w:val="none"/>
                <w:lang w:eastAsia="zh-CN"/>
              </w:rPr>
              <w:t>龙泉股份吉木萨尔县</w:t>
            </w:r>
            <w:r>
              <w:rPr>
                <w:rFonts w:hint="default" w:ascii="Times New Roman" w:hAnsi="Times New Roman" w:cs="Times New Roman" w:eastAsiaTheme="minorEastAsia"/>
                <w:color w:val="auto"/>
                <w:sz w:val="24"/>
                <w:szCs w:val="24"/>
                <w:highlight w:val="none"/>
                <w:lang w:eastAsia="zh-CN"/>
              </w:rPr>
              <w:t>PCCP</w:t>
            </w:r>
            <w:r>
              <w:rPr>
                <w:rFonts w:hint="eastAsia" w:asciiTheme="minorEastAsia" w:hAnsiTheme="minorEastAsia" w:eastAsiaTheme="minorEastAsia" w:cstheme="minorEastAsia"/>
                <w:color w:val="auto"/>
                <w:sz w:val="24"/>
                <w:szCs w:val="24"/>
                <w:highlight w:val="none"/>
                <w:lang w:eastAsia="zh-CN"/>
              </w:rPr>
              <w:t>管厂建设项目</w:t>
            </w:r>
          </w:p>
        </w:tc>
      </w:tr>
      <w:tr w14:paraId="15663D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07D3CED7">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项目代码</w:t>
            </w:r>
          </w:p>
        </w:tc>
        <w:tc>
          <w:tcPr>
            <w:tcW w:w="6792" w:type="dxa"/>
            <w:gridSpan w:val="3"/>
            <w:tcBorders>
              <w:tl2br w:val="nil"/>
              <w:tr2bl w:val="nil"/>
            </w:tcBorders>
            <w:vAlign w:val="center"/>
          </w:tcPr>
          <w:p w14:paraId="04618629">
            <w:pPr>
              <w:adjustRightInd w:val="0"/>
              <w:snapToGrid w:val="0"/>
              <w:jc w:val="center"/>
              <w:rPr>
                <w:rFonts w:hint="eastAsia" w:asciiTheme="minorEastAsia" w:hAnsiTheme="minorEastAsia" w:eastAsiaTheme="minorEastAsia" w:cs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lang w:eastAsia="zh-CN"/>
              </w:rPr>
              <w:t>2410-652327-19-01-672692</w:t>
            </w:r>
          </w:p>
        </w:tc>
      </w:tr>
      <w:tr w14:paraId="351B62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100F36E7">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建设单位联系人</w:t>
            </w:r>
          </w:p>
        </w:tc>
        <w:tc>
          <w:tcPr>
            <w:tcW w:w="2030" w:type="dxa"/>
            <w:tcBorders>
              <w:tl2br w:val="nil"/>
              <w:tr2bl w:val="nil"/>
            </w:tcBorders>
            <w:vAlign w:val="center"/>
          </w:tcPr>
          <w:p w14:paraId="411F622A">
            <w:pPr>
              <w:adjustRightInd w:val="0"/>
              <w:snapToGrid w:val="0"/>
              <w:jc w:val="center"/>
              <w:rPr>
                <w:rFonts w:hint="default" w:cs="Times New Roman"/>
                <w:color w:val="auto"/>
                <w:sz w:val="24"/>
                <w:highlight w:val="none"/>
                <w:lang w:val="en-US" w:eastAsia="zh-CN"/>
              </w:rPr>
            </w:pPr>
            <w:r>
              <w:rPr>
                <w:rFonts w:hint="eastAsia" w:cs="Times New Roman"/>
                <w:color w:val="auto"/>
                <w:sz w:val="24"/>
                <w:highlight w:val="none"/>
                <w:lang w:val="en-US" w:eastAsia="zh-CN"/>
              </w:rPr>
              <w:t>张星良</w:t>
            </w:r>
          </w:p>
        </w:tc>
        <w:tc>
          <w:tcPr>
            <w:tcW w:w="1870" w:type="dxa"/>
            <w:tcBorders>
              <w:tl2br w:val="nil"/>
              <w:tr2bl w:val="nil"/>
            </w:tcBorders>
            <w:vAlign w:val="center"/>
          </w:tcPr>
          <w:p w14:paraId="3BBE7B48">
            <w:pPr>
              <w:adjustRightInd w:val="0"/>
              <w:snapToGrid w:val="0"/>
              <w:jc w:val="center"/>
              <w:rPr>
                <w:rFonts w:hint="default" w:cs="Times New Roman"/>
                <w:color w:val="auto"/>
                <w:sz w:val="24"/>
                <w:highlight w:val="none"/>
                <w:lang w:eastAsia="zh-CN"/>
              </w:rPr>
            </w:pPr>
            <w:r>
              <w:rPr>
                <w:rFonts w:hint="default" w:cs="Times New Roman"/>
                <w:color w:val="auto"/>
                <w:sz w:val="24"/>
                <w:highlight w:val="none"/>
                <w:lang w:eastAsia="zh-CN"/>
              </w:rPr>
              <w:t>联系方式</w:t>
            </w:r>
          </w:p>
        </w:tc>
        <w:tc>
          <w:tcPr>
            <w:tcW w:w="2892" w:type="dxa"/>
            <w:tcBorders>
              <w:tl2br w:val="nil"/>
              <w:tr2bl w:val="nil"/>
            </w:tcBorders>
            <w:vAlign w:val="center"/>
          </w:tcPr>
          <w:p w14:paraId="6A0196A0">
            <w:pPr>
              <w:adjustRightInd w:val="0"/>
              <w:snapToGrid w:val="0"/>
              <w:jc w:val="center"/>
              <w:rPr>
                <w:rFonts w:hint="default" w:cs="Times New Roman"/>
                <w:color w:val="auto"/>
                <w:sz w:val="24"/>
                <w:highlight w:val="none"/>
                <w:lang w:val="en-US" w:eastAsia="zh-CN"/>
              </w:rPr>
            </w:pPr>
            <w:r>
              <w:rPr>
                <w:rFonts w:hint="eastAsia" w:cs="Times New Roman"/>
                <w:color w:val="auto"/>
                <w:sz w:val="24"/>
                <w:highlight w:val="none"/>
                <w:lang w:val="en-US" w:eastAsia="zh-CN"/>
              </w:rPr>
              <w:t>18955297766</w:t>
            </w:r>
          </w:p>
        </w:tc>
      </w:tr>
      <w:tr w14:paraId="327111D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433C6FE0">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建设地点</w:t>
            </w:r>
          </w:p>
        </w:tc>
        <w:tc>
          <w:tcPr>
            <w:tcW w:w="6792" w:type="dxa"/>
            <w:gridSpan w:val="3"/>
            <w:tcBorders>
              <w:tl2br w:val="nil"/>
              <w:tr2bl w:val="nil"/>
            </w:tcBorders>
            <w:vAlign w:val="center"/>
          </w:tcPr>
          <w:p w14:paraId="53D2C5E2">
            <w:pPr>
              <w:adjustRightInd w:val="0"/>
              <w:snapToGrid w:val="0"/>
              <w:jc w:val="center"/>
              <w:rPr>
                <w:rFonts w:hint="default" w:cs="Times New Roman"/>
                <w:color w:val="auto"/>
                <w:sz w:val="24"/>
                <w:highlight w:val="none"/>
                <w:lang w:eastAsia="zh-CN"/>
              </w:rPr>
            </w:pPr>
            <w:r>
              <w:rPr>
                <w:rFonts w:hint="default" w:cs="Times New Roman"/>
                <w:color w:val="auto"/>
                <w:sz w:val="24"/>
                <w:highlight w:val="none"/>
                <w:lang w:eastAsia="zh-CN"/>
              </w:rPr>
              <w:t>吉木萨尔县北庭工业园区</w:t>
            </w:r>
            <w:r>
              <w:rPr>
                <w:rFonts w:hint="eastAsia" w:cs="Times New Roman"/>
                <w:color w:val="auto"/>
                <w:sz w:val="24"/>
                <w:highlight w:val="none"/>
                <w:lang w:val="en-US" w:eastAsia="zh-CN"/>
              </w:rPr>
              <w:t>原</w:t>
            </w:r>
            <w:r>
              <w:rPr>
                <w:rFonts w:hint="default" w:cs="Times New Roman"/>
                <w:color w:val="auto"/>
                <w:sz w:val="24"/>
                <w:highlight w:val="none"/>
                <w:lang w:eastAsia="zh-CN"/>
              </w:rPr>
              <w:t>善成工业设备有限公司厂区内</w:t>
            </w:r>
          </w:p>
        </w:tc>
      </w:tr>
      <w:tr w14:paraId="349EA1A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5491DCF2">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地理坐标</w:t>
            </w:r>
          </w:p>
        </w:tc>
        <w:tc>
          <w:tcPr>
            <w:tcW w:w="6792" w:type="dxa"/>
            <w:gridSpan w:val="3"/>
            <w:tcBorders>
              <w:tl2br w:val="nil"/>
              <w:tr2bl w:val="nil"/>
            </w:tcBorders>
            <w:vAlign w:val="center"/>
          </w:tcPr>
          <w:p w14:paraId="2DD89628">
            <w:pPr>
              <w:pStyle w:val="28"/>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（8</w:t>
            </w:r>
            <w:r>
              <w:rPr>
                <w:rFonts w:hint="eastAsia" w:ascii="Times New Roman" w:hAnsi="Times New Roman" w:cs="Times New Roman"/>
                <w:color w:val="auto"/>
                <w:kern w:val="2"/>
                <w:sz w:val="24"/>
                <w:szCs w:val="24"/>
                <w:highlight w:val="none"/>
                <w:lang w:val="en-US" w:eastAsia="zh-CN" w:bidi="ar-SA"/>
              </w:rPr>
              <w:t>9</w:t>
            </w:r>
            <w:r>
              <w:rPr>
                <w:rFonts w:hint="default" w:ascii="Times New Roman" w:hAnsi="Times New Roman" w:eastAsia="宋体" w:cs="Times New Roman"/>
                <w:color w:val="auto"/>
                <w:kern w:val="2"/>
                <w:sz w:val="24"/>
                <w:szCs w:val="24"/>
                <w:highlight w:val="none"/>
                <w:lang w:val="en-US" w:eastAsia="zh-CN" w:bidi="ar-SA"/>
              </w:rPr>
              <w:t>度</w:t>
            </w:r>
            <w:r>
              <w:rPr>
                <w:rFonts w:hint="eastAsia" w:ascii="Times New Roman" w:hAnsi="Times New Roman" w:cs="Times New Roman"/>
                <w:color w:val="auto"/>
                <w:kern w:val="2"/>
                <w:sz w:val="24"/>
                <w:szCs w:val="24"/>
                <w:highlight w:val="none"/>
                <w:lang w:val="en-US" w:eastAsia="zh-CN" w:bidi="ar-SA"/>
              </w:rPr>
              <w:t>11</w:t>
            </w:r>
            <w:r>
              <w:rPr>
                <w:rFonts w:hint="default" w:ascii="Times New Roman" w:hAnsi="Times New Roman" w:eastAsia="宋体" w:cs="Times New Roman"/>
                <w:color w:val="auto"/>
                <w:kern w:val="2"/>
                <w:sz w:val="24"/>
                <w:szCs w:val="24"/>
                <w:highlight w:val="none"/>
                <w:lang w:val="en-US" w:eastAsia="zh-CN" w:bidi="ar-SA"/>
              </w:rPr>
              <w:t>分</w:t>
            </w:r>
            <w:r>
              <w:rPr>
                <w:rFonts w:hint="eastAsia" w:ascii="Times New Roman" w:hAnsi="Times New Roman" w:cs="Times New Roman"/>
                <w:color w:val="auto"/>
                <w:kern w:val="2"/>
                <w:sz w:val="24"/>
                <w:szCs w:val="24"/>
                <w:highlight w:val="none"/>
                <w:lang w:val="en-US" w:eastAsia="zh-CN" w:bidi="ar-SA"/>
              </w:rPr>
              <w:t>54.57</w:t>
            </w:r>
            <w:r>
              <w:rPr>
                <w:rFonts w:hint="default" w:ascii="Times New Roman" w:hAnsi="Times New Roman" w:eastAsia="宋体" w:cs="Times New Roman"/>
                <w:color w:val="auto"/>
                <w:kern w:val="2"/>
                <w:sz w:val="24"/>
                <w:szCs w:val="24"/>
                <w:highlight w:val="none"/>
                <w:lang w:val="en-US" w:eastAsia="zh-CN" w:bidi="ar-SA"/>
              </w:rPr>
              <w:t>秒，4</w:t>
            </w:r>
            <w:r>
              <w:rPr>
                <w:rFonts w:hint="eastAsia" w:ascii="Times New Roman" w:hAnsi="Times New Roman" w:cs="Times New Roman"/>
                <w:color w:val="auto"/>
                <w:kern w:val="2"/>
                <w:sz w:val="24"/>
                <w:szCs w:val="24"/>
                <w:highlight w:val="none"/>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度</w:t>
            </w:r>
            <w:r>
              <w:rPr>
                <w:rFonts w:hint="eastAsia" w:ascii="Times New Roman" w:hAnsi="Times New Roman" w:cs="Times New Roman"/>
                <w:color w:val="auto"/>
                <w:kern w:val="2"/>
                <w:sz w:val="24"/>
                <w:szCs w:val="24"/>
                <w:highlight w:val="none"/>
                <w:lang w:val="en-US" w:eastAsia="zh-CN" w:bidi="ar-SA"/>
              </w:rPr>
              <w:t>56</w:t>
            </w:r>
            <w:r>
              <w:rPr>
                <w:rFonts w:hint="default" w:ascii="Times New Roman" w:hAnsi="Times New Roman" w:eastAsia="宋体" w:cs="Times New Roman"/>
                <w:color w:val="auto"/>
                <w:kern w:val="2"/>
                <w:sz w:val="24"/>
                <w:szCs w:val="24"/>
                <w:highlight w:val="none"/>
                <w:lang w:val="en-US" w:eastAsia="zh-CN" w:bidi="ar-SA"/>
              </w:rPr>
              <w:t>分</w:t>
            </w:r>
            <w:r>
              <w:rPr>
                <w:rFonts w:hint="eastAsia" w:ascii="Times New Roman" w:hAnsi="Times New Roman" w:cs="Times New Roman"/>
                <w:color w:val="auto"/>
                <w:kern w:val="2"/>
                <w:sz w:val="24"/>
                <w:szCs w:val="24"/>
                <w:highlight w:val="none"/>
                <w:lang w:val="en-US" w:eastAsia="zh-CN" w:bidi="ar-SA"/>
              </w:rPr>
              <w:t>46.40</w:t>
            </w:r>
            <w:r>
              <w:rPr>
                <w:rFonts w:hint="default" w:ascii="Times New Roman" w:hAnsi="Times New Roman" w:eastAsia="宋体" w:cs="Times New Roman"/>
                <w:color w:val="auto"/>
                <w:kern w:val="2"/>
                <w:sz w:val="24"/>
                <w:szCs w:val="24"/>
                <w:highlight w:val="none"/>
                <w:lang w:val="en-US" w:eastAsia="zh-CN" w:bidi="ar-SA"/>
              </w:rPr>
              <w:t>秒）</w:t>
            </w:r>
          </w:p>
        </w:tc>
      </w:tr>
      <w:tr w14:paraId="03C4DE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6C638886">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国民经济行业类别</w:t>
            </w:r>
          </w:p>
        </w:tc>
        <w:tc>
          <w:tcPr>
            <w:tcW w:w="2030" w:type="dxa"/>
            <w:tcBorders>
              <w:tl2br w:val="nil"/>
              <w:tr2bl w:val="nil"/>
            </w:tcBorders>
            <w:vAlign w:val="center"/>
          </w:tcPr>
          <w:p w14:paraId="421CC5FC">
            <w:pPr>
              <w:pStyle w:val="29"/>
              <w:jc w:val="center"/>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rPr>
              <w:t>C30</w:t>
            </w:r>
            <w:r>
              <w:rPr>
                <w:rFonts w:hint="default" w:ascii="Times New Roman" w:hAnsi="Times New Roman" w:cs="Times New Roman"/>
                <w:color w:val="auto"/>
                <w:sz w:val="24"/>
                <w:szCs w:val="24"/>
                <w:highlight w:val="none"/>
                <w:lang w:val="en-US"/>
              </w:rPr>
              <w:t>22</w:t>
            </w:r>
          </w:p>
          <w:p w14:paraId="5173FB21">
            <w:pPr>
              <w:pStyle w:val="29"/>
              <w:jc w:val="center"/>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lang w:val="en-US"/>
              </w:rPr>
              <w:t>砼结构构件制造</w:t>
            </w:r>
          </w:p>
        </w:tc>
        <w:tc>
          <w:tcPr>
            <w:tcW w:w="1870" w:type="dxa"/>
            <w:tcBorders>
              <w:tl2br w:val="nil"/>
              <w:tr2bl w:val="nil"/>
            </w:tcBorders>
            <w:vAlign w:val="center"/>
          </w:tcPr>
          <w:p w14:paraId="58811A20">
            <w:pPr>
              <w:pStyle w:val="29"/>
              <w:jc w:val="center"/>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建设项目行业类别</w:t>
            </w:r>
          </w:p>
        </w:tc>
        <w:tc>
          <w:tcPr>
            <w:tcW w:w="2892" w:type="dxa"/>
            <w:tcBorders>
              <w:tl2br w:val="nil"/>
              <w:tr2bl w:val="nil"/>
            </w:tcBorders>
          </w:tcPr>
          <w:p w14:paraId="5A0729DD">
            <w:pPr>
              <w:pStyle w:val="29"/>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二十七、非金属矿物制品业55.石膏、水泥制品及类似制品制造</w:t>
            </w:r>
            <w:r>
              <w:rPr>
                <w:rFonts w:hint="eastAsia" w:ascii="Times New Roman" w:hAnsi="Times New Roman" w:cs="Times New Roman"/>
                <w:color w:val="auto"/>
                <w:sz w:val="24"/>
                <w:szCs w:val="24"/>
                <w:highlight w:val="none"/>
                <w:lang w:val="en-US" w:eastAsia="zh-CN"/>
              </w:rPr>
              <w:t>302</w:t>
            </w:r>
          </w:p>
        </w:tc>
      </w:tr>
      <w:tr w14:paraId="608885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6816693B">
            <w:pPr>
              <w:pStyle w:val="29"/>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建设性质</w:t>
            </w:r>
          </w:p>
        </w:tc>
        <w:tc>
          <w:tcPr>
            <w:tcW w:w="2030" w:type="dxa"/>
            <w:tcBorders>
              <w:tl2br w:val="nil"/>
              <w:tr2bl w:val="nil"/>
            </w:tcBorders>
            <w:vAlign w:val="center"/>
          </w:tcPr>
          <w:p w14:paraId="149EC7BA">
            <w:pPr>
              <w:pStyle w:val="29"/>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新建（迁建）</w:t>
            </w:r>
          </w:p>
          <w:p w14:paraId="7A3BAD08">
            <w:pPr>
              <w:pStyle w:val="29"/>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改建</w:t>
            </w:r>
          </w:p>
          <w:p w14:paraId="7CAC0913">
            <w:pPr>
              <w:pStyle w:val="29"/>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扩建</w:t>
            </w:r>
          </w:p>
          <w:p w14:paraId="44899941">
            <w:pPr>
              <w:pStyle w:val="29"/>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技术改造</w:t>
            </w:r>
          </w:p>
        </w:tc>
        <w:tc>
          <w:tcPr>
            <w:tcW w:w="1870" w:type="dxa"/>
            <w:tcBorders>
              <w:tl2br w:val="nil"/>
              <w:tr2bl w:val="nil"/>
            </w:tcBorders>
            <w:vAlign w:val="center"/>
          </w:tcPr>
          <w:p w14:paraId="3AD7307D">
            <w:pPr>
              <w:pStyle w:val="29"/>
              <w:jc w:val="center"/>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建设项目申报情形</w:t>
            </w:r>
          </w:p>
        </w:tc>
        <w:tc>
          <w:tcPr>
            <w:tcW w:w="2892" w:type="dxa"/>
            <w:tcBorders>
              <w:tl2br w:val="nil"/>
              <w:tr2bl w:val="nil"/>
            </w:tcBorders>
          </w:tcPr>
          <w:p w14:paraId="64E05737">
            <w:pPr>
              <w:pStyle w:val="2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首次申报项目</w:t>
            </w:r>
          </w:p>
          <w:p w14:paraId="4B3637D4">
            <w:pPr>
              <w:pStyle w:val="2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不予批准后再次申报项目</w:t>
            </w:r>
          </w:p>
          <w:p w14:paraId="6E25284F">
            <w:pPr>
              <w:pStyle w:val="2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超五年重新审核项目</w:t>
            </w:r>
          </w:p>
          <w:p w14:paraId="38CA1AA6">
            <w:pPr>
              <w:pStyle w:val="2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重大变动重新报批项目</w:t>
            </w:r>
          </w:p>
        </w:tc>
      </w:tr>
      <w:tr w14:paraId="0C07F9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4C4750F5">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项目审批（核准/备案）部门（选填）</w:t>
            </w:r>
          </w:p>
        </w:tc>
        <w:tc>
          <w:tcPr>
            <w:tcW w:w="2030" w:type="dxa"/>
            <w:tcBorders>
              <w:tl2br w:val="nil"/>
              <w:tr2bl w:val="nil"/>
            </w:tcBorders>
            <w:vAlign w:val="center"/>
          </w:tcPr>
          <w:p w14:paraId="6CBCA090">
            <w:pPr>
              <w:adjustRightInd w:val="0"/>
              <w:snapToGrid w:val="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吉木萨尔县发展和改革委员会</w:t>
            </w:r>
          </w:p>
        </w:tc>
        <w:tc>
          <w:tcPr>
            <w:tcW w:w="1870" w:type="dxa"/>
            <w:tcBorders>
              <w:tl2br w:val="nil"/>
              <w:tr2bl w:val="nil"/>
            </w:tcBorders>
            <w:vAlign w:val="center"/>
          </w:tcPr>
          <w:p w14:paraId="45008534">
            <w:pPr>
              <w:adjustRightInd w:val="0"/>
              <w:snapToGrid w:val="0"/>
              <w:jc w:val="center"/>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项目审批（核准/备案）文号（选填）</w:t>
            </w:r>
          </w:p>
        </w:tc>
        <w:tc>
          <w:tcPr>
            <w:tcW w:w="2892" w:type="dxa"/>
            <w:tcBorders>
              <w:tl2br w:val="nil"/>
              <w:tr2bl w:val="nil"/>
            </w:tcBorders>
            <w:vAlign w:val="center"/>
          </w:tcPr>
          <w:p w14:paraId="6C22A303">
            <w:pPr>
              <w:adjustRightInd w:val="0"/>
              <w:snapToGrid w:val="0"/>
              <w:jc w:val="center"/>
              <w:rPr>
                <w:rFonts w:hint="default" w:ascii="Times New Roman" w:hAnsi="Times New Roman" w:eastAsia="宋体" w:cs="Times New Roman"/>
                <w:color w:val="auto"/>
                <w:kern w:val="2"/>
                <w:sz w:val="24"/>
                <w:szCs w:val="24"/>
                <w:highlight w:val="none"/>
                <w:lang w:val="zh-CN" w:eastAsia="zh-CN" w:bidi="zh-CN"/>
              </w:rPr>
            </w:pPr>
            <w:r>
              <w:rPr>
                <w:rFonts w:hint="default" w:ascii="Times New Roman" w:hAnsi="Times New Roman" w:eastAsia="宋体" w:cs="Times New Roman"/>
                <w:color w:val="auto"/>
                <w:kern w:val="2"/>
                <w:sz w:val="24"/>
                <w:szCs w:val="24"/>
                <w:highlight w:val="none"/>
                <w:lang w:val="zh-CN" w:eastAsia="zh-CN" w:bidi="zh-CN"/>
              </w:rPr>
              <w:t>2410091221652300000064</w:t>
            </w:r>
          </w:p>
        </w:tc>
      </w:tr>
      <w:tr w14:paraId="2EF183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030275BA">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总投资（万元）</w:t>
            </w:r>
          </w:p>
        </w:tc>
        <w:tc>
          <w:tcPr>
            <w:tcW w:w="2030" w:type="dxa"/>
            <w:tcBorders>
              <w:tl2br w:val="nil"/>
              <w:tr2bl w:val="nil"/>
            </w:tcBorders>
            <w:vAlign w:val="center"/>
          </w:tcPr>
          <w:p w14:paraId="099AEBB0">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3500.00</w:t>
            </w:r>
          </w:p>
        </w:tc>
        <w:tc>
          <w:tcPr>
            <w:tcW w:w="1870" w:type="dxa"/>
            <w:tcBorders>
              <w:tl2br w:val="nil"/>
              <w:tr2bl w:val="nil"/>
            </w:tcBorders>
            <w:tcMar>
              <w:top w:w="16" w:type="dxa"/>
              <w:left w:w="16" w:type="dxa"/>
              <w:right w:w="16" w:type="dxa"/>
            </w:tcMar>
            <w:vAlign w:val="center"/>
          </w:tcPr>
          <w:p w14:paraId="21A7DA33">
            <w:pPr>
              <w:adjustRightInd w:val="0"/>
              <w:snapToGrid w:val="0"/>
              <w:jc w:val="center"/>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环保投资（万元）</w:t>
            </w:r>
          </w:p>
        </w:tc>
        <w:tc>
          <w:tcPr>
            <w:tcW w:w="2892" w:type="dxa"/>
            <w:tcBorders>
              <w:tl2br w:val="nil"/>
              <w:tr2bl w:val="nil"/>
            </w:tcBorders>
            <w:vAlign w:val="center"/>
          </w:tcPr>
          <w:p w14:paraId="11980CC9">
            <w:pPr>
              <w:adjustRightInd w:val="0"/>
              <w:snapToGrid w:val="0"/>
              <w:jc w:val="center"/>
              <w:rPr>
                <w:rFonts w:hint="default" w:ascii="Times New Roman" w:hAnsi="Times New Roman" w:eastAsia="宋体" w:cs="Times New Roman"/>
                <w:color w:val="auto"/>
                <w:kern w:val="2"/>
                <w:sz w:val="24"/>
                <w:szCs w:val="24"/>
                <w:highlight w:val="none"/>
                <w:lang w:val="en-US" w:eastAsia="zh-CN" w:bidi="zh-CN"/>
              </w:rPr>
            </w:pPr>
            <w:r>
              <w:rPr>
                <w:rFonts w:hint="eastAsia" w:cs="Times New Roman"/>
                <w:color w:val="auto"/>
                <w:kern w:val="2"/>
                <w:sz w:val="24"/>
                <w:szCs w:val="24"/>
                <w:highlight w:val="none"/>
                <w:lang w:val="en-US" w:eastAsia="zh-CN" w:bidi="zh-CN"/>
              </w:rPr>
              <w:t>59.70</w:t>
            </w:r>
          </w:p>
        </w:tc>
      </w:tr>
      <w:tr w14:paraId="2DDB46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7F536390">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环保投资占比（%）</w:t>
            </w:r>
          </w:p>
        </w:tc>
        <w:tc>
          <w:tcPr>
            <w:tcW w:w="2030" w:type="dxa"/>
            <w:tcBorders>
              <w:tl2br w:val="nil"/>
              <w:tr2bl w:val="nil"/>
            </w:tcBorders>
            <w:vAlign w:val="center"/>
          </w:tcPr>
          <w:p w14:paraId="57218E07">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1.71</w:t>
            </w:r>
          </w:p>
        </w:tc>
        <w:tc>
          <w:tcPr>
            <w:tcW w:w="1870" w:type="dxa"/>
            <w:tcBorders>
              <w:tl2br w:val="nil"/>
              <w:tr2bl w:val="nil"/>
            </w:tcBorders>
            <w:tcMar>
              <w:top w:w="16" w:type="dxa"/>
              <w:left w:w="16" w:type="dxa"/>
              <w:right w:w="16" w:type="dxa"/>
            </w:tcMar>
            <w:vAlign w:val="center"/>
          </w:tcPr>
          <w:p w14:paraId="235E17CC">
            <w:pPr>
              <w:adjustRightInd w:val="0"/>
              <w:snapToGrid w:val="0"/>
              <w:jc w:val="center"/>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z w:val="24"/>
                <w:szCs w:val="24"/>
                <w:highlight w:val="none"/>
              </w:rPr>
              <w:t>施工工期</w:t>
            </w:r>
          </w:p>
        </w:tc>
        <w:tc>
          <w:tcPr>
            <w:tcW w:w="2892" w:type="dxa"/>
            <w:tcBorders>
              <w:tl2br w:val="nil"/>
              <w:tr2bl w:val="nil"/>
            </w:tcBorders>
            <w:vAlign w:val="center"/>
          </w:tcPr>
          <w:p w14:paraId="5C333070">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6个月</w:t>
            </w:r>
          </w:p>
        </w:tc>
      </w:tr>
      <w:tr w14:paraId="53E76E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543" w:type="dxa"/>
            <w:tcBorders>
              <w:tl2br w:val="nil"/>
              <w:tr2bl w:val="nil"/>
            </w:tcBorders>
            <w:tcMar>
              <w:top w:w="16" w:type="dxa"/>
              <w:left w:w="16" w:type="dxa"/>
              <w:right w:w="16" w:type="dxa"/>
            </w:tcMar>
            <w:vAlign w:val="center"/>
          </w:tcPr>
          <w:p w14:paraId="0B3B2780">
            <w:pPr>
              <w:adjustRightInd w:val="0"/>
              <w:snapToGrid w:val="0"/>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是否开工建设</w:t>
            </w:r>
          </w:p>
        </w:tc>
        <w:tc>
          <w:tcPr>
            <w:tcW w:w="2030" w:type="dxa"/>
            <w:tcBorders>
              <w:tl2br w:val="nil"/>
              <w:tr2bl w:val="nil"/>
            </w:tcBorders>
            <w:vAlign w:val="center"/>
          </w:tcPr>
          <w:p w14:paraId="587F49AA">
            <w:pPr>
              <w:adjustRightInd w:val="0"/>
              <w:snapToGrid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52"/>
            </w:r>
            <w:r>
              <w:rPr>
                <w:rFonts w:hint="default" w:ascii="Times New Roman" w:hAnsi="Times New Roman" w:cs="Times New Roman"/>
                <w:color w:val="auto"/>
                <w:sz w:val="24"/>
                <w:szCs w:val="24"/>
                <w:highlight w:val="none"/>
              </w:rPr>
              <w:t>否</w:t>
            </w:r>
          </w:p>
          <w:p w14:paraId="49F95D33">
            <w:pPr>
              <w:adjustRightInd w:val="0"/>
              <w:snapToGrid w:val="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sym w:font="Wingdings 2" w:char="00A3"/>
            </w:r>
            <w:r>
              <w:rPr>
                <w:rFonts w:hint="default" w:ascii="Times New Roman" w:hAnsi="Times New Roman" w:cs="Times New Roman"/>
                <w:color w:val="auto"/>
                <w:sz w:val="24"/>
                <w:szCs w:val="24"/>
                <w:highlight w:val="none"/>
              </w:rPr>
              <w:t>是：</w:t>
            </w:r>
          </w:p>
        </w:tc>
        <w:tc>
          <w:tcPr>
            <w:tcW w:w="1870" w:type="dxa"/>
            <w:tcBorders>
              <w:tl2br w:val="nil"/>
              <w:tr2bl w:val="nil"/>
            </w:tcBorders>
            <w:tcMar>
              <w:top w:w="16" w:type="dxa"/>
              <w:left w:w="16" w:type="dxa"/>
              <w:right w:w="16" w:type="dxa"/>
            </w:tcMar>
            <w:vAlign w:val="center"/>
          </w:tcPr>
          <w:p w14:paraId="7FC40FD5">
            <w:pPr>
              <w:adjustRightInd w:val="0"/>
              <w:snapToGrid w:val="0"/>
              <w:jc w:val="center"/>
              <w:rPr>
                <w:rFonts w:hint="default" w:ascii="Times New Roman" w:hAnsi="Times New Roman" w:cs="Times New Roman"/>
                <w:b w:val="0"/>
                <w:bCs/>
                <w:color w:val="auto"/>
                <w:sz w:val="24"/>
                <w:szCs w:val="24"/>
                <w:highlight w:val="none"/>
              </w:rPr>
            </w:pPr>
            <w:r>
              <w:rPr>
                <w:rFonts w:hint="default" w:ascii="Times New Roman" w:hAnsi="Times New Roman" w:cs="Times New Roman"/>
                <w:b w:val="0"/>
                <w:bCs/>
                <w:color w:val="auto"/>
                <w:spacing w:val="-6"/>
                <w:sz w:val="24"/>
                <w:szCs w:val="24"/>
                <w:highlight w:val="none"/>
              </w:rPr>
              <w:t>用地（用海）面积（m</w:t>
            </w:r>
            <w:r>
              <w:rPr>
                <w:rFonts w:hint="default" w:ascii="Times New Roman" w:hAnsi="Times New Roman" w:cs="Times New Roman"/>
                <w:b w:val="0"/>
                <w:bCs/>
                <w:color w:val="auto"/>
                <w:spacing w:val="-6"/>
                <w:sz w:val="24"/>
                <w:szCs w:val="24"/>
                <w:highlight w:val="none"/>
                <w:vertAlign w:val="superscript"/>
              </w:rPr>
              <w:t>2</w:t>
            </w:r>
            <w:r>
              <w:rPr>
                <w:rFonts w:hint="default" w:ascii="Times New Roman" w:hAnsi="Times New Roman" w:cs="Times New Roman"/>
                <w:b w:val="0"/>
                <w:bCs/>
                <w:color w:val="auto"/>
                <w:spacing w:val="-6"/>
                <w:sz w:val="24"/>
                <w:szCs w:val="24"/>
                <w:highlight w:val="none"/>
              </w:rPr>
              <w:t>）</w:t>
            </w:r>
          </w:p>
        </w:tc>
        <w:tc>
          <w:tcPr>
            <w:tcW w:w="2892" w:type="dxa"/>
            <w:tcBorders>
              <w:tl2br w:val="nil"/>
              <w:tr2bl w:val="nil"/>
            </w:tcBorders>
            <w:vAlign w:val="center"/>
          </w:tcPr>
          <w:p w14:paraId="39453E92">
            <w:pPr>
              <w:adjustRightInd w:val="0"/>
              <w:snapToGrid w:val="0"/>
              <w:jc w:val="center"/>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32260.16</w:t>
            </w:r>
          </w:p>
        </w:tc>
      </w:tr>
      <w:tr w14:paraId="51F39F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3" w:type="dxa"/>
            <w:tcBorders>
              <w:tl2br w:val="nil"/>
              <w:tr2bl w:val="nil"/>
            </w:tcBorders>
            <w:vAlign w:val="center"/>
          </w:tcPr>
          <w:p w14:paraId="66F4B07E">
            <w:pPr>
              <w:autoSpaceDE w:val="0"/>
              <w:autoSpaceDN w:val="0"/>
              <w:adjustRightInd w:val="0"/>
              <w:snapToGrid w:val="0"/>
              <w:jc w:val="center"/>
              <w:rPr>
                <w:rFonts w:hint="default" w:ascii="Times New Roman" w:hAnsi="Times New Roman" w:cs="Times New Roman"/>
                <w:b w:val="0"/>
                <w:bCs w:val="0"/>
                <w:color w:val="auto"/>
                <w:kern w:val="0"/>
                <w:sz w:val="24"/>
                <w:szCs w:val="24"/>
                <w:highlight w:val="none"/>
              </w:rPr>
            </w:pPr>
            <w:r>
              <w:rPr>
                <w:rFonts w:hint="default" w:ascii="Times New Roman" w:hAnsi="Times New Roman" w:cs="Times New Roman"/>
                <w:b w:val="0"/>
                <w:bCs w:val="0"/>
                <w:color w:val="auto"/>
                <w:kern w:val="0"/>
                <w:sz w:val="24"/>
                <w:szCs w:val="24"/>
                <w:highlight w:val="none"/>
              </w:rPr>
              <w:t>专项评价设置情况</w:t>
            </w:r>
          </w:p>
        </w:tc>
        <w:tc>
          <w:tcPr>
            <w:tcW w:w="6792" w:type="dxa"/>
            <w:gridSpan w:val="3"/>
            <w:tcBorders>
              <w:tl2br w:val="nil"/>
              <w:tr2bl w:val="nil"/>
            </w:tcBorders>
            <w:vAlign w:val="center"/>
          </w:tcPr>
          <w:p w14:paraId="264681A6">
            <w:pPr>
              <w:autoSpaceDE w:val="0"/>
              <w:autoSpaceDN w:val="0"/>
              <w:adjustRightInd w:val="0"/>
              <w:snapToGrid w:val="0"/>
              <w:spacing w:line="360" w:lineRule="auto"/>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无</w:t>
            </w:r>
          </w:p>
        </w:tc>
      </w:tr>
      <w:tr w14:paraId="5F640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543" w:type="dxa"/>
            <w:tcBorders>
              <w:tl2br w:val="nil"/>
              <w:tr2bl w:val="nil"/>
            </w:tcBorders>
            <w:vAlign w:val="center"/>
          </w:tcPr>
          <w:p w14:paraId="7348361D">
            <w:pPr>
              <w:autoSpaceDE w:val="0"/>
              <w:autoSpaceDN w:val="0"/>
              <w:adjustRightInd w:val="0"/>
              <w:snapToGrid w:val="0"/>
              <w:jc w:val="center"/>
              <w:rPr>
                <w:rFonts w:hint="default" w:ascii="Times New Roman" w:hAnsi="Times New Roman" w:cs="Times New Roman"/>
                <w:b w:val="0"/>
                <w:bCs w:val="0"/>
                <w:color w:val="auto"/>
                <w:kern w:val="0"/>
                <w:sz w:val="24"/>
                <w:szCs w:val="24"/>
                <w:highlight w:val="none"/>
              </w:rPr>
            </w:pPr>
            <w:r>
              <w:rPr>
                <w:rFonts w:hint="default" w:ascii="Times New Roman" w:hAnsi="Times New Roman" w:cs="Times New Roman"/>
                <w:b w:val="0"/>
                <w:bCs w:val="0"/>
                <w:color w:val="auto"/>
                <w:sz w:val="24"/>
                <w:szCs w:val="24"/>
                <w:highlight w:val="none"/>
              </w:rPr>
              <w:t>规划情况</w:t>
            </w:r>
          </w:p>
        </w:tc>
        <w:tc>
          <w:tcPr>
            <w:tcW w:w="6792" w:type="dxa"/>
            <w:gridSpan w:val="3"/>
            <w:tcBorders>
              <w:tl2br w:val="nil"/>
              <w:tr2bl w:val="nil"/>
            </w:tcBorders>
            <w:vAlign w:val="center"/>
          </w:tcPr>
          <w:p w14:paraId="7EBADC0F">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规划文件名称：《吉木萨尔县城市总体规划（2012-2030年）》</w:t>
            </w:r>
          </w:p>
          <w:p w14:paraId="2F5447CD">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审批机关:昌吉回族自治州人民政府</w:t>
            </w:r>
          </w:p>
          <w:p w14:paraId="2C7087E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审查文件名称及文号：《关于吉木萨尔县城市总体规划（2012-2030年）的批复》（昌州政函〔2015〕7号）</w:t>
            </w:r>
          </w:p>
          <w:p w14:paraId="740EEB4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规划文件名称：《吉木萨尔北庭工业园区总体规划(修编(2020-2030年)》</w:t>
            </w:r>
          </w:p>
          <w:p w14:paraId="660564B0">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eastAsia" w:ascii="Times New Roman" w:hAnsi="Times New Roman" w:eastAsia="宋体" w:cs="Times New Roman"/>
                <w:color w:val="auto"/>
                <w:kern w:val="0"/>
                <w:sz w:val="24"/>
                <w:szCs w:val="24"/>
                <w:highlight w:val="none"/>
                <w:lang w:eastAsia="zh-CN"/>
              </w:rPr>
            </w:pPr>
            <w:r>
              <w:rPr>
                <w:rFonts w:hint="default" w:ascii="Times New Roman" w:hAnsi="Times New Roman" w:cs="Times New Roman"/>
                <w:color w:val="auto"/>
                <w:kern w:val="0"/>
                <w:sz w:val="24"/>
                <w:szCs w:val="24"/>
                <w:highlight w:val="none"/>
              </w:rPr>
              <w:t>审批机关:</w:t>
            </w:r>
            <w:r>
              <w:rPr>
                <w:rFonts w:hint="eastAsia" w:cs="Times New Roman"/>
                <w:color w:val="auto"/>
                <w:kern w:val="0"/>
                <w:sz w:val="24"/>
                <w:szCs w:val="24"/>
                <w:highlight w:val="none"/>
                <w:lang w:val="en-US" w:eastAsia="zh-CN"/>
              </w:rPr>
              <w:t>未取得批复</w:t>
            </w:r>
          </w:p>
        </w:tc>
      </w:tr>
      <w:tr w14:paraId="682BAD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3" w:type="dxa"/>
            <w:tcBorders>
              <w:tl2br w:val="nil"/>
              <w:tr2bl w:val="nil"/>
            </w:tcBorders>
            <w:vAlign w:val="center"/>
          </w:tcPr>
          <w:p w14:paraId="00437A63">
            <w:pPr>
              <w:adjustRightInd w:val="0"/>
              <w:snapToGrid w:val="0"/>
              <w:jc w:val="center"/>
              <w:rPr>
                <w:rFonts w:hint="default" w:ascii="Times New Roman" w:hAnsi="Times New Roman" w:cs="Times New Roman"/>
                <w:b w:val="0"/>
                <w:bCs w:val="0"/>
                <w:color w:val="auto"/>
                <w:kern w:val="0"/>
                <w:sz w:val="24"/>
                <w:szCs w:val="24"/>
                <w:highlight w:val="none"/>
              </w:rPr>
            </w:pPr>
            <w:r>
              <w:rPr>
                <w:rFonts w:hint="default" w:ascii="Times New Roman" w:hAnsi="Times New Roman" w:cs="Times New Roman"/>
                <w:b w:val="0"/>
                <w:bCs w:val="0"/>
                <w:color w:val="auto"/>
                <w:sz w:val="24"/>
                <w:szCs w:val="24"/>
                <w:highlight w:val="none"/>
              </w:rPr>
              <w:t>规划环境影响评价情况</w:t>
            </w:r>
          </w:p>
        </w:tc>
        <w:tc>
          <w:tcPr>
            <w:tcW w:w="6792" w:type="dxa"/>
            <w:gridSpan w:val="3"/>
            <w:tcBorders>
              <w:tl2br w:val="nil"/>
              <w:tr2bl w:val="nil"/>
            </w:tcBorders>
            <w:vAlign w:val="center"/>
          </w:tcPr>
          <w:p w14:paraId="49B86A2D">
            <w:pPr>
              <w:spacing w:line="360" w:lineRule="auto"/>
              <w:ind w:firstLine="0" w:firstLineChars="0"/>
              <w:jc w:val="both"/>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规划环境影响评价文件:《吉木萨尔北庭工业园区总体规划(修编(2020-2030年)环境影响报告书》</w:t>
            </w:r>
          </w:p>
          <w:p w14:paraId="03F5BF9A">
            <w:pPr>
              <w:spacing w:line="360" w:lineRule="auto"/>
              <w:ind w:firstLine="0" w:firstLineChars="0"/>
              <w:jc w:val="both"/>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highlight w:val="none"/>
              </w:rPr>
              <w:t>召集审查机关:新疆维吾尔自治区</w:t>
            </w:r>
            <w:r>
              <w:rPr>
                <w:rFonts w:hint="eastAsia" w:cs="Times New Roman"/>
                <w:color w:val="auto"/>
                <w:kern w:val="0"/>
                <w:sz w:val="24"/>
                <w:szCs w:val="24"/>
                <w:highlight w:val="none"/>
                <w:lang w:val="en-US" w:eastAsia="zh-CN"/>
              </w:rPr>
              <w:t>生态环境厅</w:t>
            </w:r>
          </w:p>
          <w:p w14:paraId="728DD375">
            <w:pPr>
              <w:spacing w:line="360" w:lineRule="auto"/>
              <w:ind w:firstLine="0" w:firstLineChars="0"/>
              <w:jc w:val="both"/>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审查文件名称及文号:关于《吉木萨尔北庭工业园区总体规划(修编(2020-2030年)环境影响报告书》的审查意见(新环函(20</w:t>
            </w:r>
            <w:r>
              <w:rPr>
                <w:rFonts w:hint="eastAsia" w:cs="Times New Roman"/>
                <w:color w:val="auto"/>
                <w:kern w:val="0"/>
                <w:sz w:val="24"/>
                <w:szCs w:val="24"/>
                <w:highlight w:val="none"/>
                <w:lang w:val="en-US" w:eastAsia="zh-CN"/>
              </w:rPr>
              <w:t>21</w:t>
            </w:r>
            <w:r>
              <w:rPr>
                <w:rFonts w:hint="default" w:ascii="Times New Roman" w:hAnsi="Times New Roman" w:cs="Times New Roman"/>
                <w:color w:val="auto"/>
                <w:kern w:val="0"/>
                <w:sz w:val="24"/>
                <w:szCs w:val="24"/>
                <w:highlight w:val="none"/>
              </w:rPr>
              <w:t>)</w:t>
            </w:r>
            <w:r>
              <w:rPr>
                <w:rFonts w:hint="eastAsia" w:cs="Times New Roman"/>
                <w:color w:val="auto"/>
                <w:kern w:val="0"/>
                <w:sz w:val="24"/>
                <w:szCs w:val="24"/>
                <w:highlight w:val="none"/>
                <w:lang w:val="en-US" w:eastAsia="zh-CN"/>
              </w:rPr>
              <w:t>31号</w:t>
            </w:r>
            <w:r>
              <w:rPr>
                <w:rFonts w:hint="default" w:ascii="Times New Roman" w:hAnsi="Times New Roman" w:cs="Times New Roman"/>
                <w:color w:val="auto"/>
                <w:kern w:val="0"/>
                <w:sz w:val="24"/>
                <w:szCs w:val="24"/>
                <w:highlight w:val="none"/>
              </w:rPr>
              <w:t>)</w:t>
            </w:r>
          </w:p>
        </w:tc>
      </w:tr>
      <w:tr w14:paraId="28ED8A1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543" w:type="dxa"/>
            <w:tcBorders>
              <w:tl2br w:val="nil"/>
              <w:tr2bl w:val="nil"/>
            </w:tcBorders>
            <w:vAlign w:val="center"/>
          </w:tcPr>
          <w:p w14:paraId="429D5C07">
            <w:pPr>
              <w:autoSpaceDE w:val="0"/>
              <w:autoSpaceDN w:val="0"/>
              <w:adjustRightInd w:val="0"/>
              <w:snapToGrid w:val="0"/>
              <w:jc w:val="center"/>
              <w:rPr>
                <w:rFonts w:hint="default" w:ascii="Times New Roman" w:hAnsi="Times New Roman" w:cs="Times New Roman"/>
                <w:b w:val="0"/>
                <w:bCs w:val="0"/>
                <w:color w:val="auto"/>
                <w:kern w:val="0"/>
                <w:sz w:val="24"/>
                <w:szCs w:val="24"/>
                <w:highlight w:val="none"/>
              </w:rPr>
            </w:pPr>
            <w:r>
              <w:rPr>
                <w:rFonts w:hint="default" w:ascii="Times New Roman" w:hAnsi="Times New Roman" w:cs="Times New Roman"/>
                <w:b w:val="0"/>
                <w:bCs w:val="0"/>
                <w:color w:val="auto"/>
                <w:kern w:val="0"/>
                <w:sz w:val="24"/>
                <w:szCs w:val="24"/>
                <w:highlight w:val="none"/>
              </w:rPr>
              <w:t>规划及规划环境影响评价符合性分析</w:t>
            </w:r>
          </w:p>
        </w:tc>
        <w:tc>
          <w:tcPr>
            <w:tcW w:w="6792" w:type="dxa"/>
            <w:gridSpan w:val="3"/>
            <w:tcBorders>
              <w:tl2br w:val="nil"/>
              <w:tr2bl w:val="nil"/>
            </w:tcBorders>
            <w:vAlign w:val="center"/>
          </w:tcPr>
          <w:p w14:paraId="540D134F">
            <w:pPr>
              <w:pStyle w:val="33"/>
              <w:spacing w:line="360" w:lineRule="auto"/>
              <w:ind w:left="0" w:leftChars="0" w:firstLine="0" w:firstLineChars="0"/>
              <w:rPr>
                <w:rFonts w:hint="eastAsia"/>
                <w:b/>
                <w:bCs/>
                <w:color w:val="auto"/>
                <w:szCs w:val="24"/>
              </w:rPr>
            </w:pPr>
            <w:r>
              <w:rPr>
                <w:rFonts w:hint="eastAsia"/>
                <w:b/>
                <w:bCs/>
                <w:color w:val="auto"/>
                <w:szCs w:val="24"/>
              </w:rPr>
              <w:t>1.项目与《吉木萨尔县城市总体规划（2012-2030年）》的符合性</w:t>
            </w:r>
          </w:p>
          <w:p w14:paraId="6B0DD7EE">
            <w:pPr>
              <w:pStyle w:val="33"/>
              <w:ind w:firstLine="480" w:firstLineChars="200"/>
              <w:rPr>
                <w:rFonts w:hint="eastAsia"/>
                <w:color w:val="auto"/>
                <w:szCs w:val="24"/>
              </w:rPr>
            </w:pPr>
            <w:r>
              <w:rPr>
                <w:rFonts w:hint="eastAsia" w:asciiTheme="minorEastAsia" w:hAnsiTheme="minorEastAsia" w:eastAsiaTheme="minorEastAsia" w:cstheme="minorEastAsia"/>
                <w:color w:val="auto"/>
                <w:szCs w:val="24"/>
              </w:rPr>
              <w:t>新疆吉木萨尔县北庭工业园区位于吉木萨尔县县城东南部，在吉木萨尔县城市总体规划用地范围内，现状地势西高东低，南高北低。规划建设范围：东临恺安路，南至郑吉路、西至海沧路，北以健康路为界，用地规模</w:t>
            </w:r>
            <w:r>
              <w:rPr>
                <w:rFonts w:hint="default" w:ascii="Times New Roman" w:hAnsi="Times New Roman" w:cs="Times New Roman" w:eastAsiaTheme="minorEastAsia"/>
                <w:color w:val="auto"/>
                <w:szCs w:val="24"/>
              </w:rPr>
              <w:t>9.42km</w:t>
            </w:r>
            <w:r>
              <w:rPr>
                <w:rFonts w:hint="default" w:ascii="Times New Roman" w:hAnsi="Times New Roman" w:cs="Times New Roman" w:eastAsiaTheme="minorEastAsia"/>
                <w:color w:val="auto"/>
                <w:szCs w:val="24"/>
                <w:vertAlign w:val="superscript"/>
              </w:rPr>
              <w:t>2</w:t>
            </w:r>
            <w:r>
              <w:rPr>
                <w:rFonts w:hint="eastAsia"/>
                <w:color w:val="auto"/>
                <w:szCs w:val="24"/>
              </w:rPr>
              <w:t>。</w:t>
            </w:r>
          </w:p>
          <w:p w14:paraId="20E3861C">
            <w:pPr>
              <w:pStyle w:val="33"/>
              <w:ind w:firstLine="480"/>
              <w:jc w:val="both"/>
              <w:rPr>
                <w:rFonts w:hint="default"/>
                <w:color w:val="auto"/>
                <w:szCs w:val="24"/>
                <w:lang w:val="en-US" w:eastAsia="zh-CN"/>
              </w:rPr>
            </w:pPr>
            <w:r>
              <w:rPr>
                <w:rFonts w:hint="eastAsia"/>
                <w:color w:val="auto"/>
                <w:szCs w:val="24"/>
              </w:rPr>
              <w:t>吉木萨尔县人民政府于2013年9月对《吉木萨尔县城市总体规划(2008～2030)》进行了修编，修编的《吉木萨尔县城市总体规划(2012～2030)》，同时将北庭工业园区总体规划纳入吉木萨尔县城市总体规划修编范围。《吉木萨尔县城市总体规划(2012～2030)》于2015年2月6日取得昌吉州人民政府的批复（昌州政函【2015】7号），未具体规划北庭工业园区规划范围，规划北庭工业园重点发展农副产品加工、高端装备制造、现代物流、高新技术、生物医药等产业。《新疆吉木萨尔县北庭工业园区总体规划修编（2020-2030）》</w:t>
            </w:r>
            <w:r>
              <w:rPr>
                <w:rFonts w:hint="eastAsia"/>
                <w:color w:val="auto"/>
                <w:szCs w:val="24"/>
                <w:lang w:val="en-US" w:eastAsia="zh-CN"/>
              </w:rPr>
              <w:t>未取得批复，所以本项目的规划符合性为与《吉木萨尔县城市总体规划（2012-2030年）》的符合性。</w:t>
            </w:r>
          </w:p>
          <w:p w14:paraId="6A63BABA">
            <w:pPr>
              <w:pStyle w:val="33"/>
              <w:ind w:firstLine="480"/>
              <w:jc w:val="both"/>
              <w:rPr>
                <w:rFonts w:hint="eastAsia"/>
                <w:color w:val="auto"/>
                <w:szCs w:val="24"/>
              </w:rPr>
            </w:pPr>
            <w:r>
              <w:rPr>
                <w:rFonts w:hint="eastAsia"/>
                <w:color w:val="auto"/>
                <w:szCs w:val="24"/>
              </w:rPr>
              <w:t>根据《吉木萨尔县城市总体规划（2012-2030年）》，吉木萨尔县的环境保护和生态建设目标是统筹城乡和区域环境保护，改善城乡人居环境，全面控制辖区生态环境质量；突出污染减排实效，扎实推进工程减排、结构减排、监管减排措施，进一步降低单位GDP污染物排放量，确保主要污染物排放总量控制目标的实现。其中北庭工业园区重点发展农副产品加工、高端装备制造、现代物流、高新技术、生物医药等产业</w:t>
            </w:r>
            <w:r>
              <w:rPr>
                <w:rFonts w:hint="eastAsia"/>
                <w:color w:val="auto"/>
                <w:szCs w:val="24"/>
                <w:lang w:eastAsia="zh-CN"/>
              </w:rPr>
              <w:t>。</w:t>
            </w:r>
            <w:r>
              <w:rPr>
                <w:rFonts w:hint="eastAsia"/>
                <w:color w:val="auto"/>
                <w:szCs w:val="24"/>
                <w:lang w:val="en-US" w:eastAsia="zh-CN"/>
              </w:rPr>
              <w:t>根据园区提供的情况说明见附件9，该项目选址符合吉木萨尔北庭工业园区的产业布局，</w:t>
            </w:r>
            <w:r>
              <w:rPr>
                <w:rFonts w:hint="eastAsia"/>
                <w:color w:val="auto"/>
                <w:szCs w:val="24"/>
              </w:rPr>
              <w:t>项目建设符合用地规划。</w:t>
            </w:r>
          </w:p>
          <w:p w14:paraId="1B26DF60">
            <w:pPr>
              <w:pStyle w:val="33"/>
              <w:ind w:firstLine="480"/>
              <w:jc w:val="both"/>
              <w:rPr>
                <w:rFonts w:hint="eastAsia"/>
                <w:color w:val="auto"/>
                <w:szCs w:val="24"/>
              </w:rPr>
            </w:pPr>
            <w:r>
              <w:rPr>
                <w:rFonts w:hint="eastAsia"/>
                <w:color w:val="auto"/>
                <w:szCs w:val="24"/>
              </w:rPr>
              <w:t>吉木萨尔县北庭工业园区规划形成“一主二辅”的产业结构，大力发展农副产品深加工业及特色轻工机械，突出主导产业，培育潜导产业，走以工带农、循环发展道路，重点培育农机、节能环保、矿山工程机械、农业装备制造、汽车零部件、手机零部件以及专用机械等装备制造业，形成较为完善的装备制造体系。</w:t>
            </w:r>
          </w:p>
          <w:p w14:paraId="402ED986">
            <w:pPr>
              <w:pStyle w:val="33"/>
              <w:ind w:firstLine="480"/>
              <w:jc w:val="both"/>
              <w:rPr>
                <w:rFonts w:hint="eastAsia" w:ascii="Times New Roman" w:hAnsi="Times New Roman" w:cs="Times New Roman"/>
                <w:color w:val="auto"/>
                <w:sz w:val="24"/>
                <w:highlight w:val="none"/>
              </w:rPr>
            </w:pPr>
            <w:r>
              <w:rPr>
                <w:rFonts w:hint="eastAsia" w:ascii="Times New Roman" w:hAnsi="Times New Roman" w:cs="Times New Roman"/>
                <w:color w:val="auto"/>
                <w:sz w:val="24"/>
                <w:highlight w:val="none"/>
              </w:rPr>
              <w:t>龙泉股份吉木萨尔县PCCP管厂建设项目选址为新疆善成工业设备有限公司园内土地，性质为租赁。该地块于2011年11月23日取得吉木萨尔县城乡规划管理局颁发的《建设用地规划许可证》(地字第6523272011085号)，用地项目名称:新建工业设备项目，用地性质:工业用地，用地面积300亩。</w:t>
            </w:r>
          </w:p>
          <w:p w14:paraId="31879575">
            <w:pPr>
              <w:pStyle w:val="33"/>
              <w:ind w:firstLine="480"/>
              <w:jc w:val="both"/>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rPr>
              <w:t>目前因国土空间规划调整，吉木萨尔北庭工业园区总体规划一直未评审，计划于2025年初结合我县两个园区整合工作开始后，同步进行修编。</w:t>
            </w:r>
            <w:r>
              <w:rPr>
                <w:rFonts w:hint="eastAsia" w:cs="Times New Roman"/>
                <w:color w:val="auto"/>
                <w:sz w:val="24"/>
                <w:highlight w:val="none"/>
                <w:lang w:val="en-US" w:eastAsia="zh-CN"/>
              </w:rPr>
              <w:t>本项目选址符合调整后的园区产业布局规划。</w:t>
            </w:r>
          </w:p>
          <w:p w14:paraId="03F581CC">
            <w:pPr>
              <w:pStyle w:val="33"/>
              <w:ind w:firstLine="480"/>
              <w:jc w:val="both"/>
              <w:rPr>
                <w:rFonts w:hint="eastAsia"/>
                <w:color w:val="auto"/>
                <w:szCs w:val="24"/>
              </w:rPr>
            </w:pPr>
            <w:r>
              <w:rPr>
                <w:rFonts w:hint="eastAsia" w:ascii="Times New Roman" w:hAnsi="Times New Roman" w:cs="Times New Roman"/>
                <w:color w:val="auto"/>
                <w:sz w:val="24"/>
                <w:highlight w:val="none"/>
              </w:rPr>
              <w:t>本项目</w:t>
            </w:r>
            <w:r>
              <w:rPr>
                <w:rFonts w:hint="eastAsia" w:cs="Times New Roman"/>
                <w:color w:val="auto"/>
                <w:sz w:val="24"/>
                <w:highlight w:val="none"/>
                <w:lang w:val="en-US" w:eastAsia="zh-CN"/>
              </w:rPr>
              <w:t>租用</w:t>
            </w:r>
            <w:r>
              <w:rPr>
                <w:rFonts w:hint="eastAsia" w:ascii="Times New Roman" w:hAnsi="Times New Roman" w:cs="Times New Roman"/>
                <w:color w:val="auto"/>
                <w:sz w:val="24"/>
                <w:highlight w:val="none"/>
                <w:lang w:val="en-US" w:eastAsia="zh-CN"/>
              </w:rPr>
              <w:t>吉木萨尔县北庭工业园区</w:t>
            </w:r>
            <w:r>
              <w:rPr>
                <w:rFonts w:hint="eastAsia" w:cs="Times New Roman"/>
                <w:color w:val="auto"/>
                <w:sz w:val="24"/>
                <w:highlight w:val="none"/>
                <w:lang w:val="en-US" w:eastAsia="zh-CN"/>
              </w:rPr>
              <w:t>原</w:t>
            </w:r>
            <w:r>
              <w:rPr>
                <w:rFonts w:hint="eastAsia" w:ascii="Times New Roman" w:hAnsi="Times New Roman" w:cs="Times New Roman"/>
                <w:color w:val="auto"/>
                <w:sz w:val="24"/>
                <w:highlight w:val="none"/>
                <w:lang w:val="en-US" w:eastAsia="zh-CN"/>
              </w:rPr>
              <w:t>善成工业设备有限公司</w:t>
            </w:r>
            <w:r>
              <w:rPr>
                <w:rFonts w:hint="eastAsia" w:cs="Times New Roman"/>
                <w:color w:val="auto"/>
                <w:sz w:val="24"/>
                <w:highlight w:val="none"/>
                <w:lang w:val="en-US" w:eastAsia="zh-CN"/>
              </w:rPr>
              <w:t>现有厂房和土地</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租期两年，两年后搬走。原</w:t>
            </w:r>
            <w:r>
              <w:rPr>
                <w:rFonts w:hint="eastAsia" w:ascii="Times New Roman" w:hAnsi="Times New Roman" w:cs="Times New Roman"/>
                <w:color w:val="auto"/>
                <w:sz w:val="24"/>
                <w:highlight w:val="none"/>
                <w:lang w:val="en-US" w:eastAsia="zh-CN"/>
              </w:rPr>
              <w:t>善成工业设备有限公司为装备制造业，本项目租赁善成工业设备有限公司厂房及配套设施</w:t>
            </w:r>
            <w:r>
              <w:rPr>
                <w:rFonts w:hint="eastAsia" w:cs="Times New Roman"/>
                <w:color w:val="auto"/>
                <w:sz w:val="24"/>
                <w:highlight w:val="none"/>
                <w:lang w:val="en-US" w:eastAsia="zh-CN"/>
              </w:rPr>
              <w:t>进行生产</w:t>
            </w:r>
            <w:r>
              <w:rPr>
                <w:rFonts w:hint="eastAsia" w:ascii="Times New Roman" w:hAnsi="Times New Roman" w:cs="Times New Roman"/>
                <w:color w:val="auto"/>
                <w:sz w:val="24"/>
                <w:highlight w:val="none"/>
                <w:lang w:val="en-US" w:eastAsia="zh-CN"/>
              </w:rPr>
              <w:t>，产品为地下水管，为市政设施提供配套</w:t>
            </w:r>
            <w:r>
              <w:rPr>
                <w:rFonts w:hint="eastAsia" w:cs="Times New Roman"/>
                <w:color w:val="auto"/>
                <w:sz w:val="24"/>
                <w:highlight w:val="none"/>
                <w:lang w:val="en-US" w:eastAsia="zh-CN"/>
              </w:rPr>
              <w:t>服务</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根据园区提供的情况说明见附件9，本项目选址符合园区的产业布局，</w:t>
            </w:r>
            <w:r>
              <w:rPr>
                <w:rFonts w:hint="eastAsia"/>
                <w:color w:val="auto"/>
                <w:szCs w:val="24"/>
                <w:lang w:val="en-US" w:eastAsia="zh-CN"/>
              </w:rPr>
              <w:t>符合园区发展定位的相关要求；本项目位于吉木萨尔县北庭工业园区规划中的二类工业用地区域内，符合园区用地规划。</w:t>
            </w:r>
          </w:p>
          <w:p w14:paraId="29780A3E">
            <w:pPr>
              <w:spacing w:line="360" w:lineRule="auto"/>
              <w:rPr>
                <w:rFonts w:hint="default" w:ascii="Times New Roman" w:hAnsi="Times New Roman" w:eastAsia="宋体" w:cs="Times New Roman"/>
                <w:b/>
                <w:bCs/>
                <w:snapToGrid w:val="0"/>
                <w:color w:val="auto"/>
                <w:kern w:val="0"/>
                <w:sz w:val="24"/>
                <w:szCs w:val="24"/>
                <w:highlight w:val="none"/>
                <w:lang w:val="en-US" w:eastAsia="zh-CN" w:bidi="ar-SA"/>
              </w:rPr>
            </w:pPr>
            <w:r>
              <w:rPr>
                <w:rFonts w:hint="eastAsia" w:ascii="Times New Roman" w:hAnsi="Times New Roman" w:eastAsia="宋体" w:cs="Times New Roman"/>
                <w:b/>
                <w:bCs/>
                <w:snapToGrid w:val="0"/>
                <w:color w:val="auto"/>
                <w:kern w:val="0"/>
                <w:sz w:val="24"/>
                <w:szCs w:val="24"/>
                <w:lang w:val="en-US" w:eastAsia="zh-CN" w:bidi="ar-SA"/>
              </w:rPr>
              <w:t>2.与《</w:t>
            </w:r>
            <w:r>
              <w:rPr>
                <w:rFonts w:hint="default" w:ascii="Times New Roman" w:hAnsi="Times New Roman" w:eastAsia="宋体" w:cs="Times New Roman"/>
                <w:b/>
                <w:bCs/>
                <w:snapToGrid w:val="0"/>
                <w:color w:val="auto"/>
                <w:kern w:val="0"/>
                <w:sz w:val="24"/>
                <w:szCs w:val="24"/>
                <w:lang w:val="en-US" w:eastAsia="zh-CN" w:bidi="ar-SA"/>
              </w:rPr>
              <w:t>吉</w:t>
            </w:r>
            <w:r>
              <w:rPr>
                <w:rFonts w:hint="default" w:ascii="Times New Roman" w:hAnsi="Times New Roman" w:cs="Times New Roman"/>
                <w:b/>
                <w:bCs/>
                <w:color w:val="auto"/>
                <w:sz w:val="24"/>
                <w:szCs w:val="24"/>
                <w:highlight w:val="none"/>
                <w:lang w:val="en-US" w:eastAsia="zh-CN"/>
              </w:rPr>
              <w:t>木萨尔北庭工业园区总体规划(修编(2020-2030年)</w:t>
            </w:r>
            <w:r>
              <w:rPr>
                <w:rFonts w:hint="eastAsia"/>
                <w:b/>
                <w:bCs/>
                <w:color w:val="auto"/>
                <w:szCs w:val="24"/>
              </w:rPr>
              <w:t>》</w:t>
            </w:r>
            <w:r>
              <w:rPr>
                <w:rFonts w:hint="eastAsia" w:ascii="Times New Roman" w:hAnsi="Times New Roman" w:eastAsia="宋体" w:cs="Times New Roman"/>
                <w:b/>
                <w:bCs/>
                <w:snapToGrid w:val="0"/>
                <w:color w:val="auto"/>
                <w:kern w:val="0"/>
                <w:sz w:val="24"/>
                <w:szCs w:val="24"/>
                <w:highlight w:val="none"/>
                <w:lang w:val="en-US" w:eastAsia="zh-CN" w:bidi="ar-SA"/>
              </w:rPr>
              <w:t>相符性分析</w:t>
            </w:r>
          </w:p>
          <w:p w14:paraId="6CC8B103">
            <w:pPr>
              <w:pStyle w:val="33"/>
              <w:spacing w:line="360" w:lineRule="auto"/>
              <w:ind w:left="0" w:leftChars="0" w:firstLine="480" w:firstLineChars="200"/>
              <w:rPr>
                <w:rFonts w:hint="eastAsia"/>
                <w:color w:val="auto"/>
                <w:szCs w:val="21"/>
              </w:rPr>
            </w:pPr>
            <w:r>
              <w:rPr>
                <w:rFonts w:hint="eastAsia"/>
                <w:color w:val="auto"/>
                <w:szCs w:val="21"/>
                <w:lang w:val="en-US" w:eastAsia="zh-CN"/>
              </w:rPr>
              <w:t>根据《</w:t>
            </w:r>
            <w:r>
              <w:rPr>
                <w:rFonts w:hint="default"/>
                <w:color w:val="auto"/>
                <w:szCs w:val="21"/>
                <w:lang w:val="en-US" w:eastAsia="zh-CN"/>
              </w:rPr>
              <w:t>吉木萨尔北庭工业园区总体规划(修编(2020-2030年)</w:t>
            </w:r>
            <w:r>
              <w:rPr>
                <w:rFonts w:hint="eastAsia"/>
                <w:color w:val="auto"/>
                <w:szCs w:val="21"/>
              </w:rPr>
              <w:t>》</w:t>
            </w:r>
            <w:r>
              <w:rPr>
                <w:rFonts w:hint="eastAsia"/>
                <w:color w:val="auto"/>
                <w:szCs w:val="21"/>
                <w:lang w:val="en-US" w:eastAsia="zh-CN"/>
              </w:rPr>
              <w:t>，本园区分为农副产品精深加工产业、轻工机械配套产业、特色轻工产业、产业配套服务区、物流仓储服务区以及市政设施服务区，园区</w:t>
            </w:r>
            <w:r>
              <w:rPr>
                <w:color w:val="auto"/>
                <w:szCs w:val="21"/>
              </w:rPr>
              <w:t>大力发展农副产品</w:t>
            </w:r>
            <w:r>
              <w:rPr>
                <w:rFonts w:hint="eastAsia"/>
                <w:color w:val="auto"/>
                <w:szCs w:val="21"/>
              </w:rPr>
              <w:t>深加工</w:t>
            </w:r>
            <w:r>
              <w:rPr>
                <w:color w:val="auto"/>
                <w:szCs w:val="21"/>
              </w:rPr>
              <w:t>业</w:t>
            </w:r>
            <w:r>
              <w:rPr>
                <w:rFonts w:hint="eastAsia"/>
                <w:color w:val="auto"/>
                <w:szCs w:val="21"/>
              </w:rPr>
              <w:t>及特色轻工机械，</w:t>
            </w:r>
            <w:r>
              <w:rPr>
                <w:color w:val="auto"/>
                <w:szCs w:val="21"/>
              </w:rPr>
              <w:t>建成功能合理、特色明显、环境优美的综合性产业园区</w:t>
            </w:r>
            <w:r>
              <w:rPr>
                <w:rFonts w:hint="eastAsia"/>
                <w:color w:val="auto"/>
                <w:szCs w:val="21"/>
              </w:rPr>
              <w:t>。</w:t>
            </w:r>
            <w:r>
              <w:rPr>
                <w:color w:val="auto"/>
                <w:szCs w:val="21"/>
              </w:rPr>
              <w:t>规划形成“</w:t>
            </w:r>
            <w:r>
              <w:rPr>
                <w:rFonts w:hint="eastAsia"/>
                <w:color w:val="auto"/>
                <w:szCs w:val="21"/>
              </w:rPr>
              <w:t>一</w:t>
            </w:r>
            <w:r>
              <w:rPr>
                <w:color w:val="auto"/>
                <w:szCs w:val="21"/>
              </w:rPr>
              <w:t>主二辅”的产业结构</w:t>
            </w:r>
            <w:r>
              <w:rPr>
                <w:rFonts w:hint="eastAsia"/>
                <w:color w:val="auto"/>
                <w:szCs w:val="21"/>
              </w:rPr>
              <w:t>，</w:t>
            </w:r>
            <w:r>
              <w:rPr>
                <w:color w:val="auto"/>
                <w:szCs w:val="21"/>
              </w:rPr>
              <w:t>主导产业：农副产品</w:t>
            </w:r>
            <w:r>
              <w:rPr>
                <w:rFonts w:hint="eastAsia"/>
                <w:color w:val="auto"/>
                <w:szCs w:val="21"/>
              </w:rPr>
              <w:t>深加工</w:t>
            </w:r>
            <w:r>
              <w:rPr>
                <w:color w:val="auto"/>
                <w:szCs w:val="21"/>
              </w:rPr>
              <w:t>产业</w:t>
            </w:r>
            <w:r>
              <w:rPr>
                <w:rFonts w:hint="eastAsia"/>
                <w:color w:val="auto"/>
                <w:szCs w:val="21"/>
              </w:rPr>
              <w:t>；</w:t>
            </w:r>
            <w:r>
              <w:rPr>
                <w:color w:val="auto"/>
                <w:szCs w:val="21"/>
              </w:rPr>
              <w:t>培育两大类别：</w:t>
            </w:r>
            <w:r>
              <w:rPr>
                <w:rFonts w:hint="eastAsia"/>
                <w:color w:val="auto"/>
                <w:szCs w:val="21"/>
              </w:rPr>
              <w:t>特色轻工及机械。园区用地性质主要为二类工业用地，二类工业用地主要是主要包含农副产品深加工、轻工机械配套区、特色轻工区用地。</w:t>
            </w:r>
          </w:p>
          <w:p w14:paraId="7CEF715C">
            <w:pPr>
              <w:pStyle w:val="33"/>
              <w:ind w:firstLine="480"/>
              <w:jc w:val="both"/>
              <w:rPr>
                <w:rFonts w:hint="default"/>
                <w:color w:val="auto"/>
                <w:szCs w:val="21"/>
                <w:lang w:val="en-US" w:eastAsia="zh-CN"/>
              </w:rPr>
            </w:pPr>
            <w:r>
              <w:rPr>
                <w:rFonts w:hint="eastAsia" w:ascii="Times New Roman" w:hAnsi="Times New Roman" w:cs="Times New Roman"/>
                <w:color w:val="auto"/>
                <w:sz w:val="24"/>
                <w:highlight w:val="none"/>
              </w:rPr>
              <w:t>本项目</w:t>
            </w:r>
            <w:r>
              <w:rPr>
                <w:rFonts w:hint="eastAsia" w:cs="Times New Roman"/>
                <w:color w:val="auto"/>
                <w:sz w:val="24"/>
                <w:highlight w:val="none"/>
                <w:lang w:val="en-US" w:eastAsia="zh-CN"/>
              </w:rPr>
              <w:t>租用</w:t>
            </w:r>
            <w:r>
              <w:rPr>
                <w:rFonts w:hint="eastAsia" w:ascii="Times New Roman" w:hAnsi="Times New Roman" w:cs="Times New Roman"/>
                <w:color w:val="auto"/>
                <w:sz w:val="24"/>
                <w:highlight w:val="none"/>
                <w:lang w:val="en-US" w:eastAsia="zh-CN"/>
              </w:rPr>
              <w:t>吉木萨尔县北庭工业园区</w:t>
            </w:r>
            <w:r>
              <w:rPr>
                <w:rFonts w:hint="eastAsia" w:cs="Times New Roman"/>
                <w:color w:val="auto"/>
                <w:sz w:val="24"/>
                <w:highlight w:val="none"/>
                <w:lang w:val="en-US" w:eastAsia="zh-CN"/>
              </w:rPr>
              <w:t>原</w:t>
            </w:r>
            <w:r>
              <w:rPr>
                <w:rFonts w:hint="eastAsia" w:ascii="Times New Roman" w:hAnsi="Times New Roman" w:cs="Times New Roman"/>
                <w:color w:val="auto"/>
                <w:sz w:val="24"/>
                <w:highlight w:val="none"/>
                <w:lang w:val="en-US" w:eastAsia="zh-CN"/>
              </w:rPr>
              <w:t>善成工业设备有限公司</w:t>
            </w:r>
            <w:r>
              <w:rPr>
                <w:rFonts w:hint="eastAsia" w:cs="Times New Roman"/>
                <w:color w:val="auto"/>
                <w:sz w:val="24"/>
                <w:highlight w:val="none"/>
                <w:lang w:val="en-US" w:eastAsia="zh-CN"/>
              </w:rPr>
              <w:t>现有厂房和土地</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租期两年，两年后搬走。原</w:t>
            </w:r>
            <w:r>
              <w:rPr>
                <w:rFonts w:hint="eastAsia" w:ascii="Times New Roman" w:hAnsi="Times New Roman" w:cs="Times New Roman"/>
                <w:color w:val="auto"/>
                <w:sz w:val="24"/>
                <w:highlight w:val="none"/>
                <w:lang w:val="en-US" w:eastAsia="zh-CN"/>
              </w:rPr>
              <w:t>善成工业设备有限公司为装备制造业，本项目租赁善成工业设备有限公司厂房及配套设施</w:t>
            </w:r>
            <w:r>
              <w:rPr>
                <w:rFonts w:hint="eastAsia" w:cs="Times New Roman"/>
                <w:color w:val="auto"/>
                <w:sz w:val="24"/>
                <w:highlight w:val="none"/>
                <w:lang w:val="en-US" w:eastAsia="zh-CN"/>
              </w:rPr>
              <w:t>进行生产</w:t>
            </w:r>
            <w:r>
              <w:rPr>
                <w:rFonts w:hint="eastAsia" w:ascii="Times New Roman" w:hAnsi="Times New Roman" w:cs="Times New Roman"/>
                <w:color w:val="auto"/>
                <w:sz w:val="24"/>
                <w:highlight w:val="none"/>
                <w:lang w:val="en-US" w:eastAsia="zh-CN"/>
              </w:rPr>
              <w:t>，产品为地下水管，为市政设施提供配套</w:t>
            </w:r>
            <w:r>
              <w:rPr>
                <w:rFonts w:hint="eastAsia" w:cs="Times New Roman"/>
                <w:color w:val="auto"/>
                <w:sz w:val="24"/>
                <w:highlight w:val="none"/>
                <w:lang w:val="en-US" w:eastAsia="zh-CN"/>
              </w:rPr>
              <w:t>服务</w:t>
            </w:r>
            <w:r>
              <w:rPr>
                <w:rFonts w:hint="eastAsia" w:ascii="Times New Roman" w:hAnsi="Times New Roman" w:cs="Times New Roman"/>
                <w:color w:val="auto"/>
                <w:sz w:val="24"/>
                <w:highlight w:val="none"/>
                <w:lang w:val="en-US" w:eastAsia="zh-CN"/>
              </w:rPr>
              <w:t>，</w:t>
            </w:r>
            <w:r>
              <w:rPr>
                <w:rFonts w:hint="eastAsia"/>
                <w:color w:val="auto"/>
                <w:szCs w:val="24"/>
                <w:lang w:val="en-US" w:eastAsia="zh-CN"/>
              </w:rPr>
              <w:t>符合园区发展定位的相关要求；本项目位于吉木萨尔县北庭工业园区规划中的二类工业用地区域内，符合园区用地规划。</w:t>
            </w:r>
          </w:p>
          <w:p w14:paraId="3E6F6E29">
            <w:pPr>
              <w:pStyle w:val="33"/>
              <w:spacing w:line="360" w:lineRule="auto"/>
              <w:ind w:left="0" w:leftChars="0" w:firstLine="0" w:firstLineChars="0"/>
              <w:rPr>
                <w:rFonts w:hint="eastAsia"/>
                <w:b/>
                <w:bCs/>
                <w:color w:val="auto"/>
                <w:szCs w:val="24"/>
              </w:rPr>
            </w:pPr>
            <w:r>
              <w:rPr>
                <w:rFonts w:hint="eastAsia"/>
                <w:b/>
                <w:bCs/>
                <w:color w:val="auto"/>
                <w:szCs w:val="24"/>
                <w:lang w:val="en-US" w:eastAsia="zh-CN"/>
              </w:rPr>
              <w:t>3</w:t>
            </w:r>
            <w:r>
              <w:rPr>
                <w:rFonts w:hint="eastAsia"/>
                <w:b/>
                <w:bCs/>
                <w:color w:val="auto"/>
                <w:szCs w:val="24"/>
              </w:rPr>
              <w:t>.与《</w:t>
            </w:r>
            <w:r>
              <w:rPr>
                <w:rFonts w:hint="default" w:ascii="Times New Roman" w:hAnsi="Times New Roman" w:cs="Times New Roman"/>
                <w:b/>
                <w:bCs/>
                <w:color w:val="auto"/>
                <w:sz w:val="24"/>
                <w:szCs w:val="24"/>
                <w:highlight w:val="none"/>
                <w:lang w:val="en-US" w:eastAsia="zh-CN"/>
              </w:rPr>
              <w:t>吉木萨尔北庭工业园区总体规划(修编(2020-2030年)环境影响报告书</w:t>
            </w:r>
            <w:r>
              <w:rPr>
                <w:rFonts w:hint="eastAsia"/>
                <w:b/>
                <w:bCs/>
                <w:color w:val="auto"/>
                <w:szCs w:val="24"/>
              </w:rPr>
              <w:t>》及审查意见要求相符性分析</w:t>
            </w:r>
          </w:p>
          <w:p w14:paraId="0333817B">
            <w:pPr>
              <w:pStyle w:val="33"/>
              <w:ind w:firstLine="48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 1-</w:t>
            </w:r>
            <w:r>
              <w:rPr>
                <w:rFonts w:hint="eastAsia" w:ascii="Times New Roman" w:hAnsi="Times New Roman"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lang w:val="en-US" w:eastAsia="zh-CN"/>
              </w:rPr>
              <w:t>本项目与《吉木萨尔北庭工业园区总体规划(修编(2020-2030年)环境影响报告书》及审查意见要求符合性对照表</w:t>
            </w:r>
          </w:p>
          <w:tbl>
            <w:tblPr>
              <w:tblStyle w:val="24"/>
              <w:tblW w:w="657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40"/>
              <w:gridCol w:w="2548"/>
              <w:gridCol w:w="988"/>
            </w:tblGrid>
            <w:tr w14:paraId="3543A8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0" w:type="dxa"/>
                  <w:tcBorders>
                    <w:bottom w:val="single" w:color="000000" w:sz="12" w:space="0"/>
                    <w:tl2br w:val="nil"/>
                    <w:tr2bl w:val="nil"/>
                  </w:tcBorders>
                  <w:vAlign w:val="center"/>
                </w:tcPr>
                <w:p w14:paraId="46735C7D">
                  <w:pPr>
                    <w:pStyle w:val="33"/>
                    <w:spacing w:line="240" w:lineRule="auto"/>
                    <w:ind w:left="0" w:lef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审查意见</w:t>
                  </w:r>
                </w:p>
              </w:tc>
              <w:tc>
                <w:tcPr>
                  <w:tcW w:w="2548" w:type="dxa"/>
                  <w:tcBorders>
                    <w:bottom w:val="single" w:color="000000" w:sz="12" w:space="0"/>
                    <w:tl2br w:val="nil"/>
                    <w:tr2bl w:val="nil"/>
                  </w:tcBorders>
                  <w:vAlign w:val="center"/>
                </w:tcPr>
                <w:p w14:paraId="0D70E266">
                  <w:pPr>
                    <w:pStyle w:val="33"/>
                    <w:spacing w:line="240" w:lineRule="auto"/>
                    <w:ind w:left="0" w:lef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本项目符合性分析</w:t>
                  </w:r>
                </w:p>
              </w:tc>
              <w:tc>
                <w:tcPr>
                  <w:tcW w:w="988" w:type="dxa"/>
                  <w:tcBorders>
                    <w:bottom w:val="single" w:color="000000" w:sz="12" w:space="0"/>
                    <w:tl2br w:val="nil"/>
                    <w:tr2bl w:val="nil"/>
                  </w:tcBorders>
                  <w:vAlign w:val="center"/>
                </w:tcPr>
                <w:p w14:paraId="235DB72C">
                  <w:pPr>
                    <w:pStyle w:val="33"/>
                    <w:spacing w:line="240" w:lineRule="auto"/>
                    <w:ind w:left="0" w:lef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相符性</w:t>
                  </w:r>
                </w:p>
              </w:tc>
            </w:tr>
            <w:tr w14:paraId="7EBE0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0" w:type="dxa"/>
                  <w:tcBorders>
                    <w:top w:val="single" w:color="000000" w:sz="12" w:space="0"/>
                    <w:tl2br w:val="nil"/>
                    <w:tr2bl w:val="nil"/>
                  </w:tcBorders>
                </w:tcPr>
                <w:p w14:paraId="56235A4B">
                  <w:pPr>
                    <w:pStyle w:val="33"/>
                    <w:spacing w:line="240" w:lineRule="auto"/>
                    <w:jc w:val="both"/>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坚持“以水定产”，优化调整园区的产业结构和规模。实施清洁生产提高资源综合利用水平。引进项目的生产工艺、设备、污染治理技术，以及单位产品能耗、物耗、污染物排放和资源利用率均应达到同行业国内先进水平。</w:t>
                  </w:r>
                </w:p>
              </w:tc>
              <w:tc>
                <w:tcPr>
                  <w:tcW w:w="2548" w:type="dxa"/>
                  <w:tcBorders>
                    <w:top w:val="single" w:color="000000" w:sz="12" w:space="0"/>
                    <w:tl2br w:val="nil"/>
                    <w:tr2bl w:val="nil"/>
                  </w:tcBorders>
                </w:tcPr>
                <w:p w14:paraId="2EFB9885">
                  <w:pPr>
                    <w:pStyle w:val="33"/>
                    <w:spacing w:line="240" w:lineRule="auto"/>
                    <w:jc w:val="both"/>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本项目用水为生产废水和生活污水，生产废水循环利用不外排，生活污水排入园区管网；</w:t>
                  </w:r>
                  <w:r>
                    <w:rPr>
                      <w:color w:val="auto"/>
                      <w:spacing w:val="9"/>
                      <w:sz w:val="20"/>
                      <w:szCs w:val="20"/>
                      <w:highlight w:val="none"/>
                    </w:rPr>
                    <w:t>本项目生产工艺主要消耗</w:t>
                  </w:r>
                  <w:r>
                    <w:rPr>
                      <w:color w:val="auto"/>
                      <w:spacing w:val="9"/>
                      <w:sz w:val="20"/>
                      <w:szCs w:val="20"/>
                    </w:rPr>
                    <w:t>电能、水、天然气。项目资</w:t>
                  </w:r>
                  <w:r>
                    <w:rPr>
                      <w:color w:val="auto"/>
                      <w:spacing w:val="4"/>
                      <w:sz w:val="20"/>
                      <w:szCs w:val="20"/>
                    </w:rPr>
                    <w:t>源、能源消耗满足国家、</w:t>
                  </w:r>
                  <w:r>
                    <w:rPr>
                      <w:color w:val="auto"/>
                      <w:spacing w:val="-41"/>
                      <w:sz w:val="20"/>
                      <w:szCs w:val="20"/>
                    </w:rPr>
                    <w:t xml:space="preserve"> </w:t>
                  </w:r>
                  <w:r>
                    <w:rPr>
                      <w:color w:val="auto"/>
                      <w:spacing w:val="4"/>
                      <w:sz w:val="20"/>
                      <w:szCs w:val="20"/>
                    </w:rPr>
                    <w:t>自</w:t>
                  </w:r>
                  <w:r>
                    <w:rPr>
                      <w:color w:val="auto"/>
                      <w:spacing w:val="8"/>
                      <w:sz w:val="20"/>
                      <w:szCs w:val="20"/>
                    </w:rPr>
                    <w:t>治区</w:t>
                  </w:r>
                  <w:r>
                    <w:rPr>
                      <w:rFonts w:hint="eastAsia"/>
                      <w:color w:val="auto"/>
                      <w:spacing w:val="8"/>
                      <w:sz w:val="20"/>
                      <w:szCs w:val="20"/>
                      <w:lang w:val="en-US" w:eastAsia="zh-CN"/>
                    </w:rPr>
                    <w:t>的控制目标。</w:t>
                  </w:r>
                </w:p>
              </w:tc>
              <w:tc>
                <w:tcPr>
                  <w:tcW w:w="988" w:type="dxa"/>
                  <w:tcBorders>
                    <w:top w:val="single" w:color="000000" w:sz="12" w:space="0"/>
                    <w:tl2br w:val="nil"/>
                    <w:tr2bl w:val="nil"/>
                  </w:tcBorders>
                  <w:vAlign w:val="center"/>
                </w:tcPr>
                <w:p w14:paraId="236ADB65">
                  <w:pPr>
                    <w:pStyle w:val="33"/>
                    <w:ind w:left="0" w:lef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符合</w:t>
                  </w:r>
                </w:p>
              </w:tc>
            </w:tr>
            <w:tr w14:paraId="4C8FD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0" w:type="dxa"/>
                  <w:tcBorders>
                    <w:tl2br w:val="nil"/>
                    <w:tr2bl w:val="nil"/>
                  </w:tcBorders>
                  <w:vAlign w:val="center"/>
                </w:tcPr>
                <w:p w14:paraId="155EFC00">
                  <w:pPr>
                    <w:pStyle w:val="33"/>
                    <w:spacing w:line="240" w:lineRule="auto"/>
                    <w:jc w:val="both"/>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完善中水回用方案，强化节水措施，减少新鲜水用量及废水排放量，确保各类废水安全有效利用，最大限度提高水资源综合利用率。制定切实可行的一般固体废弃物综合利用方案，严格按照国家有关规定，依法、依规、合理地贮存、处置和处理危险废物。</w:t>
                  </w:r>
                </w:p>
              </w:tc>
              <w:tc>
                <w:tcPr>
                  <w:tcW w:w="2548" w:type="dxa"/>
                  <w:tcBorders>
                    <w:tl2br w:val="nil"/>
                    <w:tr2bl w:val="nil"/>
                  </w:tcBorders>
                </w:tcPr>
                <w:p w14:paraId="102B09CB">
                  <w:pPr>
                    <w:pStyle w:val="33"/>
                    <w:spacing w:line="240" w:lineRule="auto"/>
                    <w:jc w:val="both"/>
                    <w:rPr>
                      <w:rFonts w:hint="default" w:ascii="Times New Roman" w:hAnsi="Times New Roman" w:cs="Times New Roman"/>
                      <w:b/>
                      <w:bCs/>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本项目用水为生产废水和生活污水，生产废水循环利用不外排，生活污水排入园区管网；固废:废金属边角料和不合格品集中收集后外售，沉淀池沉渣和除尘灰回用于生产，生活垃圾委托环卫部门清运;危险废物放于危废暂存间，委托有资质的单位处置。</w:t>
                  </w:r>
                </w:p>
              </w:tc>
              <w:tc>
                <w:tcPr>
                  <w:tcW w:w="988" w:type="dxa"/>
                  <w:tcBorders>
                    <w:tl2br w:val="nil"/>
                    <w:tr2bl w:val="nil"/>
                  </w:tcBorders>
                  <w:vAlign w:val="center"/>
                </w:tcPr>
                <w:p w14:paraId="27B25E1A">
                  <w:pPr>
                    <w:pStyle w:val="33"/>
                    <w:ind w:left="0" w:lef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符合</w:t>
                  </w:r>
                </w:p>
              </w:tc>
            </w:tr>
            <w:tr w14:paraId="2E095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40" w:type="dxa"/>
                  <w:tcBorders>
                    <w:tl2br w:val="nil"/>
                    <w:tr2bl w:val="nil"/>
                  </w:tcBorders>
                </w:tcPr>
                <w:p w14:paraId="703F1348">
                  <w:pPr>
                    <w:pStyle w:val="33"/>
                    <w:spacing w:line="240" w:lineRule="auto"/>
                    <w:jc w:val="both"/>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坚持实行入园企业环保准入审核制度，不符合产业政策、行业准入条件、自治区环境准入条件的项目以及与园区产业功能定位不符的“三高”项目一律不得入驻园区。对于入园的建设项目必须开展环境影响评价，严格执行建设项目“三同时”环境管理制度。</w:t>
                  </w:r>
                </w:p>
              </w:tc>
              <w:tc>
                <w:tcPr>
                  <w:tcW w:w="2548" w:type="dxa"/>
                  <w:tcBorders>
                    <w:tl2br w:val="nil"/>
                    <w:tr2bl w:val="nil"/>
                  </w:tcBorders>
                  <w:vAlign w:val="center"/>
                </w:tcPr>
                <w:p w14:paraId="1D3D3397">
                  <w:pPr>
                    <w:pStyle w:val="33"/>
                    <w:spacing w:line="240" w:lineRule="auto"/>
                    <w:jc w:val="both"/>
                    <w:rPr>
                      <w:rFonts w:hint="default" w:ascii="Times New Roman" w:hAnsi="Times New Roman" w:cs="Times New Roman"/>
                      <w:b/>
                      <w:bCs/>
                      <w:color w:val="auto"/>
                      <w:sz w:val="21"/>
                      <w:szCs w:val="21"/>
                      <w:highlight w:val="none"/>
                      <w:vertAlign w:val="baseline"/>
                      <w:lang w:val="en-US" w:eastAsia="zh-CN"/>
                    </w:rPr>
                  </w:pPr>
                  <w:r>
                    <w:rPr>
                      <w:rFonts w:hint="eastAsia"/>
                      <w:color w:val="auto"/>
                      <w:sz w:val="21"/>
                      <w:szCs w:val="21"/>
                    </w:rPr>
                    <w:t>本项目</w:t>
                  </w:r>
                  <w:r>
                    <w:rPr>
                      <w:rFonts w:hint="eastAsia"/>
                      <w:color w:val="auto"/>
                      <w:sz w:val="21"/>
                      <w:szCs w:val="21"/>
                      <w:lang w:val="en-US" w:eastAsia="zh-CN"/>
                    </w:rPr>
                    <w:t>为</w:t>
                  </w:r>
                  <w:r>
                    <w:rPr>
                      <w:rFonts w:hint="eastAsia"/>
                      <w:color w:val="auto"/>
                      <w:sz w:val="21"/>
                      <w:szCs w:val="21"/>
                      <w:highlight w:val="none"/>
                      <w:lang w:val="en-US" w:eastAsia="zh-CN"/>
                    </w:rPr>
                    <w:t>砼结构</w:t>
                  </w:r>
                  <w:r>
                    <w:rPr>
                      <w:rFonts w:hint="eastAsia"/>
                      <w:color w:val="auto"/>
                      <w:sz w:val="21"/>
                      <w:szCs w:val="21"/>
                      <w:lang w:val="en-US" w:eastAsia="zh-CN"/>
                    </w:rPr>
                    <w:t>制造，符合园区发展定位；本项目不属于“三高”项目；本项目严格执行“三同时”环境管理制度。</w:t>
                  </w:r>
                </w:p>
              </w:tc>
              <w:tc>
                <w:tcPr>
                  <w:tcW w:w="988" w:type="dxa"/>
                  <w:tcBorders>
                    <w:tl2br w:val="nil"/>
                    <w:tr2bl w:val="nil"/>
                  </w:tcBorders>
                  <w:vAlign w:val="center"/>
                </w:tcPr>
                <w:p w14:paraId="47680140">
                  <w:pPr>
                    <w:pStyle w:val="33"/>
                    <w:ind w:left="0" w:leftChars="0" w:firstLine="0" w:firstLineChars="0"/>
                    <w:jc w:val="center"/>
                    <w:rPr>
                      <w:rFonts w:hint="default" w:ascii="Times New Roman" w:hAnsi="Times New Roman" w:cs="Times New Roman"/>
                      <w:b/>
                      <w:bCs/>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符合</w:t>
                  </w:r>
                </w:p>
              </w:tc>
            </w:tr>
          </w:tbl>
          <w:p w14:paraId="5415EFD7">
            <w:pPr>
              <w:pStyle w:val="29"/>
              <w:spacing w:line="360" w:lineRule="auto"/>
              <w:ind w:firstLine="480" w:firstLineChars="20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eastAsiaTheme="minorEastAsia"/>
                <w:color w:val="auto"/>
                <w:sz w:val="24"/>
                <w:highlight w:val="none"/>
                <w:lang w:val="en-US" w:eastAsia="zh-CN"/>
              </w:rPr>
              <w:t>综上所述，本项目的建设情况符合《吉木萨尔北庭工业园区总体规划(修编(2020-2030年)环境影响报告书》及审查意见要求中的相关要求。</w:t>
            </w:r>
          </w:p>
        </w:tc>
      </w:tr>
      <w:tr w14:paraId="7E1087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83" w:hRule="atLeast"/>
          <w:jc w:val="center"/>
        </w:trPr>
        <w:tc>
          <w:tcPr>
            <w:tcW w:w="1543" w:type="dxa"/>
            <w:tcBorders>
              <w:tl2br w:val="nil"/>
              <w:tr2bl w:val="nil"/>
            </w:tcBorders>
            <w:vAlign w:val="center"/>
          </w:tcPr>
          <w:p w14:paraId="5FD27540">
            <w:pPr>
              <w:autoSpaceDE w:val="0"/>
              <w:autoSpaceDN w:val="0"/>
              <w:adjustRightInd w:val="0"/>
              <w:snapToGrid w:val="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 w:val="24"/>
                <w:szCs w:val="24"/>
                <w:highlight w:val="none"/>
              </w:rPr>
              <w:t>其他符合性分析</w:t>
            </w:r>
          </w:p>
        </w:tc>
        <w:tc>
          <w:tcPr>
            <w:tcW w:w="6792" w:type="dxa"/>
            <w:gridSpan w:val="3"/>
            <w:tcBorders>
              <w:tl2br w:val="nil"/>
              <w:tr2bl w:val="nil"/>
            </w:tcBorders>
            <w:vAlign w:val="center"/>
          </w:tcPr>
          <w:p w14:paraId="35C0198A">
            <w:pPr>
              <w:pStyle w:val="29"/>
              <w:spacing w:line="360" w:lineRule="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rPr>
              <w:t>1.</w:t>
            </w:r>
            <w:r>
              <w:rPr>
                <w:rFonts w:hint="default" w:ascii="Times New Roman" w:hAnsi="Times New Roman" w:cs="Times New Roman"/>
                <w:b/>
                <w:bCs/>
                <w:color w:val="auto"/>
                <w:sz w:val="24"/>
                <w:highlight w:val="none"/>
              </w:rPr>
              <w:t>产业政策相符性分析</w:t>
            </w:r>
          </w:p>
          <w:p w14:paraId="1128ECBB">
            <w:pPr>
              <w:pStyle w:val="29"/>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根据中华人民共和国国家发展和改革委员会令第</w:t>
            </w:r>
            <w:r>
              <w:rPr>
                <w:rFonts w:hint="default"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9号《产业结构调整指导目录（20</w:t>
            </w:r>
            <w:r>
              <w:rPr>
                <w:rFonts w:hint="eastAsia" w:ascii="Times New Roman" w:hAnsi="Times New Roman" w:cs="Times New Roman"/>
                <w:color w:val="auto"/>
                <w:sz w:val="24"/>
                <w:highlight w:val="none"/>
                <w:lang w:val="en-US" w:eastAsia="zh-CN"/>
              </w:rPr>
              <w:t>24</w:t>
            </w:r>
            <w:r>
              <w:rPr>
                <w:rFonts w:hint="default" w:ascii="Times New Roman" w:hAnsi="Times New Roman" w:cs="Times New Roman"/>
                <w:color w:val="auto"/>
                <w:sz w:val="24"/>
                <w:highlight w:val="none"/>
              </w:rPr>
              <w:t>年本）》，该类项目</w:t>
            </w:r>
            <w:r>
              <w:rPr>
                <w:rFonts w:hint="default" w:ascii="Times New Roman" w:hAnsi="Times New Roman" w:cs="Times New Roman"/>
                <w:color w:val="auto"/>
                <w:sz w:val="24"/>
                <w:highlight w:val="none"/>
                <w:lang w:val="en-US"/>
              </w:rPr>
              <w:t>不属于</w:t>
            </w:r>
            <w:r>
              <w:rPr>
                <w:rFonts w:hint="default" w:ascii="Times New Roman" w:hAnsi="Times New Roman" w:cs="Times New Roman"/>
                <w:color w:val="auto"/>
                <w:sz w:val="24"/>
                <w:highlight w:val="none"/>
              </w:rPr>
              <w:t>鼓励类、</w:t>
            </w:r>
            <w:r>
              <w:rPr>
                <w:rFonts w:hint="default" w:ascii="Times New Roman" w:hAnsi="Times New Roman" w:cs="Times New Roman"/>
                <w:color w:val="auto"/>
                <w:sz w:val="24"/>
                <w:highlight w:val="none"/>
                <w:lang w:val="en-US"/>
              </w:rPr>
              <w:t>限制类和淘汰类建设项目</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rPr>
              <w:t>为允许类建设项目</w:t>
            </w:r>
            <w:r>
              <w:rPr>
                <w:rFonts w:hint="default" w:ascii="Times New Roman" w:hAnsi="Times New Roman" w:cs="Times New Roman"/>
                <w:color w:val="auto"/>
                <w:sz w:val="24"/>
                <w:highlight w:val="none"/>
              </w:rPr>
              <w:t>。因此本项目的建设符合国家产业政策的要求。</w:t>
            </w:r>
          </w:p>
          <w:p w14:paraId="27D3CEFD">
            <w:pPr>
              <w:pStyle w:val="29"/>
              <w:spacing w:line="360" w:lineRule="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lang w:val="en-US"/>
              </w:rPr>
              <w:t>.</w:t>
            </w:r>
            <w:r>
              <w:rPr>
                <w:rFonts w:hint="default" w:ascii="Times New Roman" w:hAnsi="Times New Roman" w:cs="Times New Roman"/>
                <w:b/>
                <w:bCs/>
                <w:color w:val="auto"/>
                <w:sz w:val="24"/>
                <w:highlight w:val="none"/>
              </w:rPr>
              <w:t>与“三线一单”相符性分析</w:t>
            </w:r>
          </w:p>
          <w:p w14:paraId="432CE859">
            <w:pPr>
              <w:pStyle w:val="2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生态环境部文《关于以改善环境质量为核心加强环境影响评价管理的通知》（环环评【2016】150号），三线一单中的三线是指“生态保护红线、环境质量底线、资源利用上线”，一单是指“环境准入负面清单”。</w:t>
            </w:r>
          </w:p>
          <w:p w14:paraId="13981070">
            <w:pPr>
              <w:pStyle w:val="2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rPr>
              <w:t>1</w:t>
            </w:r>
            <w:r>
              <w:rPr>
                <w:rFonts w:hint="default" w:ascii="Times New Roman" w:hAnsi="Times New Roman" w:cs="Times New Roman"/>
                <w:color w:val="auto"/>
                <w:sz w:val="24"/>
                <w:highlight w:val="none"/>
              </w:rPr>
              <w:t>）生态保护红线的符合性分析</w:t>
            </w:r>
          </w:p>
          <w:p w14:paraId="77D9DDA1">
            <w:pPr>
              <w:pStyle w:val="2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本项目所在域内无自然保护区、风景名胜区等特殊生态敏感区，工业园区区域不在生态保护红线区内，即本项目不涉及生态保护红线。</w:t>
            </w:r>
          </w:p>
          <w:p w14:paraId="3732C46C">
            <w:pPr>
              <w:pStyle w:val="2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rPr>
              <w:t>2</w:t>
            </w:r>
            <w:r>
              <w:rPr>
                <w:rFonts w:hint="default" w:ascii="Times New Roman" w:hAnsi="Times New Roman" w:cs="Times New Roman"/>
                <w:color w:val="auto"/>
                <w:sz w:val="24"/>
                <w:highlight w:val="none"/>
              </w:rPr>
              <w:t>）环境质量底线的符合性分析</w:t>
            </w:r>
          </w:p>
          <w:p w14:paraId="03BEB7B7">
            <w:pPr>
              <w:pStyle w:val="2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本项目生产废气主要为</w:t>
            </w:r>
            <w:r>
              <w:rPr>
                <w:rFonts w:hint="eastAsia" w:ascii="Times New Roman" w:hAnsi="Times New Roman" w:cs="Times New Roman"/>
                <w:color w:val="auto"/>
                <w:sz w:val="24"/>
                <w:highlight w:val="none"/>
                <w:lang w:val="en-US" w:eastAsia="zh-CN"/>
              </w:rPr>
              <w:t>锅炉废气、</w:t>
            </w:r>
            <w:r>
              <w:rPr>
                <w:rFonts w:hint="default" w:ascii="Times New Roman" w:hAnsi="Times New Roman" w:cs="Times New Roman"/>
                <w:color w:val="auto"/>
                <w:sz w:val="24"/>
                <w:highlight w:val="none"/>
                <w:lang w:val="en-US"/>
              </w:rPr>
              <w:t>物料存储废气</w:t>
            </w:r>
            <w:r>
              <w:rPr>
                <w:rFonts w:hint="default" w:ascii="Times New Roman" w:hAnsi="Times New Roman" w:cs="Times New Roman"/>
                <w:color w:val="auto"/>
                <w:sz w:val="24"/>
                <w:highlight w:val="none"/>
              </w:rPr>
              <w:t>、混合搅拌废气，存储工序在密闭空间内进行；锅炉废气经低氮燃烧器+15m排气筒（DA001）排放</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搅拌工序废气采用袋式除尘器，搅拌废气经收集后</w:t>
            </w:r>
            <w:r>
              <w:rPr>
                <w:rFonts w:hint="default" w:ascii="Times New Roman" w:hAnsi="Times New Roman" w:cs="Times New Roman"/>
                <w:color w:val="auto"/>
                <w:sz w:val="24"/>
                <w:highlight w:val="none"/>
                <w:lang w:val="en-US"/>
              </w:rPr>
              <w:t>引至</w:t>
            </w:r>
            <w:r>
              <w:rPr>
                <w:rFonts w:hint="default" w:ascii="Times New Roman" w:hAnsi="Times New Roman" w:cs="Times New Roman"/>
                <w:color w:val="auto"/>
                <w:sz w:val="24"/>
                <w:highlight w:val="none"/>
              </w:rPr>
              <w:t>袋式除尘器处理，处理后</w:t>
            </w:r>
            <w:r>
              <w:rPr>
                <w:rFonts w:hint="eastAsia" w:ascii="Times New Roman" w:hAnsi="Times New Roman" w:cs="Times New Roman"/>
                <w:color w:val="auto"/>
                <w:sz w:val="24"/>
                <w:highlight w:val="none"/>
                <w:lang w:val="en-US" w:eastAsia="zh-CN"/>
              </w:rPr>
              <w:t>无组织排放</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项目生产废水循环使用不外排，生活污水</w:t>
            </w:r>
            <w:r>
              <w:rPr>
                <w:rFonts w:hint="eastAsia" w:ascii="Times New Roman" w:hAnsi="Times New Roman" w:cs="Times New Roman"/>
                <w:color w:val="auto"/>
                <w:sz w:val="24"/>
                <w:highlight w:val="none"/>
                <w:lang w:val="en-US" w:eastAsia="zh-CN"/>
              </w:rPr>
              <w:t>排入</w:t>
            </w:r>
            <w:r>
              <w:rPr>
                <w:rFonts w:hint="eastAsia" w:ascii="Times New Roman" w:hAnsi="Times New Roman" w:cs="Times New Roman"/>
                <w:color w:val="auto"/>
                <w:kern w:val="0"/>
                <w:sz w:val="24"/>
                <w:highlight w:val="none"/>
                <w:lang w:val="en-US" w:eastAsia="zh-CN" w:bidi="ar"/>
              </w:rPr>
              <w:t>园区污水管网，</w:t>
            </w:r>
            <w:r>
              <w:rPr>
                <w:rFonts w:hint="default" w:ascii="Times New Roman" w:hAnsi="Times New Roman" w:cs="Times New Roman"/>
                <w:color w:val="auto"/>
                <w:kern w:val="0"/>
                <w:sz w:val="24"/>
                <w:highlight w:val="none"/>
                <w:lang w:val="en-US" w:eastAsia="zh-CN" w:bidi="ar"/>
              </w:rPr>
              <w:t>最终排入</w:t>
            </w:r>
            <w:r>
              <w:rPr>
                <w:rFonts w:hint="eastAsia" w:ascii="Times New Roman" w:hAnsi="Times New Roman" w:cs="Times New Roman"/>
                <w:color w:val="auto"/>
                <w:kern w:val="0"/>
                <w:sz w:val="24"/>
                <w:highlight w:val="none"/>
                <w:lang w:val="en-US" w:eastAsia="zh-CN" w:bidi="ar"/>
              </w:rPr>
              <w:t>吉木萨尔县第二污水处理厂</w:t>
            </w:r>
            <w:r>
              <w:rPr>
                <w:rFonts w:hint="default" w:ascii="Times New Roman" w:hAnsi="Times New Roman" w:cs="Times New Roman"/>
                <w:color w:val="auto"/>
                <w:sz w:val="24"/>
                <w:highlight w:val="none"/>
              </w:rPr>
              <w:t>；固废可达到100%合理贮存、处置并配套相关防止污染环境的措施。本项目严格落实环评中提出的各项环保设施，各项污染物做到连续稳定达标排放，建成后不会对区域环境质量造成较大影响，本项目建设不会突破区域环境质量底线。</w:t>
            </w:r>
          </w:p>
          <w:p w14:paraId="595C1228">
            <w:pPr>
              <w:pStyle w:val="2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rPr>
              <w:t>3</w:t>
            </w:r>
            <w:r>
              <w:rPr>
                <w:rFonts w:hint="default" w:ascii="Times New Roman" w:hAnsi="Times New Roman" w:cs="Times New Roman"/>
                <w:color w:val="auto"/>
                <w:sz w:val="24"/>
                <w:highlight w:val="none"/>
              </w:rPr>
              <w:t>）资源利用上线的符合性分析</w:t>
            </w:r>
          </w:p>
          <w:p w14:paraId="16E65D1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本项目不涉及地下水开采，不使用煤炭，符合园区资源利用上线相关要求。</w:t>
            </w:r>
          </w:p>
          <w:p w14:paraId="5FDE5D73">
            <w:pPr>
              <w:pStyle w:val="10"/>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rPr>
              <w:t>4</w:t>
            </w:r>
            <w:r>
              <w:rPr>
                <w:rFonts w:hint="default" w:ascii="Times New Roman" w:hAnsi="Times New Roman" w:cs="Times New Roman"/>
                <w:color w:val="auto"/>
                <w:highlight w:val="none"/>
              </w:rPr>
              <w:t>）环境准入负面清单的符合性分析</w:t>
            </w:r>
          </w:p>
          <w:p w14:paraId="11DDC16C">
            <w:pPr>
              <w:pStyle w:val="10"/>
              <w:spacing w:line="360" w:lineRule="auto"/>
              <w:ind w:firstLine="480" w:firstLineChars="200"/>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本项目不涉及地下水开采，不使用煤炭，不产生VOCs</w:t>
            </w:r>
            <w:r>
              <w:rPr>
                <w:rFonts w:hint="eastAsia" w:ascii="Times New Roman" w:hAnsi="Times New Roman" w:cs="Times New Roman"/>
                <w:color w:val="auto"/>
                <w:highlight w:val="none"/>
                <w:lang w:eastAsia="zh-CN"/>
              </w:rPr>
              <w:t>。</w:t>
            </w:r>
          </w:p>
          <w:p w14:paraId="079E0ACC">
            <w:pPr>
              <w:pStyle w:val="10"/>
              <w:spacing w:line="360" w:lineRule="auto"/>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.1与《新疆维吾尔自治区“三线一单”生态环境分区管控方案》符合性分析</w:t>
            </w:r>
          </w:p>
          <w:p w14:paraId="5D6438CB">
            <w:pPr>
              <w:pStyle w:val="29"/>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关于印发《新疆维吾尔自治区“三线一单”生态环境分区管控方案》的通知（新政发〔2021〕18号），按照生态保护红线、环境质量底线、资源利用上线的管控要求，将自治区从生态环境保护角度划分为优先保护单元、重点管控单元、一般管控单元三类环境管控单元。</w:t>
            </w:r>
          </w:p>
          <w:p w14:paraId="297CA479">
            <w:pPr>
              <w:pStyle w:val="29"/>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项目建设地点与生态环境分区管控单元的核查，本项目属于重点管控单元，重点管控单元要求：要着力优化空间布局，不断提升资源利用效率，有针对性地加强污染物排放管控和环境风险防控，解决生态环境质量不达标、生态环境风险高等问题。</w:t>
            </w:r>
          </w:p>
          <w:p w14:paraId="092F94FB">
            <w:pPr>
              <w:pStyle w:val="29"/>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本项目属于</w:t>
            </w:r>
            <w:r>
              <w:rPr>
                <w:rFonts w:hint="default" w:ascii="Times New Roman" w:hAnsi="Times New Roman" w:cs="Times New Roman"/>
                <w:color w:val="auto"/>
                <w:sz w:val="24"/>
                <w:highlight w:val="none"/>
                <w:lang w:val="en-US"/>
              </w:rPr>
              <w:t>砼结构构件制造</w:t>
            </w:r>
            <w:r>
              <w:rPr>
                <w:rFonts w:hint="eastAsia" w:ascii="Times New Roman" w:hAnsi="Times New Roman" w:cs="Times New Roman"/>
                <w:color w:val="auto"/>
                <w:sz w:val="24"/>
                <w:highlight w:val="none"/>
                <w:lang w:val="en-US" w:eastAsia="zh-CN"/>
              </w:rPr>
              <w:t>类项目</w:t>
            </w:r>
            <w:r>
              <w:rPr>
                <w:rFonts w:hint="default" w:ascii="Times New Roman" w:hAnsi="Times New Roman" w:cs="Times New Roman"/>
                <w:color w:val="auto"/>
                <w:sz w:val="24"/>
                <w:highlight w:val="none"/>
              </w:rPr>
              <w:t>，运行期产生的废气均有较好合理的治理措施，废水有合理的去向，对环境影响较小，故本项目符合分区管控的要求。</w:t>
            </w:r>
          </w:p>
          <w:p w14:paraId="2489A272">
            <w:pPr>
              <w:tabs>
                <w:tab w:val="left" w:pos="3120"/>
              </w:tabs>
              <w:jc w:val="center"/>
              <w:rPr>
                <w:rFonts w:hint="default" w:ascii="Times New Roman" w:hAnsi="Times New Roman" w:cs="Times New Roman"/>
                <w:color w:val="auto"/>
                <w:sz w:val="24"/>
                <w:highlight w:val="none"/>
              </w:rPr>
            </w:pPr>
            <w:r>
              <w:rPr>
                <w:rFonts w:hint="default" w:ascii="Times New Roman" w:hAnsi="Times New Roman" w:cs="Times New Roman"/>
                <w:b/>
                <w:bCs/>
                <w:color w:val="auto"/>
                <w:szCs w:val="21"/>
                <w:highlight w:val="none"/>
              </w:rPr>
              <w:t>表1-</w:t>
            </w:r>
            <w:r>
              <w:rPr>
                <w:rFonts w:hint="eastAsia" w:cs="Times New Roman"/>
                <w:b/>
                <w:bCs/>
                <w:color w:val="auto"/>
                <w:szCs w:val="21"/>
                <w:highlight w:val="none"/>
                <w:lang w:val="en-US" w:eastAsia="zh-CN"/>
              </w:rPr>
              <w:t>2</w:t>
            </w:r>
            <w:r>
              <w:rPr>
                <w:rFonts w:hint="default" w:ascii="Times New Roman" w:hAnsi="Times New Roman" w:cs="Times New Roman"/>
                <w:b/>
                <w:bCs/>
                <w:color w:val="auto"/>
                <w:szCs w:val="21"/>
                <w:highlight w:val="none"/>
              </w:rPr>
              <w:t xml:space="preserve">    《新疆维吾尔自治区“三线一单”生态环境分区管控方案》符合性分析</w:t>
            </w:r>
          </w:p>
          <w:tbl>
            <w:tblPr>
              <w:tblStyle w:val="23"/>
              <w:tblW w:w="499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78"/>
              <w:gridCol w:w="3564"/>
              <w:gridCol w:w="2529"/>
            </w:tblGrid>
            <w:tr w14:paraId="0D7A05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63" w:type="pct"/>
                  <w:tcBorders>
                    <w:bottom w:val="single" w:color="000000" w:sz="12" w:space="0"/>
                  </w:tcBorders>
                  <w:vAlign w:val="center"/>
                </w:tcPr>
                <w:p w14:paraId="10981F5C">
                  <w:pPr>
                    <w:pStyle w:val="29"/>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内容</w:t>
                  </w:r>
                </w:p>
              </w:tc>
              <w:tc>
                <w:tcPr>
                  <w:tcW w:w="2712" w:type="pct"/>
                  <w:tcBorders>
                    <w:bottom w:val="single" w:color="000000" w:sz="12" w:space="0"/>
                  </w:tcBorders>
                  <w:vAlign w:val="center"/>
                </w:tcPr>
                <w:p w14:paraId="2D3E2ED4">
                  <w:pPr>
                    <w:pStyle w:val="29"/>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要求</w:t>
                  </w:r>
                </w:p>
              </w:tc>
              <w:tc>
                <w:tcPr>
                  <w:tcW w:w="1924" w:type="pct"/>
                  <w:tcBorders>
                    <w:bottom w:val="single" w:color="000000" w:sz="12" w:space="0"/>
                  </w:tcBorders>
                  <w:vAlign w:val="center"/>
                </w:tcPr>
                <w:p w14:paraId="4DE50677">
                  <w:pPr>
                    <w:pStyle w:val="29"/>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符合性</w:t>
                  </w:r>
                </w:p>
              </w:tc>
            </w:tr>
            <w:tr w14:paraId="023989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63" w:type="pct"/>
                  <w:tcBorders>
                    <w:top w:val="single" w:color="000000" w:sz="12" w:space="0"/>
                    <w:tl2br w:val="nil"/>
                    <w:tr2bl w:val="nil"/>
                  </w:tcBorders>
                  <w:vAlign w:val="center"/>
                </w:tcPr>
                <w:p w14:paraId="19E48181">
                  <w:pPr>
                    <w:pStyle w:val="29"/>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生态保护红线</w:t>
                  </w:r>
                </w:p>
              </w:tc>
              <w:tc>
                <w:tcPr>
                  <w:tcW w:w="2712" w:type="pct"/>
                  <w:tcBorders>
                    <w:top w:val="single" w:color="000000" w:sz="12" w:space="0"/>
                    <w:tl2br w:val="nil"/>
                    <w:tr2bl w:val="nil"/>
                  </w:tcBorders>
                  <w:vAlign w:val="center"/>
                </w:tcPr>
                <w:p w14:paraId="68E7096B">
                  <w:pPr>
                    <w:pStyle w:val="29"/>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按照“生态功能不降低、面积不减少、性质不改变”的基本要求，对划定的生态保护红线实施严格管控，保障和维护国家生态安全的底线和生命线。</w:t>
                  </w:r>
                </w:p>
              </w:tc>
              <w:tc>
                <w:tcPr>
                  <w:tcW w:w="1924" w:type="pct"/>
                  <w:tcBorders>
                    <w:top w:val="single" w:color="000000" w:sz="12" w:space="0"/>
                    <w:tl2br w:val="nil"/>
                    <w:tr2bl w:val="nil"/>
                  </w:tcBorders>
                  <w:vAlign w:val="center"/>
                </w:tcPr>
                <w:p w14:paraId="4AA28C70">
                  <w:pPr>
                    <w:pStyle w:val="29"/>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项目不涉及生态红线保护区域，不会影响所在区域内生态服务功能。</w:t>
                  </w:r>
                </w:p>
              </w:tc>
            </w:tr>
            <w:tr w14:paraId="12735B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63" w:type="pct"/>
                  <w:tcBorders>
                    <w:tl2br w:val="nil"/>
                    <w:tr2bl w:val="nil"/>
                  </w:tcBorders>
                  <w:vAlign w:val="center"/>
                </w:tcPr>
                <w:p w14:paraId="6BD8183B">
                  <w:pPr>
                    <w:pStyle w:val="29"/>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环境质量底线</w:t>
                  </w:r>
                </w:p>
              </w:tc>
              <w:tc>
                <w:tcPr>
                  <w:tcW w:w="2712" w:type="pct"/>
                  <w:tcBorders>
                    <w:tl2br w:val="nil"/>
                    <w:tr2bl w:val="nil"/>
                  </w:tcBorders>
                  <w:vAlign w:val="center"/>
                </w:tcPr>
                <w:p w14:paraId="48E414D2">
                  <w:pPr>
                    <w:pStyle w:val="29"/>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全区水环境质量持续改善，受污染地表水体得到有效治理，饮用水安全保障水平持续提升，地下水超采得到严格控制，地下水水质保持稳定；全区环境空气质量有所提升，重污染天数持续减少，已达标城市环境空气质量保持稳定，未达标城市环境空气质量持续改善，沙尘影响严重地区做好防风固沙、生态环境保护修复等工作；全区土壤环境质量保持稳定，污染地块安全利用水平稳中有升，土壤环境风险得到进一步管控。</w:t>
                  </w:r>
                </w:p>
              </w:tc>
              <w:tc>
                <w:tcPr>
                  <w:tcW w:w="1924" w:type="pct"/>
                  <w:tcBorders>
                    <w:tl2br w:val="nil"/>
                    <w:tr2bl w:val="nil"/>
                  </w:tcBorders>
                  <w:vAlign w:val="center"/>
                </w:tcPr>
                <w:p w14:paraId="0C0C0346">
                  <w:pPr>
                    <w:pStyle w:val="29"/>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w:t>
                  </w:r>
                  <w:r>
                    <w:rPr>
                      <w:rFonts w:hint="default" w:ascii="Times New Roman" w:hAnsi="Times New Roman" w:eastAsia="宋体" w:cs="Times New Roman"/>
                      <w:color w:val="auto"/>
                      <w:szCs w:val="21"/>
                      <w:highlight w:val="none"/>
                    </w:rPr>
                    <w:t>项目属于</w:t>
                  </w:r>
                  <w:r>
                    <w:rPr>
                      <w:rFonts w:hint="default" w:ascii="Times New Roman" w:hAnsi="Times New Roman" w:eastAsia="宋体" w:cs="Times New Roman"/>
                      <w:color w:val="auto"/>
                      <w:szCs w:val="21"/>
                      <w:highlight w:val="none"/>
                      <w:lang w:val="en-US"/>
                    </w:rPr>
                    <w:t>砼结构构件制造</w:t>
                  </w:r>
                  <w:r>
                    <w:rPr>
                      <w:rFonts w:hint="eastAsia" w:ascii="Times New Roman" w:hAnsi="Times New Roman" w:cs="Times New Roman"/>
                      <w:color w:val="auto"/>
                      <w:szCs w:val="21"/>
                      <w:highlight w:val="none"/>
                      <w:lang w:val="en-US" w:eastAsia="zh-CN"/>
                    </w:rPr>
                    <w:t>类项目</w:t>
                  </w:r>
                  <w:r>
                    <w:rPr>
                      <w:rFonts w:hint="default" w:ascii="Times New Roman" w:hAnsi="Times New Roman" w:eastAsia="宋体" w:cs="Times New Roman"/>
                      <w:color w:val="auto"/>
                      <w:szCs w:val="21"/>
                      <w:highlight w:val="none"/>
                    </w:rPr>
                    <w:t>，废水主要为生活污水，生活污水排入园</w:t>
                  </w:r>
                  <w:r>
                    <w:rPr>
                      <w:rFonts w:hint="default" w:ascii="Times New Roman" w:hAnsi="Times New Roman" w:cs="Times New Roman"/>
                      <w:color w:val="auto"/>
                      <w:szCs w:val="21"/>
                      <w:highlight w:val="none"/>
                    </w:rPr>
                    <w:t>区污</w:t>
                  </w:r>
                  <w:r>
                    <w:rPr>
                      <w:rFonts w:hint="default" w:ascii="Times New Roman" w:hAnsi="Times New Roman" w:eastAsia="宋体" w:cs="Times New Roman"/>
                      <w:color w:val="auto"/>
                      <w:szCs w:val="21"/>
                      <w:highlight w:val="none"/>
                    </w:rPr>
                    <w:t>水管网，最终排入</w:t>
                  </w:r>
                  <w:r>
                    <w:rPr>
                      <w:rFonts w:hint="eastAsia" w:ascii="Times New Roman" w:hAnsi="Times New Roman" w:cs="Times New Roman"/>
                      <w:color w:val="auto"/>
                      <w:szCs w:val="21"/>
                      <w:highlight w:val="none"/>
                      <w:lang w:val="en-US" w:eastAsia="zh-CN"/>
                    </w:rPr>
                    <w:t>吉木萨尔县第二污水处理厂</w:t>
                  </w:r>
                  <w:r>
                    <w:rPr>
                      <w:rFonts w:hint="default" w:ascii="Times New Roman" w:hAnsi="Times New Roman" w:eastAsia="宋体" w:cs="Times New Roman"/>
                      <w:color w:val="auto"/>
                      <w:szCs w:val="21"/>
                      <w:highlight w:val="none"/>
                    </w:rPr>
                    <w:t>，与地表水体无水力联系，也不会对</w:t>
                  </w:r>
                  <w:r>
                    <w:rPr>
                      <w:rFonts w:hint="default" w:ascii="Times New Roman" w:hAnsi="Times New Roman" w:cs="Times New Roman"/>
                      <w:color w:val="auto"/>
                      <w:szCs w:val="21"/>
                      <w:highlight w:val="none"/>
                    </w:rPr>
                    <w:t>地下水造成污染；对环境影响较小。上述措施能确保本项目污染物对环境质量的影响降到最小，不突破所在区域环境质量底线。</w:t>
                  </w:r>
                </w:p>
              </w:tc>
            </w:tr>
            <w:tr w14:paraId="0AACE6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63" w:type="pct"/>
                  <w:tcBorders>
                    <w:tl2br w:val="nil"/>
                    <w:tr2bl w:val="nil"/>
                  </w:tcBorders>
                  <w:vAlign w:val="center"/>
                </w:tcPr>
                <w:p w14:paraId="3C825E0D">
                  <w:pPr>
                    <w:pStyle w:val="29"/>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资源利用上线</w:t>
                  </w:r>
                </w:p>
              </w:tc>
              <w:tc>
                <w:tcPr>
                  <w:tcW w:w="2712" w:type="pct"/>
                  <w:tcBorders>
                    <w:tl2br w:val="nil"/>
                    <w:tr2bl w:val="nil"/>
                  </w:tcBorders>
                  <w:vAlign w:val="center"/>
                </w:tcPr>
                <w:p w14:paraId="1ADD1ABD">
                  <w:pPr>
                    <w:pStyle w:val="29"/>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强化节约集约利用，持续提升资源能源利用效率，水资源、土地资源、能源消耗等达到国家、自治区下达的总量和强度控制目标。</w:t>
                  </w:r>
                </w:p>
              </w:tc>
              <w:tc>
                <w:tcPr>
                  <w:tcW w:w="1924" w:type="pct"/>
                  <w:tcBorders>
                    <w:tl2br w:val="nil"/>
                    <w:tr2bl w:val="nil"/>
                  </w:tcBorders>
                  <w:vAlign w:val="center"/>
                </w:tcPr>
                <w:p w14:paraId="56550806">
                  <w:pPr>
                    <w:pStyle w:val="29"/>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本项目生产工艺主要消耗电能、水。项目资源、能源消耗满足国家、自治区下达的总量和强度控制目标。</w:t>
                  </w:r>
                </w:p>
              </w:tc>
            </w:tr>
            <w:tr w14:paraId="3E0569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3075" w:type="pct"/>
                  <w:gridSpan w:val="2"/>
                  <w:tcBorders>
                    <w:tl2br w:val="nil"/>
                    <w:tr2bl w:val="nil"/>
                  </w:tcBorders>
                  <w:vAlign w:val="center"/>
                </w:tcPr>
                <w:p w14:paraId="606D7B71">
                  <w:pPr>
                    <w:pStyle w:val="29"/>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生态环境准入清单</w:t>
                  </w:r>
                </w:p>
              </w:tc>
              <w:tc>
                <w:tcPr>
                  <w:tcW w:w="1924" w:type="pct"/>
                  <w:tcBorders>
                    <w:tl2br w:val="nil"/>
                    <w:tr2bl w:val="nil"/>
                  </w:tcBorders>
                  <w:vAlign w:val="center"/>
                </w:tcPr>
                <w:p w14:paraId="100FF1DB">
                  <w:pPr>
                    <w:pStyle w:val="29"/>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本项目未列入《新疆重点生态功能区产业准入负面清单》中限制类和禁止类。</w:t>
                  </w:r>
                </w:p>
              </w:tc>
            </w:tr>
          </w:tbl>
          <w:p w14:paraId="4D0CE4DF">
            <w:pPr>
              <w:autoSpaceDE w:val="0"/>
              <w:autoSpaceDN w:val="0"/>
              <w:adjustRightInd w:val="0"/>
              <w:snapToGrid w:val="0"/>
              <w:spacing w:line="360" w:lineRule="auto"/>
              <w:rPr>
                <w:rFonts w:hint="default" w:ascii="Times New Roman" w:hAnsi="Times New Roman" w:cs="Times New Roman"/>
                <w:b/>
                <w:bCs/>
                <w:color w:val="auto"/>
                <w:kern w:val="0"/>
                <w:sz w:val="24"/>
                <w:highlight w:val="none"/>
              </w:rPr>
            </w:pPr>
            <w:r>
              <w:rPr>
                <w:rFonts w:hint="eastAsia" w:cs="Times New Roman"/>
                <w:b/>
                <w:bCs/>
                <w:color w:val="auto"/>
                <w:kern w:val="0"/>
                <w:sz w:val="24"/>
                <w:highlight w:val="none"/>
                <w:lang w:val="en-US" w:eastAsia="zh-CN"/>
              </w:rPr>
              <w:t>2</w:t>
            </w:r>
            <w:r>
              <w:rPr>
                <w:rFonts w:hint="default" w:ascii="Times New Roman" w:hAnsi="Times New Roman" w:cs="Times New Roman"/>
                <w:b/>
                <w:bCs/>
                <w:color w:val="auto"/>
                <w:kern w:val="0"/>
                <w:sz w:val="24"/>
                <w:highlight w:val="none"/>
              </w:rPr>
              <w:t>.</w:t>
            </w:r>
            <w:r>
              <w:rPr>
                <w:rFonts w:hint="eastAsia" w:cs="Times New Roman"/>
                <w:b/>
                <w:bCs/>
                <w:color w:val="auto"/>
                <w:kern w:val="0"/>
                <w:sz w:val="24"/>
                <w:highlight w:val="none"/>
                <w:lang w:val="en-US" w:eastAsia="zh-CN"/>
              </w:rPr>
              <w:t>2</w:t>
            </w:r>
            <w:r>
              <w:rPr>
                <w:rFonts w:hint="default" w:ascii="Times New Roman" w:hAnsi="Times New Roman" w:cs="Times New Roman"/>
                <w:b/>
                <w:bCs/>
                <w:color w:val="auto"/>
                <w:kern w:val="0"/>
                <w:sz w:val="24"/>
                <w:highlight w:val="none"/>
              </w:rPr>
              <w:t>与《昌吉回族自治州区域空间生态环境评价暨“三线一单”生态环境准入清单动态更新成果》的符合性分析</w:t>
            </w:r>
          </w:p>
          <w:p w14:paraId="4C52DFAF">
            <w:pPr>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本项目位于区内，根据《昌吉回族自治州区域空间生态环境评价暨“三线一单”生态环境准入清单动态更新成果》划分，本项目属于</w:t>
            </w:r>
            <w:r>
              <w:rPr>
                <w:rFonts w:hint="eastAsia" w:cs="Times New Roman"/>
                <w:color w:val="auto"/>
                <w:sz w:val="24"/>
                <w:szCs w:val="32"/>
                <w:highlight w:val="none"/>
                <w:lang w:eastAsia="zh-CN"/>
              </w:rPr>
              <w:t>ZH6523272000</w:t>
            </w:r>
            <w:r>
              <w:rPr>
                <w:rFonts w:hint="eastAsia" w:cs="Times New Roman"/>
                <w:color w:val="auto"/>
                <w:sz w:val="24"/>
                <w:szCs w:val="32"/>
                <w:highlight w:val="none"/>
                <w:lang w:val="en-US" w:eastAsia="zh-CN"/>
              </w:rPr>
              <w:t>2</w:t>
            </w:r>
            <w:r>
              <w:rPr>
                <w:rFonts w:hint="default" w:ascii="Times New Roman" w:hAnsi="Times New Roman" w:cs="Times New Roman"/>
                <w:color w:val="auto"/>
                <w:sz w:val="24"/>
                <w:szCs w:val="32"/>
                <w:highlight w:val="none"/>
              </w:rPr>
              <w:t>环境管控单元编码区，属于重点管控单元，本项目与</w:t>
            </w:r>
            <w:r>
              <w:rPr>
                <w:rFonts w:hint="eastAsia" w:cs="Times New Roman"/>
                <w:color w:val="auto"/>
                <w:sz w:val="24"/>
                <w:szCs w:val="32"/>
                <w:highlight w:val="none"/>
                <w:lang w:val="en-US" w:eastAsia="zh-CN"/>
              </w:rPr>
              <w:t>昌吉回族自治州</w:t>
            </w:r>
            <w:r>
              <w:rPr>
                <w:rFonts w:hint="default" w:ascii="Times New Roman" w:hAnsi="Times New Roman" w:cs="Times New Roman"/>
                <w:color w:val="auto"/>
                <w:sz w:val="24"/>
                <w:szCs w:val="32"/>
                <w:highlight w:val="none"/>
              </w:rPr>
              <w:t>环境管控单元生态环境准入清单符合性分析见表1-</w:t>
            </w:r>
            <w:r>
              <w:rPr>
                <w:rFonts w:hint="eastAsia" w:cs="Times New Roman"/>
                <w:color w:val="auto"/>
                <w:sz w:val="24"/>
                <w:szCs w:val="32"/>
                <w:highlight w:val="none"/>
                <w:lang w:val="en-US" w:eastAsia="zh-CN"/>
              </w:rPr>
              <w:t>3</w:t>
            </w:r>
            <w:r>
              <w:rPr>
                <w:rFonts w:hint="default" w:ascii="Times New Roman" w:hAnsi="Times New Roman" w:cs="Times New Roman"/>
                <w:color w:val="auto"/>
                <w:sz w:val="24"/>
                <w:szCs w:val="32"/>
                <w:highlight w:val="none"/>
              </w:rPr>
              <w:t>。</w:t>
            </w:r>
          </w:p>
          <w:p w14:paraId="1DD6F66E">
            <w:pPr>
              <w:spacing w:line="360" w:lineRule="auto"/>
              <w:ind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项目选址不涉及生态保护红线，项目所在区域不存在自然保护区、风景名胜区、饮用水水源保护区等需要特别保护的区域，不属于禁止建设开发区和限制建设开发区，符合生态保护红线的要求，不会影响所在区域内生态功能和性质。符合生态保护红线相关要求。</w:t>
            </w:r>
          </w:p>
          <w:p w14:paraId="0B3DBA5D">
            <w:pPr>
              <w:pStyle w:val="30"/>
              <w:tabs>
                <w:tab w:val="left" w:pos="360"/>
                <w:tab w:val="left" w:pos="1620"/>
              </w:tabs>
              <w:adjustRightInd w:val="0"/>
              <w:snapToGrid w:val="0"/>
              <w:ind w:firstLine="0" w:firstLineChars="0"/>
              <w:rPr>
                <w:rFonts w:hint="default" w:ascii="Times New Roman" w:hAnsi="Times New Roman" w:cs="Times New Roman"/>
                <w:bCs w:val="0"/>
                <w:color w:val="auto"/>
                <w:sz w:val="24"/>
                <w:szCs w:val="24"/>
                <w:highlight w:val="none"/>
              </w:rPr>
            </w:pPr>
            <w:r>
              <w:rPr>
                <w:rFonts w:hint="default" w:ascii="Times New Roman" w:hAnsi="Times New Roman" w:cs="Times New Roman"/>
                <w:bCs w:val="0"/>
                <w:color w:val="auto"/>
                <w:highlight w:val="none"/>
              </w:rPr>
              <w:t>表1-</w:t>
            </w:r>
            <w:r>
              <w:rPr>
                <w:rFonts w:hint="eastAsia" w:ascii="Times New Roman" w:hAnsi="Times New Roman" w:cs="Times New Roman"/>
                <w:bCs w:val="0"/>
                <w:color w:val="auto"/>
                <w:highlight w:val="none"/>
                <w:lang w:val="en-US" w:eastAsia="zh-CN"/>
              </w:rPr>
              <w:t>3</w:t>
            </w:r>
            <w:r>
              <w:rPr>
                <w:rFonts w:hint="default" w:ascii="Times New Roman" w:hAnsi="Times New Roman" w:cs="Times New Roman"/>
                <w:bCs w:val="0"/>
                <w:color w:val="auto"/>
                <w:highlight w:val="none"/>
              </w:rPr>
              <w:t xml:space="preserve">    </w:t>
            </w:r>
            <w:r>
              <w:rPr>
                <w:rFonts w:hint="default" w:ascii="Times New Roman" w:hAnsi="Times New Roman" w:cs="Times New Roman"/>
                <w:bCs w:val="0"/>
                <w:color w:val="auto"/>
                <w:sz w:val="24"/>
                <w:szCs w:val="24"/>
                <w:highlight w:val="none"/>
              </w:rPr>
              <w:t>“</w:t>
            </w:r>
            <w:r>
              <w:rPr>
                <w:rFonts w:hint="default" w:ascii="Times New Roman" w:hAnsi="Times New Roman" w:cs="Times New Roman"/>
                <w:color w:val="auto"/>
                <w:highlight w:val="none"/>
              </w:rPr>
              <w:t>环境管控单元生态环境准入清单</w:t>
            </w:r>
            <w:r>
              <w:rPr>
                <w:rFonts w:hint="default" w:ascii="Times New Roman" w:hAnsi="Times New Roman" w:cs="Times New Roman"/>
                <w:bCs w:val="0"/>
                <w:color w:val="auto"/>
                <w:sz w:val="24"/>
                <w:szCs w:val="24"/>
                <w:highlight w:val="none"/>
              </w:rPr>
              <w:t>”符合性分析</w:t>
            </w:r>
          </w:p>
          <w:tbl>
            <w:tblPr>
              <w:tblStyle w:val="23"/>
              <w:tblW w:w="497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12"/>
              <w:gridCol w:w="2266"/>
              <w:gridCol w:w="2815"/>
              <w:gridCol w:w="854"/>
            </w:tblGrid>
            <w:tr w14:paraId="1BDEF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2197" w:type="pct"/>
                  <w:gridSpan w:val="2"/>
                  <w:tcBorders>
                    <w:bottom w:val="single" w:color="auto" w:sz="12" w:space="0"/>
                  </w:tcBorders>
                  <w:vAlign w:val="center"/>
                </w:tcPr>
                <w:p w14:paraId="31A67152">
                  <w:pPr>
                    <w:pStyle w:val="31"/>
                    <w:adjustRightInd w:val="0"/>
                    <w:snapToGrid w:val="0"/>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管控要求</w:t>
                  </w:r>
                </w:p>
              </w:tc>
              <w:tc>
                <w:tcPr>
                  <w:tcW w:w="2149" w:type="pct"/>
                  <w:tcBorders>
                    <w:bottom w:val="single" w:color="auto" w:sz="12" w:space="0"/>
                  </w:tcBorders>
                  <w:vAlign w:val="center"/>
                </w:tcPr>
                <w:p w14:paraId="682E8B02">
                  <w:pPr>
                    <w:pStyle w:val="31"/>
                    <w:adjustRightInd w:val="0"/>
                    <w:snapToGrid w:val="0"/>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项目情况</w:t>
                  </w:r>
                </w:p>
              </w:tc>
              <w:tc>
                <w:tcPr>
                  <w:tcW w:w="652" w:type="pct"/>
                  <w:tcBorders>
                    <w:bottom w:val="single" w:color="auto" w:sz="12" w:space="0"/>
                  </w:tcBorders>
                  <w:vAlign w:val="center"/>
                </w:tcPr>
                <w:p w14:paraId="2E3EC1CC">
                  <w:pPr>
                    <w:pStyle w:val="31"/>
                    <w:adjustRightInd w:val="0"/>
                    <w:snapToGrid w:val="0"/>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符合性</w:t>
                  </w:r>
                </w:p>
              </w:tc>
            </w:tr>
            <w:tr w14:paraId="7EB73D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869" w:hRule="atLeast"/>
                <w:jc w:val="center"/>
              </w:trPr>
              <w:tc>
                <w:tcPr>
                  <w:tcW w:w="467" w:type="pct"/>
                  <w:tcBorders>
                    <w:top w:val="single" w:color="auto" w:sz="12" w:space="0"/>
                    <w:tl2br w:val="nil"/>
                    <w:tr2bl w:val="nil"/>
                  </w:tcBorders>
                  <w:vAlign w:val="center"/>
                </w:tcPr>
                <w:p w14:paraId="1CBB7EB0">
                  <w:pPr>
                    <w:pStyle w:val="31"/>
                    <w:adjustRightInd w:val="0"/>
                    <w:snapToGrid w:val="0"/>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kern w:val="2"/>
                      <w:sz w:val="21"/>
                      <w:szCs w:val="21"/>
                      <w:highlight w:val="none"/>
                      <w:lang w:val="zh-CN" w:eastAsia="zh-CN" w:bidi="zh-CN"/>
                    </w:rPr>
                    <w:t>空间布局约束</w:t>
                  </w:r>
                </w:p>
              </w:tc>
              <w:tc>
                <w:tcPr>
                  <w:tcW w:w="1730" w:type="pct"/>
                  <w:tcBorders>
                    <w:top w:val="single" w:color="auto" w:sz="12" w:space="0"/>
                    <w:tl2br w:val="nil"/>
                    <w:tr2bl w:val="nil"/>
                  </w:tcBorders>
                  <w:vAlign w:val="center"/>
                </w:tcPr>
                <w:p w14:paraId="1B20224A">
                  <w:pPr>
                    <w:pStyle w:val="31"/>
                    <w:adjustRightInd w:val="0"/>
                    <w:snapToGrid w:val="0"/>
                    <w:spacing w:line="240" w:lineRule="auto"/>
                    <w:jc w:val="left"/>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1、入园企业需符合园区产业发展定位，产业发展以农副产品精深加工、特色轻工、轻工机械配套产业为主导。</w:t>
                  </w:r>
                </w:p>
                <w:p w14:paraId="1DB0AD0E">
                  <w:pPr>
                    <w:pStyle w:val="31"/>
                    <w:adjustRightInd w:val="0"/>
                    <w:snapToGrid w:val="0"/>
                    <w:spacing w:line="240" w:lineRule="auto"/>
                    <w:jc w:val="left"/>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2、产业园区严格按照自治区严禁”三高”项目进新疆的实施意见，严禁”三高”项目进昌吉的实施意见要求和吉木萨尔县工业园区产业发展规划，推进主导产业发展，延伸产业链。</w:t>
                  </w:r>
                </w:p>
                <w:p w14:paraId="1622FC29">
                  <w:pPr>
                    <w:pStyle w:val="31"/>
                    <w:adjustRightInd w:val="0"/>
                    <w:snapToGrid w:val="0"/>
                    <w:spacing w:line="240" w:lineRule="auto"/>
                    <w:jc w:val="left"/>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3、入园企业必须严格“三废”的管理，对严重污染环境且不能稳定达标的企业责令提标改造或关停。</w:t>
                  </w:r>
                </w:p>
                <w:p w14:paraId="54517E8E">
                  <w:pPr>
                    <w:pStyle w:val="31"/>
                    <w:adjustRightInd w:val="0"/>
                    <w:snapToGrid w:val="0"/>
                    <w:spacing w:line="240" w:lineRule="auto"/>
                    <w:jc w:val="left"/>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4、入园企业需符合产业布局规划及土地利用规划</w:t>
                  </w:r>
                </w:p>
              </w:tc>
              <w:tc>
                <w:tcPr>
                  <w:tcW w:w="2149" w:type="pct"/>
                  <w:tcBorders>
                    <w:top w:val="single" w:color="auto" w:sz="12" w:space="0"/>
                    <w:tl2br w:val="nil"/>
                    <w:tr2bl w:val="nil"/>
                  </w:tcBorders>
                  <w:vAlign w:val="center"/>
                </w:tcPr>
                <w:p w14:paraId="6814216F">
                  <w:pPr>
                    <w:pStyle w:val="31"/>
                    <w:adjustRightInd w:val="0"/>
                    <w:snapToGrid w:val="0"/>
                    <w:jc w:val="left"/>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1、本项目为</w:t>
                  </w:r>
                  <w:r>
                    <w:rPr>
                      <w:rFonts w:hint="eastAsia" w:cs="Times New Roman"/>
                      <w:color w:val="auto"/>
                      <w:sz w:val="21"/>
                      <w:szCs w:val="21"/>
                      <w:highlight w:val="none"/>
                      <w:lang w:val="en-US" w:eastAsia="zh-CN"/>
                    </w:rPr>
                    <w:t>砼结构构件制作类</w:t>
                  </w:r>
                  <w:r>
                    <w:rPr>
                      <w:rFonts w:hint="eastAsia" w:ascii="Times New Roman" w:hAnsi="Times New Roman" w:cs="Times New Roman"/>
                      <w:color w:val="auto"/>
                      <w:sz w:val="21"/>
                      <w:szCs w:val="21"/>
                      <w:highlight w:val="none"/>
                      <w:lang w:val="en-US" w:eastAsia="zh-CN"/>
                    </w:rPr>
                    <w:t>项目，符合国家产业政策，不属于自治区、昌吉州发展定位的高污染、低效益产业转移项目；</w:t>
                  </w:r>
                </w:p>
                <w:p w14:paraId="5F6D5B96">
                  <w:pPr>
                    <w:pStyle w:val="31"/>
                    <w:adjustRightInd w:val="0"/>
                    <w:snapToGrid w:val="0"/>
                    <w:jc w:val="left"/>
                    <w:rPr>
                      <w:rFonts w:hint="eastAsia" w:cs="Times New Roman"/>
                      <w:color w:val="auto"/>
                      <w:kern w:val="0"/>
                      <w:sz w:val="21"/>
                      <w:szCs w:val="21"/>
                      <w:lang w:val="en-US" w:eastAsia="zh-CN" w:bidi="ar"/>
                    </w:rPr>
                  </w:pPr>
                  <w:r>
                    <w:rPr>
                      <w:rFonts w:hint="eastAsia" w:ascii="Times New Roman" w:hAnsi="Times New Roman" w:cs="Times New Roman"/>
                      <w:color w:val="auto"/>
                      <w:sz w:val="21"/>
                      <w:szCs w:val="21"/>
                      <w:highlight w:val="none"/>
                      <w:lang w:val="en-US" w:eastAsia="zh-CN"/>
                    </w:rPr>
                    <w:t>2、项目废气主要为粉尘</w:t>
                  </w:r>
                  <w:r>
                    <w:rPr>
                      <w:rFonts w:hint="eastAsia" w:cs="Times New Roman"/>
                      <w:color w:val="auto"/>
                      <w:sz w:val="21"/>
                      <w:szCs w:val="21"/>
                      <w:highlight w:val="none"/>
                      <w:lang w:val="en-US" w:eastAsia="zh-CN"/>
                    </w:rPr>
                    <w:t>、二氧化硫、氮氧化物</w:t>
                  </w:r>
                  <w:r>
                    <w:rPr>
                      <w:rFonts w:hint="eastAsia" w:ascii="Times New Roman" w:hAnsi="Times New Roman" w:cs="Times New Roman"/>
                      <w:color w:val="auto"/>
                      <w:sz w:val="21"/>
                      <w:szCs w:val="21"/>
                      <w:highlight w:val="none"/>
                      <w:lang w:val="en-US" w:eastAsia="zh-CN"/>
                    </w:rPr>
                    <w:t>，锅炉废气经低氮燃烧器</w:t>
                  </w:r>
                  <w:r>
                    <w:rPr>
                      <w:rFonts w:hint="default" w:ascii="Times New Roman" w:hAnsi="Times New Roman" w:cs="Times New Roman"/>
                      <w:color w:val="auto"/>
                      <w:sz w:val="21"/>
                      <w:szCs w:val="21"/>
                      <w:highlight w:val="none"/>
                      <w:lang w:val="en-US" w:eastAsia="zh-CN"/>
                    </w:rPr>
                    <w:t>后经15m排气筒（DA00</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）排放，搅拌时产生的搅拌废气由布袋除尘器处理后</w:t>
                  </w:r>
                  <w:r>
                    <w:rPr>
                      <w:rFonts w:hint="eastAsia" w:cs="Times New Roman"/>
                      <w:color w:val="auto"/>
                      <w:sz w:val="21"/>
                      <w:szCs w:val="21"/>
                      <w:highlight w:val="none"/>
                      <w:lang w:val="en-US" w:eastAsia="zh-CN"/>
                    </w:rPr>
                    <w:t>无组织</w:t>
                  </w:r>
                  <w:r>
                    <w:rPr>
                      <w:rFonts w:hint="default" w:ascii="Times New Roman" w:hAnsi="Times New Roman" w:cs="Times New Roman"/>
                      <w:color w:val="auto"/>
                      <w:sz w:val="21"/>
                      <w:szCs w:val="21"/>
                      <w:highlight w:val="none"/>
                      <w:lang w:val="en-US" w:eastAsia="zh-CN"/>
                    </w:rPr>
                    <w:t>排</w:t>
                  </w:r>
                  <w:r>
                    <w:rPr>
                      <w:rFonts w:hint="eastAsia" w:ascii="Times New Roman" w:hAnsi="Times New Roman" w:cs="Times New Roman"/>
                      <w:color w:val="auto"/>
                      <w:sz w:val="21"/>
                      <w:szCs w:val="21"/>
                      <w:highlight w:val="none"/>
                      <w:lang w:val="en-US" w:eastAsia="zh-CN"/>
                    </w:rPr>
                    <w:t>放；废水主要为</w:t>
                  </w:r>
                  <w:r>
                    <w:rPr>
                      <w:rFonts w:hint="eastAsia" w:cs="Times New Roman"/>
                      <w:color w:val="auto"/>
                      <w:sz w:val="21"/>
                      <w:szCs w:val="21"/>
                      <w:highlight w:val="none"/>
                      <w:lang w:val="en-US" w:eastAsia="zh-CN"/>
                    </w:rPr>
                    <w:t>生产废水和</w:t>
                  </w:r>
                  <w:r>
                    <w:rPr>
                      <w:rFonts w:hint="eastAsia" w:ascii="Times New Roman" w:hAnsi="Times New Roman" w:cs="Times New Roman"/>
                      <w:color w:val="auto"/>
                      <w:sz w:val="21"/>
                      <w:szCs w:val="21"/>
                      <w:highlight w:val="none"/>
                      <w:lang w:val="en-US" w:eastAsia="zh-CN"/>
                    </w:rPr>
                    <w:t>生活污水，</w:t>
                  </w:r>
                  <w:r>
                    <w:rPr>
                      <w:rFonts w:hint="eastAsia" w:cs="Times New Roman"/>
                      <w:color w:val="auto"/>
                      <w:sz w:val="21"/>
                      <w:szCs w:val="21"/>
                      <w:highlight w:val="none"/>
                      <w:lang w:val="en-US" w:eastAsia="zh-CN"/>
                    </w:rPr>
                    <w:t>生产废水循环使用，生活污水</w:t>
                  </w:r>
                  <w:r>
                    <w:rPr>
                      <w:rFonts w:hint="eastAsia" w:ascii="Times New Roman" w:hAnsi="Times New Roman" w:cs="Times New Roman"/>
                      <w:color w:val="auto"/>
                      <w:sz w:val="21"/>
                      <w:szCs w:val="21"/>
                      <w:highlight w:val="none"/>
                      <w:lang w:val="en-US" w:eastAsia="zh-CN"/>
                    </w:rPr>
                    <w:t>排</w:t>
                  </w:r>
                  <w:r>
                    <w:rPr>
                      <w:rFonts w:hint="eastAsia" w:cs="Times New Roman"/>
                      <w:color w:val="auto"/>
                      <w:sz w:val="21"/>
                      <w:szCs w:val="21"/>
                      <w:highlight w:val="none"/>
                      <w:lang w:val="en-US" w:eastAsia="zh-CN"/>
                    </w:rPr>
                    <w:t>入</w:t>
                  </w:r>
                  <w:r>
                    <w:rPr>
                      <w:rFonts w:hint="eastAsia" w:ascii="Times New Roman" w:hAnsi="Times New Roman" w:cs="Times New Roman"/>
                      <w:color w:val="auto"/>
                      <w:sz w:val="21"/>
                      <w:szCs w:val="21"/>
                      <w:highlight w:val="none"/>
                      <w:lang w:val="en-US" w:eastAsia="zh-CN"/>
                    </w:rPr>
                    <w:t>污水管网</w:t>
                  </w:r>
                  <w:r>
                    <w:rPr>
                      <w:rFonts w:hint="eastAsia" w:cs="Times New Roman"/>
                      <w:color w:val="auto"/>
                      <w:sz w:val="21"/>
                      <w:szCs w:val="21"/>
                      <w:highlight w:val="none"/>
                      <w:lang w:val="en-US" w:eastAsia="zh-CN"/>
                    </w:rPr>
                    <w:t>，最终通向吉木萨尔县第二污水处理厂</w:t>
                  </w:r>
                  <w:r>
                    <w:rPr>
                      <w:rFonts w:hint="eastAsia" w:ascii="Times New Roman" w:hAnsi="Times New Roman" w:cs="Times New Roman"/>
                      <w:color w:val="auto"/>
                      <w:sz w:val="21"/>
                      <w:szCs w:val="21"/>
                      <w:highlight w:val="none"/>
                      <w:lang w:val="en-US" w:eastAsia="zh-CN"/>
                    </w:rPr>
                    <w:t>；固废均能得到妥善处理。项目对环境影响较小</w:t>
                  </w:r>
                  <w:r>
                    <w:rPr>
                      <w:rFonts w:hint="eastAsia" w:cs="Times New Roman"/>
                      <w:color w:val="auto"/>
                      <w:kern w:val="0"/>
                      <w:sz w:val="21"/>
                      <w:szCs w:val="21"/>
                      <w:lang w:val="en-US" w:eastAsia="zh-CN" w:bidi="ar"/>
                    </w:rPr>
                    <w:t>；</w:t>
                  </w:r>
                </w:p>
                <w:p w14:paraId="3A8FBAC2">
                  <w:pPr>
                    <w:keepNext w:val="0"/>
                    <w:keepLines w:val="0"/>
                    <w:widowControl/>
                    <w:suppressLineNumbers w:val="0"/>
                    <w:jc w:val="both"/>
                    <w:rPr>
                      <w:rFonts w:hint="default" w:cs="Times New Roman"/>
                      <w:color w:val="auto"/>
                      <w:kern w:val="0"/>
                      <w:sz w:val="21"/>
                      <w:szCs w:val="21"/>
                      <w:lang w:val="en-US" w:eastAsia="zh-CN" w:bidi="ar"/>
                    </w:rPr>
                  </w:pPr>
                  <w:r>
                    <w:rPr>
                      <w:rFonts w:hint="eastAsia" w:cs="Times New Roman"/>
                      <w:color w:val="auto"/>
                      <w:kern w:val="0"/>
                      <w:sz w:val="21"/>
                      <w:szCs w:val="21"/>
                      <w:lang w:val="en-US" w:eastAsia="zh-CN" w:bidi="ar"/>
                    </w:rPr>
                    <w:t>3、本项目区为工业用地，符合土地利用规划。</w:t>
                  </w:r>
                </w:p>
              </w:tc>
              <w:tc>
                <w:tcPr>
                  <w:tcW w:w="652" w:type="pct"/>
                  <w:tcBorders>
                    <w:top w:val="single" w:color="auto" w:sz="12" w:space="0"/>
                    <w:tl2br w:val="nil"/>
                    <w:tr2bl w:val="nil"/>
                  </w:tcBorders>
                  <w:vAlign w:val="center"/>
                </w:tcPr>
                <w:p w14:paraId="47EC7CD1">
                  <w:pPr>
                    <w:pStyle w:val="31"/>
                    <w:adjustRightInd w:val="0"/>
                    <w:snapToGrid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6A372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467" w:type="pct"/>
                  <w:tcBorders>
                    <w:tl2br w:val="nil"/>
                    <w:tr2bl w:val="nil"/>
                  </w:tcBorders>
                  <w:vAlign w:val="center"/>
                </w:tcPr>
                <w:p w14:paraId="6F7545F4">
                  <w:pPr>
                    <w:pStyle w:val="31"/>
                    <w:adjustRightInd w:val="0"/>
                    <w:snapToGrid w:val="0"/>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kern w:val="2"/>
                      <w:sz w:val="21"/>
                      <w:szCs w:val="21"/>
                      <w:highlight w:val="none"/>
                      <w:lang w:val="zh-CN" w:eastAsia="zh-CN" w:bidi="zh-CN"/>
                    </w:rPr>
                    <w:t>污染物排放管控</w:t>
                  </w:r>
                </w:p>
              </w:tc>
              <w:tc>
                <w:tcPr>
                  <w:tcW w:w="1730" w:type="pct"/>
                  <w:tcBorders>
                    <w:tl2br w:val="nil"/>
                    <w:tr2bl w:val="nil"/>
                  </w:tcBorders>
                  <w:vAlign w:val="center"/>
                </w:tcPr>
                <w:p w14:paraId="28C49E86">
                  <w:pPr>
                    <w:pStyle w:val="31"/>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1、推动重点行业、重点企业绿色发展，严格落实水污染物排放标准。加强农副食品加工、化工、印染、棉浆粕、粘胶纤维等企业综合治理和清洁化改造。</w:t>
                  </w:r>
                </w:p>
              </w:tc>
              <w:tc>
                <w:tcPr>
                  <w:tcW w:w="2149" w:type="pct"/>
                  <w:tcBorders>
                    <w:tl2br w:val="nil"/>
                    <w:tr2bl w:val="nil"/>
                  </w:tcBorders>
                  <w:vAlign w:val="center"/>
                </w:tcPr>
                <w:p w14:paraId="40F3655E">
                  <w:pPr>
                    <w:keepNext w:val="0"/>
                    <w:keepLines w:val="0"/>
                    <w:widowControl/>
                    <w:suppressLineNumbers w:val="0"/>
                    <w:jc w:val="left"/>
                    <w:rPr>
                      <w:rFonts w:hint="default" w:cs="Times New Roman"/>
                      <w:color w:val="auto"/>
                      <w:kern w:val="21"/>
                      <w:sz w:val="21"/>
                      <w:szCs w:val="21"/>
                      <w:highlight w:val="none"/>
                      <w:lang w:val="en-US" w:eastAsia="zh-CN" w:bidi="ar"/>
                    </w:rPr>
                  </w:pPr>
                  <w:r>
                    <w:rPr>
                      <w:rFonts w:hint="eastAsia" w:ascii="Times New Roman" w:hAnsi="Times New Roman" w:cs="Times New Roman"/>
                      <w:color w:val="auto"/>
                      <w:sz w:val="21"/>
                      <w:szCs w:val="21"/>
                      <w:highlight w:val="none"/>
                      <w:lang w:val="en-US" w:eastAsia="zh-CN"/>
                    </w:rPr>
                    <w:t>项目废气主要为粉尘</w:t>
                  </w:r>
                  <w:r>
                    <w:rPr>
                      <w:rFonts w:hint="eastAsia" w:cs="Times New Roman"/>
                      <w:color w:val="auto"/>
                      <w:sz w:val="21"/>
                      <w:szCs w:val="21"/>
                      <w:highlight w:val="none"/>
                      <w:lang w:val="en-US" w:eastAsia="zh-CN"/>
                    </w:rPr>
                    <w:t>、二氧化硫、氮氧化物</w:t>
                  </w:r>
                  <w:r>
                    <w:rPr>
                      <w:rFonts w:hint="eastAsia" w:ascii="Times New Roman" w:hAnsi="Times New Roman" w:cs="Times New Roman"/>
                      <w:color w:val="auto"/>
                      <w:sz w:val="21"/>
                      <w:szCs w:val="21"/>
                      <w:highlight w:val="none"/>
                      <w:lang w:val="en-US" w:eastAsia="zh-CN"/>
                    </w:rPr>
                    <w:t>，锅炉废气经低氮燃烧器处理后经15m排气筒（DA00</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）排放，搅拌时产生的搅拌废气由布袋除尘器处理后</w:t>
                  </w:r>
                  <w:r>
                    <w:rPr>
                      <w:rFonts w:hint="eastAsia" w:cs="Times New Roman"/>
                      <w:color w:val="auto"/>
                      <w:sz w:val="21"/>
                      <w:szCs w:val="21"/>
                      <w:highlight w:val="none"/>
                      <w:lang w:val="en-US" w:eastAsia="zh-CN"/>
                    </w:rPr>
                    <w:t>无组织</w:t>
                  </w:r>
                  <w:r>
                    <w:rPr>
                      <w:rFonts w:hint="eastAsia" w:ascii="Times New Roman" w:hAnsi="Times New Roman" w:cs="Times New Roman"/>
                      <w:color w:val="auto"/>
                      <w:sz w:val="21"/>
                      <w:szCs w:val="21"/>
                      <w:highlight w:val="none"/>
                      <w:lang w:val="en-US" w:eastAsia="zh-CN"/>
                    </w:rPr>
                    <w:t>排放；废水主要为</w:t>
                  </w:r>
                  <w:r>
                    <w:rPr>
                      <w:rFonts w:hint="eastAsia" w:cs="Times New Roman"/>
                      <w:color w:val="auto"/>
                      <w:sz w:val="21"/>
                      <w:szCs w:val="21"/>
                      <w:highlight w:val="none"/>
                      <w:lang w:val="en-US" w:eastAsia="zh-CN"/>
                    </w:rPr>
                    <w:t>生产废水和</w:t>
                  </w:r>
                  <w:r>
                    <w:rPr>
                      <w:rFonts w:hint="eastAsia" w:ascii="Times New Roman" w:hAnsi="Times New Roman" w:cs="Times New Roman"/>
                      <w:color w:val="auto"/>
                      <w:sz w:val="21"/>
                      <w:szCs w:val="21"/>
                      <w:highlight w:val="none"/>
                      <w:lang w:val="en-US" w:eastAsia="zh-CN"/>
                    </w:rPr>
                    <w:t>生活污水，</w:t>
                  </w:r>
                  <w:r>
                    <w:rPr>
                      <w:rFonts w:hint="eastAsia" w:cs="Times New Roman"/>
                      <w:color w:val="auto"/>
                      <w:sz w:val="21"/>
                      <w:szCs w:val="21"/>
                      <w:highlight w:val="none"/>
                      <w:lang w:val="en-US" w:eastAsia="zh-CN"/>
                    </w:rPr>
                    <w:t>生产废水循环使用，生活污水</w:t>
                  </w:r>
                  <w:r>
                    <w:rPr>
                      <w:rFonts w:hint="eastAsia" w:ascii="Times New Roman" w:hAnsi="Times New Roman" w:cs="Times New Roman"/>
                      <w:color w:val="auto"/>
                      <w:sz w:val="21"/>
                      <w:szCs w:val="21"/>
                      <w:highlight w:val="none"/>
                      <w:lang w:val="en-US" w:eastAsia="zh-CN"/>
                    </w:rPr>
                    <w:t>排</w:t>
                  </w:r>
                  <w:r>
                    <w:rPr>
                      <w:rFonts w:hint="eastAsia" w:cs="Times New Roman"/>
                      <w:color w:val="auto"/>
                      <w:sz w:val="21"/>
                      <w:szCs w:val="21"/>
                      <w:highlight w:val="none"/>
                      <w:lang w:val="en-US" w:eastAsia="zh-CN"/>
                    </w:rPr>
                    <w:t>入</w:t>
                  </w:r>
                  <w:r>
                    <w:rPr>
                      <w:rFonts w:hint="eastAsia" w:ascii="Times New Roman" w:hAnsi="Times New Roman" w:cs="Times New Roman"/>
                      <w:color w:val="auto"/>
                      <w:sz w:val="21"/>
                      <w:szCs w:val="21"/>
                      <w:highlight w:val="none"/>
                      <w:lang w:val="en-US" w:eastAsia="zh-CN"/>
                    </w:rPr>
                    <w:t>污水管网</w:t>
                  </w:r>
                  <w:r>
                    <w:rPr>
                      <w:rFonts w:hint="eastAsia" w:cs="Times New Roman"/>
                      <w:color w:val="auto"/>
                      <w:sz w:val="21"/>
                      <w:szCs w:val="21"/>
                      <w:highlight w:val="none"/>
                      <w:lang w:val="en-US" w:eastAsia="zh-CN"/>
                    </w:rPr>
                    <w:t>，最终排入吉木萨尔县第二污水处理厂</w:t>
                  </w:r>
                  <w:r>
                    <w:rPr>
                      <w:rFonts w:hint="eastAsia" w:ascii="Times New Roman" w:hAnsi="Times New Roman" w:cs="Times New Roman"/>
                      <w:color w:val="auto"/>
                      <w:sz w:val="21"/>
                      <w:szCs w:val="21"/>
                      <w:highlight w:val="none"/>
                      <w:lang w:val="en-US" w:eastAsia="zh-CN"/>
                    </w:rPr>
                    <w:t>；固废均能得到妥善处理。项目对环境影响较小</w:t>
                  </w:r>
                  <w:r>
                    <w:rPr>
                      <w:rFonts w:hint="eastAsia" w:cs="Times New Roman"/>
                      <w:color w:val="auto"/>
                      <w:kern w:val="0"/>
                      <w:sz w:val="21"/>
                      <w:szCs w:val="21"/>
                      <w:lang w:val="en-US" w:eastAsia="zh-CN" w:bidi="ar"/>
                    </w:rPr>
                    <w:t>；</w:t>
                  </w:r>
                </w:p>
              </w:tc>
              <w:tc>
                <w:tcPr>
                  <w:tcW w:w="652" w:type="pct"/>
                  <w:tcBorders>
                    <w:tl2br w:val="nil"/>
                    <w:tr2bl w:val="nil"/>
                  </w:tcBorders>
                  <w:vAlign w:val="center"/>
                </w:tcPr>
                <w:p w14:paraId="47571633">
                  <w:pPr>
                    <w:pStyle w:val="31"/>
                    <w:adjustRightInd w:val="0"/>
                    <w:snapToGrid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54B241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3" w:hRule="atLeast"/>
                <w:jc w:val="center"/>
              </w:trPr>
              <w:tc>
                <w:tcPr>
                  <w:tcW w:w="467" w:type="pct"/>
                  <w:tcBorders>
                    <w:tl2br w:val="nil"/>
                    <w:tr2bl w:val="nil"/>
                  </w:tcBorders>
                  <w:vAlign w:val="center"/>
                </w:tcPr>
                <w:p w14:paraId="5452BF4D">
                  <w:pPr>
                    <w:pStyle w:val="31"/>
                    <w:adjustRightInd w:val="0"/>
                    <w:snapToGrid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环境风险防控</w:t>
                  </w:r>
                </w:p>
              </w:tc>
              <w:tc>
                <w:tcPr>
                  <w:tcW w:w="1730" w:type="pct"/>
                  <w:tcBorders>
                    <w:tl2br w:val="nil"/>
                    <w:tr2bl w:val="nil"/>
                  </w:tcBorders>
                  <w:vAlign w:val="center"/>
                </w:tcPr>
                <w:p w14:paraId="1C4E17E3">
                  <w:pPr>
                    <w:pStyle w:val="31"/>
                    <w:adjustRightInd w:val="0"/>
                    <w:snapToGrid w:val="0"/>
                    <w:jc w:val="left"/>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1、园区应设立环境应急管理机构，建立环境风险监管制度、环境风险预警制度、突发环境事件应急预案、环境风险应急保障制度等环境风险防控体系，并具备环境风险应急救援能力。</w:t>
                  </w:r>
                </w:p>
              </w:tc>
              <w:tc>
                <w:tcPr>
                  <w:tcW w:w="2149" w:type="pct"/>
                  <w:tcBorders>
                    <w:tl2br w:val="nil"/>
                    <w:tr2bl w:val="nil"/>
                  </w:tcBorders>
                  <w:vAlign w:val="center"/>
                </w:tcPr>
                <w:p w14:paraId="79220CEB">
                  <w:pPr>
                    <w:keepNext w:val="0"/>
                    <w:keepLines w:val="0"/>
                    <w:widowControl/>
                    <w:suppressLineNumbers w:val="0"/>
                    <w:jc w:val="left"/>
                    <w:rPr>
                      <w:rFonts w:hint="default"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1、本项目运营过程中存在</w:t>
                  </w:r>
                  <w:r>
                    <w:rPr>
                      <w:rFonts w:hint="eastAsia" w:ascii="宋体" w:hAnsi="宋体" w:cs="宋体"/>
                      <w:color w:val="auto"/>
                      <w:kern w:val="0"/>
                      <w:sz w:val="21"/>
                      <w:szCs w:val="21"/>
                      <w:lang w:val="en-US" w:eastAsia="zh-CN" w:bidi="ar"/>
                    </w:rPr>
                    <w:t>的</w:t>
                  </w:r>
                  <w:r>
                    <w:rPr>
                      <w:rFonts w:hint="eastAsia" w:ascii="宋体" w:hAnsi="宋体" w:eastAsia="宋体" w:cs="宋体"/>
                      <w:color w:val="auto"/>
                      <w:kern w:val="0"/>
                      <w:sz w:val="21"/>
                      <w:szCs w:val="21"/>
                      <w:lang w:val="en-US" w:eastAsia="zh-CN" w:bidi="ar"/>
                    </w:rPr>
                    <w:t>危险物质</w:t>
                  </w:r>
                  <w:r>
                    <w:rPr>
                      <w:rFonts w:hint="eastAsia" w:ascii="宋体" w:hAnsi="宋体" w:cs="宋体"/>
                      <w:color w:val="auto"/>
                      <w:kern w:val="0"/>
                      <w:sz w:val="21"/>
                      <w:szCs w:val="21"/>
                      <w:lang w:val="en-US" w:eastAsia="zh-CN" w:bidi="ar"/>
                    </w:rPr>
                    <w:t>为天然气和废机油</w:t>
                  </w:r>
                  <w:r>
                    <w:rPr>
                      <w:rFonts w:hint="eastAsia" w:ascii="宋体" w:hAnsi="宋体" w:eastAsia="宋体" w:cs="宋体"/>
                      <w:color w:val="auto"/>
                      <w:kern w:val="0"/>
                      <w:sz w:val="21"/>
                      <w:szCs w:val="21"/>
                      <w:lang w:val="en-US" w:eastAsia="zh-CN" w:bidi="ar"/>
                    </w:rPr>
                    <w:t>。</w:t>
                  </w:r>
                  <w:r>
                    <w:rPr>
                      <w:rFonts w:hint="eastAsia"/>
                      <w:color w:val="auto"/>
                      <w:lang w:val="en-US" w:eastAsia="zh-CN"/>
                    </w:rPr>
                    <w:t>企业制定了相应的环境风险措施，见下文。</w:t>
                  </w:r>
                </w:p>
                <w:p w14:paraId="236858A6">
                  <w:pPr>
                    <w:keepNext w:val="0"/>
                    <w:keepLines w:val="0"/>
                    <w:widowControl/>
                    <w:suppressLineNumbers w:val="0"/>
                    <w:jc w:val="left"/>
                    <w:rPr>
                      <w:rFonts w:hint="default" w:ascii="宋体" w:hAnsi="宋体" w:eastAsia="宋体" w:cs="宋体"/>
                      <w:color w:val="auto"/>
                      <w:kern w:val="0"/>
                      <w:sz w:val="21"/>
                      <w:szCs w:val="21"/>
                      <w:lang w:val="en-US" w:eastAsia="zh-CN" w:bidi="ar"/>
                    </w:rPr>
                  </w:pPr>
                </w:p>
              </w:tc>
              <w:tc>
                <w:tcPr>
                  <w:tcW w:w="652" w:type="pct"/>
                  <w:tcBorders>
                    <w:tl2br w:val="nil"/>
                    <w:tr2bl w:val="nil"/>
                  </w:tcBorders>
                  <w:vAlign w:val="center"/>
                </w:tcPr>
                <w:p w14:paraId="4279D986">
                  <w:pPr>
                    <w:pStyle w:val="31"/>
                    <w:adjustRightInd w:val="0"/>
                    <w:snapToGrid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r w14:paraId="23E7EA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467" w:type="pct"/>
                  <w:tcBorders>
                    <w:tl2br w:val="nil"/>
                    <w:tr2bl w:val="nil"/>
                  </w:tcBorders>
                  <w:vAlign w:val="center"/>
                </w:tcPr>
                <w:p w14:paraId="28C245EB">
                  <w:pPr>
                    <w:pStyle w:val="31"/>
                    <w:adjustRightInd w:val="0"/>
                    <w:snapToGrid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资源利用效率</w:t>
                  </w:r>
                </w:p>
              </w:tc>
              <w:tc>
                <w:tcPr>
                  <w:tcW w:w="1730" w:type="pct"/>
                  <w:tcBorders>
                    <w:tl2br w:val="nil"/>
                    <w:tr2bl w:val="nil"/>
                  </w:tcBorders>
                  <w:vAlign w:val="center"/>
                </w:tcPr>
                <w:p w14:paraId="26E6C16B">
                  <w:pPr>
                    <w:pStyle w:val="31"/>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1、工业用水重复利用率和中水（生产和生活）回用率参照相关标准执行。鼓励中水利用，严格限制使用地下水，最大限度提高水的复用率，减少外排量或实现全部回用。</w:t>
                  </w:r>
                </w:p>
                <w:p w14:paraId="3DFA6017">
                  <w:pPr>
                    <w:pStyle w:val="31"/>
                    <w:adjustRightInd w:val="0"/>
                    <w:snapToGrid w:val="0"/>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2、水资源开发总量、土地开发强度指标在州上每年下达的指标之内（不包含准东及兵团）。</w:t>
                  </w:r>
                </w:p>
                <w:p w14:paraId="100F2FB0">
                  <w:pPr>
                    <w:pStyle w:val="31"/>
                    <w:adjustRightInd w:val="0"/>
                    <w:snapToGrid w:val="0"/>
                    <w:jc w:val="left"/>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3、推行清洁生产、降低生产水耗、从源头上控制污染物的产生。</w:t>
                  </w:r>
                </w:p>
              </w:tc>
              <w:tc>
                <w:tcPr>
                  <w:tcW w:w="2149" w:type="pct"/>
                  <w:tcBorders>
                    <w:tl2br w:val="nil"/>
                    <w:tr2bl w:val="nil"/>
                  </w:tcBorders>
                  <w:vAlign w:val="center"/>
                </w:tcPr>
                <w:p w14:paraId="5D10DD90">
                  <w:pPr>
                    <w:pStyle w:val="31"/>
                    <w:adjustRightInd w:val="0"/>
                    <w:snapToGrid w:val="0"/>
                    <w:jc w:val="left"/>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项目</w:t>
                  </w:r>
                  <w:r>
                    <w:rPr>
                      <w:rFonts w:hint="eastAsia" w:ascii="Times New Roman" w:hAnsi="Times New Roman" w:cs="Times New Roman"/>
                      <w:color w:val="auto"/>
                      <w:sz w:val="21"/>
                      <w:szCs w:val="21"/>
                      <w:highlight w:val="none"/>
                      <w:lang w:val="en-US" w:eastAsia="zh-CN"/>
                    </w:rPr>
                    <w:t>废水主要为</w:t>
                  </w:r>
                  <w:r>
                    <w:rPr>
                      <w:rFonts w:hint="eastAsia" w:cs="Times New Roman"/>
                      <w:color w:val="auto"/>
                      <w:sz w:val="21"/>
                      <w:szCs w:val="21"/>
                      <w:highlight w:val="none"/>
                      <w:lang w:val="en-US" w:eastAsia="zh-CN"/>
                    </w:rPr>
                    <w:t>生产废水和</w:t>
                  </w:r>
                  <w:r>
                    <w:rPr>
                      <w:rFonts w:hint="eastAsia" w:ascii="Times New Roman" w:hAnsi="Times New Roman" w:cs="Times New Roman"/>
                      <w:color w:val="auto"/>
                      <w:sz w:val="21"/>
                      <w:szCs w:val="21"/>
                      <w:highlight w:val="none"/>
                      <w:lang w:val="en-US" w:eastAsia="zh-CN"/>
                    </w:rPr>
                    <w:t>生活污水，</w:t>
                  </w:r>
                  <w:r>
                    <w:rPr>
                      <w:rFonts w:hint="eastAsia" w:cs="Times New Roman"/>
                      <w:color w:val="auto"/>
                      <w:sz w:val="21"/>
                      <w:szCs w:val="21"/>
                      <w:highlight w:val="none"/>
                      <w:lang w:val="en-US" w:eastAsia="zh-CN"/>
                    </w:rPr>
                    <w:t>生产废水循环使用，生活污水</w:t>
                  </w:r>
                  <w:r>
                    <w:rPr>
                      <w:rFonts w:hint="eastAsia" w:ascii="Times New Roman" w:hAnsi="Times New Roman" w:cs="Times New Roman"/>
                      <w:color w:val="auto"/>
                      <w:sz w:val="21"/>
                      <w:szCs w:val="21"/>
                      <w:highlight w:val="none"/>
                      <w:lang w:val="en-US" w:eastAsia="zh-CN"/>
                    </w:rPr>
                    <w:t>排</w:t>
                  </w:r>
                  <w:r>
                    <w:rPr>
                      <w:rFonts w:hint="eastAsia" w:cs="Times New Roman"/>
                      <w:color w:val="auto"/>
                      <w:sz w:val="21"/>
                      <w:szCs w:val="21"/>
                      <w:highlight w:val="none"/>
                      <w:lang w:val="en-US" w:eastAsia="zh-CN"/>
                    </w:rPr>
                    <w:t>入</w:t>
                  </w:r>
                  <w:r>
                    <w:rPr>
                      <w:rFonts w:hint="eastAsia" w:ascii="Times New Roman" w:hAnsi="Times New Roman" w:cs="Times New Roman"/>
                      <w:color w:val="auto"/>
                      <w:sz w:val="21"/>
                      <w:szCs w:val="21"/>
                      <w:highlight w:val="none"/>
                      <w:lang w:val="en-US" w:eastAsia="zh-CN"/>
                    </w:rPr>
                    <w:t>污水管网</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Cs w:val="21"/>
                      <w:highlight w:val="none"/>
                    </w:rPr>
                    <w:t>最终排入</w:t>
                  </w:r>
                  <w:r>
                    <w:rPr>
                      <w:rFonts w:hint="eastAsia" w:ascii="Times New Roman" w:hAnsi="Times New Roman" w:cs="Times New Roman"/>
                      <w:color w:val="auto"/>
                      <w:szCs w:val="21"/>
                      <w:highlight w:val="none"/>
                      <w:lang w:val="en-US" w:eastAsia="zh-CN"/>
                    </w:rPr>
                    <w:t>吉木萨尔县第二污水处理厂</w:t>
                  </w:r>
                  <w:r>
                    <w:rPr>
                      <w:rFonts w:hint="eastAsia" w:cs="Times New Roman"/>
                      <w:color w:val="auto"/>
                      <w:szCs w:val="21"/>
                      <w:highlight w:val="none"/>
                      <w:lang w:val="en-US" w:eastAsia="zh-CN"/>
                    </w:rPr>
                    <w:t>。</w:t>
                  </w:r>
                </w:p>
              </w:tc>
              <w:tc>
                <w:tcPr>
                  <w:tcW w:w="652" w:type="pct"/>
                  <w:tcBorders>
                    <w:tl2br w:val="nil"/>
                    <w:tr2bl w:val="nil"/>
                  </w:tcBorders>
                  <w:vAlign w:val="center"/>
                </w:tcPr>
                <w:p w14:paraId="68CB4F72">
                  <w:pPr>
                    <w:pStyle w:val="31"/>
                    <w:adjustRightInd w:val="0"/>
                    <w:snapToGrid w:val="0"/>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符合</w:t>
                  </w:r>
                </w:p>
              </w:tc>
            </w:tr>
          </w:tbl>
          <w:p w14:paraId="776E0649">
            <w:pPr>
              <w:pStyle w:val="36"/>
              <w:keepNext w:val="0"/>
              <w:keepLines w:val="0"/>
              <w:pageBreakBefore w:val="0"/>
              <w:widowControl w:val="0"/>
              <w:kinsoku/>
              <w:wordWrap/>
              <w:overflowPunct/>
              <w:topLinePunct w:val="0"/>
              <w:bidi w:val="0"/>
              <w:spacing w:line="360" w:lineRule="auto"/>
              <w:ind w:left="0" w:right="0" w:firstLine="486"/>
              <w:textAlignment w:val="auto"/>
              <w:rPr>
                <w:rFonts w:hint="eastAsia" w:ascii="宋体" w:hAnsi="宋体" w:eastAsia="宋体" w:cs="宋体"/>
                <w:color w:val="auto"/>
                <w:spacing w:val="2"/>
                <w:lang w:val="en-US" w:eastAsia="zh-CN"/>
              </w:rPr>
            </w:pPr>
            <w:r>
              <w:rPr>
                <w:rFonts w:hint="default" w:ascii="宋体" w:hAnsi="宋体" w:eastAsia="宋体" w:cs="宋体"/>
                <w:color w:val="auto"/>
                <w:spacing w:val="2"/>
              </w:rPr>
              <w:t>综上所述，本项目符合《昌吉回族自治州区域空间生态环境评价暨“三线一单”生态环境准入清单动态更新成果》相关要求</w:t>
            </w:r>
            <w:r>
              <w:rPr>
                <w:rFonts w:hint="eastAsia" w:cs="宋体"/>
                <w:color w:val="auto"/>
                <w:spacing w:val="2"/>
                <w:lang w:val="en-US" w:eastAsia="zh-CN"/>
              </w:rPr>
              <w:t>。</w:t>
            </w:r>
          </w:p>
          <w:p w14:paraId="2DED5F13">
            <w:pPr>
              <w:keepNext w:val="0"/>
              <w:keepLines w:val="0"/>
              <w:pageBreakBefore w:val="0"/>
              <w:widowControl w:val="0"/>
              <w:kinsoku/>
              <w:wordWrap/>
              <w:overflowPunct/>
              <w:topLinePunct w:val="0"/>
              <w:autoSpaceDE w:val="0"/>
              <w:autoSpaceDN w:val="0"/>
              <w:bidi w:val="0"/>
              <w:adjustRightInd w:val="0"/>
              <w:snapToGrid w:val="0"/>
              <w:spacing w:line="360" w:lineRule="auto"/>
              <w:ind w:left="0" w:right="0"/>
              <w:textAlignment w:val="auto"/>
              <w:rPr>
                <w:rFonts w:hint="default" w:ascii="Times New Roman" w:hAnsi="Times New Roman" w:cs="Times New Roman"/>
                <w:b/>
                <w:bCs/>
                <w:color w:val="auto"/>
                <w:kern w:val="0"/>
                <w:sz w:val="24"/>
                <w:highlight w:val="none"/>
              </w:rPr>
            </w:pPr>
            <w:r>
              <w:rPr>
                <w:rFonts w:hint="eastAsia" w:cs="Times New Roman"/>
                <w:b/>
                <w:bCs/>
                <w:color w:val="auto"/>
                <w:kern w:val="0"/>
                <w:sz w:val="24"/>
                <w:highlight w:val="none"/>
                <w:lang w:val="en-US" w:eastAsia="zh-CN"/>
              </w:rPr>
              <w:t>3</w:t>
            </w:r>
            <w:r>
              <w:rPr>
                <w:rFonts w:hint="default" w:ascii="Times New Roman" w:hAnsi="Times New Roman" w:cs="Times New Roman"/>
                <w:b/>
                <w:bCs/>
                <w:color w:val="auto"/>
                <w:kern w:val="0"/>
                <w:sz w:val="24"/>
                <w:highlight w:val="none"/>
              </w:rPr>
              <w:t>.项目与《新疆生态环境保护“十四五”规划》的符合性分析</w:t>
            </w:r>
          </w:p>
          <w:p w14:paraId="4F48EBC6">
            <w:pPr>
              <w:pStyle w:val="36"/>
              <w:keepNext w:val="0"/>
              <w:keepLines w:val="0"/>
              <w:pageBreakBefore w:val="0"/>
              <w:widowControl w:val="0"/>
              <w:kinsoku/>
              <w:wordWrap/>
              <w:overflowPunct/>
              <w:topLinePunct w:val="0"/>
              <w:bidi w:val="0"/>
              <w:spacing w:line="360" w:lineRule="auto"/>
              <w:ind w:left="0" w:right="0" w:firstLine="486"/>
              <w:textAlignment w:val="auto"/>
              <w:rPr>
                <w:color w:val="auto"/>
              </w:rPr>
            </w:pPr>
            <w:r>
              <w:rPr>
                <w:rFonts w:hint="default" w:ascii="宋体" w:hAnsi="宋体" w:eastAsia="宋体" w:cs="宋体"/>
                <w:color w:val="auto"/>
                <w:spacing w:val="2"/>
              </w:rPr>
              <w:t>《新疆生态环境保护“十四五”规划》第五章加强协同控制，改善大气环境，第三节持续推进涉气污染源治理：实施重点行业氮氧化物（以下简称“</w:t>
            </w:r>
            <w:r>
              <w:rPr>
                <w:rFonts w:hint="default" w:ascii="Times New Roman" w:hAnsi="Times New Roman" w:eastAsia="宋体" w:cs="Times New Roman"/>
                <w:color w:val="auto"/>
                <w:spacing w:val="2"/>
              </w:rPr>
              <w:t>NOx</w:t>
            </w:r>
            <w:r>
              <w:rPr>
                <w:rFonts w:hint="default" w:ascii="宋体" w:hAnsi="宋体" w:eastAsia="宋体" w:cs="宋体"/>
                <w:color w:val="auto"/>
                <w:spacing w:val="2"/>
              </w:rPr>
              <w:t>”）等污染物深度治理。持续推进钢铁、水泥、焦化行业超低排放改造。推进玻璃、陶瓷、铸造、铁合金、有色、煤化和石化等行业采取清洁生产、</w:t>
            </w:r>
            <w:r>
              <w:rPr>
                <w:color w:val="auto"/>
                <w:spacing w:val="-4"/>
              </w:rPr>
              <w:t>提标改造、深度治理等综合措施。</w:t>
            </w:r>
            <w:r>
              <w:rPr>
                <w:color w:val="auto"/>
                <w:spacing w:val="1"/>
              </w:rPr>
              <w:t>加强自备燃煤机组污染治理设施运行管控，确保按照超低排放标准</w:t>
            </w:r>
            <w:r>
              <w:rPr>
                <w:color w:val="auto"/>
                <w:spacing w:val="2"/>
              </w:rPr>
              <w:t>运行。针对铸造、铁合金、焦化、水泥、砖瓦、石灰、耐火材料、</w:t>
            </w:r>
            <w:r>
              <w:rPr>
                <w:color w:val="auto"/>
                <w:spacing w:val="1"/>
              </w:rPr>
              <w:t>金属冶炼以及煤化工、石油化工等行业，严格控制物料储存、输送</w:t>
            </w:r>
            <w:r>
              <w:rPr>
                <w:color w:val="auto"/>
                <w:spacing w:val="-4"/>
              </w:rPr>
              <w:t>及生产工艺过程无组织排放。重点涉气排放企业逐步取消烟气旁路，</w:t>
            </w:r>
            <w:r>
              <w:rPr>
                <w:color w:val="auto"/>
                <w:spacing w:val="-2"/>
              </w:rPr>
              <w:t>因安全生产无法取消的，安装在线监控系统。</w:t>
            </w:r>
          </w:p>
          <w:p w14:paraId="61ED0796">
            <w:pPr>
              <w:pStyle w:val="36"/>
              <w:keepNext w:val="0"/>
              <w:keepLines w:val="0"/>
              <w:pageBreakBefore w:val="0"/>
              <w:widowControl w:val="0"/>
              <w:kinsoku/>
              <w:wordWrap/>
              <w:overflowPunct/>
              <w:topLinePunct w:val="0"/>
              <w:autoSpaceDE/>
              <w:autoSpaceDN/>
              <w:bidi w:val="0"/>
              <w:adjustRightInd w:val="0"/>
              <w:snapToGrid/>
              <w:spacing w:line="360" w:lineRule="auto"/>
              <w:ind w:left="0" w:right="0" w:firstLine="478"/>
              <w:textAlignment w:val="auto"/>
              <w:rPr>
                <w:color w:val="auto"/>
              </w:rPr>
            </w:pPr>
            <w:r>
              <w:rPr>
                <w:color w:val="auto"/>
                <w:spacing w:val="1"/>
              </w:rPr>
              <w:t>本项目为</w:t>
            </w:r>
            <w:r>
              <w:rPr>
                <w:rFonts w:hint="eastAsia" w:ascii="Times New Roman" w:hAnsi="Times New Roman" w:eastAsia="宋体" w:cs="Times New Roman"/>
                <w:color w:val="auto"/>
                <w:spacing w:val="1"/>
                <w:lang w:val="en-US" w:eastAsia="zh-CN"/>
              </w:rPr>
              <w:t>砼结构构件制造类</w:t>
            </w:r>
            <w:r>
              <w:rPr>
                <w:color w:val="auto"/>
                <w:spacing w:val="1"/>
              </w:rPr>
              <w:t>项目，项目运营期采用天然气燃料作为供热，燃烧后产生的污染物为颗粒物、二氧化硫、氮氧化物，经</w:t>
            </w:r>
            <w:r>
              <w:rPr>
                <w:rFonts w:hint="eastAsia"/>
                <w:color w:val="auto"/>
                <w:spacing w:val="1"/>
                <w:lang w:val="en-US" w:eastAsia="zh-CN"/>
              </w:rPr>
              <w:t>低氮燃烧处理后通过</w:t>
            </w:r>
            <w:r>
              <w:rPr>
                <w:rFonts w:ascii="Times New Roman" w:hAnsi="Times New Roman" w:eastAsia="Times New Roman" w:cs="Times New Roman"/>
                <w:color w:val="auto"/>
                <w:spacing w:val="-4"/>
              </w:rPr>
              <w:t>15m</w:t>
            </w:r>
            <w:r>
              <w:rPr>
                <w:color w:val="auto"/>
                <w:spacing w:val="-4"/>
              </w:rPr>
              <w:t>高排气筒（</w:t>
            </w:r>
            <w:r>
              <w:rPr>
                <w:rFonts w:ascii="Times New Roman" w:hAnsi="Times New Roman" w:eastAsia="Times New Roman" w:cs="Times New Roman"/>
                <w:color w:val="auto"/>
                <w:spacing w:val="-4"/>
              </w:rPr>
              <w:t>DA00</w:t>
            </w:r>
            <w:r>
              <w:rPr>
                <w:rFonts w:hint="eastAsia" w:ascii="Times New Roman" w:hAnsi="Times New Roman" w:eastAsia="宋体" w:cs="Times New Roman"/>
                <w:color w:val="auto"/>
                <w:spacing w:val="-4"/>
                <w:lang w:val="en-US" w:eastAsia="zh-CN"/>
              </w:rPr>
              <w:t>1</w:t>
            </w:r>
            <w:r>
              <w:rPr>
                <w:color w:val="auto"/>
                <w:spacing w:val="-4"/>
              </w:rPr>
              <w:t>）能够达标排放，因</w:t>
            </w:r>
            <w:r>
              <w:rPr>
                <w:color w:val="auto"/>
                <w:spacing w:val="-5"/>
              </w:rPr>
              <w:t>此，本项目符合《新疆生</w:t>
            </w:r>
            <w:r>
              <w:rPr>
                <w:color w:val="auto"/>
                <w:spacing w:val="-1"/>
              </w:rPr>
              <w:t>态环境保护</w:t>
            </w:r>
            <w:r>
              <w:rPr>
                <w:rFonts w:ascii="Times New Roman" w:hAnsi="Times New Roman" w:eastAsia="Times New Roman" w:cs="Times New Roman"/>
                <w:color w:val="auto"/>
                <w:spacing w:val="-1"/>
              </w:rPr>
              <w:t>“</w:t>
            </w:r>
            <w:r>
              <w:rPr>
                <w:color w:val="auto"/>
                <w:spacing w:val="-1"/>
              </w:rPr>
              <w:t>十四五</w:t>
            </w:r>
            <w:r>
              <w:rPr>
                <w:rFonts w:ascii="Times New Roman" w:hAnsi="Times New Roman" w:eastAsia="Times New Roman" w:cs="Times New Roman"/>
                <w:color w:val="auto"/>
                <w:spacing w:val="-1"/>
              </w:rPr>
              <w:t>”</w:t>
            </w:r>
            <w:r>
              <w:rPr>
                <w:color w:val="auto"/>
                <w:spacing w:val="-1"/>
              </w:rPr>
              <w:t>规划》的相关要求。</w:t>
            </w:r>
          </w:p>
          <w:p w14:paraId="0F9C3499">
            <w:pPr>
              <w:keepNext w:val="0"/>
              <w:keepLines w:val="0"/>
              <w:pageBreakBefore w:val="0"/>
              <w:widowControl w:val="0"/>
              <w:kinsoku/>
              <w:wordWrap/>
              <w:overflowPunct/>
              <w:topLinePunct w:val="0"/>
              <w:autoSpaceDE w:val="0"/>
              <w:autoSpaceDN w:val="0"/>
              <w:bidi w:val="0"/>
              <w:adjustRightInd w:val="0"/>
              <w:snapToGrid w:val="0"/>
              <w:spacing w:line="360" w:lineRule="auto"/>
              <w:ind w:left="0" w:right="0"/>
              <w:textAlignment w:val="auto"/>
              <w:rPr>
                <w:rFonts w:hint="default" w:ascii="Times New Roman" w:hAnsi="Times New Roman" w:cs="Times New Roman"/>
                <w:b/>
                <w:bCs/>
                <w:color w:val="auto"/>
                <w:kern w:val="0"/>
                <w:sz w:val="24"/>
                <w:highlight w:val="none"/>
              </w:rPr>
            </w:pPr>
            <w:r>
              <w:rPr>
                <w:rFonts w:hint="eastAsia" w:cs="Times New Roman"/>
                <w:b/>
                <w:bCs/>
                <w:color w:val="auto"/>
                <w:kern w:val="0"/>
                <w:sz w:val="24"/>
                <w:highlight w:val="none"/>
                <w:lang w:val="en-US" w:eastAsia="zh-CN"/>
              </w:rPr>
              <w:t>4</w:t>
            </w:r>
            <w:r>
              <w:rPr>
                <w:rFonts w:hint="default" w:ascii="Times New Roman" w:hAnsi="Times New Roman" w:cs="Times New Roman"/>
                <w:b/>
                <w:bCs/>
                <w:color w:val="auto"/>
                <w:kern w:val="0"/>
                <w:sz w:val="24"/>
                <w:highlight w:val="none"/>
              </w:rPr>
              <w:t>.项目与《昌吉回族自治州生态环境保护与建设“十四五”规划》</w:t>
            </w:r>
            <w:r>
              <w:rPr>
                <w:rFonts w:hint="eastAsia" w:ascii="Times New Roman" w:hAnsi="Times New Roman" w:cs="Times New Roman"/>
                <w:b/>
                <w:bCs/>
                <w:color w:val="auto"/>
                <w:kern w:val="0"/>
                <w:sz w:val="24"/>
                <w:highlight w:val="none"/>
                <w:lang w:val="en-US" w:eastAsia="zh-CN"/>
              </w:rPr>
              <w:t>的</w:t>
            </w:r>
            <w:r>
              <w:rPr>
                <w:rFonts w:hint="default" w:ascii="Times New Roman" w:hAnsi="Times New Roman" w:cs="Times New Roman"/>
                <w:b/>
                <w:bCs/>
                <w:color w:val="auto"/>
                <w:kern w:val="0"/>
                <w:sz w:val="24"/>
                <w:highlight w:val="none"/>
              </w:rPr>
              <w:t>符合性分析</w:t>
            </w:r>
          </w:p>
          <w:p w14:paraId="3716F4DA">
            <w:pPr>
              <w:pStyle w:val="36"/>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rFonts w:hint="eastAsia"/>
                <w:color w:val="auto"/>
                <w:spacing w:val="-1"/>
              </w:rPr>
            </w:pPr>
            <w:r>
              <w:rPr>
                <w:color w:val="auto"/>
                <w:spacing w:val="-1"/>
              </w:rPr>
              <w:t>《昌吉回族自治州生态环境保护与建设</w:t>
            </w:r>
            <w:r>
              <w:rPr>
                <w:rFonts w:ascii="Times New Roman" w:hAnsi="Times New Roman" w:eastAsia="Times New Roman" w:cs="Times New Roman"/>
                <w:color w:val="auto"/>
                <w:spacing w:val="-1"/>
              </w:rPr>
              <w:t>“</w:t>
            </w:r>
            <w:r>
              <w:rPr>
                <w:color w:val="auto"/>
                <w:spacing w:val="-1"/>
              </w:rPr>
              <w:t>十四五</w:t>
            </w:r>
            <w:r>
              <w:rPr>
                <w:rFonts w:ascii="Times New Roman" w:hAnsi="Times New Roman" w:eastAsia="Times New Roman" w:cs="Times New Roman"/>
                <w:color w:val="auto"/>
                <w:spacing w:val="-1"/>
              </w:rPr>
              <w:t>”</w:t>
            </w:r>
            <w:r>
              <w:rPr>
                <w:color w:val="auto"/>
                <w:spacing w:val="-1"/>
              </w:rPr>
              <w:t>规划》提出：</w:t>
            </w:r>
            <w:r>
              <w:rPr>
                <w:rFonts w:ascii="Times New Roman" w:hAnsi="Times New Roman" w:eastAsia="Times New Roman" w:cs="Times New Roman"/>
                <w:color w:val="auto"/>
              </w:rPr>
              <w:t>“</w:t>
            </w:r>
            <w:r>
              <w:rPr>
                <w:color w:val="auto"/>
              </w:rPr>
              <w:t>深化工业污染治理。推进重点行业污染治理升级改造。</w:t>
            </w:r>
            <w:r>
              <w:rPr>
                <w:color w:val="auto"/>
                <w:spacing w:val="-1"/>
              </w:rPr>
              <w:t>各县市、园</w:t>
            </w:r>
            <w:r>
              <w:rPr>
                <w:color w:val="auto"/>
                <w:spacing w:val="-5"/>
              </w:rPr>
              <w:t>区电解铝、焦化、碳素等重点行业及</w:t>
            </w:r>
            <w:r>
              <w:rPr>
                <w:rFonts w:ascii="Times New Roman" w:hAnsi="Times New Roman" w:eastAsia="Times New Roman" w:cs="Times New Roman"/>
                <w:color w:val="auto"/>
                <w:spacing w:val="-5"/>
              </w:rPr>
              <w:t>“</w:t>
            </w:r>
            <w:r>
              <w:rPr>
                <w:color w:val="auto"/>
                <w:spacing w:val="-5"/>
              </w:rPr>
              <w:t>乌</w:t>
            </w:r>
            <w:r>
              <w:rPr>
                <w:rFonts w:ascii="Times New Roman" w:hAnsi="Times New Roman" w:eastAsia="Times New Roman" w:cs="Times New Roman"/>
                <w:color w:val="auto"/>
                <w:spacing w:val="-5"/>
              </w:rPr>
              <w:t>-</w:t>
            </w:r>
            <w:r>
              <w:rPr>
                <w:color w:val="auto"/>
                <w:spacing w:val="-5"/>
              </w:rPr>
              <w:t>昌</w:t>
            </w:r>
            <w:r>
              <w:rPr>
                <w:rFonts w:ascii="Times New Roman" w:hAnsi="Times New Roman" w:eastAsia="Times New Roman" w:cs="Times New Roman"/>
                <w:color w:val="auto"/>
                <w:spacing w:val="-5"/>
              </w:rPr>
              <w:t>-</w:t>
            </w:r>
            <w:r>
              <w:rPr>
                <w:color w:val="auto"/>
                <w:spacing w:val="-5"/>
              </w:rPr>
              <w:t>石</w:t>
            </w:r>
            <w:r>
              <w:rPr>
                <w:rFonts w:ascii="Times New Roman" w:hAnsi="Times New Roman" w:eastAsia="Times New Roman" w:cs="Times New Roman"/>
                <w:color w:val="auto"/>
                <w:spacing w:val="-5"/>
              </w:rPr>
              <w:t>”</w:t>
            </w:r>
            <w:r>
              <w:rPr>
                <w:color w:val="auto"/>
                <w:spacing w:val="-5"/>
              </w:rPr>
              <w:t>区域所有行业</w:t>
            </w:r>
            <w:r>
              <w:rPr>
                <w:color w:val="auto"/>
                <w:spacing w:val="-6"/>
              </w:rPr>
              <w:t>均实施</w:t>
            </w:r>
            <w:r>
              <w:rPr>
                <w:color w:val="auto"/>
              </w:rPr>
              <w:t>特别排放限值。至</w:t>
            </w:r>
            <w:r>
              <w:rPr>
                <w:rFonts w:ascii="Times New Roman" w:hAnsi="Times New Roman" w:eastAsia="Times New Roman" w:cs="Times New Roman"/>
                <w:color w:val="auto"/>
              </w:rPr>
              <w:t>2025</w:t>
            </w:r>
            <w:r>
              <w:rPr>
                <w:color w:val="auto"/>
              </w:rPr>
              <w:t>年，全州钢铁、铸</w:t>
            </w:r>
            <w:r>
              <w:rPr>
                <w:color w:val="auto"/>
                <w:spacing w:val="-1"/>
              </w:rPr>
              <w:t>造等行业全面实现超低排</w:t>
            </w:r>
            <w:r>
              <w:rPr>
                <w:rFonts w:hint="eastAsia"/>
                <w:color w:val="auto"/>
                <w:spacing w:val="-1"/>
              </w:rPr>
              <w:t>放运行。推进铸造、砖瓦、矿物棉、独立轧钢、碳素、化工、煤炭洗选、包装印刷、家具、人造板、橡胶制品、塑料制品等企业集群升级改造。推进涉气工业源全过程深度治理，完成钢铁、建材、有色、火电、焦化、铸造、水泥、碳素、矿山开采等重点行业及燃煤锅炉等物料（含废渣）运输、装卸、储存、转移和工艺过程等无组织排放深度治理，加强煤矿、化工、电力、焦化、水泥等工业企业物料封闭化管理。持续推进工业源全面达标排放。”</w:t>
            </w:r>
          </w:p>
          <w:p w14:paraId="17EC91D6">
            <w:pPr>
              <w:pStyle w:val="36"/>
              <w:keepNext w:val="0"/>
              <w:keepLines w:val="0"/>
              <w:pageBreakBefore w:val="0"/>
              <w:widowControl w:val="0"/>
              <w:kinsoku/>
              <w:wordWrap/>
              <w:overflowPunct/>
              <w:topLinePunct w:val="0"/>
              <w:autoSpaceDE/>
              <w:autoSpaceDN/>
              <w:bidi w:val="0"/>
              <w:adjustRightInd/>
              <w:snapToGrid/>
              <w:spacing w:line="360" w:lineRule="auto"/>
              <w:ind w:left="0" w:leftChars="0" w:right="0" w:firstLine="395" w:firstLineChars="166"/>
              <w:jc w:val="both"/>
              <w:textAlignment w:val="auto"/>
              <w:rPr>
                <w:rFonts w:hint="default" w:ascii="Times New Roman" w:hAnsi="Times New Roman" w:cs="Times New Roman"/>
                <w:b/>
                <w:bCs/>
                <w:color w:val="auto"/>
                <w:sz w:val="24"/>
                <w:highlight w:val="none"/>
              </w:rPr>
            </w:pPr>
            <w:r>
              <w:rPr>
                <w:rFonts w:hint="eastAsia"/>
                <w:color w:val="auto"/>
                <w:spacing w:val="-1"/>
              </w:rPr>
              <w:t>本项目为</w:t>
            </w:r>
            <w:r>
              <w:rPr>
                <w:rFonts w:hint="eastAsia"/>
                <w:color w:val="auto"/>
                <w:spacing w:val="-1"/>
                <w:lang w:val="en-US" w:eastAsia="zh-CN"/>
              </w:rPr>
              <w:t>砼结构构件制造类</w:t>
            </w:r>
            <w:r>
              <w:rPr>
                <w:rFonts w:hint="eastAsia"/>
                <w:color w:val="auto"/>
                <w:spacing w:val="-1"/>
              </w:rPr>
              <w:t>项目，原料、成品储存都在密闭厂房因此，本项目与《昌吉回族自治州生态环境保护与建设“十四五”规划》中提出“加强煤矿、化工、电力、焦化、水泥等工业企业物料封闭化管理”的要求相符。</w:t>
            </w:r>
          </w:p>
          <w:p w14:paraId="24BCA7C1">
            <w:pPr>
              <w:pStyle w:val="32"/>
              <w:numPr>
                <w:ilvl w:val="0"/>
                <w:numId w:val="0"/>
              </w:numPr>
              <w:spacing w:line="360" w:lineRule="auto"/>
              <w:rPr>
                <w:rFonts w:hint="default" w:ascii="Times New Roman" w:hAnsi="Times New Roman" w:eastAsia="宋体" w:cs="Times New Roman"/>
                <w:b/>
                <w:bCs/>
                <w:color w:val="auto"/>
                <w:kern w:val="2"/>
                <w:sz w:val="24"/>
                <w:szCs w:val="24"/>
                <w:highlight w:val="none"/>
                <w:lang w:val="en-US" w:eastAsia="zh-CN" w:bidi="ar-SA"/>
              </w:rPr>
            </w:pPr>
            <w:r>
              <w:rPr>
                <w:rFonts w:hint="eastAsia" w:cs="Times New Roman"/>
                <w:b/>
                <w:bCs/>
                <w:color w:val="auto"/>
                <w:sz w:val="24"/>
                <w:highlight w:val="none"/>
                <w:lang w:val="en-US" w:eastAsia="zh-CN"/>
              </w:rPr>
              <w:t>5</w:t>
            </w:r>
            <w:r>
              <w:rPr>
                <w:rFonts w:hint="default" w:ascii="Times New Roman" w:hAnsi="Times New Roman" w:eastAsia="宋体" w:cs="Times New Roman"/>
                <w:b/>
                <w:bCs/>
                <w:color w:val="auto"/>
                <w:kern w:val="2"/>
                <w:sz w:val="24"/>
                <w:szCs w:val="24"/>
                <w:highlight w:val="none"/>
                <w:lang w:val="en-US" w:eastAsia="zh-CN" w:bidi="ar-SA"/>
              </w:rPr>
              <w:t>.与《新疆维吾尔自治区</w:t>
            </w:r>
            <w:r>
              <w:rPr>
                <w:rFonts w:hint="default" w:ascii="Times New Roman" w:hAnsi="Times New Roman" w:eastAsia="宋体" w:cs="Times New Roman"/>
                <w:b/>
                <w:bCs/>
                <w:color w:val="auto"/>
                <w:kern w:val="2"/>
                <w:sz w:val="24"/>
                <w:szCs w:val="24"/>
                <w:highlight w:val="none"/>
                <w:lang w:val="en-US" w:eastAsia="zh-CN" w:bidi="ar-SA"/>
              </w:rPr>
              <w:fldChar w:fldCharType="begin"/>
            </w:r>
            <w:r>
              <w:rPr>
                <w:rFonts w:hint="default" w:ascii="Times New Roman" w:hAnsi="Times New Roman" w:eastAsia="宋体" w:cs="Times New Roman"/>
                <w:b/>
                <w:bCs/>
                <w:color w:val="auto"/>
                <w:kern w:val="2"/>
                <w:sz w:val="24"/>
                <w:szCs w:val="24"/>
                <w:highlight w:val="none"/>
                <w:lang w:val="en-US" w:eastAsia="zh-CN" w:bidi="ar-SA"/>
              </w:rPr>
              <w:instrText xml:space="preserve"> HYPERLINK "http://www.chndaqi.com/news/field?fid=47" \o "大气污染防治" \t "https://www.chndaqi.com/news/_blank" </w:instrText>
            </w:r>
            <w:r>
              <w:rPr>
                <w:rFonts w:hint="default" w:ascii="Times New Roman" w:hAnsi="Times New Roman" w:eastAsia="宋体" w:cs="Times New Roman"/>
                <w:b/>
                <w:bCs/>
                <w:color w:val="auto"/>
                <w:kern w:val="2"/>
                <w:sz w:val="24"/>
                <w:szCs w:val="24"/>
                <w:highlight w:val="none"/>
                <w:lang w:val="en-US" w:eastAsia="zh-CN" w:bidi="ar-SA"/>
              </w:rPr>
              <w:fldChar w:fldCharType="separate"/>
            </w:r>
            <w:r>
              <w:rPr>
                <w:rFonts w:hint="default" w:ascii="Times New Roman" w:hAnsi="Times New Roman" w:eastAsia="宋体" w:cs="Times New Roman"/>
                <w:b/>
                <w:bCs/>
                <w:color w:val="auto"/>
                <w:kern w:val="2"/>
                <w:sz w:val="24"/>
                <w:szCs w:val="24"/>
                <w:highlight w:val="none"/>
                <w:lang w:val="en-US" w:eastAsia="zh-CN" w:bidi="ar-SA"/>
              </w:rPr>
              <w:t>大气污染防治</w:t>
            </w:r>
            <w:r>
              <w:rPr>
                <w:rFonts w:hint="default" w:ascii="Times New Roman" w:hAnsi="Times New Roman" w:eastAsia="宋体" w:cs="Times New Roman"/>
                <w:b/>
                <w:bCs/>
                <w:color w:val="auto"/>
                <w:kern w:val="2"/>
                <w:sz w:val="24"/>
                <w:szCs w:val="24"/>
                <w:highlight w:val="none"/>
                <w:lang w:val="en-US" w:eastAsia="zh-CN" w:bidi="ar-SA"/>
              </w:rPr>
              <w:fldChar w:fldCharType="end"/>
            </w:r>
            <w:r>
              <w:rPr>
                <w:rFonts w:hint="default" w:ascii="Times New Roman" w:hAnsi="Times New Roman" w:eastAsia="宋体" w:cs="Times New Roman"/>
                <w:b/>
                <w:bCs/>
                <w:color w:val="auto"/>
                <w:kern w:val="2"/>
                <w:sz w:val="24"/>
                <w:szCs w:val="24"/>
                <w:highlight w:val="none"/>
                <w:lang w:val="en-US" w:eastAsia="zh-CN" w:bidi="ar-SA"/>
              </w:rPr>
              <w:t>条例》符合性分析</w:t>
            </w:r>
          </w:p>
          <w:p w14:paraId="79F2F4B4">
            <w:pPr>
              <w:pStyle w:val="32"/>
              <w:numPr>
                <w:ilvl w:val="0"/>
                <w:numId w:val="0"/>
              </w:num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《新疆维吾尔自治区</w:t>
            </w:r>
            <w:r>
              <w:rPr>
                <w:rFonts w:hint="default" w:ascii="Times New Roman" w:hAnsi="Times New Roman" w:eastAsia="宋体" w:cs="Times New Roman"/>
                <w:color w:val="auto"/>
                <w:kern w:val="2"/>
                <w:sz w:val="24"/>
                <w:szCs w:val="24"/>
                <w:highlight w:val="none"/>
                <w:lang w:val="en-US" w:eastAsia="zh-CN" w:bidi="ar-SA"/>
              </w:rPr>
              <w:fldChar w:fldCharType="begin"/>
            </w:r>
            <w:r>
              <w:rPr>
                <w:rFonts w:hint="default" w:ascii="Times New Roman" w:hAnsi="Times New Roman" w:eastAsia="宋体" w:cs="Times New Roman"/>
                <w:color w:val="auto"/>
                <w:kern w:val="2"/>
                <w:sz w:val="24"/>
                <w:szCs w:val="24"/>
                <w:highlight w:val="none"/>
                <w:lang w:val="en-US" w:eastAsia="zh-CN" w:bidi="ar-SA"/>
              </w:rPr>
              <w:instrText xml:space="preserve"> HYPERLINK "http://www.chndaqi.com/news/field?fid=47" \o "大气污染防治" \t "https://www.chndaqi.com/news/_blank" </w:instrText>
            </w:r>
            <w:r>
              <w:rPr>
                <w:rFonts w:hint="default" w:ascii="Times New Roman" w:hAnsi="Times New Roman" w:eastAsia="宋体" w:cs="Times New Roman"/>
                <w:color w:val="auto"/>
                <w:kern w:val="2"/>
                <w:sz w:val="24"/>
                <w:szCs w:val="24"/>
                <w:highlight w:val="none"/>
                <w:lang w:val="en-US" w:eastAsia="zh-CN" w:bidi="ar-SA"/>
              </w:rPr>
              <w:fldChar w:fldCharType="separate"/>
            </w:r>
            <w:r>
              <w:rPr>
                <w:rFonts w:hint="default" w:ascii="Times New Roman" w:hAnsi="Times New Roman" w:eastAsia="宋体" w:cs="Times New Roman"/>
                <w:color w:val="auto"/>
                <w:kern w:val="2"/>
                <w:sz w:val="24"/>
                <w:szCs w:val="24"/>
                <w:highlight w:val="none"/>
                <w:lang w:val="en-US" w:eastAsia="zh-CN" w:bidi="ar-SA"/>
              </w:rPr>
              <w:t>大气污染防治</w:t>
            </w:r>
            <w:r>
              <w:rPr>
                <w:rFonts w:hint="default" w:ascii="Times New Roman" w:hAnsi="Times New Roman" w:eastAsia="宋体" w:cs="Times New Roman"/>
                <w:color w:val="auto"/>
                <w:kern w:val="2"/>
                <w:sz w:val="24"/>
                <w:szCs w:val="24"/>
                <w:highlight w:val="none"/>
                <w:lang w:val="en-US" w:eastAsia="zh-CN" w:bidi="ar-SA"/>
              </w:rPr>
              <w:fldChar w:fldCharType="end"/>
            </w:r>
            <w:r>
              <w:rPr>
                <w:rFonts w:hint="default" w:ascii="Times New Roman" w:hAnsi="Times New Roman" w:eastAsia="宋体" w:cs="Times New Roman"/>
                <w:color w:val="auto"/>
                <w:kern w:val="2"/>
                <w:sz w:val="24"/>
                <w:szCs w:val="24"/>
                <w:highlight w:val="none"/>
                <w:lang w:val="en-US" w:eastAsia="zh-CN" w:bidi="ar-SA"/>
              </w:rPr>
              <w:t>条例》第二十二条指出：鼓励和支持清洁能源的开发利用，引导企业开展清洁能源替代，减少煤炭生产、使用、转化过程中的大气污染物排放。第二十四条指出推进城市建成区、工业园区实行集中供热，使用清洁燃料。在集中供热管网覆盖区域内，禁止新建、改建、扩建燃煤供热锅炉，集中供热管网覆盖前，已建成使用的燃煤供热锅炉应当限期停止使用。在集中供热未覆盖的区域，鼓励使用清洁能源替代，推广使用高效节能环保型锅炉。限期淘汰不符合国家和自治区规定规模的燃煤锅炉。禁止新建、改建、扩建列入淘汰类目录的高污染工业项目。禁止使用列入淘汰类目录的工艺、设备、产品。</w:t>
            </w:r>
          </w:p>
          <w:p w14:paraId="0BFA088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cs="Times New Roman"/>
                <w:b w:val="0"/>
                <w:bCs w:val="0"/>
                <w:color w:val="auto"/>
                <w:kern w:val="0"/>
                <w:sz w:val="24"/>
                <w:highlight w:val="none"/>
                <w:lang w:val="en-US" w:eastAsia="zh-CN"/>
              </w:rPr>
            </w:pPr>
            <w:r>
              <w:rPr>
                <w:rFonts w:hint="default" w:ascii="Times New Roman" w:hAnsi="Times New Roman" w:cs="Times New Roman"/>
                <w:b w:val="0"/>
                <w:bCs w:val="0"/>
                <w:color w:val="auto"/>
                <w:kern w:val="0"/>
                <w:sz w:val="24"/>
                <w:highlight w:val="none"/>
                <w:lang w:val="en-US" w:eastAsia="zh-CN"/>
              </w:rPr>
              <w:t>本项目新建</w:t>
            </w:r>
            <w:r>
              <w:rPr>
                <w:rFonts w:hint="eastAsia" w:cs="Times New Roman"/>
                <w:b w:val="0"/>
                <w:bCs w:val="0"/>
                <w:color w:val="auto"/>
                <w:kern w:val="0"/>
                <w:sz w:val="24"/>
                <w:highlight w:val="none"/>
                <w:lang w:val="en-US" w:eastAsia="zh-CN"/>
              </w:rPr>
              <w:t>燃气</w:t>
            </w:r>
            <w:r>
              <w:rPr>
                <w:rFonts w:hint="default" w:ascii="Times New Roman" w:hAnsi="Times New Roman" w:cs="Times New Roman"/>
                <w:color w:val="auto"/>
                <w:kern w:val="21"/>
                <w:sz w:val="24"/>
                <w:szCs w:val="24"/>
                <w:highlight w:val="none"/>
                <w:lang w:bidi="ar"/>
              </w:rPr>
              <w:t>锅炉</w:t>
            </w:r>
            <w:r>
              <w:rPr>
                <w:rFonts w:hint="default" w:ascii="Times New Roman" w:hAnsi="Times New Roman" w:cs="Times New Roman"/>
                <w:color w:val="auto"/>
                <w:kern w:val="21"/>
                <w:sz w:val="24"/>
                <w:szCs w:val="24"/>
                <w:highlight w:val="none"/>
                <w:lang w:eastAsia="zh-CN" w:bidi="ar"/>
              </w:rPr>
              <w:t>，</w:t>
            </w:r>
            <w:r>
              <w:rPr>
                <w:rFonts w:hint="eastAsia" w:cs="Times New Roman"/>
                <w:color w:val="auto"/>
                <w:kern w:val="21"/>
                <w:sz w:val="24"/>
                <w:szCs w:val="24"/>
                <w:highlight w:val="none"/>
                <w:lang w:val="en-US" w:eastAsia="zh-CN" w:bidi="ar"/>
              </w:rPr>
              <w:t>燃烧</w:t>
            </w:r>
            <w:r>
              <w:rPr>
                <w:rFonts w:hint="default" w:ascii="Times New Roman" w:hAnsi="Times New Roman" w:cs="Times New Roman"/>
                <w:color w:val="auto"/>
                <w:kern w:val="21"/>
                <w:sz w:val="24"/>
                <w:szCs w:val="24"/>
                <w:highlight w:val="none"/>
                <w:lang w:val="en-US" w:eastAsia="zh-CN" w:bidi="ar"/>
              </w:rPr>
              <w:t>锅炉</w:t>
            </w:r>
            <w:r>
              <w:rPr>
                <w:rFonts w:hint="default" w:ascii="Times New Roman" w:hAnsi="Times New Roman" w:cs="Times New Roman"/>
                <w:color w:val="auto"/>
                <w:kern w:val="21"/>
                <w:sz w:val="24"/>
                <w:szCs w:val="24"/>
                <w:highlight w:val="none"/>
                <w:lang w:bidi="ar"/>
              </w:rPr>
              <w:t>废气</w:t>
            </w:r>
            <w:r>
              <w:rPr>
                <w:rFonts w:hint="eastAsia" w:cs="Times New Roman"/>
                <w:color w:val="auto"/>
                <w:kern w:val="21"/>
                <w:sz w:val="24"/>
                <w:szCs w:val="24"/>
                <w:highlight w:val="none"/>
                <w:lang w:val="en-US" w:eastAsia="zh-CN" w:bidi="ar"/>
              </w:rPr>
              <w:t>有</w:t>
            </w:r>
            <w:r>
              <w:rPr>
                <w:rFonts w:hint="default" w:ascii="Times New Roman" w:hAnsi="Times New Roman" w:cs="Times New Roman"/>
                <w:color w:val="auto"/>
                <w:kern w:val="21"/>
                <w:sz w:val="24"/>
                <w:szCs w:val="24"/>
                <w:highlight w:val="none"/>
                <w:lang w:val="en-US" w:eastAsia="zh-CN" w:bidi="ar"/>
              </w:rPr>
              <w:t>颗粒物、</w:t>
            </w:r>
            <w:r>
              <w:rPr>
                <w:rFonts w:hint="default" w:ascii="Times New Roman" w:hAnsi="Times New Roman" w:cs="Times New Roman"/>
                <w:color w:val="auto"/>
                <w:kern w:val="2"/>
                <w:sz w:val="24"/>
                <w:szCs w:val="24"/>
                <w:highlight w:val="none"/>
                <w:lang w:val="en-US" w:eastAsia="zh-CN" w:bidi="ar-SA"/>
              </w:rPr>
              <w:t>SO</w:t>
            </w:r>
            <w:r>
              <w:rPr>
                <w:rFonts w:hint="default" w:ascii="Times New Roman" w:hAnsi="Times New Roman" w:cs="Times New Roman"/>
                <w:color w:val="auto"/>
                <w:kern w:val="2"/>
                <w:sz w:val="24"/>
                <w:szCs w:val="24"/>
                <w:highlight w:val="none"/>
                <w:vertAlign w:val="subscript"/>
                <w:lang w:val="en-US" w:eastAsia="zh-CN" w:bidi="ar-SA"/>
              </w:rPr>
              <w:t>2</w:t>
            </w:r>
            <w:r>
              <w:rPr>
                <w:rFonts w:hint="eastAsia" w:cs="Times New Roman"/>
                <w:color w:val="auto"/>
                <w:kern w:val="2"/>
                <w:sz w:val="24"/>
                <w:szCs w:val="24"/>
                <w:highlight w:val="none"/>
                <w:vertAlign w:val="subscript"/>
                <w:lang w:val="en-US" w:eastAsia="zh-CN" w:bidi="ar-SA"/>
              </w:rPr>
              <w:t>、</w:t>
            </w:r>
            <w:r>
              <w:rPr>
                <w:rFonts w:hint="eastAsia" w:cs="Times New Roman"/>
                <w:color w:val="auto"/>
                <w:kern w:val="2"/>
                <w:sz w:val="24"/>
                <w:szCs w:val="24"/>
                <w:highlight w:val="none"/>
                <w:vertAlign w:val="baseline"/>
                <w:lang w:val="en-US" w:eastAsia="zh-CN" w:bidi="ar-SA"/>
              </w:rPr>
              <w:t>NOx产生。</w:t>
            </w:r>
            <w:r>
              <w:rPr>
                <w:rFonts w:hint="eastAsia" w:ascii="Times New Roman" w:hAnsi="Times New Roman" w:cs="Times New Roman"/>
                <w:b w:val="0"/>
                <w:bCs w:val="0"/>
                <w:color w:val="auto"/>
                <w:kern w:val="0"/>
                <w:sz w:val="24"/>
                <w:highlight w:val="none"/>
                <w:lang w:val="en-US" w:eastAsia="zh-CN"/>
              </w:rPr>
              <w:t>锅炉废气经低氮燃烧器处理后经15m排气筒（DA00</w:t>
            </w:r>
            <w:r>
              <w:rPr>
                <w:rFonts w:hint="eastAsia" w:cs="Times New Roman"/>
                <w:b w:val="0"/>
                <w:bCs w:val="0"/>
                <w:color w:val="auto"/>
                <w:kern w:val="0"/>
                <w:sz w:val="24"/>
                <w:highlight w:val="none"/>
                <w:lang w:val="en-US" w:eastAsia="zh-CN"/>
              </w:rPr>
              <w:t>1</w:t>
            </w:r>
            <w:r>
              <w:rPr>
                <w:rFonts w:hint="eastAsia" w:ascii="Times New Roman" w:hAnsi="Times New Roman" w:cs="Times New Roman"/>
                <w:b w:val="0"/>
                <w:bCs w:val="0"/>
                <w:color w:val="auto"/>
                <w:kern w:val="0"/>
                <w:sz w:val="24"/>
                <w:highlight w:val="none"/>
                <w:lang w:val="en-US" w:eastAsia="zh-CN"/>
              </w:rPr>
              <w:t>）排放，搅拌时产生的搅拌废气由布袋除尘器处理后</w:t>
            </w:r>
            <w:r>
              <w:rPr>
                <w:rFonts w:hint="eastAsia" w:cs="Times New Roman"/>
                <w:b w:val="0"/>
                <w:bCs w:val="0"/>
                <w:color w:val="auto"/>
                <w:kern w:val="0"/>
                <w:sz w:val="24"/>
                <w:highlight w:val="none"/>
                <w:lang w:val="en-US" w:eastAsia="zh-CN"/>
              </w:rPr>
              <w:t>无组织</w:t>
            </w:r>
            <w:r>
              <w:rPr>
                <w:rFonts w:hint="eastAsia" w:ascii="Times New Roman" w:hAnsi="Times New Roman" w:cs="Times New Roman"/>
                <w:b w:val="0"/>
                <w:bCs w:val="0"/>
                <w:color w:val="auto"/>
                <w:kern w:val="0"/>
                <w:sz w:val="24"/>
                <w:highlight w:val="none"/>
                <w:lang w:val="en-US" w:eastAsia="zh-CN"/>
              </w:rPr>
              <w:t>排放</w:t>
            </w:r>
            <w:r>
              <w:rPr>
                <w:rFonts w:hint="eastAsia" w:cs="Times New Roman"/>
                <w:b w:val="0"/>
                <w:bCs w:val="0"/>
                <w:color w:val="auto"/>
                <w:kern w:val="0"/>
                <w:sz w:val="24"/>
                <w:highlight w:val="none"/>
                <w:lang w:val="en-US" w:eastAsia="zh-CN"/>
              </w:rPr>
              <w:t>。</w:t>
            </w:r>
          </w:p>
          <w:p w14:paraId="2AF8EE2E">
            <w:pPr>
              <w:pStyle w:val="32"/>
              <w:numPr>
                <w:ilvl w:val="0"/>
                <w:numId w:val="0"/>
              </w:numPr>
              <w:spacing w:line="360" w:lineRule="auto"/>
              <w:ind w:firstLine="480" w:firstLineChars="200"/>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cs="Times New Roman"/>
                <w:b w:val="0"/>
                <w:bCs w:val="0"/>
                <w:color w:val="auto"/>
                <w:kern w:val="21"/>
                <w:sz w:val="24"/>
                <w:szCs w:val="24"/>
                <w:highlight w:val="none"/>
                <w:lang w:val="en-US" w:eastAsia="zh-CN" w:bidi="ar"/>
              </w:rPr>
              <w:t>本项目为</w:t>
            </w:r>
            <w:r>
              <w:rPr>
                <w:rFonts w:hint="default" w:ascii="Times New Roman" w:hAnsi="Times New Roman" w:cs="Times New Roman"/>
                <w:color w:val="auto"/>
                <w:sz w:val="24"/>
                <w:highlight w:val="none"/>
              </w:rPr>
              <w:t>砼结构构件制造类项目</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不属于</w:t>
            </w:r>
            <w:r>
              <w:rPr>
                <w:rFonts w:hint="default" w:ascii="Times New Roman" w:hAnsi="Times New Roman" w:eastAsia="宋体" w:cs="Times New Roman"/>
                <w:color w:val="auto"/>
                <w:kern w:val="2"/>
                <w:sz w:val="24"/>
                <w:szCs w:val="24"/>
                <w:highlight w:val="none"/>
                <w:lang w:val="en-US" w:eastAsia="zh-CN" w:bidi="ar-SA"/>
              </w:rPr>
              <w:t>淘汰类目录</w:t>
            </w:r>
            <w:r>
              <w:rPr>
                <w:rFonts w:hint="default" w:ascii="Times New Roman" w:hAnsi="Times New Roman" w:cs="Times New Roman"/>
                <w:color w:val="auto"/>
                <w:kern w:val="2"/>
                <w:sz w:val="24"/>
                <w:szCs w:val="24"/>
                <w:highlight w:val="none"/>
                <w:lang w:val="en-US" w:eastAsia="zh-CN" w:bidi="ar-SA"/>
              </w:rPr>
              <w:t>内的项目，</w:t>
            </w:r>
            <w:r>
              <w:rPr>
                <w:rFonts w:hint="default" w:ascii="Times New Roman" w:hAnsi="Times New Roman" w:eastAsia="宋体" w:cs="Times New Roman"/>
                <w:b w:val="0"/>
                <w:bCs w:val="0"/>
                <w:color w:val="auto"/>
                <w:kern w:val="2"/>
                <w:sz w:val="24"/>
                <w:szCs w:val="24"/>
                <w:highlight w:val="none"/>
                <w:lang w:val="en-US" w:eastAsia="zh-CN" w:bidi="ar-SA"/>
              </w:rPr>
              <w:t>因此，本项目符合</w:t>
            </w:r>
            <w:r>
              <w:rPr>
                <w:rFonts w:hint="default" w:ascii="Times New Roman" w:hAnsi="Times New Roman"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新疆维吾尔自治区</w:t>
            </w:r>
            <w:r>
              <w:rPr>
                <w:rFonts w:hint="default" w:ascii="Times New Roman" w:hAnsi="Times New Roman" w:eastAsia="宋体" w:cs="Times New Roman"/>
                <w:b w:val="0"/>
                <w:bCs w:val="0"/>
                <w:color w:val="auto"/>
                <w:kern w:val="2"/>
                <w:sz w:val="24"/>
                <w:szCs w:val="24"/>
                <w:highlight w:val="none"/>
                <w:lang w:val="en-US" w:eastAsia="zh-CN" w:bidi="ar-SA"/>
              </w:rPr>
              <w:fldChar w:fldCharType="begin"/>
            </w:r>
            <w:r>
              <w:rPr>
                <w:rFonts w:hint="default" w:ascii="Times New Roman" w:hAnsi="Times New Roman" w:eastAsia="宋体" w:cs="Times New Roman"/>
                <w:b w:val="0"/>
                <w:bCs w:val="0"/>
                <w:color w:val="auto"/>
                <w:kern w:val="2"/>
                <w:sz w:val="24"/>
                <w:szCs w:val="24"/>
                <w:highlight w:val="none"/>
                <w:lang w:val="en-US" w:eastAsia="zh-CN" w:bidi="ar-SA"/>
              </w:rPr>
              <w:instrText xml:space="preserve"> HYPERLINK "http://www.chndaqi.com/news/field?fid=47" \o "大气污染防治" \t "https://www.chndaqi.com/news/_blank" </w:instrText>
            </w:r>
            <w:r>
              <w:rPr>
                <w:rFonts w:hint="default" w:ascii="Times New Roman" w:hAnsi="Times New Roman" w:eastAsia="宋体" w:cs="Times New Roman"/>
                <w:b w:val="0"/>
                <w:bCs w:val="0"/>
                <w:color w:val="auto"/>
                <w:kern w:val="2"/>
                <w:sz w:val="24"/>
                <w:szCs w:val="24"/>
                <w:highlight w:val="none"/>
                <w:lang w:val="en-US" w:eastAsia="zh-CN" w:bidi="ar-SA"/>
              </w:rPr>
              <w:fldChar w:fldCharType="separate"/>
            </w:r>
            <w:r>
              <w:rPr>
                <w:rFonts w:hint="default" w:ascii="Times New Roman" w:hAnsi="Times New Roman" w:eastAsia="宋体" w:cs="Times New Roman"/>
                <w:b w:val="0"/>
                <w:bCs w:val="0"/>
                <w:color w:val="auto"/>
                <w:kern w:val="2"/>
                <w:sz w:val="24"/>
                <w:szCs w:val="24"/>
                <w:highlight w:val="none"/>
                <w:lang w:val="en-US" w:eastAsia="zh-CN" w:bidi="ar-SA"/>
              </w:rPr>
              <w:t>大气污染防治</w:t>
            </w:r>
            <w:r>
              <w:rPr>
                <w:rFonts w:hint="default" w:ascii="Times New Roman" w:hAnsi="Times New Roman" w:eastAsia="宋体" w:cs="Times New Roman"/>
                <w:b w:val="0"/>
                <w:bCs w:val="0"/>
                <w:color w:val="auto"/>
                <w:kern w:val="2"/>
                <w:sz w:val="24"/>
                <w:szCs w:val="24"/>
                <w:highlight w:val="none"/>
                <w:lang w:val="en-US" w:eastAsia="zh-CN" w:bidi="ar-SA"/>
              </w:rPr>
              <w:fldChar w:fldCharType="end"/>
            </w:r>
            <w:r>
              <w:rPr>
                <w:rFonts w:hint="default" w:ascii="Times New Roman" w:hAnsi="Times New Roman" w:eastAsia="宋体" w:cs="Times New Roman"/>
                <w:b w:val="0"/>
                <w:bCs w:val="0"/>
                <w:color w:val="auto"/>
                <w:kern w:val="2"/>
                <w:sz w:val="24"/>
                <w:szCs w:val="24"/>
                <w:highlight w:val="none"/>
                <w:lang w:val="en-US" w:eastAsia="zh-CN" w:bidi="ar-SA"/>
              </w:rPr>
              <w:t>条例》的相关要求</w:t>
            </w:r>
            <w:r>
              <w:rPr>
                <w:rFonts w:hint="default" w:ascii="Times New Roman" w:hAnsi="Times New Roman" w:eastAsia="宋体" w:cs="Times New Roman"/>
                <w:b w:val="0"/>
                <w:bCs w:val="0"/>
                <w:color w:val="auto"/>
                <w:kern w:val="0"/>
                <w:sz w:val="24"/>
                <w:szCs w:val="24"/>
                <w:highlight w:val="none"/>
                <w:lang w:val="en-US" w:eastAsia="zh-CN" w:bidi="ar-SA"/>
              </w:rPr>
              <w:t>。</w:t>
            </w:r>
          </w:p>
          <w:p w14:paraId="3E97536B">
            <w:pPr>
              <w:pStyle w:val="1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0" w:firstLineChars="0"/>
              <w:textAlignment w:val="auto"/>
              <w:rPr>
                <w:rFonts w:hint="default" w:ascii="Times New Roman" w:hAnsi="Times New Roman" w:eastAsia="宋体" w:cs="Times New Roman"/>
                <w:b/>
                <w:bCs/>
                <w:color w:val="auto"/>
                <w:spacing w:val="0"/>
                <w:position w:val="0"/>
                <w:sz w:val="24"/>
                <w:szCs w:val="24"/>
                <w:highlight w:val="none"/>
                <w:vertAlign w:val="baseline"/>
              </w:rPr>
            </w:pPr>
            <w:r>
              <w:rPr>
                <w:rFonts w:hint="eastAsia" w:ascii="Times New Roman" w:hAnsi="Times New Roman" w:cs="Times New Roman"/>
                <w:b/>
                <w:bCs/>
                <w:color w:val="auto"/>
                <w:sz w:val="24"/>
                <w:highlight w:val="none"/>
                <w:lang w:val="en-US" w:eastAsia="zh-CN"/>
              </w:rPr>
              <w:t>6</w:t>
            </w:r>
            <w:r>
              <w:rPr>
                <w:rFonts w:hint="default" w:ascii="Times New Roman" w:hAnsi="Times New Roman" w:cs="Times New Roman"/>
                <w:b/>
                <w:bCs/>
                <w:color w:val="auto"/>
                <w:sz w:val="24"/>
                <w:highlight w:val="none"/>
                <w:lang w:val="en-US" w:eastAsia="zh-CN"/>
              </w:rPr>
              <w:t>.</w:t>
            </w:r>
            <w:r>
              <w:rPr>
                <w:rFonts w:hint="default" w:ascii="Times New Roman" w:hAnsi="Times New Roman" w:eastAsia="宋体" w:cs="Times New Roman"/>
                <w:b/>
                <w:bCs/>
                <w:color w:val="auto"/>
                <w:spacing w:val="0"/>
                <w:position w:val="0"/>
                <w:sz w:val="24"/>
                <w:szCs w:val="24"/>
                <w:highlight w:val="none"/>
                <w:vertAlign w:val="baseline"/>
              </w:rPr>
              <w:t>与《</w:t>
            </w:r>
            <w:r>
              <w:rPr>
                <w:rFonts w:hint="default" w:ascii="Times New Roman" w:hAnsi="Times New Roman" w:eastAsia="宋体" w:cs="Times New Roman"/>
                <w:b/>
                <w:bCs/>
                <w:color w:val="auto"/>
                <w:sz w:val="24"/>
                <w:szCs w:val="24"/>
                <w:highlight w:val="none"/>
              </w:rPr>
              <w:t>工业料场堆场扬尘整治技术规范</w:t>
            </w:r>
            <w:r>
              <w:rPr>
                <w:rFonts w:hint="default" w:ascii="Times New Roman" w:hAnsi="Times New Roman" w:eastAsia="宋体" w:cs="Times New Roman"/>
                <w:b/>
                <w:bCs/>
                <w:color w:val="auto"/>
                <w:spacing w:val="0"/>
                <w:position w:val="0"/>
                <w:sz w:val="24"/>
                <w:szCs w:val="24"/>
                <w:highlight w:val="none"/>
                <w:vertAlign w:val="baseline"/>
              </w:rPr>
              <w:t>》（DB65/T4061-2017）符合性分析</w:t>
            </w:r>
          </w:p>
          <w:p w14:paraId="6774BB3C">
            <w:pPr>
              <w:pStyle w:val="1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both"/>
              <w:textAlignment w:val="auto"/>
              <w:rPr>
                <w:rFonts w:hint="default" w:ascii="Times New Roman" w:hAnsi="Times New Roman" w:eastAsia="宋体" w:cs="Times New Roman"/>
                <w:color w:val="auto"/>
                <w:spacing w:val="0"/>
                <w:position w:val="0"/>
                <w:sz w:val="24"/>
                <w:szCs w:val="24"/>
                <w:highlight w:val="none"/>
                <w:vertAlign w:val="baseline"/>
              </w:rPr>
            </w:pPr>
            <w:r>
              <w:rPr>
                <w:rFonts w:hint="default" w:ascii="Times New Roman" w:hAnsi="Times New Roman" w:eastAsia="宋体" w:cs="Times New Roman"/>
                <w:b w:val="0"/>
                <w:bCs w:val="0"/>
                <w:color w:val="auto"/>
                <w:spacing w:val="0"/>
                <w:position w:val="0"/>
                <w:sz w:val="24"/>
                <w:szCs w:val="24"/>
                <w:highlight w:val="none"/>
                <w:vertAlign w:val="baseline"/>
                <w:lang w:val="en-US" w:eastAsia="zh-CN"/>
              </w:rPr>
              <w:t>根据</w:t>
            </w:r>
            <w:r>
              <w:rPr>
                <w:rFonts w:hint="default" w:ascii="Times New Roman" w:hAnsi="Times New Roman" w:eastAsia="宋体" w:cs="Times New Roman"/>
                <w:b w:val="0"/>
                <w:bCs w:val="0"/>
                <w:color w:val="auto"/>
                <w:spacing w:val="0"/>
                <w:position w:val="0"/>
                <w:sz w:val="24"/>
                <w:szCs w:val="24"/>
                <w:highlight w:val="none"/>
                <w:vertAlign w:val="baseline"/>
              </w:rPr>
              <w:t>《</w:t>
            </w:r>
            <w:r>
              <w:rPr>
                <w:rFonts w:hint="default" w:ascii="Times New Roman" w:hAnsi="Times New Roman" w:eastAsia="宋体" w:cs="Times New Roman"/>
                <w:b w:val="0"/>
                <w:bCs/>
                <w:color w:val="auto"/>
                <w:sz w:val="24"/>
                <w:szCs w:val="24"/>
                <w:highlight w:val="none"/>
              </w:rPr>
              <w:t>工业料场堆场扬尘整治技术规范</w:t>
            </w:r>
            <w:r>
              <w:rPr>
                <w:rFonts w:hint="default" w:ascii="Times New Roman" w:hAnsi="Times New Roman" w:eastAsia="宋体" w:cs="Times New Roman"/>
                <w:b w:val="0"/>
                <w:bCs w:val="0"/>
                <w:color w:val="auto"/>
                <w:spacing w:val="0"/>
                <w:position w:val="0"/>
                <w:sz w:val="24"/>
                <w:szCs w:val="24"/>
                <w:highlight w:val="none"/>
                <w:vertAlign w:val="baseline"/>
              </w:rPr>
              <w:t>》（DB65/T4061-2017）</w:t>
            </w:r>
            <w:r>
              <w:rPr>
                <w:rFonts w:hint="default" w:ascii="Times New Roman" w:hAnsi="Times New Roman" w:eastAsia="宋体" w:cs="Times New Roman"/>
                <w:b w:val="0"/>
                <w:bCs w:val="0"/>
                <w:color w:val="auto"/>
                <w:spacing w:val="0"/>
                <w:position w:val="0"/>
                <w:sz w:val="24"/>
                <w:szCs w:val="24"/>
                <w:highlight w:val="none"/>
                <w:vertAlign w:val="baseline"/>
                <w:lang w:val="en-US" w:eastAsia="zh-CN"/>
              </w:rPr>
              <w:t>的</w:t>
            </w:r>
            <w:r>
              <w:rPr>
                <w:rFonts w:hint="default" w:ascii="Times New Roman" w:hAnsi="Times New Roman" w:eastAsia="宋体" w:cs="Times New Roman"/>
                <w:b w:val="0"/>
                <w:bCs w:val="0"/>
                <w:color w:val="auto"/>
                <w:spacing w:val="0"/>
                <w:position w:val="0"/>
                <w:sz w:val="24"/>
                <w:szCs w:val="24"/>
                <w:highlight w:val="none"/>
                <w:vertAlign w:val="baseline"/>
              </w:rPr>
              <w:t>文件</w:t>
            </w:r>
            <w:r>
              <w:rPr>
                <w:rFonts w:hint="default" w:ascii="Times New Roman" w:hAnsi="Times New Roman" w:eastAsia="宋体" w:cs="Times New Roman"/>
                <w:b w:val="0"/>
                <w:bCs w:val="0"/>
                <w:color w:val="auto"/>
                <w:spacing w:val="0"/>
                <w:position w:val="0"/>
                <w:sz w:val="24"/>
                <w:szCs w:val="24"/>
                <w:highlight w:val="none"/>
                <w:vertAlign w:val="baseline"/>
                <w:lang w:val="en-US" w:eastAsia="zh-CN"/>
              </w:rPr>
              <w:t>要求</w:t>
            </w:r>
            <w:r>
              <w:rPr>
                <w:rFonts w:hint="default" w:ascii="Times New Roman" w:hAnsi="Times New Roman" w:eastAsia="宋体" w:cs="Times New Roman"/>
                <w:b w:val="0"/>
                <w:bCs w:val="0"/>
                <w:color w:val="auto"/>
                <w:spacing w:val="0"/>
                <w:position w:val="0"/>
                <w:sz w:val="24"/>
                <w:szCs w:val="24"/>
                <w:highlight w:val="none"/>
                <w:vertAlign w:val="baseline"/>
              </w:rPr>
              <w:t>：“5.7工业料堆场内应采用连续输送设备将物料送往用户，避免二次中</w:t>
            </w:r>
            <w:r>
              <w:rPr>
                <w:rFonts w:hint="default" w:ascii="Times New Roman" w:hAnsi="Times New Roman" w:eastAsia="宋体" w:cs="Times New Roman"/>
                <w:color w:val="auto"/>
                <w:spacing w:val="0"/>
                <w:position w:val="0"/>
                <w:sz w:val="24"/>
                <w:szCs w:val="24"/>
                <w:highlight w:val="none"/>
                <w:vertAlign w:val="baseline"/>
              </w:rPr>
              <w:t>转倒运。5.8对工业料堆场内装卸、运输等作业过程中，易产生扬尘污染的物料必须采取封闭、遮盖、洒水降尘措施，密闭输送物料必须在装料、卸料处配备吸尘、喷淋防尘措施。”</w:t>
            </w:r>
          </w:p>
          <w:p w14:paraId="353D7A09">
            <w:pPr>
              <w:pStyle w:val="1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both"/>
              <w:textAlignment w:val="auto"/>
              <w:rPr>
                <w:rFonts w:hint="default" w:ascii="Times New Roman" w:hAnsi="Times New Roman" w:cs="Times New Roman"/>
                <w:b w:val="0"/>
                <w:bCs w:val="0"/>
                <w:color w:val="auto"/>
                <w:spacing w:val="0"/>
                <w:position w:val="0"/>
                <w:sz w:val="24"/>
                <w:szCs w:val="24"/>
                <w:highlight w:val="none"/>
                <w:vertAlign w:val="baseline"/>
                <w:lang w:val="en-US" w:eastAsia="zh-CN"/>
              </w:rPr>
            </w:pPr>
            <w:r>
              <w:rPr>
                <w:rFonts w:hint="default" w:ascii="Times New Roman" w:hAnsi="Times New Roman" w:eastAsia="宋体" w:cs="Times New Roman"/>
                <w:color w:val="auto"/>
                <w:spacing w:val="0"/>
                <w:position w:val="0"/>
                <w:sz w:val="24"/>
                <w:szCs w:val="24"/>
                <w:highlight w:val="none"/>
                <w:vertAlign w:val="baseline"/>
              </w:rPr>
              <w:t>本项目</w:t>
            </w:r>
            <w:r>
              <w:rPr>
                <w:rFonts w:hint="default" w:ascii="Times New Roman" w:hAnsi="Times New Roman" w:cs="Times New Roman"/>
                <w:color w:val="auto"/>
                <w:spacing w:val="0"/>
                <w:position w:val="0"/>
                <w:sz w:val="24"/>
                <w:szCs w:val="24"/>
                <w:highlight w:val="none"/>
                <w:vertAlign w:val="baseline"/>
                <w:lang w:val="en-US" w:eastAsia="zh-CN"/>
              </w:rPr>
              <w:t>运营期物料为水泥、砂石骨料，砂石</w:t>
            </w:r>
            <w:r>
              <w:rPr>
                <w:rFonts w:hint="default" w:ascii="Times New Roman" w:hAnsi="Times New Roman" w:eastAsia="宋体" w:cs="Times New Roman"/>
                <w:color w:val="auto"/>
                <w:spacing w:val="0"/>
                <w:position w:val="0"/>
                <w:sz w:val="24"/>
                <w:szCs w:val="24"/>
                <w:highlight w:val="none"/>
                <w:vertAlign w:val="baseline"/>
                <w:lang w:val="en-US" w:eastAsia="zh-CN"/>
              </w:rPr>
              <w:t>骨料储存</w:t>
            </w:r>
            <w:r>
              <w:rPr>
                <w:rFonts w:hint="eastAsia" w:ascii="Times New Roman" w:hAnsi="Times New Roman" w:eastAsia="宋体" w:cs="Times New Roman"/>
                <w:color w:val="auto"/>
                <w:spacing w:val="0"/>
                <w:position w:val="0"/>
                <w:sz w:val="24"/>
                <w:szCs w:val="24"/>
                <w:highlight w:val="none"/>
                <w:vertAlign w:val="baseline"/>
                <w:lang w:val="en-US" w:eastAsia="zh-CN"/>
              </w:rPr>
              <w:t>堆放于</w:t>
            </w:r>
            <w:r>
              <w:rPr>
                <w:rFonts w:hint="eastAsia" w:ascii="Times New Roman" w:hAnsi="Times New Roman" w:cs="Times New Roman"/>
                <w:color w:val="auto"/>
                <w:spacing w:val="0"/>
                <w:position w:val="0"/>
                <w:sz w:val="24"/>
                <w:szCs w:val="24"/>
                <w:highlight w:val="none"/>
                <w:vertAlign w:val="baseline"/>
                <w:lang w:val="en-US" w:eastAsia="zh-CN"/>
              </w:rPr>
              <w:t>全</w:t>
            </w:r>
            <w:r>
              <w:rPr>
                <w:rFonts w:hint="eastAsia" w:ascii="Times New Roman" w:hAnsi="Times New Roman" w:eastAsia="宋体" w:cs="Times New Roman"/>
                <w:color w:val="auto"/>
                <w:spacing w:val="0"/>
                <w:position w:val="0"/>
                <w:sz w:val="24"/>
                <w:szCs w:val="24"/>
                <w:highlight w:val="none"/>
                <w:vertAlign w:val="baseline"/>
                <w:lang w:val="en-US" w:eastAsia="zh-CN"/>
              </w:rPr>
              <w:t>封闭堆场内，加盖篷布，堆放场地面均硬化处理。</w:t>
            </w:r>
            <w:r>
              <w:rPr>
                <w:rFonts w:hint="default" w:ascii="Times New Roman" w:hAnsi="Times New Roman" w:eastAsia="宋体" w:cs="Times New Roman"/>
                <w:color w:val="auto"/>
                <w:spacing w:val="0"/>
                <w:position w:val="0"/>
                <w:sz w:val="24"/>
                <w:szCs w:val="24"/>
                <w:highlight w:val="none"/>
                <w:vertAlign w:val="baseline"/>
                <w:lang w:val="en-US" w:eastAsia="zh-CN"/>
              </w:rPr>
              <w:t>水</w:t>
            </w:r>
            <w:r>
              <w:rPr>
                <w:rFonts w:hint="default" w:ascii="Times New Roman" w:hAnsi="Times New Roman" w:cs="Times New Roman"/>
                <w:color w:val="auto"/>
                <w:spacing w:val="0"/>
                <w:position w:val="0"/>
                <w:sz w:val="24"/>
                <w:szCs w:val="24"/>
                <w:highlight w:val="none"/>
                <w:vertAlign w:val="baseline"/>
                <w:lang w:val="en-US" w:eastAsia="zh-CN"/>
              </w:rPr>
              <w:t>泥存储</w:t>
            </w:r>
            <w:r>
              <w:rPr>
                <w:rFonts w:hint="default" w:ascii="Times New Roman" w:hAnsi="Times New Roman" w:cs="Times New Roman"/>
                <w:b w:val="0"/>
                <w:bCs w:val="0"/>
                <w:color w:val="auto"/>
                <w:spacing w:val="0"/>
                <w:position w:val="0"/>
                <w:sz w:val="24"/>
                <w:szCs w:val="24"/>
                <w:highlight w:val="none"/>
                <w:vertAlign w:val="baseline"/>
                <w:lang w:val="en-US" w:eastAsia="zh-CN"/>
              </w:rPr>
              <w:t>在水泥料仓内，水泥料仓顶部设有滤筒，能够有效降低水泥粉尘的无组织排放。</w:t>
            </w:r>
          </w:p>
          <w:p w14:paraId="4D2A7525">
            <w:pPr>
              <w:pStyle w:val="10"/>
              <w:keepNext w:val="0"/>
              <w:keepLines w:val="0"/>
              <w:pageBreakBefore w:val="0"/>
              <w:widowControl w:val="0"/>
              <w:kinsoku/>
              <w:wordWrap/>
              <w:overflowPunct/>
              <w:topLinePunct w:val="0"/>
              <w:autoSpaceDE w:val="0"/>
              <w:autoSpaceDN w:val="0"/>
              <w:bidi w:val="0"/>
              <w:adjustRightInd/>
              <w:snapToGrid/>
              <w:spacing w:before="0" w:after="0" w:line="360" w:lineRule="auto"/>
              <w:ind w:left="0" w:right="0"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b w:val="0"/>
                <w:bCs w:val="0"/>
                <w:color w:val="auto"/>
                <w:spacing w:val="0"/>
                <w:position w:val="0"/>
                <w:sz w:val="24"/>
                <w:szCs w:val="24"/>
                <w:highlight w:val="none"/>
                <w:vertAlign w:val="baseline"/>
                <w:lang w:val="en-US" w:eastAsia="zh-CN"/>
              </w:rPr>
              <w:t>综上，本项目的料场</w:t>
            </w:r>
            <w:r>
              <w:rPr>
                <w:rFonts w:hint="default" w:ascii="Times New Roman" w:hAnsi="Times New Roman" w:eastAsia="宋体" w:cs="Times New Roman"/>
                <w:b w:val="0"/>
                <w:bCs w:val="0"/>
                <w:color w:val="auto"/>
                <w:sz w:val="24"/>
                <w:szCs w:val="24"/>
                <w:highlight w:val="none"/>
              </w:rPr>
              <w:t>堆场扬尘</w:t>
            </w:r>
            <w:r>
              <w:rPr>
                <w:rFonts w:hint="default" w:ascii="Times New Roman" w:hAnsi="Times New Roman" w:eastAsia="宋体" w:cs="Times New Roman"/>
                <w:b w:val="0"/>
                <w:bCs w:val="0"/>
                <w:color w:val="auto"/>
                <w:spacing w:val="0"/>
                <w:position w:val="0"/>
                <w:sz w:val="24"/>
                <w:szCs w:val="24"/>
                <w:highlight w:val="none"/>
                <w:vertAlign w:val="baseline"/>
              </w:rPr>
              <w:t>符合《</w:t>
            </w:r>
            <w:r>
              <w:rPr>
                <w:rFonts w:hint="default" w:ascii="Times New Roman" w:hAnsi="Times New Roman" w:eastAsia="宋体" w:cs="Times New Roman"/>
                <w:b w:val="0"/>
                <w:bCs w:val="0"/>
                <w:color w:val="auto"/>
                <w:sz w:val="24"/>
                <w:szCs w:val="24"/>
                <w:highlight w:val="none"/>
              </w:rPr>
              <w:t>工业料场堆场扬尘整治技术规范</w:t>
            </w:r>
            <w:r>
              <w:rPr>
                <w:rFonts w:hint="default" w:ascii="Times New Roman" w:hAnsi="Times New Roman" w:eastAsia="宋体" w:cs="Times New Roman"/>
                <w:b w:val="0"/>
                <w:bCs w:val="0"/>
                <w:color w:val="auto"/>
                <w:spacing w:val="0"/>
                <w:position w:val="0"/>
                <w:sz w:val="24"/>
                <w:szCs w:val="24"/>
                <w:highlight w:val="none"/>
                <w:vertAlign w:val="baseline"/>
              </w:rPr>
              <w:t>》（DB65/T4061-2017）要求。</w:t>
            </w:r>
          </w:p>
          <w:p w14:paraId="244B93F7">
            <w:pPr>
              <w:pStyle w:val="29"/>
              <w:spacing w:line="360" w:lineRule="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lang w:val="en-US"/>
              </w:rPr>
              <w:t>.</w:t>
            </w:r>
            <w:r>
              <w:rPr>
                <w:rFonts w:hint="eastAsia" w:ascii="Times New Roman" w:hAnsi="Times New Roman" w:cs="Times New Roman"/>
                <w:b/>
                <w:bCs/>
                <w:color w:val="auto"/>
                <w:sz w:val="24"/>
                <w:highlight w:val="none"/>
                <w:lang w:val="en-US" w:eastAsia="zh-CN"/>
              </w:rPr>
              <w:t>与</w:t>
            </w:r>
            <w:r>
              <w:rPr>
                <w:rFonts w:hint="default" w:ascii="Times New Roman" w:hAnsi="Times New Roman" w:cs="Times New Roman"/>
                <w:b/>
                <w:bCs/>
                <w:color w:val="auto"/>
                <w:sz w:val="24"/>
                <w:highlight w:val="none"/>
              </w:rPr>
              <w:t>《空气质量持续改善行动计划》</w:t>
            </w:r>
            <w:r>
              <w:rPr>
                <w:rFonts w:hint="default" w:ascii="Times New Roman" w:hAnsi="Times New Roman" w:eastAsia="宋体" w:cs="Times New Roman"/>
                <w:b/>
                <w:bCs/>
                <w:color w:val="auto"/>
                <w:spacing w:val="0"/>
                <w:position w:val="0"/>
                <w:sz w:val="24"/>
                <w:szCs w:val="24"/>
                <w:highlight w:val="none"/>
                <w:vertAlign w:val="baseline"/>
              </w:rPr>
              <w:t>符合性分析</w:t>
            </w:r>
          </w:p>
          <w:p w14:paraId="6945F634">
            <w:pPr>
              <w:numPr>
                <w:ilvl w:val="0"/>
                <w:numId w:val="0"/>
              </w:numPr>
              <w:spacing w:line="360" w:lineRule="auto"/>
              <w:ind w:firstLine="480" w:firstLineChars="200"/>
              <w:jc w:val="left"/>
              <w:rPr>
                <w:rFonts w:hint="eastAsia" w:eastAsia="宋体" w:cs="Times New Roman"/>
                <w:color w:val="auto"/>
                <w:kern w:val="0"/>
                <w:sz w:val="24"/>
                <w:lang w:val="en-US" w:eastAsia="zh-CN"/>
              </w:rPr>
            </w:pPr>
            <w:r>
              <w:rPr>
                <w:rFonts w:hint="eastAsia" w:eastAsia="宋体" w:cs="Times New Roman"/>
                <w:color w:val="auto"/>
                <w:kern w:val="0"/>
                <w:sz w:val="24"/>
                <w:lang w:val="en-US" w:eastAsia="zh-CN"/>
              </w:rPr>
              <w:t>根据《空气质量持续改善行动计划》中第（十八）条：深化扬尘污染综合治理，将防治扬尘污染费用纳入工程造价，物料堆场基本完成抑尘设施建设和物料输送系统封闭改造。</w:t>
            </w:r>
          </w:p>
          <w:p w14:paraId="5A549C1C">
            <w:pPr>
              <w:autoSpaceDE w:val="0"/>
              <w:autoSpaceDN w:val="0"/>
              <w:adjustRightInd w:val="0"/>
              <w:snapToGrid w:val="0"/>
              <w:spacing w:line="360" w:lineRule="auto"/>
              <w:ind w:firstLine="480" w:firstLineChars="200"/>
              <w:rPr>
                <w:rFonts w:hint="eastAsia" w:ascii="Times New Roman" w:hAnsi="Times New Roman" w:eastAsia="宋体" w:cs="Times New Roman"/>
                <w:color w:val="auto"/>
                <w:kern w:val="0"/>
                <w:sz w:val="24"/>
              </w:rPr>
            </w:pPr>
            <w:r>
              <w:rPr>
                <w:rFonts w:hint="eastAsia" w:eastAsia="宋体" w:cs="Times New Roman"/>
                <w:color w:val="auto"/>
                <w:kern w:val="0"/>
                <w:sz w:val="24"/>
                <w:lang w:val="en-US" w:eastAsia="zh-CN"/>
              </w:rPr>
              <w:t>本项目</w:t>
            </w:r>
            <w:r>
              <w:rPr>
                <w:rFonts w:hint="eastAsia" w:ascii="Times New Roman" w:hAnsi="Times New Roman" w:eastAsia="宋体" w:cs="Times New Roman"/>
                <w:color w:val="auto"/>
                <w:kern w:val="0"/>
                <w:sz w:val="24"/>
              </w:rPr>
              <w:t>施工单位</w:t>
            </w:r>
            <w:r>
              <w:rPr>
                <w:rFonts w:hint="eastAsia" w:eastAsia="宋体" w:cs="Times New Roman"/>
                <w:color w:val="auto"/>
                <w:kern w:val="0"/>
                <w:sz w:val="24"/>
                <w:lang w:val="en-US" w:eastAsia="zh-CN"/>
              </w:rPr>
              <w:t>会</w:t>
            </w:r>
            <w:r>
              <w:rPr>
                <w:rFonts w:hint="eastAsia" w:ascii="Times New Roman" w:hAnsi="Times New Roman" w:eastAsia="宋体" w:cs="Times New Roman"/>
                <w:color w:val="auto"/>
                <w:kern w:val="0"/>
                <w:sz w:val="24"/>
              </w:rPr>
              <w:t>采取下列防尘措施：</w:t>
            </w:r>
          </w:p>
          <w:p w14:paraId="2FBCA82F">
            <w:pPr>
              <w:autoSpaceDE w:val="0"/>
              <w:autoSpaceDN w:val="0"/>
              <w:adjustRightInd w:val="0"/>
              <w:snapToGrid w:val="0"/>
              <w:spacing w:line="360" w:lineRule="auto"/>
              <w:ind w:firstLine="480" w:firstLineChars="200"/>
              <w:rPr>
                <w:rFonts w:ascii="Times New Roman" w:hAnsi="Times New Roman" w:eastAsia="宋体" w:cs="Times New Roman"/>
                <w:color w:val="auto"/>
                <w:kern w:val="0"/>
                <w:sz w:val="24"/>
              </w:rPr>
            </w:pPr>
            <w:r>
              <w:rPr>
                <w:rFonts w:hint="eastAsia" w:ascii="Times New Roman" w:hAnsi="Times New Roman" w:eastAsia="宋体" w:cs="Times New Roman"/>
                <w:color w:val="auto"/>
                <w:kern w:val="0"/>
                <w:sz w:val="24"/>
              </w:rPr>
              <w:t>①建设工程开工前，按照标准在施工现场周边设置围挡，并对围挡进行维护；</w:t>
            </w:r>
          </w:p>
          <w:p w14:paraId="1EC5114C">
            <w:pPr>
              <w:autoSpaceDE w:val="0"/>
              <w:autoSpaceDN w:val="0"/>
              <w:adjustRightInd w:val="0"/>
              <w:snapToGrid w:val="0"/>
              <w:spacing w:line="360" w:lineRule="auto"/>
              <w:ind w:firstLine="480" w:firstLineChars="200"/>
              <w:rPr>
                <w:rFonts w:ascii="Times New Roman" w:hAnsi="Times New Roman" w:eastAsia="宋体" w:cs="Times New Roman"/>
                <w:color w:val="auto"/>
                <w:kern w:val="0"/>
                <w:sz w:val="24"/>
              </w:rPr>
            </w:pPr>
            <w:r>
              <w:rPr>
                <w:rFonts w:hint="eastAsia" w:ascii="Times New Roman" w:hAnsi="Times New Roman" w:eastAsia="宋体" w:cs="Times New Roman"/>
                <w:color w:val="auto"/>
                <w:kern w:val="0"/>
                <w:sz w:val="24"/>
              </w:rPr>
              <w:t>②在施工现场出入口公示施工现场负责人、环保监督员、扬尘污染主要控制措施、举报电话等信息；</w:t>
            </w:r>
          </w:p>
          <w:p w14:paraId="6F784BF5">
            <w:pPr>
              <w:pStyle w:val="42"/>
              <w:spacing w:line="360" w:lineRule="auto"/>
              <w:ind w:firstLine="480"/>
              <w:rPr>
                <w:rFonts w:hint="eastAsia"/>
                <w:b/>
                <w:bCs/>
                <w:snapToGrid w:val="0"/>
                <w:color w:val="auto"/>
                <w:kern w:val="0"/>
                <w:sz w:val="24"/>
                <w:lang w:val="en-US" w:eastAsia="zh-CN"/>
              </w:rPr>
            </w:pPr>
            <w:r>
              <w:rPr>
                <w:rFonts w:hint="eastAsia" w:ascii="Times New Roman" w:hAnsi="Times New Roman" w:eastAsia="宋体" w:cs="Times New Roman"/>
                <w:color w:val="auto"/>
                <w:kern w:val="0"/>
                <w:sz w:val="24"/>
                <w:szCs w:val="24"/>
                <w:lang w:val="en-US" w:eastAsia="zh-CN" w:bidi="ar-SA"/>
              </w:rPr>
              <w:t>③对施工现场内主要道路和物料堆放场地进行硬化，对其他裸露场地进行覆盖或者临时洒水降尘，对土方进行集中堆放，并采取覆盖或者密闭等措施；</w:t>
            </w:r>
          </w:p>
          <w:p w14:paraId="439FDF22">
            <w:pPr>
              <w:pStyle w:val="29"/>
              <w:spacing w:line="360" w:lineRule="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8</w:t>
            </w:r>
            <w:r>
              <w:rPr>
                <w:rFonts w:hint="default" w:ascii="Times New Roman" w:hAnsi="Times New Roman" w:cs="Times New Roman"/>
                <w:b/>
                <w:bCs/>
                <w:color w:val="auto"/>
                <w:sz w:val="24"/>
                <w:highlight w:val="none"/>
                <w:lang w:val="en-US"/>
              </w:rPr>
              <w:t>.</w:t>
            </w:r>
            <w:r>
              <w:rPr>
                <w:rFonts w:hint="eastAsia" w:ascii="Times New Roman" w:hAnsi="Times New Roman" w:cs="Times New Roman"/>
                <w:b/>
                <w:bCs/>
                <w:color w:val="auto"/>
                <w:sz w:val="24"/>
                <w:highlight w:val="none"/>
                <w:lang w:val="en-US" w:eastAsia="zh-CN"/>
              </w:rPr>
              <w:t>与《关于深入打好污染防治攻坚战实施方案》符合性</w:t>
            </w:r>
            <w:r>
              <w:rPr>
                <w:rFonts w:hint="default" w:ascii="Times New Roman" w:hAnsi="Times New Roman" w:cs="Times New Roman"/>
                <w:b/>
                <w:bCs/>
                <w:color w:val="auto"/>
                <w:sz w:val="24"/>
                <w:highlight w:val="none"/>
              </w:rPr>
              <w:t>分析</w:t>
            </w:r>
          </w:p>
          <w:p w14:paraId="6545CF72">
            <w:pPr>
              <w:pStyle w:val="29"/>
              <w:spacing w:line="360" w:lineRule="auto"/>
              <w:ind w:firstLine="480" w:firstLineChars="200"/>
              <w:rPr>
                <w:rFonts w:hint="default" w:ascii="Times New Roman" w:hAnsi="Times New Roman" w:cs="Times New Roman"/>
                <w:b/>
                <w:bCs/>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关于深入打好污染防治攻坚战实施方案》中深入打好蓝天保卫战中的第（十四）条加强大气面源和噪声污染治理。提升城市精细化管理水平，强化施工、道路、堆场、裸露地面等扬尘管控，加强城市保洁和清扫。加大餐饮油烟污染、恶臭异味治理力度。强化秸秆综合利用和禁烧管控。</w:t>
            </w:r>
          </w:p>
          <w:p w14:paraId="72BCC70C">
            <w:pPr>
              <w:pStyle w:val="29"/>
              <w:spacing w:line="360" w:lineRule="auto"/>
              <w:ind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本项目为</w:t>
            </w:r>
            <w:r>
              <w:rPr>
                <w:rFonts w:hint="eastAsia" w:ascii="Times New Roman" w:hAnsi="Times New Roman" w:cs="Times New Roman"/>
                <w:color w:val="auto"/>
                <w:sz w:val="24"/>
                <w:highlight w:val="none"/>
                <w:lang w:val="en-US" w:eastAsia="zh-CN"/>
              </w:rPr>
              <w:t>砼结构构件制造类</w:t>
            </w:r>
            <w:r>
              <w:rPr>
                <w:rFonts w:hint="eastAsia" w:ascii="Times New Roman" w:hAnsi="Times New Roman" w:eastAsia="宋体" w:cs="Times New Roman"/>
                <w:color w:val="auto"/>
                <w:sz w:val="24"/>
                <w:highlight w:val="none"/>
                <w:lang w:val="en-US" w:eastAsia="zh-CN"/>
              </w:rPr>
              <w:t>项目，符合国家产业政策，不属于自治区、昌吉州发展定位的高污染、低效益产业转移项目；项目废气主要为粉尘、二氧化硫、氮氧化物，锅炉废气经低氮燃烧器处理后经15m排气筒（DA001）排放，搅拌时产生的搅拌废气由布袋除尘器处理后无组织排放；废水主要为生产废水和生活污水，生产废水循环使用，生活污水排入污水管网，最终通向吉木萨尔县第二污水处理厂；固废均能得到妥善处理。项目对环境影响较小。</w:t>
            </w:r>
          </w:p>
          <w:p w14:paraId="1FD3193C">
            <w:pPr>
              <w:pStyle w:val="29"/>
              <w:spacing w:line="360" w:lineRule="auto"/>
              <w:rPr>
                <w:rFonts w:hint="default" w:ascii="Times New Roman" w:hAnsi="Times New Roman" w:cs="Times New Roman"/>
                <w:b/>
                <w:bCs/>
                <w:color w:val="auto"/>
                <w:sz w:val="24"/>
                <w:highlight w:val="none"/>
              </w:rPr>
            </w:pPr>
            <w:r>
              <w:rPr>
                <w:rFonts w:hint="eastAsia" w:ascii="Times New Roman" w:hAnsi="Times New Roman" w:cs="Times New Roman"/>
                <w:b/>
                <w:bCs/>
                <w:color w:val="auto"/>
                <w:sz w:val="24"/>
                <w:highlight w:val="none"/>
                <w:lang w:val="en-US" w:eastAsia="zh-CN"/>
              </w:rPr>
              <w:t>9</w:t>
            </w:r>
            <w:r>
              <w:rPr>
                <w:rFonts w:hint="default" w:ascii="Times New Roman" w:hAnsi="Times New Roman" w:cs="Times New Roman"/>
                <w:b/>
                <w:bCs/>
                <w:color w:val="auto"/>
                <w:sz w:val="24"/>
                <w:highlight w:val="none"/>
                <w:lang w:val="en-US"/>
              </w:rPr>
              <w:t>.</w:t>
            </w:r>
            <w:r>
              <w:rPr>
                <w:rFonts w:hint="default" w:ascii="Times New Roman" w:hAnsi="Times New Roman" w:cs="Times New Roman"/>
                <w:b/>
                <w:bCs/>
                <w:color w:val="auto"/>
                <w:sz w:val="24"/>
                <w:highlight w:val="none"/>
              </w:rPr>
              <w:t>选址合理性分析</w:t>
            </w:r>
          </w:p>
          <w:p w14:paraId="457EC005">
            <w:pPr>
              <w:pStyle w:val="29"/>
              <w:tabs>
                <w:tab w:val="left" w:pos="1199"/>
              </w:tabs>
              <w:spacing w:line="360" w:lineRule="auto"/>
              <w:ind w:firstLine="480" w:firstLineChars="200"/>
              <w:rPr>
                <w:rFonts w:hint="default" w:ascii="Times New Roman" w:hAnsi="Times New Roman" w:cs="Times New Roman"/>
                <w:color w:val="auto"/>
                <w:kern w:val="0"/>
                <w:sz w:val="24"/>
                <w:highlight w:val="none"/>
                <w:lang w:val="en-US" w:eastAsia="zh-CN" w:bidi="ar"/>
              </w:rPr>
            </w:pPr>
            <w:r>
              <w:rPr>
                <w:rFonts w:hint="default" w:ascii="Times New Roman" w:hAnsi="Times New Roman" w:cs="Times New Roman"/>
                <w:color w:val="auto"/>
                <w:sz w:val="24"/>
                <w:highlight w:val="none"/>
                <w:lang w:val="en-US"/>
              </w:rPr>
              <w:t>（1）</w:t>
            </w:r>
            <w:r>
              <w:rPr>
                <w:rFonts w:hint="eastAsia"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val="en-US" w:eastAsia="zh-CN"/>
              </w:rPr>
              <w:t>位于吉木萨尔县北庭工业园区善成工业设备有限公司厂区内，善成工业设备有限公司为装备制造业，本项目租赁善成工业设备有限公司厂房及配套设施，本项目为砼结构构件制造类项目，产品为地下水管，为市政设施服务区提供配套设施，符合园区发展定位的相关要求。</w:t>
            </w:r>
          </w:p>
          <w:p w14:paraId="492B9DA5">
            <w:pPr>
              <w:pStyle w:val="29"/>
              <w:tabs>
                <w:tab w:val="left" w:pos="1193"/>
              </w:tabs>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rPr>
              <w:t>（2）</w:t>
            </w:r>
            <w:r>
              <w:rPr>
                <w:rFonts w:hint="default" w:ascii="Times New Roman" w:hAnsi="Times New Roman" w:cs="Times New Roman"/>
                <w:color w:val="auto"/>
                <w:sz w:val="24"/>
                <w:highlight w:val="none"/>
              </w:rPr>
              <w:t>项目所在区域基础设施配套完善，周围具有较完善地给水、供电、通信等基础设施条件，可以满足该项目生产需求。项目区所在地周围无饮用水保护区、基本农田保护区、生态脆弱区等社会关注区，本项目地处环境非敏感区。故本项目选址合理。</w:t>
            </w:r>
          </w:p>
          <w:p w14:paraId="7740A3AF">
            <w:pPr>
              <w:pStyle w:val="29"/>
              <w:tabs>
                <w:tab w:val="left" w:pos="1193"/>
              </w:tabs>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rPr>
              <w:t>3</w:t>
            </w:r>
            <w:r>
              <w:rPr>
                <w:rFonts w:hint="default" w:ascii="Times New Roman" w:hAnsi="Times New Roman" w:cs="Times New Roman"/>
                <w:color w:val="auto"/>
                <w:sz w:val="24"/>
                <w:highlight w:val="none"/>
              </w:rPr>
              <w:t>）项目用地性质为工业用地，用地不属于国土资发《关于发布实施&lt;限制用地项目目录（2012年本）和&lt;禁止用地项目目录（2012年本）&gt;的通知》中限制用地和禁止用地项目。本项目根据现场调查，项目周边市政道路及供排水、供电等基础设施已建成，项目所在区域交通便利，利于本项目建设。</w:t>
            </w:r>
          </w:p>
          <w:p w14:paraId="214167D7">
            <w:pPr>
              <w:pStyle w:val="29"/>
              <w:tabs>
                <w:tab w:val="left" w:pos="1199"/>
              </w:tabs>
              <w:spacing w:line="360" w:lineRule="auto"/>
              <w:ind w:firstLine="480" w:firstLineChars="200"/>
              <w:rPr>
                <w:rFonts w:hint="eastAsia"/>
                <w:snapToGrid w:val="0"/>
                <w:color w:val="auto"/>
                <w:kern w:val="0"/>
                <w:sz w:val="24"/>
              </w:rPr>
            </w:pP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rPr>
              <w:t>4</w:t>
            </w:r>
            <w:r>
              <w:rPr>
                <w:rFonts w:hint="default" w:ascii="Times New Roman" w:hAnsi="Times New Roman" w:cs="Times New Roman"/>
                <w:color w:val="auto"/>
                <w:sz w:val="24"/>
                <w:highlight w:val="none"/>
              </w:rPr>
              <w:t>）</w:t>
            </w:r>
            <w:r>
              <w:rPr>
                <w:rFonts w:hint="eastAsia"/>
                <w:snapToGrid w:val="0"/>
                <w:color w:val="auto"/>
                <w:kern w:val="0"/>
                <w:sz w:val="24"/>
              </w:rPr>
              <w:t>项目符合新疆和昌吉“三线一单”生态环境分区管控方案以及昌吉高新技术产业开发区园区规划。项目厂址所在地周围无名胜古迹、风景区、自然保护区等特殊环境敏感点，无明显的环境制约因素，不会与周围的其他服务项目和设施产生冲突。本项目建成投入使用后，在采取相应污染防治措施后，各类污染物可满足相应的排放标准。项目投产后不会降低区域环境功能，选址可行。</w:t>
            </w:r>
          </w:p>
          <w:p w14:paraId="6DBA11E7">
            <w:pPr>
              <w:pStyle w:val="29"/>
              <w:tabs>
                <w:tab w:val="left" w:pos="1199"/>
              </w:tabs>
              <w:spacing w:line="360" w:lineRule="auto"/>
              <w:ind w:firstLine="480" w:firstLineChars="200"/>
              <w:rPr>
                <w:rFonts w:hint="default"/>
                <w:snapToGrid w:val="0"/>
                <w:color w:val="auto"/>
                <w:kern w:val="0"/>
                <w:sz w:val="24"/>
                <w:lang w:val="en-US" w:eastAsia="zh-CN"/>
              </w:rPr>
            </w:pPr>
            <w:r>
              <w:rPr>
                <w:rFonts w:hint="default" w:ascii="Times New Roman" w:hAnsi="Times New Roman" w:cs="Times New Roman"/>
                <w:snapToGrid w:val="0"/>
                <w:color w:val="auto"/>
                <w:kern w:val="0"/>
                <w:sz w:val="24"/>
                <w:lang w:val="en-US" w:eastAsia="zh-CN"/>
              </w:rPr>
              <w:t>（5）</w:t>
            </w:r>
            <w:r>
              <w:rPr>
                <w:rFonts w:hint="default"/>
                <w:snapToGrid w:val="0"/>
                <w:color w:val="auto"/>
                <w:kern w:val="0"/>
                <w:sz w:val="24"/>
                <w:lang w:val="en-US" w:eastAsia="zh-CN"/>
              </w:rPr>
              <w:t>环境相容性</w:t>
            </w:r>
          </w:p>
          <w:p w14:paraId="42A91D95">
            <w:pPr>
              <w:pStyle w:val="29"/>
              <w:tabs>
                <w:tab w:val="left" w:pos="1199"/>
              </w:tabs>
              <w:spacing w:line="360" w:lineRule="auto"/>
              <w:ind w:firstLine="480" w:firstLineChars="200"/>
              <w:rPr>
                <w:rFonts w:hint="default"/>
                <w:snapToGrid w:val="0"/>
                <w:color w:val="auto"/>
                <w:kern w:val="0"/>
                <w:sz w:val="24"/>
              </w:rPr>
            </w:pPr>
            <w:r>
              <w:rPr>
                <w:rFonts w:hint="default"/>
                <w:snapToGrid w:val="0"/>
                <w:color w:val="auto"/>
                <w:kern w:val="0"/>
                <w:sz w:val="24"/>
                <w:lang w:val="en-US" w:eastAsia="zh-CN"/>
              </w:rPr>
              <w:t>本项目为</w:t>
            </w:r>
            <w:r>
              <w:rPr>
                <w:rFonts w:hint="eastAsia"/>
                <w:snapToGrid w:val="0"/>
                <w:color w:val="auto"/>
                <w:kern w:val="0"/>
                <w:sz w:val="24"/>
                <w:lang w:val="en-US" w:eastAsia="zh-CN"/>
              </w:rPr>
              <w:t>砼结构构件制造类</w:t>
            </w:r>
            <w:r>
              <w:rPr>
                <w:rFonts w:hint="default"/>
                <w:snapToGrid w:val="0"/>
                <w:color w:val="auto"/>
                <w:kern w:val="0"/>
                <w:sz w:val="24"/>
                <w:lang w:val="en-US" w:eastAsia="zh-CN"/>
              </w:rPr>
              <w:t>项目，根据现场勘查可知，本项目周边现状无与本项目冲突的企业存在，无对本项目敏感的企业存在。评价建议项目周边后期企业设置时考虑与本项目的相容性。</w:t>
            </w:r>
          </w:p>
          <w:p w14:paraId="17916034">
            <w:pPr>
              <w:pStyle w:val="29"/>
              <w:tabs>
                <w:tab w:val="left" w:pos="1199"/>
              </w:tabs>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w:t>同时，本项目工艺及产品对外环境无特殊要求，无其他制约因素，故本项目与外环境相容。综上，本项目选址合理。</w:t>
            </w:r>
          </w:p>
        </w:tc>
      </w:tr>
    </w:tbl>
    <w:p w14:paraId="0FE85972">
      <w:pPr>
        <w:rPr>
          <w:color w:val="auto"/>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14:paraId="5BDBCA17">
      <w:pPr>
        <w:spacing w:before="171" w:line="222" w:lineRule="auto"/>
        <w:ind w:left="3055"/>
        <w:outlineLvl w:val="0"/>
        <w:rPr>
          <w:rFonts w:ascii="黑体" w:hAnsi="黑体" w:eastAsia="黑体" w:cs="黑体"/>
          <w:color w:val="auto"/>
          <w:sz w:val="30"/>
          <w:szCs w:val="30"/>
        </w:rPr>
      </w:pPr>
      <w:r>
        <w:rPr>
          <w:rFonts w:ascii="黑体" w:hAnsi="黑体" w:eastAsia="黑体" w:cs="黑体"/>
          <w:color w:val="auto"/>
          <w:spacing w:val="-2"/>
          <w:sz w:val="30"/>
          <w:szCs w:val="30"/>
        </w:rPr>
        <w:t>二、建设项目工程分析</w:t>
      </w:r>
    </w:p>
    <w:tbl>
      <w:tblPr>
        <w:tblStyle w:val="37"/>
        <w:tblW w:w="8386"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917"/>
        <w:gridCol w:w="7469"/>
      </w:tblGrid>
      <w:tr w14:paraId="2D13990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2600" w:hRule="atLeast"/>
        </w:trPr>
        <w:tc>
          <w:tcPr>
            <w:tcW w:w="917" w:type="dxa"/>
            <w:tcBorders>
              <w:right w:val="single" w:color="000000" w:sz="2" w:space="0"/>
            </w:tcBorders>
            <w:vAlign w:val="top"/>
          </w:tcPr>
          <w:p w14:paraId="5439C93F">
            <w:pPr>
              <w:spacing w:line="248" w:lineRule="auto"/>
              <w:rPr>
                <w:rFonts w:ascii="Arial"/>
                <w:color w:val="auto"/>
                <w:sz w:val="21"/>
              </w:rPr>
            </w:pPr>
          </w:p>
          <w:p w14:paraId="50EE2EEB">
            <w:pPr>
              <w:spacing w:line="248" w:lineRule="auto"/>
              <w:rPr>
                <w:rFonts w:ascii="Arial"/>
                <w:color w:val="auto"/>
                <w:sz w:val="21"/>
              </w:rPr>
            </w:pPr>
          </w:p>
          <w:p w14:paraId="2F8336F0">
            <w:pPr>
              <w:spacing w:line="248" w:lineRule="auto"/>
              <w:rPr>
                <w:rFonts w:ascii="Arial"/>
                <w:color w:val="auto"/>
                <w:sz w:val="21"/>
              </w:rPr>
            </w:pPr>
          </w:p>
          <w:p w14:paraId="5E4684DF">
            <w:pPr>
              <w:spacing w:line="248" w:lineRule="auto"/>
              <w:rPr>
                <w:rFonts w:ascii="Arial"/>
                <w:color w:val="auto"/>
                <w:sz w:val="21"/>
              </w:rPr>
            </w:pPr>
          </w:p>
          <w:p w14:paraId="15677B33">
            <w:pPr>
              <w:spacing w:line="248" w:lineRule="auto"/>
              <w:rPr>
                <w:rFonts w:ascii="Arial"/>
                <w:color w:val="auto"/>
                <w:sz w:val="21"/>
              </w:rPr>
            </w:pPr>
          </w:p>
          <w:p w14:paraId="65D44C50">
            <w:pPr>
              <w:spacing w:line="248" w:lineRule="auto"/>
              <w:rPr>
                <w:rFonts w:ascii="Arial"/>
                <w:color w:val="auto"/>
                <w:sz w:val="21"/>
              </w:rPr>
            </w:pPr>
          </w:p>
          <w:p w14:paraId="5A4EB8EB">
            <w:pPr>
              <w:spacing w:line="248" w:lineRule="auto"/>
              <w:rPr>
                <w:rFonts w:ascii="Arial"/>
                <w:color w:val="auto"/>
                <w:sz w:val="21"/>
              </w:rPr>
            </w:pPr>
          </w:p>
          <w:p w14:paraId="5E0F0B73">
            <w:pPr>
              <w:spacing w:line="248" w:lineRule="auto"/>
              <w:rPr>
                <w:rFonts w:ascii="Arial"/>
                <w:color w:val="auto"/>
                <w:sz w:val="21"/>
              </w:rPr>
            </w:pPr>
          </w:p>
          <w:p w14:paraId="243E8BDF">
            <w:pPr>
              <w:spacing w:line="248" w:lineRule="auto"/>
              <w:rPr>
                <w:rFonts w:ascii="Arial"/>
                <w:color w:val="auto"/>
                <w:sz w:val="21"/>
              </w:rPr>
            </w:pPr>
          </w:p>
          <w:p w14:paraId="7B59709C">
            <w:pPr>
              <w:spacing w:line="248" w:lineRule="auto"/>
              <w:rPr>
                <w:rFonts w:ascii="Arial"/>
                <w:color w:val="auto"/>
                <w:sz w:val="21"/>
              </w:rPr>
            </w:pPr>
          </w:p>
          <w:p w14:paraId="15288DE6">
            <w:pPr>
              <w:spacing w:line="248" w:lineRule="auto"/>
              <w:rPr>
                <w:rFonts w:ascii="Arial"/>
                <w:color w:val="auto"/>
                <w:sz w:val="21"/>
              </w:rPr>
            </w:pPr>
          </w:p>
          <w:p w14:paraId="3DF768A3">
            <w:pPr>
              <w:spacing w:line="248" w:lineRule="auto"/>
              <w:rPr>
                <w:rFonts w:ascii="Arial"/>
                <w:color w:val="auto"/>
                <w:sz w:val="21"/>
              </w:rPr>
            </w:pPr>
          </w:p>
          <w:p w14:paraId="0535CF34">
            <w:pPr>
              <w:spacing w:line="248" w:lineRule="auto"/>
              <w:rPr>
                <w:rFonts w:ascii="Arial"/>
                <w:color w:val="auto"/>
                <w:sz w:val="21"/>
              </w:rPr>
            </w:pPr>
          </w:p>
          <w:p w14:paraId="01A57A89">
            <w:pPr>
              <w:spacing w:line="248" w:lineRule="auto"/>
              <w:rPr>
                <w:rFonts w:ascii="Arial"/>
                <w:color w:val="auto"/>
                <w:sz w:val="21"/>
              </w:rPr>
            </w:pPr>
          </w:p>
          <w:p w14:paraId="6AE47B43">
            <w:pPr>
              <w:spacing w:line="248" w:lineRule="auto"/>
              <w:rPr>
                <w:rFonts w:ascii="Arial"/>
                <w:color w:val="auto"/>
                <w:sz w:val="21"/>
              </w:rPr>
            </w:pPr>
          </w:p>
          <w:p w14:paraId="618E66DE">
            <w:pPr>
              <w:spacing w:line="248" w:lineRule="auto"/>
              <w:rPr>
                <w:rFonts w:ascii="Arial"/>
                <w:color w:val="auto"/>
                <w:sz w:val="21"/>
              </w:rPr>
            </w:pPr>
          </w:p>
          <w:p w14:paraId="114A8F81">
            <w:pPr>
              <w:spacing w:line="248" w:lineRule="auto"/>
              <w:rPr>
                <w:rFonts w:ascii="Arial"/>
                <w:color w:val="auto"/>
                <w:sz w:val="21"/>
              </w:rPr>
            </w:pPr>
          </w:p>
          <w:p w14:paraId="0919E43C">
            <w:pPr>
              <w:spacing w:line="248" w:lineRule="auto"/>
              <w:rPr>
                <w:rFonts w:ascii="Arial"/>
                <w:color w:val="auto"/>
                <w:sz w:val="21"/>
              </w:rPr>
            </w:pPr>
          </w:p>
          <w:p w14:paraId="31F96518">
            <w:pPr>
              <w:spacing w:line="248" w:lineRule="auto"/>
              <w:rPr>
                <w:rFonts w:ascii="Arial"/>
                <w:color w:val="auto"/>
                <w:sz w:val="21"/>
              </w:rPr>
            </w:pPr>
          </w:p>
          <w:p w14:paraId="552AEFD8">
            <w:pPr>
              <w:spacing w:line="249" w:lineRule="auto"/>
              <w:rPr>
                <w:rFonts w:ascii="Arial"/>
                <w:color w:val="auto"/>
                <w:sz w:val="21"/>
              </w:rPr>
            </w:pPr>
          </w:p>
          <w:p w14:paraId="63621843">
            <w:pPr>
              <w:spacing w:line="249" w:lineRule="auto"/>
              <w:rPr>
                <w:rFonts w:ascii="Arial"/>
                <w:color w:val="auto"/>
                <w:sz w:val="21"/>
              </w:rPr>
            </w:pPr>
          </w:p>
          <w:p w14:paraId="5FCDB816">
            <w:pPr>
              <w:spacing w:line="249" w:lineRule="auto"/>
              <w:rPr>
                <w:rFonts w:ascii="Arial"/>
                <w:color w:val="auto"/>
                <w:sz w:val="21"/>
              </w:rPr>
            </w:pPr>
          </w:p>
          <w:p w14:paraId="1078189C">
            <w:pPr>
              <w:spacing w:line="249" w:lineRule="auto"/>
              <w:rPr>
                <w:rFonts w:ascii="Arial"/>
                <w:color w:val="auto"/>
                <w:sz w:val="21"/>
              </w:rPr>
            </w:pPr>
          </w:p>
          <w:p w14:paraId="2914F846">
            <w:pPr>
              <w:spacing w:line="249" w:lineRule="auto"/>
              <w:rPr>
                <w:rFonts w:ascii="Arial"/>
                <w:color w:val="auto"/>
                <w:sz w:val="21"/>
              </w:rPr>
            </w:pPr>
          </w:p>
          <w:p w14:paraId="1C7D7D51">
            <w:pPr>
              <w:pStyle w:val="36"/>
              <w:spacing w:before="65" w:line="274" w:lineRule="exact"/>
              <w:ind w:left="250"/>
              <w:rPr>
                <w:color w:val="auto"/>
                <w:sz w:val="20"/>
                <w:szCs w:val="20"/>
              </w:rPr>
            </w:pPr>
            <w:r>
              <w:rPr>
                <w:color w:val="auto"/>
                <w:spacing w:val="3"/>
                <w:position w:val="4"/>
                <w:sz w:val="20"/>
                <w:szCs w:val="20"/>
              </w:rPr>
              <w:t>建设</w:t>
            </w:r>
          </w:p>
          <w:p w14:paraId="0153752F">
            <w:pPr>
              <w:pStyle w:val="36"/>
              <w:spacing w:line="228" w:lineRule="auto"/>
              <w:ind w:left="273"/>
              <w:rPr>
                <w:color w:val="auto"/>
                <w:sz w:val="20"/>
                <w:szCs w:val="20"/>
              </w:rPr>
            </w:pPr>
            <w:r>
              <w:rPr>
                <w:color w:val="auto"/>
                <w:spacing w:val="-8"/>
                <w:sz w:val="20"/>
                <w:szCs w:val="20"/>
              </w:rPr>
              <w:t>内容</w:t>
            </w:r>
          </w:p>
        </w:tc>
        <w:tc>
          <w:tcPr>
            <w:tcW w:w="7469" w:type="dxa"/>
            <w:tcBorders>
              <w:left w:val="single" w:color="000000" w:sz="2" w:space="0"/>
            </w:tcBorders>
            <w:vAlign w:val="top"/>
          </w:tcPr>
          <w:p w14:paraId="468474CD">
            <w:pPr>
              <w:pStyle w:val="36"/>
              <w:keepNext w:val="0"/>
              <w:keepLines w:val="0"/>
              <w:pageBreakBefore w:val="0"/>
              <w:widowControl w:val="0"/>
              <w:kinsoku/>
              <w:wordWrap/>
              <w:overflowPunct/>
              <w:topLinePunct w:val="0"/>
              <w:autoSpaceDE/>
              <w:autoSpaceDN/>
              <w:bidi w:val="0"/>
              <w:adjustRightInd/>
              <w:snapToGrid/>
              <w:spacing w:line="360" w:lineRule="auto"/>
              <w:ind w:left="113"/>
              <w:jc w:val="both"/>
              <w:textAlignment w:val="auto"/>
              <w:rPr>
                <w:color w:val="auto"/>
              </w:rPr>
            </w:pPr>
            <w:r>
              <w:rPr>
                <w:rFonts w:ascii="Times New Roman" w:hAnsi="Times New Roman" w:eastAsia="Times New Roman" w:cs="Times New Roman"/>
                <w:b/>
                <w:bCs/>
                <w:color w:val="auto"/>
                <w:spacing w:val="-2"/>
                <w:position w:val="17"/>
              </w:rPr>
              <w:t>1.</w:t>
            </w:r>
            <w:r>
              <w:rPr>
                <w:color w:val="auto"/>
                <w:spacing w:val="-2"/>
                <w:position w:val="17"/>
                <w14:textOutline w14:w="4358" w14:cap="sq" w14:cmpd="sng">
                  <w14:solidFill>
                    <w14:srgbClr w14:val="000000"/>
                  </w14:solidFill>
                  <w14:prstDash w14:val="solid"/>
                  <w14:bevel/>
                </w14:textOutline>
              </w:rPr>
              <w:t>建设项目组成</w:t>
            </w:r>
          </w:p>
          <w:p w14:paraId="573824E3">
            <w:pPr>
              <w:pStyle w:val="36"/>
              <w:keepNext w:val="0"/>
              <w:keepLines w:val="0"/>
              <w:pageBreakBefore w:val="0"/>
              <w:widowControl w:val="0"/>
              <w:kinsoku/>
              <w:wordWrap/>
              <w:overflowPunct/>
              <w:topLinePunct w:val="0"/>
              <w:autoSpaceDE/>
              <w:autoSpaceDN/>
              <w:bidi w:val="0"/>
              <w:adjustRightInd/>
              <w:snapToGrid/>
              <w:spacing w:line="360" w:lineRule="auto"/>
              <w:ind w:left="113"/>
              <w:jc w:val="both"/>
              <w:textAlignment w:val="auto"/>
              <w:rPr>
                <w:color w:val="auto"/>
              </w:rPr>
            </w:pPr>
            <w:r>
              <w:rPr>
                <w:rFonts w:ascii="Times New Roman" w:hAnsi="Times New Roman" w:eastAsia="Times New Roman" w:cs="Times New Roman"/>
                <w:b/>
                <w:bCs/>
                <w:color w:val="auto"/>
                <w:spacing w:val="-4"/>
              </w:rPr>
              <w:t>1.1</w:t>
            </w:r>
            <w:r>
              <w:rPr>
                <w:color w:val="auto"/>
                <w:spacing w:val="-4"/>
                <w14:textOutline w14:w="4358" w14:cap="sq" w14:cmpd="sng">
                  <w14:solidFill>
                    <w14:srgbClr w14:val="000000"/>
                  </w14:solidFill>
                  <w14:prstDash w14:val="solid"/>
                  <w14:bevel/>
                </w14:textOutline>
              </w:rPr>
              <w:t>项目位置</w:t>
            </w:r>
          </w:p>
          <w:p w14:paraId="0A03B0FE">
            <w:pPr>
              <w:pStyle w:val="36"/>
              <w:keepNext w:val="0"/>
              <w:keepLines w:val="0"/>
              <w:pageBreakBefore w:val="0"/>
              <w:widowControl w:val="0"/>
              <w:kinsoku/>
              <w:wordWrap/>
              <w:overflowPunct/>
              <w:topLinePunct w:val="0"/>
              <w:autoSpaceDE/>
              <w:autoSpaceDN/>
              <w:bidi w:val="0"/>
              <w:adjustRightInd/>
              <w:snapToGrid/>
              <w:spacing w:line="360" w:lineRule="auto"/>
              <w:ind w:left="113" w:right="96" w:firstLine="476"/>
              <w:jc w:val="both"/>
              <w:textAlignment w:val="auto"/>
              <w:rPr>
                <w:color w:val="auto"/>
              </w:rPr>
            </w:pPr>
            <w:r>
              <w:rPr>
                <w:color w:val="auto"/>
                <w:spacing w:val="-5"/>
              </w:rPr>
              <w:t>本项目位于</w:t>
            </w:r>
            <w:r>
              <w:rPr>
                <w:rFonts w:hint="eastAsia"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val="en-US" w:eastAsia="zh-CN"/>
              </w:rPr>
              <w:t>位于吉木萨尔县北庭工业园区善成工业设备有限公司厂区内</w:t>
            </w:r>
            <w:r>
              <w:rPr>
                <w:color w:val="auto"/>
                <w:spacing w:val="-4"/>
              </w:rPr>
              <w:t>，中心地理位置坐标（东经</w:t>
            </w:r>
            <w:r>
              <w:rPr>
                <w:rFonts w:ascii="Times New Roman" w:hAnsi="Times New Roman" w:eastAsia="Times New Roman" w:cs="Times New Roman"/>
                <w:color w:val="auto"/>
                <w:spacing w:val="-4"/>
              </w:rPr>
              <w:t>8</w:t>
            </w:r>
            <w:r>
              <w:rPr>
                <w:rFonts w:hint="eastAsia" w:ascii="Times New Roman" w:hAnsi="Times New Roman" w:eastAsia="宋体" w:cs="Times New Roman"/>
                <w:color w:val="auto"/>
                <w:spacing w:val="-4"/>
                <w:lang w:val="en-US" w:eastAsia="zh-CN"/>
              </w:rPr>
              <w:t>9</w:t>
            </w:r>
            <w:r>
              <w:rPr>
                <w:rFonts w:ascii="Times New Roman" w:hAnsi="Times New Roman" w:eastAsia="Times New Roman" w:cs="Times New Roman"/>
                <w:color w:val="auto"/>
                <w:spacing w:val="-4"/>
              </w:rPr>
              <w:t>°</w:t>
            </w:r>
            <w:r>
              <w:rPr>
                <w:rFonts w:hint="eastAsia" w:ascii="Times New Roman" w:hAnsi="Times New Roman" w:eastAsia="宋体" w:cs="Times New Roman"/>
                <w:color w:val="auto"/>
                <w:spacing w:val="-4"/>
                <w:lang w:val="en-US" w:eastAsia="zh-CN"/>
              </w:rPr>
              <w:t>11</w:t>
            </w:r>
            <w:r>
              <w:rPr>
                <w:rFonts w:ascii="Times New Roman" w:hAnsi="Times New Roman" w:eastAsia="Times New Roman" w:cs="Times New Roman"/>
                <w:color w:val="auto"/>
                <w:spacing w:val="-4"/>
              </w:rPr>
              <w:t>′</w:t>
            </w:r>
            <w:r>
              <w:rPr>
                <w:rFonts w:hint="eastAsia" w:ascii="Times New Roman" w:hAnsi="Times New Roman" w:eastAsia="宋体" w:cs="Times New Roman"/>
                <w:color w:val="auto"/>
                <w:spacing w:val="-4"/>
                <w:lang w:val="en-US" w:eastAsia="zh-CN"/>
              </w:rPr>
              <w:t>54.57</w:t>
            </w:r>
            <w:r>
              <w:rPr>
                <w:rFonts w:ascii="Times New Roman" w:hAnsi="Times New Roman" w:eastAsia="Times New Roman" w:cs="Times New Roman"/>
                <w:color w:val="auto"/>
                <w:spacing w:val="-4"/>
              </w:rPr>
              <w:t>″</w:t>
            </w:r>
            <w:r>
              <w:rPr>
                <w:color w:val="auto"/>
                <w:spacing w:val="-4"/>
              </w:rPr>
              <w:t>；北纬</w:t>
            </w:r>
            <w:r>
              <w:rPr>
                <w:rFonts w:ascii="Times New Roman" w:hAnsi="Times New Roman" w:eastAsia="Times New Roman" w:cs="Times New Roman"/>
                <w:color w:val="auto"/>
                <w:spacing w:val="-4"/>
              </w:rPr>
              <w:t>4</w:t>
            </w:r>
            <w:r>
              <w:rPr>
                <w:rFonts w:hint="eastAsia" w:ascii="Times New Roman" w:hAnsi="Times New Roman" w:eastAsia="宋体" w:cs="Times New Roman"/>
                <w:color w:val="auto"/>
                <w:spacing w:val="-4"/>
                <w:lang w:val="en-US" w:eastAsia="zh-CN"/>
              </w:rPr>
              <w:t>3</w:t>
            </w:r>
            <w:r>
              <w:rPr>
                <w:rFonts w:ascii="Times New Roman" w:hAnsi="Times New Roman" w:eastAsia="Times New Roman" w:cs="Times New Roman"/>
                <w:color w:val="auto"/>
                <w:spacing w:val="-4"/>
              </w:rPr>
              <w:t>°</w:t>
            </w:r>
            <w:r>
              <w:rPr>
                <w:rFonts w:hint="eastAsia" w:ascii="Times New Roman" w:hAnsi="Times New Roman" w:eastAsia="宋体" w:cs="Times New Roman"/>
                <w:color w:val="auto"/>
                <w:spacing w:val="-4"/>
                <w:lang w:val="en-US" w:eastAsia="zh-CN"/>
              </w:rPr>
              <w:t>56</w:t>
            </w:r>
            <w:r>
              <w:rPr>
                <w:rFonts w:ascii="Times New Roman" w:hAnsi="Times New Roman" w:eastAsia="Times New Roman" w:cs="Times New Roman"/>
                <w:color w:val="auto"/>
                <w:spacing w:val="-4"/>
              </w:rPr>
              <w:t>′</w:t>
            </w:r>
            <w:r>
              <w:rPr>
                <w:rFonts w:hint="eastAsia" w:ascii="Times New Roman" w:hAnsi="Times New Roman" w:eastAsia="宋体" w:cs="Times New Roman"/>
                <w:color w:val="auto"/>
                <w:spacing w:val="-4"/>
                <w:lang w:val="en-US" w:eastAsia="zh-CN"/>
              </w:rPr>
              <w:t>46.40</w:t>
            </w:r>
            <w:r>
              <w:rPr>
                <w:rFonts w:ascii="Times New Roman" w:hAnsi="Times New Roman" w:eastAsia="Times New Roman" w:cs="Times New Roman"/>
                <w:color w:val="auto"/>
                <w:spacing w:val="-4"/>
              </w:rPr>
              <w:t>″</w:t>
            </w:r>
            <w:r>
              <w:rPr>
                <w:color w:val="auto"/>
                <w:spacing w:val="-29"/>
              </w:rPr>
              <w:t>），</w:t>
            </w:r>
            <w:r>
              <w:rPr>
                <w:color w:val="auto"/>
                <w:spacing w:val="-4"/>
              </w:rPr>
              <w:t>厂区北侧</w:t>
            </w:r>
            <w:r>
              <w:rPr>
                <w:color w:val="auto"/>
              </w:rPr>
              <w:t>为空地，西侧为</w:t>
            </w:r>
            <w:r>
              <w:rPr>
                <w:rFonts w:hint="eastAsia"/>
                <w:color w:val="auto"/>
                <w:lang w:val="en-US" w:eastAsia="zh-CN"/>
              </w:rPr>
              <w:t>空地</w:t>
            </w:r>
            <w:r>
              <w:rPr>
                <w:color w:val="auto"/>
              </w:rPr>
              <w:t>，南侧为空地，东侧为</w:t>
            </w:r>
            <w:r>
              <w:rPr>
                <w:rFonts w:hint="eastAsia"/>
                <w:color w:val="auto"/>
                <w:lang w:val="en-US" w:eastAsia="zh-CN"/>
              </w:rPr>
              <w:t>新疆泰佳欣机械设备制造有限公司</w:t>
            </w:r>
            <w:r>
              <w:rPr>
                <w:color w:val="auto"/>
                <w:spacing w:val="-10"/>
              </w:rPr>
              <w:t>。</w:t>
            </w:r>
          </w:p>
          <w:p w14:paraId="433A1CF1">
            <w:pPr>
              <w:pStyle w:val="36"/>
              <w:keepNext w:val="0"/>
              <w:keepLines w:val="0"/>
              <w:pageBreakBefore w:val="0"/>
              <w:widowControl w:val="0"/>
              <w:kinsoku/>
              <w:wordWrap/>
              <w:overflowPunct/>
              <w:topLinePunct w:val="0"/>
              <w:autoSpaceDE/>
              <w:autoSpaceDN/>
              <w:bidi w:val="0"/>
              <w:adjustRightInd/>
              <w:snapToGrid/>
              <w:spacing w:line="360" w:lineRule="auto"/>
              <w:ind w:left="113"/>
              <w:textAlignment w:val="auto"/>
              <w:rPr>
                <w:color w:val="auto"/>
              </w:rPr>
            </w:pPr>
            <w:r>
              <w:rPr>
                <w:rFonts w:ascii="Times New Roman" w:hAnsi="Times New Roman" w:eastAsia="Times New Roman" w:cs="Times New Roman"/>
                <w:b/>
                <w:bCs/>
                <w:color w:val="auto"/>
                <w:spacing w:val="-2"/>
              </w:rPr>
              <w:t>1.2</w:t>
            </w:r>
            <w:r>
              <w:rPr>
                <w:color w:val="auto"/>
                <w:spacing w:val="-2"/>
                <w14:textOutline w14:w="4358" w14:cap="sq" w14:cmpd="sng">
                  <w14:solidFill>
                    <w14:srgbClr w14:val="000000"/>
                  </w14:solidFill>
                  <w14:prstDash w14:val="solid"/>
                  <w14:bevel/>
                </w14:textOutline>
              </w:rPr>
              <w:t>项目建设情况</w:t>
            </w:r>
          </w:p>
          <w:p w14:paraId="1E066BF5">
            <w:pPr>
              <w:pStyle w:val="36"/>
              <w:keepNext w:val="0"/>
              <w:keepLines w:val="0"/>
              <w:pageBreakBefore w:val="0"/>
              <w:widowControl w:val="0"/>
              <w:kinsoku/>
              <w:wordWrap/>
              <w:overflowPunct/>
              <w:topLinePunct w:val="0"/>
              <w:autoSpaceDE/>
              <w:autoSpaceDN/>
              <w:bidi w:val="0"/>
              <w:adjustRightInd/>
              <w:snapToGrid/>
              <w:spacing w:line="360" w:lineRule="auto"/>
              <w:ind w:left="109" w:right="102" w:firstLine="480"/>
              <w:jc w:val="both"/>
              <w:textAlignment w:val="auto"/>
              <w:rPr>
                <w:color w:val="auto"/>
              </w:rPr>
            </w:pPr>
            <w:r>
              <w:rPr>
                <w:color w:val="auto"/>
              </w:rPr>
              <w:t>本项目为新建项目，租用</w:t>
            </w:r>
            <w:r>
              <w:rPr>
                <w:rFonts w:hint="eastAsia" w:ascii="Times New Roman" w:hAnsi="Times New Roman" w:cs="Times New Roman"/>
                <w:color w:val="auto"/>
                <w:sz w:val="24"/>
                <w:highlight w:val="none"/>
                <w:lang w:val="en-US" w:eastAsia="zh-CN"/>
              </w:rPr>
              <w:t>善成工业设备有限公司</w:t>
            </w:r>
            <w:r>
              <w:rPr>
                <w:color w:val="auto"/>
              </w:rPr>
              <w:t>现有场地、厂</w:t>
            </w:r>
            <w:r>
              <w:rPr>
                <w:color w:val="auto"/>
                <w:spacing w:val="-2"/>
              </w:rPr>
              <w:t>房进行建设，</w:t>
            </w:r>
            <w:r>
              <w:rPr>
                <w:rFonts w:hint="eastAsia"/>
                <w:color w:val="auto"/>
                <w:spacing w:val="-2"/>
                <w:lang w:val="en-US" w:eastAsia="zh-CN"/>
              </w:rPr>
              <w:t>项目区还有善成工业设备有限公司的设备未清理，待清理后</w:t>
            </w:r>
            <w:r>
              <w:rPr>
                <w:rFonts w:hint="eastAsia"/>
                <w:color w:val="auto"/>
                <w:spacing w:val="-2"/>
              </w:rPr>
              <w:t>建</w:t>
            </w:r>
            <w:r>
              <w:rPr>
                <w:rFonts w:hint="default" w:ascii="Times New Roman" w:hAnsi="Times New Roman" w:cs="Times New Roman"/>
                <w:color w:val="auto"/>
                <w:spacing w:val="-2"/>
              </w:rPr>
              <w:t>PCCPD-C</w:t>
            </w:r>
            <w:r>
              <w:rPr>
                <w:rFonts w:hint="eastAsia"/>
                <w:color w:val="auto"/>
                <w:spacing w:val="-2"/>
              </w:rPr>
              <w:t>生产线一条及</w:t>
            </w:r>
            <w:r>
              <w:rPr>
                <w:rFonts w:hint="eastAsia"/>
                <w:color w:val="auto"/>
                <w:spacing w:val="-2"/>
                <w:lang w:val="en-US" w:eastAsia="zh-CN"/>
              </w:rPr>
              <w:t>钢筒</w:t>
            </w:r>
            <w:r>
              <w:rPr>
                <w:rFonts w:hint="eastAsia"/>
                <w:color w:val="auto"/>
                <w:spacing w:val="-2"/>
              </w:rPr>
              <w:t>生产线一条。主要购置设备有螺旋焊机、水压机、喷浆机、起重机、搅拌机、</w:t>
            </w:r>
            <w:r>
              <w:rPr>
                <w:rFonts w:hint="eastAsia"/>
                <w:color w:val="auto"/>
                <w:spacing w:val="-2"/>
                <w:lang w:val="en-US" w:eastAsia="zh-CN"/>
              </w:rPr>
              <w:t>燃气</w:t>
            </w:r>
            <w:r>
              <w:rPr>
                <w:rFonts w:hint="eastAsia"/>
                <w:color w:val="auto"/>
                <w:spacing w:val="-2"/>
              </w:rPr>
              <w:t>锅炉等。</w:t>
            </w:r>
          </w:p>
          <w:p w14:paraId="0982F0E9">
            <w:pPr>
              <w:pStyle w:val="38"/>
              <w:spacing w:line="240" w:lineRule="auto"/>
              <w:rPr>
                <w:rFonts w:hint="default" w:ascii="Times New Roman" w:hAnsi="Times New Roman" w:cs="Times New Roman"/>
                <w:b/>
                <w:bCs/>
                <w:color w:val="auto"/>
                <w:szCs w:val="21"/>
                <w:highlight w:val="none"/>
              </w:rPr>
            </w:pPr>
            <w:r>
              <w:rPr>
                <w:rFonts w:hint="default" w:ascii="Times New Roman" w:hAnsi="Times New Roman" w:cs="Times New Roman"/>
                <w:b/>
                <w:bCs/>
                <w:color w:val="auto"/>
                <w:highlight w:val="none"/>
              </w:rPr>
              <w:t>表2-1    项目建设内容一览表</w:t>
            </w:r>
          </w:p>
          <w:tbl>
            <w:tblPr>
              <w:tblStyle w:val="23"/>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49"/>
              <w:gridCol w:w="1415"/>
              <w:gridCol w:w="259"/>
              <w:gridCol w:w="4480"/>
              <w:gridCol w:w="752"/>
            </w:tblGrid>
            <w:tr w14:paraId="5BC7F0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tcBorders>
                    <w:bottom w:val="single" w:color="000000" w:sz="12" w:space="0"/>
                  </w:tcBorders>
                  <w:vAlign w:val="center"/>
                </w:tcPr>
                <w:p w14:paraId="16ABB9DF">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w:t>
                  </w:r>
                </w:p>
              </w:tc>
              <w:tc>
                <w:tcPr>
                  <w:tcW w:w="949" w:type="pct"/>
                  <w:tcBorders>
                    <w:bottom w:val="single" w:color="000000" w:sz="12" w:space="0"/>
                  </w:tcBorders>
                  <w:vAlign w:val="center"/>
                </w:tcPr>
                <w:p w14:paraId="3326C2DE">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项目组成</w:t>
                  </w:r>
                </w:p>
              </w:tc>
              <w:tc>
                <w:tcPr>
                  <w:tcW w:w="3178" w:type="pct"/>
                  <w:gridSpan w:val="2"/>
                  <w:tcBorders>
                    <w:bottom w:val="single" w:color="000000" w:sz="12" w:space="0"/>
                  </w:tcBorders>
                  <w:vAlign w:val="center"/>
                </w:tcPr>
                <w:p w14:paraId="04343270">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主要工程内容</w:t>
                  </w:r>
                </w:p>
              </w:tc>
              <w:tc>
                <w:tcPr>
                  <w:tcW w:w="504" w:type="pct"/>
                  <w:tcBorders>
                    <w:bottom w:val="single" w:color="000000" w:sz="12" w:space="0"/>
                  </w:tcBorders>
                  <w:vAlign w:val="center"/>
                </w:tcPr>
                <w:p w14:paraId="458BF2E4">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14:paraId="41F36A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368" w:type="pct"/>
                  <w:vMerge w:val="restart"/>
                  <w:tcBorders>
                    <w:top w:val="single" w:color="000000" w:sz="12" w:space="0"/>
                    <w:tl2br w:val="nil"/>
                    <w:tr2bl w:val="nil"/>
                  </w:tcBorders>
                  <w:vAlign w:val="center"/>
                </w:tcPr>
                <w:p w14:paraId="4C413C41">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949" w:type="pct"/>
                  <w:vMerge w:val="restart"/>
                  <w:tcBorders>
                    <w:top w:val="single" w:color="000000" w:sz="12" w:space="0"/>
                    <w:tl2br w:val="nil"/>
                    <w:tr2bl w:val="nil"/>
                  </w:tcBorders>
                  <w:vAlign w:val="center"/>
                </w:tcPr>
                <w:p w14:paraId="1F3A29F1">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生产车间</w:t>
                  </w:r>
                </w:p>
              </w:tc>
              <w:tc>
                <w:tcPr>
                  <w:tcW w:w="3178" w:type="pct"/>
                  <w:gridSpan w:val="2"/>
                  <w:tcBorders>
                    <w:top w:val="single" w:color="000000" w:sz="12" w:space="0"/>
                    <w:bottom w:val="single" w:color="auto" w:sz="4" w:space="0"/>
                    <w:tl2br w:val="nil"/>
                    <w:tr2bl w:val="nil"/>
                  </w:tcBorders>
                  <w:vAlign w:val="center"/>
                </w:tcPr>
                <w:p w14:paraId="64EB5B35">
                  <w:pPr>
                    <w:widowControl/>
                    <w:jc w:val="both"/>
                    <w:rPr>
                      <w:rFonts w:hint="default" w:ascii="Times New Roman" w:hAnsi="Times New Roman" w:eastAsia="宋体" w:cs="Times New Roman"/>
                      <w:color w:val="auto"/>
                      <w:kern w:val="2"/>
                      <w:sz w:val="21"/>
                      <w:szCs w:val="21"/>
                      <w:highlight w:val="none"/>
                      <w:lang w:val="zh-CN" w:eastAsia="zh-CN" w:bidi="zh-CN"/>
                    </w:rPr>
                  </w:pPr>
                  <w:r>
                    <w:rPr>
                      <w:rFonts w:hint="eastAsia" w:cs="Times New Roman"/>
                      <w:color w:val="auto"/>
                      <w:kern w:val="2"/>
                      <w:sz w:val="21"/>
                      <w:szCs w:val="21"/>
                      <w:highlight w:val="none"/>
                      <w:lang w:val="en-US" w:eastAsia="zh-CN" w:bidi="zh-CN"/>
                    </w:rPr>
                    <w:t>新建钢筒、PCCP配件生产线，布置钢图三辊轧圆机、承口环轧边机、合缝焊接台、胀圆机等PCCP管材钢筒生产设备和PCCP配件生产设备(数控切割机、埋弧焊机、喷砂机等设备)。</w:t>
                  </w:r>
                </w:p>
              </w:tc>
              <w:tc>
                <w:tcPr>
                  <w:tcW w:w="504" w:type="pct"/>
                  <w:tcBorders>
                    <w:top w:val="single" w:color="000000" w:sz="12" w:space="0"/>
                    <w:tl2br w:val="nil"/>
                    <w:tr2bl w:val="nil"/>
                  </w:tcBorders>
                  <w:vAlign w:val="center"/>
                </w:tcPr>
                <w:p w14:paraId="55319617">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租赁现有厂房</w:t>
                  </w:r>
                </w:p>
              </w:tc>
            </w:tr>
            <w:tr w14:paraId="650A25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7" w:hRule="atLeast"/>
              </w:trPr>
              <w:tc>
                <w:tcPr>
                  <w:tcW w:w="368" w:type="pct"/>
                  <w:vMerge w:val="continue"/>
                  <w:tcBorders>
                    <w:tl2br w:val="nil"/>
                    <w:tr2bl w:val="nil"/>
                  </w:tcBorders>
                  <w:vAlign w:val="center"/>
                </w:tcPr>
                <w:p w14:paraId="51B45BF8">
                  <w:pPr>
                    <w:widowControl/>
                    <w:jc w:val="center"/>
                    <w:rPr>
                      <w:color w:val="auto"/>
                    </w:rPr>
                  </w:pPr>
                </w:p>
              </w:tc>
              <w:tc>
                <w:tcPr>
                  <w:tcW w:w="949" w:type="pct"/>
                  <w:vMerge w:val="continue"/>
                  <w:tcBorders>
                    <w:tl2br w:val="nil"/>
                    <w:tr2bl w:val="nil"/>
                  </w:tcBorders>
                  <w:vAlign w:val="center"/>
                </w:tcPr>
                <w:p w14:paraId="1F34C31D">
                  <w:pPr>
                    <w:widowControl/>
                    <w:jc w:val="center"/>
                    <w:rPr>
                      <w:color w:val="auto"/>
                    </w:rPr>
                  </w:pPr>
                </w:p>
              </w:tc>
              <w:tc>
                <w:tcPr>
                  <w:tcW w:w="3178" w:type="pct"/>
                  <w:gridSpan w:val="2"/>
                  <w:tcBorders>
                    <w:top w:val="single" w:color="auto" w:sz="4" w:space="0"/>
                    <w:tl2br w:val="nil"/>
                    <w:tr2bl w:val="nil"/>
                  </w:tcBorders>
                  <w:vAlign w:val="center"/>
                </w:tcPr>
                <w:p w14:paraId="391E18D2">
                  <w:pPr>
                    <w:widowControl/>
                    <w:jc w:val="both"/>
                    <w:rPr>
                      <w:rFonts w:hint="eastAsia" w:cs="Times New Roman"/>
                      <w:color w:val="auto"/>
                      <w:kern w:val="2"/>
                      <w:sz w:val="21"/>
                      <w:szCs w:val="21"/>
                      <w:highlight w:val="none"/>
                      <w:lang w:val="zh-CN" w:eastAsia="zh-CN" w:bidi="zh-CN"/>
                    </w:rPr>
                  </w:pPr>
                  <w:r>
                    <w:rPr>
                      <w:rFonts w:hint="eastAsia" w:cs="Times New Roman"/>
                      <w:color w:val="auto"/>
                      <w:kern w:val="2"/>
                      <w:sz w:val="21"/>
                      <w:szCs w:val="21"/>
                      <w:highlight w:val="none"/>
                      <w:lang w:val="en-US" w:eastAsia="zh-CN" w:bidi="zh-CN"/>
                    </w:rPr>
                    <w:t>新建</w:t>
                  </w:r>
                  <w:r>
                    <w:rPr>
                      <w:rFonts w:hint="eastAsia" w:cs="Times New Roman"/>
                      <w:color w:val="auto"/>
                      <w:kern w:val="2"/>
                      <w:sz w:val="21"/>
                      <w:szCs w:val="21"/>
                      <w:highlight w:val="none"/>
                      <w:lang w:val="zh-CN" w:eastAsia="zh-CN" w:bidi="zh-CN"/>
                    </w:rPr>
                    <w:t>混凝土、砂浆生产区；管芯生产区；半成品养护区；缠丝作业喷浆区成品管道试验区。</w:t>
                  </w:r>
                </w:p>
              </w:tc>
              <w:tc>
                <w:tcPr>
                  <w:tcW w:w="504" w:type="pct"/>
                  <w:tcBorders>
                    <w:tl2br w:val="nil"/>
                    <w:tr2bl w:val="nil"/>
                  </w:tcBorders>
                  <w:vAlign w:val="center"/>
                </w:tcPr>
                <w:p w14:paraId="049F9F1C">
                  <w:pPr>
                    <w:widowControl/>
                    <w:jc w:val="center"/>
                    <w:rPr>
                      <w:rFonts w:hint="default" w:cs="Times New Roman"/>
                      <w:color w:val="auto"/>
                      <w:kern w:val="2"/>
                      <w:sz w:val="21"/>
                      <w:szCs w:val="21"/>
                      <w:highlight w:val="none"/>
                      <w:lang w:val="en-US" w:eastAsia="zh-CN" w:bidi="zh-CN"/>
                    </w:rPr>
                  </w:pPr>
                  <w:r>
                    <w:rPr>
                      <w:rFonts w:hint="eastAsia" w:cs="Times New Roman"/>
                      <w:color w:val="auto"/>
                      <w:kern w:val="2"/>
                      <w:sz w:val="21"/>
                      <w:szCs w:val="21"/>
                      <w:highlight w:val="none"/>
                      <w:lang w:val="en-US" w:eastAsia="zh-CN" w:bidi="zh-CN"/>
                    </w:rPr>
                    <w:t>新建</w:t>
                  </w:r>
                </w:p>
              </w:tc>
            </w:tr>
            <w:tr w14:paraId="2A5792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restart"/>
                  <w:tcBorders>
                    <w:tl2br w:val="nil"/>
                    <w:tr2bl w:val="nil"/>
                  </w:tcBorders>
                  <w:vAlign w:val="center"/>
                </w:tcPr>
                <w:p w14:paraId="4C6B0DDC">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辅助工程</w:t>
                  </w:r>
                </w:p>
              </w:tc>
              <w:tc>
                <w:tcPr>
                  <w:tcW w:w="949" w:type="pct"/>
                  <w:tcBorders>
                    <w:tl2br w:val="nil"/>
                    <w:tr2bl w:val="nil"/>
                  </w:tcBorders>
                  <w:vAlign w:val="center"/>
                </w:tcPr>
                <w:p w14:paraId="10206229">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办公用房</w:t>
                  </w:r>
                </w:p>
              </w:tc>
              <w:tc>
                <w:tcPr>
                  <w:tcW w:w="3178" w:type="pct"/>
                  <w:gridSpan w:val="2"/>
                  <w:tcBorders>
                    <w:tl2br w:val="nil"/>
                    <w:tr2bl w:val="nil"/>
                  </w:tcBorders>
                  <w:vAlign w:val="center"/>
                </w:tcPr>
                <w:p w14:paraId="5EDD3839">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kern w:val="2"/>
                      <w:sz w:val="21"/>
                      <w:szCs w:val="21"/>
                      <w:highlight w:val="none"/>
                      <w:lang w:val="en-US" w:eastAsia="zh-CN" w:bidi="zh-CN"/>
                    </w:rPr>
                    <w:t>租赁善成工业设备有限公司现有办公楼</w:t>
                  </w:r>
                </w:p>
              </w:tc>
              <w:tc>
                <w:tcPr>
                  <w:tcW w:w="504" w:type="pct"/>
                  <w:tcBorders>
                    <w:tl2br w:val="nil"/>
                    <w:tr2bl w:val="nil"/>
                  </w:tcBorders>
                  <w:vAlign w:val="center"/>
                </w:tcPr>
                <w:p w14:paraId="3B8FBC3F">
                  <w:pPr>
                    <w:autoSpaceDE w:val="0"/>
                    <w:autoSpaceDN w:val="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租赁</w:t>
                  </w:r>
                </w:p>
              </w:tc>
            </w:tr>
            <w:tr w14:paraId="5CD048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08C9ED42">
                  <w:pPr>
                    <w:autoSpaceDE w:val="0"/>
                    <w:autoSpaceDN w:val="0"/>
                    <w:jc w:val="center"/>
                    <w:rPr>
                      <w:rFonts w:hint="default" w:ascii="Times New Roman" w:hAnsi="Times New Roman" w:cs="Times New Roman"/>
                      <w:color w:val="auto"/>
                      <w:sz w:val="21"/>
                      <w:szCs w:val="21"/>
                      <w:highlight w:val="none"/>
                    </w:rPr>
                  </w:pPr>
                </w:p>
              </w:tc>
              <w:tc>
                <w:tcPr>
                  <w:tcW w:w="949" w:type="pct"/>
                  <w:tcBorders>
                    <w:tl2br w:val="nil"/>
                    <w:tr2bl w:val="nil"/>
                  </w:tcBorders>
                  <w:vAlign w:val="center"/>
                </w:tcPr>
                <w:p w14:paraId="5F42D951">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职工宿舍及食堂</w:t>
                  </w:r>
                </w:p>
              </w:tc>
              <w:tc>
                <w:tcPr>
                  <w:tcW w:w="3178" w:type="pct"/>
                  <w:gridSpan w:val="2"/>
                  <w:tcBorders>
                    <w:tl2br w:val="nil"/>
                    <w:tr2bl w:val="nil"/>
                  </w:tcBorders>
                  <w:vAlign w:val="center"/>
                </w:tcPr>
                <w:p w14:paraId="4F5ED612">
                  <w:pPr>
                    <w:pStyle w:val="29"/>
                    <w:autoSpaceDE w:val="0"/>
                    <w:autoSpaceDN w:val="0"/>
                    <w:jc w:val="center"/>
                    <w:rPr>
                      <w:rFonts w:hint="default" w:ascii="Times New Roman" w:hAnsi="Times New Roman" w:eastAsia="宋体" w:cs="Times New Roman"/>
                      <w:color w:val="auto"/>
                      <w:kern w:val="2"/>
                      <w:sz w:val="21"/>
                      <w:szCs w:val="21"/>
                      <w:highlight w:val="none"/>
                      <w:lang w:val="en-US" w:eastAsia="zh-CN" w:bidi="zh-CN"/>
                    </w:rPr>
                  </w:pPr>
                  <w:r>
                    <w:rPr>
                      <w:rFonts w:hint="eastAsia" w:ascii="Times New Roman" w:hAnsi="Times New Roman" w:eastAsia="宋体" w:cs="Times New Roman"/>
                      <w:color w:val="auto"/>
                      <w:kern w:val="2"/>
                      <w:sz w:val="21"/>
                      <w:szCs w:val="21"/>
                      <w:highlight w:val="none"/>
                      <w:lang w:val="en-US" w:eastAsia="zh-CN" w:bidi="zh-CN"/>
                    </w:rPr>
                    <w:t>租赁善成工业设备有限公司现有</w:t>
                  </w:r>
                  <w:r>
                    <w:rPr>
                      <w:rFonts w:hint="eastAsia" w:ascii="Times New Roman" w:hAnsi="Times New Roman" w:cs="Times New Roman"/>
                      <w:color w:val="auto"/>
                      <w:kern w:val="2"/>
                      <w:sz w:val="21"/>
                      <w:szCs w:val="21"/>
                      <w:highlight w:val="none"/>
                      <w:lang w:val="en-US" w:eastAsia="zh-CN" w:bidi="zh-CN"/>
                    </w:rPr>
                    <w:t>职工宿舍及食堂</w:t>
                  </w:r>
                </w:p>
              </w:tc>
              <w:tc>
                <w:tcPr>
                  <w:tcW w:w="504" w:type="pct"/>
                  <w:tcBorders>
                    <w:tl2br w:val="nil"/>
                    <w:tr2bl w:val="nil"/>
                  </w:tcBorders>
                  <w:vAlign w:val="center"/>
                </w:tcPr>
                <w:p w14:paraId="0AE92826">
                  <w:pPr>
                    <w:autoSpaceDE w:val="0"/>
                    <w:autoSpaceDN w:val="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租赁</w:t>
                  </w:r>
                </w:p>
              </w:tc>
            </w:tr>
            <w:tr w14:paraId="19672B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restart"/>
                  <w:tcBorders>
                    <w:tl2br w:val="nil"/>
                    <w:tr2bl w:val="nil"/>
                  </w:tcBorders>
                  <w:vAlign w:val="center"/>
                </w:tcPr>
                <w:p w14:paraId="099CFF95">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949" w:type="pct"/>
                  <w:tcBorders>
                    <w:tl2br w:val="nil"/>
                    <w:tr2bl w:val="nil"/>
                  </w:tcBorders>
                  <w:vAlign w:val="center"/>
                </w:tcPr>
                <w:p w14:paraId="54847AF0">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给水</w:t>
                  </w:r>
                </w:p>
              </w:tc>
              <w:tc>
                <w:tcPr>
                  <w:tcW w:w="3178" w:type="pct"/>
                  <w:gridSpan w:val="2"/>
                  <w:tcBorders>
                    <w:tl2br w:val="nil"/>
                    <w:tr2bl w:val="nil"/>
                  </w:tcBorders>
                  <w:vAlign w:val="center"/>
                </w:tcPr>
                <w:p w14:paraId="445C66FF">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依托</w:t>
                  </w:r>
                  <w:r>
                    <w:rPr>
                      <w:rFonts w:hint="eastAsia" w:ascii="Times New Roman" w:hAnsi="Times New Roman" w:cs="Times New Roman"/>
                      <w:color w:val="auto"/>
                      <w:sz w:val="21"/>
                      <w:szCs w:val="21"/>
                      <w:highlight w:val="none"/>
                      <w:lang w:eastAsia="zh-CN"/>
                    </w:rPr>
                    <w:t>工业园区</w:t>
                  </w:r>
                  <w:r>
                    <w:rPr>
                      <w:rFonts w:hint="default" w:ascii="Times New Roman" w:hAnsi="Times New Roman" w:cs="Times New Roman"/>
                      <w:color w:val="auto"/>
                      <w:sz w:val="21"/>
                      <w:szCs w:val="21"/>
                      <w:highlight w:val="none"/>
                    </w:rPr>
                    <w:t>现有给水管线</w:t>
                  </w:r>
                </w:p>
              </w:tc>
              <w:tc>
                <w:tcPr>
                  <w:tcW w:w="504" w:type="pct"/>
                  <w:tcBorders>
                    <w:tl2br w:val="nil"/>
                    <w:tr2bl w:val="nil"/>
                  </w:tcBorders>
                  <w:vAlign w:val="center"/>
                </w:tcPr>
                <w:p w14:paraId="778844B4">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依托</w:t>
                  </w:r>
                </w:p>
              </w:tc>
            </w:tr>
            <w:tr w14:paraId="0CFE02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68" w:type="pct"/>
                  <w:vMerge w:val="continue"/>
                  <w:tcBorders>
                    <w:tl2br w:val="nil"/>
                    <w:tr2bl w:val="nil"/>
                  </w:tcBorders>
                  <w:vAlign w:val="center"/>
                </w:tcPr>
                <w:p w14:paraId="6759951D">
                  <w:pPr>
                    <w:autoSpaceDE w:val="0"/>
                    <w:autoSpaceDN w:val="0"/>
                    <w:jc w:val="center"/>
                    <w:rPr>
                      <w:rFonts w:hint="default" w:ascii="Times New Roman" w:hAnsi="Times New Roman" w:cs="Times New Roman"/>
                      <w:color w:val="auto"/>
                      <w:sz w:val="21"/>
                      <w:szCs w:val="21"/>
                      <w:highlight w:val="none"/>
                    </w:rPr>
                  </w:pPr>
                </w:p>
              </w:tc>
              <w:tc>
                <w:tcPr>
                  <w:tcW w:w="949" w:type="pct"/>
                  <w:tcBorders>
                    <w:tl2br w:val="nil"/>
                    <w:tr2bl w:val="nil"/>
                  </w:tcBorders>
                  <w:vAlign w:val="center"/>
                </w:tcPr>
                <w:p w14:paraId="494FD0E5">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w:t>
                  </w:r>
                </w:p>
              </w:tc>
              <w:tc>
                <w:tcPr>
                  <w:tcW w:w="3178" w:type="pct"/>
                  <w:gridSpan w:val="2"/>
                  <w:tcBorders>
                    <w:tl2br w:val="nil"/>
                    <w:tr2bl w:val="nil"/>
                  </w:tcBorders>
                  <w:vAlign w:val="center"/>
                </w:tcPr>
                <w:p w14:paraId="0BC11866">
                  <w:pPr>
                    <w:pStyle w:val="29"/>
                    <w:autoSpaceDE w:val="0"/>
                    <w:autoSpaceDN w:val="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生活污水</w:t>
                  </w:r>
                  <w:r>
                    <w:rPr>
                      <w:rFonts w:hint="default" w:ascii="Times New Roman" w:hAnsi="Times New Roman" w:cs="Times New Roman"/>
                      <w:color w:val="auto"/>
                      <w:sz w:val="21"/>
                      <w:szCs w:val="21"/>
                      <w:highlight w:val="none"/>
                      <w:lang w:val="en-US" w:eastAsia="zh-CN"/>
                    </w:rPr>
                    <w:t>依托</w:t>
                  </w:r>
                  <w:r>
                    <w:rPr>
                      <w:rFonts w:hint="eastAsia" w:ascii="Times New Roman" w:hAnsi="Times New Roman" w:cs="Times New Roman"/>
                      <w:color w:val="auto"/>
                      <w:sz w:val="21"/>
                      <w:szCs w:val="21"/>
                      <w:highlight w:val="none"/>
                      <w:lang w:eastAsia="zh-CN"/>
                    </w:rPr>
                    <w:t>工业园区</w:t>
                  </w:r>
                  <w:r>
                    <w:rPr>
                      <w:rFonts w:hint="default" w:ascii="Times New Roman" w:hAnsi="Times New Roman" w:cs="Times New Roman"/>
                      <w:color w:val="auto"/>
                      <w:sz w:val="21"/>
                      <w:szCs w:val="21"/>
                      <w:highlight w:val="none"/>
                    </w:rPr>
                    <w:t>污水管网</w:t>
                  </w:r>
                  <w:r>
                    <w:rPr>
                      <w:rStyle w:val="27"/>
                      <w:rFonts w:hint="default" w:ascii="Times New Roman" w:hAnsi="Times New Roman" w:cs="Times New Roman"/>
                      <w:color w:val="auto"/>
                      <w:kern w:val="0"/>
                      <w:sz w:val="21"/>
                      <w:szCs w:val="21"/>
                      <w:highlight w:val="none"/>
                      <w:lang w:val="en-US" w:eastAsia="zh-CN" w:bidi="ar-SA"/>
                    </w:rPr>
                    <w:t>，最终排入</w:t>
                  </w:r>
                  <w:r>
                    <w:rPr>
                      <w:rFonts w:hint="eastAsia"/>
                      <w:color w:val="auto"/>
                      <w:spacing w:val="2"/>
                      <w:highlight w:val="none"/>
                      <w:lang w:val="en-US" w:eastAsia="zh-CN"/>
                    </w:rPr>
                    <w:t>吉木萨尔县第二污水处理厂</w:t>
                  </w:r>
                  <w:r>
                    <w:rPr>
                      <w:rFonts w:hint="default" w:ascii="Times New Roman" w:hAnsi="Times New Roman" w:cs="Times New Roman"/>
                      <w:color w:val="auto"/>
                      <w:sz w:val="21"/>
                      <w:szCs w:val="21"/>
                      <w:highlight w:val="none"/>
                      <w:lang w:val="en-US" w:eastAsia="zh-CN"/>
                    </w:rPr>
                    <w:t>进行处理。</w:t>
                  </w:r>
                </w:p>
              </w:tc>
              <w:tc>
                <w:tcPr>
                  <w:tcW w:w="504" w:type="pct"/>
                  <w:tcBorders>
                    <w:tl2br w:val="nil"/>
                    <w:tr2bl w:val="nil"/>
                  </w:tcBorders>
                  <w:vAlign w:val="center"/>
                </w:tcPr>
                <w:p w14:paraId="0B917487">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依托</w:t>
                  </w:r>
                </w:p>
              </w:tc>
            </w:tr>
            <w:tr w14:paraId="6755F9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582E5FC3">
                  <w:pPr>
                    <w:autoSpaceDE w:val="0"/>
                    <w:autoSpaceDN w:val="0"/>
                    <w:jc w:val="center"/>
                    <w:rPr>
                      <w:rFonts w:hint="default" w:ascii="Times New Roman" w:hAnsi="Times New Roman" w:cs="Times New Roman"/>
                      <w:color w:val="auto"/>
                      <w:sz w:val="21"/>
                      <w:szCs w:val="21"/>
                      <w:highlight w:val="none"/>
                    </w:rPr>
                  </w:pPr>
                </w:p>
              </w:tc>
              <w:tc>
                <w:tcPr>
                  <w:tcW w:w="949" w:type="pct"/>
                  <w:tcBorders>
                    <w:tl2br w:val="nil"/>
                    <w:tr2bl w:val="nil"/>
                  </w:tcBorders>
                  <w:vAlign w:val="center"/>
                </w:tcPr>
                <w:p w14:paraId="2818ECEC">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w:t>
                  </w:r>
                </w:p>
              </w:tc>
              <w:tc>
                <w:tcPr>
                  <w:tcW w:w="3178" w:type="pct"/>
                  <w:gridSpan w:val="2"/>
                  <w:tcBorders>
                    <w:tl2br w:val="nil"/>
                    <w:tr2bl w:val="nil"/>
                  </w:tcBorders>
                  <w:vAlign w:val="center"/>
                </w:tcPr>
                <w:p w14:paraId="1A79E499">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依托园区供电设备进行供电</w:t>
                  </w:r>
                </w:p>
              </w:tc>
              <w:tc>
                <w:tcPr>
                  <w:tcW w:w="504" w:type="pct"/>
                  <w:tcBorders>
                    <w:tl2br w:val="nil"/>
                    <w:tr2bl w:val="nil"/>
                  </w:tcBorders>
                  <w:vAlign w:val="center"/>
                </w:tcPr>
                <w:p w14:paraId="5D2FBBB5">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依托</w:t>
                  </w:r>
                </w:p>
              </w:tc>
            </w:tr>
            <w:tr w14:paraId="49948A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48019CFE">
                  <w:pPr>
                    <w:autoSpaceDE w:val="0"/>
                    <w:autoSpaceDN w:val="0"/>
                    <w:jc w:val="center"/>
                    <w:rPr>
                      <w:rFonts w:hint="default" w:ascii="Times New Roman" w:hAnsi="Times New Roman" w:cs="Times New Roman"/>
                      <w:color w:val="auto"/>
                      <w:sz w:val="21"/>
                      <w:szCs w:val="21"/>
                      <w:highlight w:val="none"/>
                    </w:rPr>
                  </w:pPr>
                </w:p>
              </w:tc>
              <w:tc>
                <w:tcPr>
                  <w:tcW w:w="949" w:type="pct"/>
                  <w:tcBorders>
                    <w:tl2br w:val="nil"/>
                    <w:tr2bl w:val="nil"/>
                  </w:tcBorders>
                  <w:vAlign w:val="center"/>
                </w:tcPr>
                <w:p w14:paraId="2E597B59">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供</w:t>
                  </w:r>
                  <w:r>
                    <w:rPr>
                      <w:rFonts w:hint="default" w:ascii="Times New Roman" w:hAnsi="Times New Roman" w:cs="Times New Roman"/>
                      <w:color w:val="auto"/>
                      <w:sz w:val="21"/>
                      <w:szCs w:val="21"/>
                      <w:highlight w:val="none"/>
                      <w:lang w:val="en-US" w:eastAsia="zh-CN"/>
                    </w:rPr>
                    <w:t>热</w:t>
                  </w:r>
                </w:p>
              </w:tc>
              <w:tc>
                <w:tcPr>
                  <w:tcW w:w="3178" w:type="pct"/>
                  <w:gridSpan w:val="2"/>
                  <w:tcBorders>
                    <w:tl2br w:val="nil"/>
                    <w:tr2bl w:val="nil"/>
                  </w:tcBorders>
                  <w:vAlign w:val="center"/>
                </w:tcPr>
                <w:p w14:paraId="360B77B3">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新建1台</w:t>
                  </w: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t/h</w:t>
                  </w:r>
                  <w:r>
                    <w:rPr>
                      <w:rFonts w:hint="eastAsia" w:ascii="Times New Roman" w:hAnsi="Times New Roman" w:cs="Times New Roman"/>
                      <w:color w:val="auto"/>
                      <w:sz w:val="21"/>
                      <w:szCs w:val="21"/>
                      <w:highlight w:val="none"/>
                      <w:lang w:val="en-US" w:eastAsia="zh-CN"/>
                    </w:rPr>
                    <w:t>燃气锅炉</w:t>
                  </w:r>
                </w:p>
              </w:tc>
              <w:tc>
                <w:tcPr>
                  <w:tcW w:w="504" w:type="pct"/>
                  <w:tcBorders>
                    <w:tl2br w:val="nil"/>
                    <w:tr2bl w:val="nil"/>
                  </w:tcBorders>
                  <w:vAlign w:val="center"/>
                </w:tcPr>
                <w:p w14:paraId="38EB23E6">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新建</w:t>
                  </w:r>
                </w:p>
              </w:tc>
            </w:tr>
            <w:tr w14:paraId="4ECA16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68" w:type="pct"/>
                  <w:vMerge w:val="restart"/>
                  <w:tcBorders>
                    <w:tl2br w:val="nil"/>
                    <w:tr2bl w:val="nil"/>
                  </w:tcBorders>
                  <w:vAlign w:val="center"/>
                </w:tcPr>
                <w:p w14:paraId="7A645B25">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储运工程</w:t>
                  </w:r>
                </w:p>
              </w:tc>
              <w:tc>
                <w:tcPr>
                  <w:tcW w:w="949" w:type="pct"/>
                  <w:vMerge w:val="restart"/>
                  <w:tcBorders>
                    <w:tl2br w:val="nil"/>
                    <w:tr2bl w:val="nil"/>
                  </w:tcBorders>
                  <w:vAlign w:val="center"/>
                </w:tcPr>
                <w:p w14:paraId="79BC1041">
                  <w:pPr>
                    <w:pStyle w:val="29"/>
                    <w:autoSpaceDE w:val="0"/>
                    <w:autoSpaceDN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砂石、钢丝、钢板原料储存</w:t>
                  </w:r>
                </w:p>
              </w:tc>
              <w:tc>
                <w:tcPr>
                  <w:tcW w:w="3178" w:type="pct"/>
                  <w:gridSpan w:val="2"/>
                  <w:tcBorders>
                    <w:tl2br w:val="nil"/>
                    <w:tr2bl w:val="nil"/>
                  </w:tcBorders>
                  <w:vAlign w:val="center"/>
                </w:tcPr>
                <w:p w14:paraId="79AA193B">
                  <w:pPr>
                    <w:pStyle w:val="29"/>
                    <w:autoSpaceDE w:val="0"/>
                    <w:autoSpaceDN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新建砂石料库房，砂石料厂全密闭</w:t>
                  </w:r>
                  <w:r>
                    <w:rPr>
                      <w:rFonts w:hint="eastAsia" w:ascii="Times New Roman" w:hAnsi="Times New Roman" w:cs="Times New Roman"/>
                      <w:color w:val="auto"/>
                      <w:sz w:val="21"/>
                      <w:szCs w:val="21"/>
                      <w:highlight w:val="none"/>
                      <w:lang w:val="en-US" w:eastAsia="zh-CN"/>
                    </w:rPr>
                    <w:t>。</w:t>
                  </w:r>
                </w:p>
              </w:tc>
              <w:tc>
                <w:tcPr>
                  <w:tcW w:w="504" w:type="pct"/>
                  <w:tcBorders>
                    <w:tl2br w:val="nil"/>
                    <w:tr2bl w:val="nil"/>
                  </w:tcBorders>
                  <w:vAlign w:val="center"/>
                </w:tcPr>
                <w:p w14:paraId="194C6506">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新建</w:t>
                  </w:r>
                </w:p>
              </w:tc>
            </w:tr>
            <w:tr w14:paraId="7C4F55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368" w:type="pct"/>
                  <w:vMerge w:val="continue"/>
                  <w:tcBorders>
                    <w:tl2br w:val="nil"/>
                    <w:tr2bl w:val="nil"/>
                  </w:tcBorders>
                  <w:vAlign w:val="center"/>
                </w:tcPr>
                <w:p w14:paraId="5460772B">
                  <w:pPr>
                    <w:pStyle w:val="29"/>
                    <w:autoSpaceDE w:val="0"/>
                    <w:autoSpaceDN w:val="0"/>
                    <w:jc w:val="center"/>
                    <w:rPr>
                      <w:rFonts w:hint="default" w:ascii="Times New Roman" w:hAnsi="Times New Roman" w:cs="Times New Roman"/>
                      <w:color w:val="auto"/>
                      <w:sz w:val="21"/>
                      <w:szCs w:val="21"/>
                      <w:highlight w:val="none"/>
                    </w:rPr>
                  </w:pPr>
                </w:p>
              </w:tc>
              <w:tc>
                <w:tcPr>
                  <w:tcW w:w="949" w:type="pct"/>
                  <w:vMerge w:val="continue"/>
                  <w:tcBorders>
                    <w:tl2br w:val="nil"/>
                    <w:tr2bl w:val="nil"/>
                  </w:tcBorders>
                  <w:vAlign w:val="center"/>
                </w:tcPr>
                <w:p w14:paraId="5BD2387B">
                  <w:pPr>
                    <w:pStyle w:val="29"/>
                    <w:autoSpaceDE w:val="0"/>
                    <w:autoSpaceDN w:val="0"/>
                    <w:jc w:val="center"/>
                    <w:rPr>
                      <w:rFonts w:hint="default" w:ascii="Times New Roman" w:hAnsi="Times New Roman" w:eastAsia="宋体" w:cs="Times New Roman"/>
                      <w:color w:val="auto"/>
                      <w:sz w:val="21"/>
                      <w:szCs w:val="21"/>
                      <w:highlight w:val="none"/>
                      <w:lang w:val="en-US" w:eastAsia="zh-CN"/>
                    </w:rPr>
                  </w:pPr>
                </w:p>
              </w:tc>
              <w:tc>
                <w:tcPr>
                  <w:tcW w:w="3178" w:type="pct"/>
                  <w:gridSpan w:val="2"/>
                  <w:tcBorders>
                    <w:tl2br w:val="nil"/>
                    <w:tr2bl w:val="nil"/>
                  </w:tcBorders>
                  <w:vAlign w:val="center"/>
                </w:tcPr>
                <w:p w14:paraId="72644817">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钢丝、钢板露天存放，堆放于原料区</w:t>
                  </w:r>
                </w:p>
              </w:tc>
              <w:tc>
                <w:tcPr>
                  <w:tcW w:w="504" w:type="pct"/>
                  <w:tcBorders>
                    <w:tl2br w:val="nil"/>
                    <w:tr2bl w:val="nil"/>
                  </w:tcBorders>
                  <w:vAlign w:val="center"/>
                </w:tcPr>
                <w:p w14:paraId="3E0BAA05">
                  <w:pPr>
                    <w:autoSpaceDE w:val="0"/>
                    <w:autoSpaceDN w:val="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新建</w:t>
                  </w:r>
                </w:p>
              </w:tc>
            </w:tr>
            <w:tr w14:paraId="009F80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272D2F5B">
                  <w:pPr>
                    <w:autoSpaceDE w:val="0"/>
                    <w:autoSpaceDN w:val="0"/>
                    <w:jc w:val="center"/>
                    <w:rPr>
                      <w:rFonts w:hint="default" w:ascii="Times New Roman" w:hAnsi="Times New Roman" w:cs="Times New Roman"/>
                      <w:color w:val="auto"/>
                      <w:sz w:val="21"/>
                      <w:szCs w:val="21"/>
                      <w:highlight w:val="none"/>
                    </w:rPr>
                  </w:pPr>
                </w:p>
              </w:tc>
              <w:tc>
                <w:tcPr>
                  <w:tcW w:w="949" w:type="pct"/>
                  <w:vMerge w:val="continue"/>
                  <w:tcBorders>
                    <w:tl2br w:val="nil"/>
                    <w:tr2bl w:val="nil"/>
                  </w:tcBorders>
                  <w:vAlign w:val="center"/>
                </w:tcPr>
                <w:p w14:paraId="320EE379">
                  <w:pPr>
                    <w:pStyle w:val="29"/>
                    <w:autoSpaceDE w:val="0"/>
                    <w:autoSpaceDN w:val="0"/>
                    <w:jc w:val="center"/>
                    <w:rPr>
                      <w:rFonts w:hint="default" w:ascii="Times New Roman" w:hAnsi="Times New Roman" w:cs="Times New Roman"/>
                      <w:color w:val="auto"/>
                      <w:sz w:val="21"/>
                      <w:szCs w:val="21"/>
                      <w:highlight w:val="none"/>
                    </w:rPr>
                  </w:pPr>
                </w:p>
              </w:tc>
              <w:tc>
                <w:tcPr>
                  <w:tcW w:w="3178" w:type="pct"/>
                  <w:gridSpan w:val="2"/>
                  <w:tcBorders>
                    <w:tl2br w:val="nil"/>
                    <w:tr2bl w:val="nil"/>
                  </w:tcBorders>
                  <w:vAlign w:val="center"/>
                </w:tcPr>
                <w:p w14:paraId="64752163">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水泥存放于水泥筒仓中、粉煤灰存放于粉煤灰筒仓中</w:t>
                  </w:r>
                </w:p>
              </w:tc>
              <w:tc>
                <w:tcPr>
                  <w:tcW w:w="504" w:type="pct"/>
                  <w:tcBorders>
                    <w:tl2br w:val="nil"/>
                    <w:tr2bl w:val="nil"/>
                  </w:tcBorders>
                  <w:vAlign w:val="center"/>
                </w:tcPr>
                <w:p w14:paraId="17FAD3B4">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新建</w:t>
                  </w:r>
                </w:p>
              </w:tc>
            </w:tr>
            <w:tr w14:paraId="5F5C14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406469D6">
                  <w:pPr>
                    <w:autoSpaceDE w:val="0"/>
                    <w:autoSpaceDN w:val="0"/>
                    <w:jc w:val="center"/>
                    <w:rPr>
                      <w:rFonts w:hint="default" w:ascii="Times New Roman" w:hAnsi="Times New Roman" w:cs="Times New Roman"/>
                      <w:color w:val="auto"/>
                      <w:sz w:val="21"/>
                      <w:szCs w:val="21"/>
                      <w:highlight w:val="none"/>
                    </w:rPr>
                  </w:pPr>
                </w:p>
              </w:tc>
              <w:tc>
                <w:tcPr>
                  <w:tcW w:w="949" w:type="pct"/>
                  <w:vMerge w:val="continue"/>
                  <w:tcBorders>
                    <w:tl2br w:val="nil"/>
                    <w:tr2bl w:val="nil"/>
                  </w:tcBorders>
                  <w:vAlign w:val="center"/>
                </w:tcPr>
                <w:p w14:paraId="53AA1942">
                  <w:pPr>
                    <w:pStyle w:val="29"/>
                    <w:autoSpaceDE w:val="0"/>
                    <w:autoSpaceDN w:val="0"/>
                    <w:jc w:val="center"/>
                    <w:rPr>
                      <w:rFonts w:hint="default" w:ascii="Times New Roman" w:hAnsi="Times New Roman" w:cs="Times New Roman"/>
                      <w:color w:val="auto"/>
                      <w:sz w:val="21"/>
                      <w:szCs w:val="21"/>
                      <w:highlight w:val="none"/>
                    </w:rPr>
                  </w:pPr>
                </w:p>
              </w:tc>
              <w:tc>
                <w:tcPr>
                  <w:tcW w:w="3178" w:type="pct"/>
                  <w:gridSpan w:val="2"/>
                  <w:tcBorders>
                    <w:tl2br w:val="nil"/>
                    <w:tr2bl w:val="nil"/>
                  </w:tcBorders>
                  <w:vAlign w:val="center"/>
                </w:tcPr>
                <w:p w14:paraId="0A0D5FA5">
                  <w:pPr>
                    <w:pStyle w:val="29"/>
                    <w:autoSpaceDE w:val="0"/>
                    <w:autoSpaceDN w:val="0"/>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脱模剂、机油存放于生产车间的仓库内</w:t>
                  </w:r>
                </w:p>
              </w:tc>
              <w:tc>
                <w:tcPr>
                  <w:tcW w:w="504" w:type="pct"/>
                  <w:tcBorders>
                    <w:tl2br w:val="nil"/>
                    <w:tr2bl w:val="nil"/>
                  </w:tcBorders>
                  <w:vAlign w:val="center"/>
                </w:tcPr>
                <w:p w14:paraId="138D252B">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新建</w:t>
                  </w:r>
                </w:p>
              </w:tc>
            </w:tr>
            <w:tr w14:paraId="4343A1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5B9DD86D">
                  <w:pPr>
                    <w:autoSpaceDE w:val="0"/>
                    <w:autoSpaceDN w:val="0"/>
                    <w:jc w:val="center"/>
                    <w:rPr>
                      <w:rFonts w:hint="default" w:ascii="Times New Roman" w:hAnsi="Times New Roman" w:cs="Times New Roman"/>
                      <w:color w:val="auto"/>
                      <w:sz w:val="21"/>
                      <w:szCs w:val="21"/>
                      <w:highlight w:val="none"/>
                    </w:rPr>
                  </w:pPr>
                </w:p>
              </w:tc>
              <w:tc>
                <w:tcPr>
                  <w:tcW w:w="949" w:type="pct"/>
                  <w:tcBorders>
                    <w:tl2br w:val="nil"/>
                    <w:tr2bl w:val="nil"/>
                  </w:tcBorders>
                  <w:vAlign w:val="center"/>
                </w:tcPr>
                <w:p w14:paraId="2861497C">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成品堆放区</w:t>
                  </w:r>
                </w:p>
              </w:tc>
              <w:tc>
                <w:tcPr>
                  <w:tcW w:w="3178" w:type="pct"/>
                  <w:gridSpan w:val="2"/>
                  <w:tcBorders>
                    <w:tl2br w:val="nil"/>
                    <w:tr2bl w:val="nil"/>
                  </w:tcBorders>
                  <w:vAlign w:val="center"/>
                </w:tcPr>
                <w:p w14:paraId="79C856EF">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位于厂区东南面露天堆放</w:t>
                  </w:r>
                </w:p>
              </w:tc>
              <w:tc>
                <w:tcPr>
                  <w:tcW w:w="504" w:type="pct"/>
                  <w:tcBorders>
                    <w:tl2br w:val="nil"/>
                    <w:tr2bl w:val="nil"/>
                  </w:tcBorders>
                  <w:vAlign w:val="center"/>
                </w:tcPr>
                <w:p w14:paraId="1AC4DA20">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新建</w:t>
                  </w:r>
                </w:p>
              </w:tc>
            </w:tr>
            <w:tr w14:paraId="53236D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restart"/>
                  <w:tcBorders>
                    <w:tl2br w:val="nil"/>
                    <w:tr2bl w:val="nil"/>
                  </w:tcBorders>
                  <w:vAlign w:val="center"/>
                </w:tcPr>
                <w:p w14:paraId="005D21CD">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949" w:type="pct"/>
                  <w:tcBorders>
                    <w:tl2br w:val="nil"/>
                    <w:tr2bl w:val="nil"/>
                  </w:tcBorders>
                  <w:vAlign w:val="center"/>
                </w:tcPr>
                <w:p w14:paraId="5FBB7AE1">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3178" w:type="pct"/>
                  <w:gridSpan w:val="2"/>
                  <w:tcBorders>
                    <w:tl2br w:val="nil"/>
                    <w:tr2bl w:val="nil"/>
                  </w:tcBorders>
                  <w:vAlign w:val="center"/>
                </w:tcPr>
                <w:p w14:paraId="28C14F26">
                  <w:pPr>
                    <w:pStyle w:val="29"/>
                    <w:autoSpaceDE w:val="0"/>
                    <w:autoSpaceDN w:val="0"/>
                    <w:jc w:val="left"/>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①水泥料仓产生的物料存储废气经</w:t>
                  </w:r>
                  <w:r>
                    <w:rPr>
                      <w:rFonts w:hint="default" w:ascii="Times New Roman" w:hAnsi="Times New Roman" w:cs="Times New Roman"/>
                      <w:color w:val="auto"/>
                      <w:sz w:val="21"/>
                      <w:szCs w:val="21"/>
                      <w:highlight w:val="none"/>
                      <w:lang w:val="en-US"/>
                    </w:rPr>
                    <w:t>滤筒处理后</w:t>
                  </w:r>
                  <w:r>
                    <w:rPr>
                      <w:rFonts w:hint="eastAsia" w:ascii="Times New Roman" w:hAnsi="Times New Roman" w:cs="Times New Roman"/>
                      <w:color w:val="auto"/>
                      <w:sz w:val="21"/>
                      <w:szCs w:val="21"/>
                      <w:highlight w:val="none"/>
                      <w:lang w:val="en-US" w:eastAsia="zh-CN"/>
                    </w:rPr>
                    <w:t>无组织</w:t>
                  </w:r>
                  <w:r>
                    <w:rPr>
                      <w:rFonts w:hint="default" w:ascii="Times New Roman" w:hAnsi="Times New Roman" w:cs="Times New Roman"/>
                      <w:color w:val="auto"/>
                      <w:sz w:val="21"/>
                      <w:szCs w:val="21"/>
                      <w:highlight w:val="none"/>
                      <w:lang w:val="en-US"/>
                    </w:rPr>
                    <w:t>排放</w:t>
                  </w:r>
                  <w:r>
                    <w:rPr>
                      <w:rFonts w:hint="eastAsia" w:ascii="Times New Roman" w:hAnsi="Times New Roman" w:cs="Times New Roman"/>
                      <w:color w:val="auto"/>
                      <w:sz w:val="21"/>
                      <w:szCs w:val="21"/>
                      <w:highlight w:val="none"/>
                      <w:lang w:val="en-US" w:eastAsia="zh-CN"/>
                    </w:rPr>
                    <w:t>。</w:t>
                  </w:r>
                </w:p>
                <w:p w14:paraId="1364CED4">
                  <w:pPr>
                    <w:pStyle w:val="29"/>
                    <w:autoSpaceDE w:val="0"/>
                    <w:autoSpaceDN w:val="0"/>
                    <w:jc w:val="left"/>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②运营期产生的</w:t>
                  </w:r>
                  <w:r>
                    <w:rPr>
                      <w:rFonts w:hint="default" w:ascii="Times New Roman" w:hAnsi="Times New Roman" w:cs="Times New Roman"/>
                      <w:color w:val="auto"/>
                      <w:sz w:val="21"/>
                      <w:szCs w:val="21"/>
                      <w:highlight w:val="none"/>
                    </w:rPr>
                    <w:t>混合搅拌废气</w:t>
                  </w:r>
                  <w:r>
                    <w:rPr>
                      <w:rFonts w:hint="eastAsia" w:ascii="Times New Roman" w:hAnsi="Times New Roman" w:cs="Times New Roman"/>
                      <w:color w:val="auto"/>
                      <w:sz w:val="21"/>
                      <w:szCs w:val="21"/>
                      <w:highlight w:val="none"/>
                      <w:lang w:val="en-US" w:eastAsia="zh-CN"/>
                    </w:rPr>
                    <w:t>经布袋除尘器处理后无组织排放。</w:t>
                  </w:r>
                </w:p>
                <w:p w14:paraId="05B9A54E">
                  <w:pPr>
                    <w:pStyle w:val="29"/>
                    <w:autoSpaceDE w:val="0"/>
                    <w:autoSpaceDN w:val="0"/>
                    <w:jc w:val="left"/>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③</w:t>
                  </w:r>
                  <w:r>
                    <w:rPr>
                      <w:rFonts w:hint="default" w:ascii="Times New Roman" w:hAnsi="Times New Roman" w:cs="Times New Roman"/>
                      <w:color w:val="auto"/>
                      <w:sz w:val="21"/>
                      <w:szCs w:val="21"/>
                      <w:highlight w:val="none"/>
                      <w:lang w:val="en-US" w:eastAsia="zh-CN"/>
                    </w:rPr>
                    <w:t>砂石骨料储存</w:t>
                  </w:r>
                  <w:r>
                    <w:rPr>
                      <w:rFonts w:hint="eastAsia" w:ascii="Times New Roman" w:hAnsi="Times New Roman" w:cs="Times New Roman"/>
                      <w:color w:val="auto"/>
                      <w:sz w:val="21"/>
                      <w:szCs w:val="21"/>
                      <w:highlight w:val="none"/>
                      <w:lang w:val="en-US" w:eastAsia="zh-CN"/>
                    </w:rPr>
                    <w:t>堆放于全封闭堆场内，加盖篷布，堆放场地面均硬化处理。</w:t>
                  </w:r>
                </w:p>
                <w:p w14:paraId="01ADDCE0">
                  <w:pPr>
                    <w:pStyle w:val="29"/>
                    <w:autoSpaceDE w:val="0"/>
                    <w:autoSpaceDN w:val="0"/>
                    <w:jc w:val="left"/>
                    <w:rPr>
                      <w:rFonts w:hint="eastAsia" w:ascii="Times New Roman" w:hAnsi="Times New Roman" w:cs="Times New Roman"/>
                      <w:i w:val="0"/>
                      <w:iCs w:val="0"/>
                      <w:color w:val="auto"/>
                      <w:spacing w:val="0"/>
                      <w:w w:val="100"/>
                      <w:position w:val="0"/>
                      <w:sz w:val="21"/>
                      <w:szCs w:val="21"/>
                      <w:highlight w:val="none"/>
                      <w:lang w:val="en-US" w:eastAsia="zh-CN"/>
                    </w:rPr>
                  </w:pPr>
                  <w:r>
                    <w:rPr>
                      <w:rFonts w:hint="eastAsia" w:ascii="Times New Roman" w:hAnsi="Times New Roman" w:cs="Times New Roman"/>
                      <w:color w:val="auto"/>
                      <w:sz w:val="21"/>
                      <w:szCs w:val="21"/>
                      <w:highlight w:val="none"/>
                      <w:lang w:val="en-US" w:eastAsia="zh-CN"/>
                    </w:rPr>
                    <w:t>④</w:t>
                  </w:r>
                  <w:r>
                    <w:rPr>
                      <w:rFonts w:hint="default" w:ascii="Times New Roman" w:hAnsi="Times New Roman" w:cs="Times New Roman"/>
                      <w:color w:val="auto"/>
                      <w:sz w:val="21"/>
                      <w:szCs w:val="21"/>
                      <w:highlight w:val="none"/>
                      <w:lang w:val="en-US" w:eastAsia="zh-CN"/>
                    </w:rPr>
                    <w:t>通过</w:t>
                  </w:r>
                  <w:r>
                    <w:rPr>
                      <w:rFonts w:hint="default" w:ascii="Times New Roman" w:hAnsi="Times New Roman" w:eastAsia="宋体" w:cs="Times New Roman"/>
                      <w:i w:val="0"/>
                      <w:iCs w:val="0"/>
                      <w:color w:val="auto"/>
                      <w:spacing w:val="0"/>
                      <w:w w:val="100"/>
                      <w:position w:val="0"/>
                      <w:sz w:val="21"/>
                      <w:szCs w:val="21"/>
                      <w:highlight w:val="none"/>
                    </w:rPr>
                    <w:t>控制车速、密封运输物料及</w:t>
                  </w:r>
                  <w:r>
                    <w:rPr>
                      <w:rFonts w:hint="default" w:ascii="Times New Roman" w:hAnsi="Times New Roman" w:eastAsia="宋体" w:cs="Times New Roman"/>
                      <w:i w:val="0"/>
                      <w:iCs w:val="0"/>
                      <w:color w:val="auto"/>
                      <w:spacing w:val="0"/>
                      <w:w w:val="100"/>
                      <w:position w:val="0"/>
                      <w:sz w:val="21"/>
                      <w:szCs w:val="21"/>
                      <w:highlight w:val="none"/>
                      <w:lang w:val="en-US" w:eastAsia="zh-CN"/>
                    </w:rPr>
                    <w:t>设置</w:t>
                  </w:r>
                  <w:r>
                    <w:rPr>
                      <w:rFonts w:hint="default" w:ascii="Times New Roman" w:hAnsi="Times New Roman" w:eastAsia="宋体" w:cs="Times New Roman"/>
                      <w:i w:val="0"/>
                      <w:iCs w:val="0"/>
                      <w:color w:val="auto"/>
                      <w:spacing w:val="0"/>
                      <w:w w:val="100"/>
                      <w:position w:val="0"/>
                      <w:sz w:val="21"/>
                      <w:szCs w:val="21"/>
                      <w:highlight w:val="none"/>
                    </w:rPr>
                    <w:t>车辆冲洗</w:t>
                  </w:r>
                  <w:r>
                    <w:rPr>
                      <w:rFonts w:hint="default" w:ascii="Times New Roman" w:hAnsi="Times New Roman" w:eastAsia="宋体" w:cs="Times New Roman"/>
                      <w:i w:val="0"/>
                      <w:iCs w:val="0"/>
                      <w:color w:val="auto"/>
                      <w:spacing w:val="0"/>
                      <w:w w:val="100"/>
                      <w:position w:val="0"/>
                      <w:sz w:val="21"/>
                      <w:szCs w:val="21"/>
                      <w:highlight w:val="none"/>
                      <w:lang w:val="en-US" w:eastAsia="zh-CN"/>
                    </w:rPr>
                    <w:t>等</w:t>
                  </w:r>
                  <w:r>
                    <w:rPr>
                      <w:rFonts w:hint="default" w:ascii="Times New Roman" w:hAnsi="Times New Roman" w:eastAsia="宋体" w:cs="Times New Roman"/>
                      <w:i w:val="0"/>
                      <w:iCs w:val="0"/>
                      <w:color w:val="auto"/>
                      <w:spacing w:val="0"/>
                      <w:w w:val="100"/>
                      <w:position w:val="0"/>
                      <w:sz w:val="21"/>
                      <w:szCs w:val="21"/>
                      <w:highlight w:val="none"/>
                    </w:rPr>
                    <w:t>措施</w:t>
                  </w:r>
                  <w:r>
                    <w:rPr>
                      <w:rFonts w:hint="default" w:ascii="Times New Roman" w:hAnsi="Times New Roman" w:eastAsia="宋体" w:cs="Times New Roman"/>
                      <w:i w:val="0"/>
                      <w:iCs w:val="0"/>
                      <w:color w:val="auto"/>
                      <w:spacing w:val="0"/>
                      <w:w w:val="100"/>
                      <w:position w:val="0"/>
                      <w:sz w:val="21"/>
                      <w:szCs w:val="21"/>
                      <w:highlight w:val="none"/>
                      <w:lang w:val="en-US" w:eastAsia="zh-CN"/>
                    </w:rPr>
                    <w:t>降低厂区内无组织颗粒物排放</w:t>
                  </w:r>
                  <w:r>
                    <w:rPr>
                      <w:rFonts w:hint="eastAsia" w:ascii="Times New Roman" w:hAnsi="Times New Roman" w:cs="Times New Roman"/>
                      <w:i w:val="0"/>
                      <w:iCs w:val="0"/>
                      <w:color w:val="auto"/>
                      <w:spacing w:val="0"/>
                      <w:w w:val="100"/>
                      <w:position w:val="0"/>
                      <w:sz w:val="21"/>
                      <w:szCs w:val="21"/>
                      <w:highlight w:val="none"/>
                      <w:lang w:val="en-US" w:eastAsia="zh-CN"/>
                    </w:rPr>
                    <w:t>。</w:t>
                  </w:r>
                </w:p>
                <w:p w14:paraId="50BB9D04">
                  <w:pPr>
                    <w:pStyle w:val="29"/>
                    <w:autoSpaceDE w:val="0"/>
                    <w:autoSpaceDN w:val="0"/>
                    <w:jc w:val="left"/>
                    <w:rPr>
                      <w:rFonts w:hint="default" w:ascii="Times New Roman" w:hAnsi="Times New Roman" w:eastAsia="宋体" w:cs="Times New Roman"/>
                      <w:i w:val="0"/>
                      <w:iCs w:val="0"/>
                      <w:color w:val="auto"/>
                      <w:spacing w:val="0"/>
                      <w:w w:val="100"/>
                      <w:position w:val="0"/>
                      <w:sz w:val="21"/>
                      <w:szCs w:val="21"/>
                      <w:highlight w:val="none"/>
                      <w:lang w:val="en-US" w:eastAsia="zh-CN"/>
                    </w:rPr>
                  </w:pPr>
                  <w:r>
                    <w:rPr>
                      <w:rFonts w:hint="eastAsia" w:ascii="Times New Roman" w:hAnsi="Times New Roman" w:cs="Times New Roman"/>
                      <w:i w:val="0"/>
                      <w:iCs w:val="0"/>
                      <w:color w:val="auto"/>
                      <w:spacing w:val="0"/>
                      <w:w w:val="100"/>
                      <w:position w:val="0"/>
                      <w:sz w:val="21"/>
                      <w:szCs w:val="21"/>
                      <w:highlight w:val="none"/>
                      <w:lang w:val="en-US" w:eastAsia="zh-CN"/>
                    </w:rPr>
                    <w:t>⑤</w:t>
                  </w:r>
                  <w:r>
                    <w:rPr>
                      <w:rFonts w:hint="eastAsia"/>
                      <w:color w:val="auto"/>
                      <w:lang w:val="en-US" w:eastAsia="zh-CN"/>
                    </w:rPr>
                    <w:t>锅炉废气经过低氮燃烧处理后经15m排气筒排放。</w:t>
                  </w:r>
                </w:p>
              </w:tc>
              <w:tc>
                <w:tcPr>
                  <w:tcW w:w="504" w:type="pct"/>
                  <w:tcBorders>
                    <w:tl2br w:val="nil"/>
                    <w:tr2bl w:val="nil"/>
                  </w:tcBorders>
                  <w:vAlign w:val="center"/>
                </w:tcPr>
                <w:p w14:paraId="60E85009">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202FC4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69EE071B">
                  <w:pPr>
                    <w:autoSpaceDE w:val="0"/>
                    <w:autoSpaceDN w:val="0"/>
                    <w:jc w:val="center"/>
                    <w:rPr>
                      <w:rFonts w:hint="default" w:ascii="Times New Roman" w:hAnsi="Times New Roman" w:cs="Times New Roman"/>
                      <w:color w:val="auto"/>
                      <w:sz w:val="21"/>
                      <w:szCs w:val="21"/>
                      <w:highlight w:val="none"/>
                    </w:rPr>
                  </w:pPr>
                </w:p>
              </w:tc>
              <w:tc>
                <w:tcPr>
                  <w:tcW w:w="949" w:type="pct"/>
                  <w:tcBorders>
                    <w:tl2br w:val="nil"/>
                    <w:tr2bl w:val="nil"/>
                  </w:tcBorders>
                  <w:vAlign w:val="center"/>
                </w:tcPr>
                <w:p w14:paraId="50CDEFB3">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3178" w:type="pct"/>
                  <w:gridSpan w:val="2"/>
                  <w:tcBorders>
                    <w:tl2br w:val="nil"/>
                    <w:tr2bl w:val="nil"/>
                  </w:tcBorders>
                  <w:vAlign w:val="center"/>
                </w:tcPr>
                <w:p w14:paraId="3B6AFFDE">
                  <w:pPr>
                    <w:pStyle w:val="29"/>
                    <w:autoSpaceDE w:val="0"/>
                    <w:autoSpaceDN w:val="0"/>
                    <w:jc w:val="both"/>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生产废水循环使用，不外排；</w:t>
                  </w:r>
                  <w:r>
                    <w:rPr>
                      <w:rFonts w:hint="default" w:ascii="Times New Roman" w:hAnsi="Times New Roman" w:cs="Times New Roman"/>
                      <w:color w:val="auto"/>
                      <w:sz w:val="21"/>
                      <w:szCs w:val="21"/>
                      <w:highlight w:val="none"/>
                      <w:lang w:val="en-US"/>
                    </w:rPr>
                    <w:t>生活污水经排入园区污水管网</w:t>
                  </w:r>
                  <w:r>
                    <w:rPr>
                      <w:rFonts w:hint="eastAsia" w:ascii="Times New Roman" w:hAnsi="Times New Roman" w:cs="Times New Roman"/>
                      <w:color w:val="auto"/>
                      <w:sz w:val="21"/>
                      <w:szCs w:val="21"/>
                      <w:highlight w:val="none"/>
                      <w:lang w:val="en-US" w:eastAsia="zh-CN"/>
                    </w:rPr>
                    <w:t>，</w:t>
                  </w:r>
                  <w:r>
                    <w:rPr>
                      <w:rStyle w:val="27"/>
                      <w:rFonts w:hint="default" w:ascii="Times New Roman" w:hAnsi="Times New Roman" w:cs="Times New Roman"/>
                      <w:color w:val="auto"/>
                      <w:kern w:val="0"/>
                      <w:sz w:val="21"/>
                      <w:szCs w:val="21"/>
                      <w:highlight w:val="none"/>
                      <w:lang w:val="en-US" w:eastAsia="zh-CN" w:bidi="ar-SA"/>
                    </w:rPr>
                    <w:t>最终排入</w:t>
                  </w:r>
                  <w:r>
                    <w:rPr>
                      <w:rFonts w:hint="eastAsia"/>
                      <w:color w:val="auto"/>
                      <w:spacing w:val="2"/>
                      <w:highlight w:val="none"/>
                      <w:lang w:val="en-US" w:eastAsia="zh-CN"/>
                    </w:rPr>
                    <w:t>吉木萨尔县第二污水处理厂</w:t>
                  </w:r>
                  <w:r>
                    <w:rPr>
                      <w:rFonts w:hint="default" w:ascii="Times New Roman" w:hAnsi="Times New Roman" w:cs="Times New Roman"/>
                      <w:color w:val="auto"/>
                      <w:sz w:val="21"/>
                      <w:szCs w:val="21"/>
                      <w:highlight w:val="none"/>
                      <w:lang w:val="en-US" w:eastAsia="zh-CN"/>
                    </w:rPr>
                    <w:t>进行处理</w:t>
                  </w:r>
                </w:p>
              </w:tc>
              <w:tc>
                <w:tcPr>
                  <w:tcW w:w="504" w:type="pct"/>
                  <w:tcBorders>
                    <w:tl2br w:val="nil"/>
                    <w:tr2bl w:val="nil"/>
                  </w:tcBorders>
                  <w:vAlign w:val="center"/>
                </w:tcPr>
                <w:p w14:paraId="304E3E1F">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依托</w:t>
                  </w:r>
                </w:p>
              </w:tc>
            </w:tr>
            <w:tr w14:paraId="2E4F8B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6F267C6B">
                  <w:pPr>
                    <w:autoSpaceDE w:val="0"/>
                    <w:autoSpaceDN w:val="0"/>
                    <w:jc w:val="center"/>
                    <w:rPr>
                      <w:rFonts w:hint="default" w:ascii="Times New Roman" w:hAnsi="Times New Roman" w:cs="Times New Roman"/>
                      <w:color w:val="auto"/>
                      <w:sz w:val="21"/>
                      <w:szCs w:val="21"/>
                      <w:highlight w:val="none"/>
                    </w:rPr>
                  </w:pPr>
                </w:p>
              </w:tc>
              <w:tc>
                <w:tcPr>
                  <w:tcW w:w="949" w:type="pct"/>
                  <w:tcBorders>
                    <w:tl2br w:val="nil"/>
                    <w:tr2bl w:val="nil"/>
                  </w:tcBorders>
                  <w:vAlign w:val="center"/>
                </w:tcPr>
                <w:p w14:paraId="4E1D7AD8">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3178" w:type="pct"/>
                  <w:gridSpan w:val="2"/>
                  <w:tcBorders>
                    <w:tl2br w:val="nil"/>
                    <w:tr2bl w:val="nil"/>
                  </w:tcBorders>
                  <w:vAlign w:val="center"/>
                </w:tcPr>
                <w:p w14:paraId="0B49A92A">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采取相应吸隔声、减振措施，加强管理</w:t>
                  </w:r>
                </w:p>
              </w:tc>
              <w:tc>
                <w:tcPr>
                  <w:tcW w:w="504" w:type="pct"/>
                  <w:tcBorders>
                    <w:tl2br w:val="nil"/>
                    <w:tr2bl w:val="nil"/>
                  </w:tcBorders>
                  <w:vAlign w:val="center"/>
                </w:tcPr>
                <w:p w14:paraId="2208CF86">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新建</w:t>
                  </w:r>
                </w:p>
              </w:tc>
            </w:tr>
            <w:tr w14:paraId="4758F6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1EEF3A32">
                  <w:pPr>
                    <w:autoSpaceDE w:val="0"/>
                    <w:autoSpaceDN w:val="0"/>
                    <w:jc w:val="center"/>
                    <w:rPr>
                      <w:rFonts w:hint="default" w:ascii="Times New Roman" w:hAnsi="Times New Roman" w:cs="Times New Roman"/>
                      <w:color w:val="auto"/>
                      <w:sz w:val="21"/>
                      <w:szCs w:val="21"/>
                      <w:highlight w:val="none"/>
                    </w:rPr>
                  </w:pPr>
                </w:p>
              </w:tc>
              <w:tc>
                <w:tcPr>
                  <w:tcW w:w="949" w:type="pct"/>
                  <w:vMerge w:val="restart"/>
                  <w:tcBorders>
                    <w:tl2br w:val="nil"/>
                    <w:tr2bl w:val="nil"/>
                  </w:tcBorders>
                  <w:vAlign w:val="center"/>
                </w:tcPr>
                <w:p w14:paraId="0072012F">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p>
              </w:tc>
              <w:tc>
                <w:tcPr>
                  <w:tcW w:w="174" w:type="pct"/>
                  <w:tcBorders>
                    <w:tl2br w:val="nil"/>
                    <w:tr2bl w:val="nil"/>
                  </w:tcBorders>
                  <w:vAlign w:val="center"/>
                </w:tcPr>
                <w:p w14:paraId="7E99388E">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一般工业固废</w:t>
                  </w:r>
                </w:p>
              </w:tc>
              <w:tc>
                <w:tcPr>
                  <w:tcW w:w="3004" w:type="pct"/>
                  <w:tcBorders>
                    <w:tl2br w:val="nil"/>
                    <w:tr2bl w:val="nil"/>
                  </w:tcBorders>
                  <w:vAlign w:val="center"/>
                </w:tcPr>
                <w:p w14:paraId="547FE54A">
                  <w:pPr>
                    <w:pStyle w:val="29"/>
                    <w:autoSpaceDE w:val="0"/>
                    <w:autoSpaceDN w:val="0"/>
                    <w:jc w:val="left"/>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①</w:t>
                  </w:r>
                  <w:r>
                    <w:rPr>
                      <w:rFonts w:hint="default" w:ascii="Times New Roman" w:hAnsi="Times New Roman" w:cs="Times New Roman"/>
                      <w:color w:val="auto"/>
                      <w:sz w:val="21"/>
                      <w:szCs w:val="21"/>
                      <w:highlight w:val="none"/>
                      <w:lang w:val="en-US"/>
                    </w:rPr>
                    <w:t>废</w:t>
                  </w:r>
                  <w:r>
                    <w:rPr>
                      <w:rFonts w:hint="default" w:ascii="Times New Roman" w:hAnsi="Times New Roman" w:cs="Times New Roman"/>
                      <w:color w:val="auto"/>
                      <w:sz w:val="21"/>
                      <w:szCs w:val="21"/>
                      <w:highlight w:val="none"/>
                      <w:lang w:val="en-US" w:eastAsia="zh-CN"/>
                    </w:rPr>
                    <w:t>金属</w:t>
                  </w:r>
                  <w:r>
                    <w:rPr>
                      <w:rFonts w:hint="default" w:ascii="Times New Roman" w:hAnsi="Times New Roman" w:cs="Times New Roman"/>
                      <w:color w:val="auto"/>
                      <w:sz w:val="21"/>
                      <w:szCs w:val="21"/>
                      <w:highlight w:val="none"/>
                      <w:lang w:val="en-US"/>
                    </w:rPr>
                    <w:t>边角料集中收集</w:t>
                  </w:r>
                  <w:r>
                    <w:rPr>
                      <w:rFonts w:hint="default" w:ascii="Times New Roman" w:hAnsi="Times New Roman" w:cs="Times New Roman"/>
                      <w:color w:val="auto"/>
                      <w:sz w:val="21"/>
                      <w:szCs w:val="21"/>
                      <w:highlight w:val="none"/>
                      <w:lang w:val="en-US" w:eastAsia="zh-CN"/>
                    </w:rPr>
                    <w:t>后外售</w:t>
                  </w:r>
                  <w:r>
                    <w:rPr>
                      <w:rFonts w:hint="default" w:ascii="Times New Roman" w:hAnsi="Times New Roman" w:cs="Times New Roman"/>
                      <w:color w:val="auto"/>
                      <w:highlight w:val="none"/>
                      <w:lang w:val="en-US"/>
                    </w:rPr>
                    <w:t>物资回收单位</w:t>
                  </w:r>
                  <w:r>
                    <w:rPr>
                      <w:rFonts w:hint="default" w:ascii="Times New Roman" w:hAnsi="Times New Roman" w:cs="Times New Roman"/>
                      <w:color w:val="auto"/>
                      <w:sz w:val="21"/>
                      <w:szCs w:val="21"/>
                      <w:highlight w:val="none"/>
                      <w:lang w:val="en-US"/>
                    </w:rPr>
                    <w:t>；</w:t>
                  </w:r>
                </w:p>
                <w:p w14:paraId="6B4CDB3D">
                  <w:pPr>
                    <w:pStyle w:val="29"/>
                    <w:autoSpaceDE w:val="0"/>
                    <w:autoSpaceDN w:val="0"/>
                    <w:jc w:val="left"/>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rPr>
                    <w:t>②</w:t>
                  </w:r>
                  <w:r>
                    <w:rPr>
                      <w:rFonts w:hint="default" w:ascii="Times New Roman" w:hAnsi="Times New Roman" w:cs="Times New Roman"/>
                      <w:color w:val="auto"/>
                      <w:sz w:val="21"/>
                      <w:szCs w:val="21"/>
                      <w:highlight w:val="none"/>
                      <w:lang w:val="en-US" w:eastAsia="zh-CN"/>
                    </w:rPr>
                    <w:t>除尘灰经布袋除尘器收集后回用于生产，不外排</w:t>
                  </w:r>
                  <w:r>
                    <w:rPr>
                      <w:rFonts w:hint="default" w:ascii="Times New Roman" w:hAnsi="Times New Roman" w:cs="Times New Roman"/>
                      <w:color w:val="auto"/>
                      <w:sz w:val="21"/>
                      <w:szCs w:val="21"/>
                      <w:highlight w:val="none"/>
                      <w:lang w:val="en-US"/>
                    </w:rPr>
                    <w:t>；</w:t>
                  </w:r>
                </w:p>
                <w:p w14:paraId="03AA1F2B">
                  <w:pPr>
                    <w:pStyle w:val="29"/>
                    <w:autoSpaceDE w:val="0"/>
                    <w:autoSpaceDN w:val="0"/>
                    <w:jc w:val="left"/>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③不合格品内部的钢筋外售，外部混凝土渣定期清运。</w:t>
                  </w:r>
                </w:p>
                <w:p w14:paraId="17145B2A">
                  <w:pPr>
                    <w:pStyle w:val="29"/>
                    <w:autoSpaceDE w:val="0"/>
                    <w:autoSpaceDN w:val="0"/>
                    <w:jc w:val="left"/>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④混凝土沉渣定期清理，回用于生产</w:t>
                  </w:r>
                </w:p>
                <w:p w14:paraId="546CD8DE">
                  <w:pPr>
                    <w:pStyle w:val="29"/>
                    <w:autoSpaceDE w:val="0"/>
                    <w:autoSpaceDN w:val="0"/>
                    <w:jc w:val="left"/>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⑤</w:t>
                  </w:r>
                  <w:r>
                    <w:rPr>
                      <w:rFonts w:hint="default" w:ascii="Times New Roman" w:hAnsi="Times New Roman" w:cs="Times New Roman"/>
                      <w:color w:val="auto"/>
                      <w:sz w:val="21"/>
                      <w:szCs w:val="21"/>
                      <w:highlight w:val="none"/>
                    </w:rPr>
                    <w:t>生活垃圾交由当地环卫部门统一清运处理</w:t>
                  </w:r>
                </w:p>
              </w:tc>
              <w:tc>
                <w:tcPr>
                  <w:tcW w:w="504" w:type="pct"/>
                  <w:tcBorders>
                    <w:tl2br w:val="nil"/>
                    <w:tr2bl w:val="nil"/>
                  </w:tcBorders>
                  <w:vAlign w:val="center"/>
                </w:tcPr>
                <w:p w14:paraId="7319CE26">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新建</w:t>
                  </w:r>
                </w:p>
              </w:tc>
            </w:tr>
            <w:tr w14:paraId="499C5E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68" w:type="pct"/>
                  <w:vMerge w:val="continue"/>
                  <w:tcBorders>
                    <w:tl2br w:val="nil"/>
                    <w:tr2bl w:val="nil"/>
                  </w:tcBorders>
                  <w:vAlign w:val="center"/>
                </w:tcPr>
                <w:p w14:paraId="1DC428DB">
                  <w:pPr>
                    <w:pStyle w:val="29"/>
                    <w:autoSpaceDE w:val="0"/>
                    <w:autoSpaceDN w:val="0"/>
                    <w:jc w:val="center"/>
                    <w:rPr>
                      <w:rFonts w:hint="default" w:ascii="Times New Roman" w:hAnsi="Times New Roman" w:cs="Times New Roman"/>
                      <w:color w:val="auto"/>
                      <w:sz w:val="21"/>
                      <w:szCs w:val="21"/>
                      <w:highlight w:val="none"/>
                    </w:rPr>
                  </w:pPr>
                </w:p>
              </w:tc>
              <w:tc>
                <w:tcPr>
                  <w:tcW w:w="949" w:type="pct"/>
                  <w:vMerge w:val="continue"/>
                  <w:tcBorders>
                    <w:tl2br w:val="nil"/>
                    <w:tr2bl w:val="nil"/>
                  </w:tcBorders>
                  <w:vAlign w:val="center"/>
                </w:tcPr>
                <w:p w14:paraId="07836752">
                  <w:pPr>
                    <w:pStyle w:val="29"/>
                    <w:autoSpaceDE w:val="0"/>
                    <w:autoSpaceDN w:val="0"/>
                    <w:jc w:val="center"/>
                    <w:rPr>
                      <w:rFonts w:hint="default" w:ascii="Times New Roman" w:hAnsi="Times New Roman" w:cs="Times New Roman"/>
                      <w:color w:val="auto"/>
                      <w:sz w:val="21"/>
                      <w:szCs w:val="21"/>
                      <w:highlight w:val="none"/>
                    </w:rPr>
                  </w:pPr>
                </w:p>
              </w:tc>
              <w:tc>
                <w:tcPr>
                  <w:tcW w:w="174" w:type="pct"/>
                  <w:tcBorders>
                    <w:tl2br w:val="nil"/>
                    <w:tr2bl w:val="nil"/>
                  </w:tcBorders>
                  <w:vAlign w:val="center"/>
                </w:tcPr>
                <w:p w14:paraId="386B792E">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w:t>
                  </w:r>
                </w:p>
              </w:tc>
              <w:tc>
                <w:tcPr>
                  <w:tcW w:w="3004" w:type="pct"/>
                  <w:tcBorders>
                    <w:tl2br w:val="nil"/>
                    <w:tr2bl w:val="nil"/>
                  </w:tcBorders>
                  <w:vAlign w:val="center"/>
                </w:tcPr>
                <w:p w14:paraId="05BAE09F">
                  <w:pPr>
                    <w:pStyle w:val="29"/>
                    <w:autoSpaceDE w:val="0"/>
                    <w:autoSpaceDN w:val="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废机油等危险废物暂存于危废暂存间，交由有资质单位处理，建筑面积为</w:t>
                  </w:r>
                  <w:r>
                    <w:rPr>
                      <w:rFonts w:hint="default" w:ascii="Times New Roman" w:hAnsi="Times New Roman" w:cs="Times New Roman"/>
                      <w:color w:val="auto"/>
                      <w:sz w:val="21"/>
                      <w:szCs w:val="21"/>
                      <w:highlight w:val="none"/>
                      <w:lang w:val="en-US"/>
                    </w:rPr>
                    <w:t>20m</w:t>
                  </w:r>
                  <w:r>
                    <w:rPr>
                      <w:rFonts w:hint="default" w:ascii="Times New Roman" w:hAnsi="Times New Roman" w:cs="Times New Roman"/>
                      <w:color w:val="auto"/>
                      <w:sz w:val="21"/>
                      <w:szCs w:val="21"/>
                      <w:highlight w:val="none"/>
                      <w:vertAlign w:val="superscript"/>
                      <w:lang w:val="en-US"/>
                    </w:rPr>
                    <w:t>2</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执行</w:t>
                  </w:r>
                  <w:r>
                    <w:rPr>
                      <w:rFonts w:hint="default" w:ascii="Times New Roman" w:hAnsi="Times New Roman" w:cs="Times New Roman"/>
                      <w:color w:val="auto"/>
                      <w:sz w:val="21"/>
                      <w:szCs w:val="21"/>
                      <w:highlight w:val="none"/>
                    </w:rPr>
                    <w:t>《危险废物贮存污染控制标准》（GB18597-20</w:t>
                  </w:r>
                  <w:r>
                    <w:rPr>
                      <w:rFonts w:hint="eastAsia" w:ascii="Times New Roman" w:hAnsi="Times New Roman" w:cs="Times New Roman"/>
                      <w:color w:val="auto"/>
                      <w:sz w:val="21"/>
                      <w:szCs w:val="21"/>
                      <w:highlight w:val="none"/>
                      <w:lang w:val="en-US" w:eastAsia="zh-CN"/>
                    </w:rPr>
                    <w:t>23</w:t>
                  </w:r>
                  <w:r>
                    <w:rPr>
                      <w:rFonts w:hint="default" w:ascii="Times New Roman" w:hAnsi="Times New Roman" w:cs="Times New Roman"/>
                      <w:color w:val="auto"/>
                      <w:sz w:val="21"/>
                      <w:szCs w:val="21"/>
                      <w:highlight w:val="none"/>
                    </w:rPr>
                    <w:t>）</w:t>
                  </w:r>
                </w:p>
              </w:tc>
              <w:tc>
                <w:tcPr>
                  <w:tcW w:w="504" w:type="pct"/>
                  <w:tcBorders>
                    <w:tl2br w:val="nil"/>
                    <w:tr2bl w:val="nil"/>
                  </w:tcBorders>
                  <w:vAlign w:val="center"/>
                </w:tcPr>
                <w:p w14:paraId="7DF49992">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rPr>
                    <w:t>新建</w:t>
                  </w:r>
                </w:p>
              </w:tc>
            </w:tr>
          </w:tbl>
          <w:p w14:paraId="5F7A30FD">
            <w:pPr>
              <w:adjustRightInd w:val="0"/>
              <w:snapToGrid w:val="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2.主要产品及产能</w:t>
            </w:r>
          </w:p>
          <w:p w14:paraId="0BA2029D">
            <w:pPr>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本项目产品方案见下表。</w:t>
            </w:r>
          </w:p>
          <w:p w14:paraId="5696DD3C">
            <w:pPr>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表2-2    项目产品方案表</w:t>
            </w:r>
          </w:p>
          <w:tbl>
            <w:tblPr>
              <w:tblStyle w:val="23"/>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013"/>
              <w:gridCol w:w="1992"/>
              <w:gridCol w:w="1993"/>
              <w:gridCol w:w="2457"/>
            </w:tblGrid>
            <w:tr w14:paraId="665C96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9" w:type="pct"/>
                  <w:tcBorders>
                    <w:bottom w:val="single" w:color="000000" w:sz="12" w:space="0"/>
                  </w:tcBorders>
                  <w:vAlign w:val="center"/>
                </w:tcPr>
                <w:p w14:paraId="6A523A71">
                  <w:pPr>
                    <w:pStyle w:val="29"/>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序号</w:t>
                  </w:r>
                </w:p>
              </w:tc>
              <w:tc>
                <w:tcPr>
                  <w:tcW w:w="1336" w:type="pct"/>
                  <w:tcBorders>
                    <w:bottom w:val="single" w:color="000000" w:sz="12" w:space="0"/>
                  </w:tcBorders>
                  <w:vAlign w:val="center"/>
                </w:tcPr>
                <w:p w14:paraId="7F2C9104">
                  <w:pPr>
                    <w:pStyle w:val="29"/>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产品名称</w:t>
                  </w:r>
                </w:p>
              </w:tc>
              <w:tc>
                <w:tcPr>
                  <w:tcW w:w="1336" w:type="pct"/>
                  <w:tcBorders>
                    <w:bottom w:val="single" w:color="000000" w:sz="12" w:space="0"/>
                  </w:tcBorders>
                  <w:vAlign w:val="center"/>
                </w:tcPr>
                <w:p w14:paraId="4B44BFC5">
                  <w:pPr>
                    <w:pStyle w:val="29"/>
                    <w:jc w:val="center"/>
                    <w:rPr>
                      <w:rFonts w:hint="eastAsia" w:ascii="Times New Roman" w:hAnsi="Times New Roman" w:eastAsia="宋体" w:cs="Times New Roman"/>
                      <w:b/>
                      <w:color w:val="auto"/>
                      <w:szCs w:val="21"/>
                      <w:highlight w:val="none"/>
                      <w:lang w:val="en-US" w:eastAsia="zh-CN"/>
                    </w:rPr>
                  </w:pPr>
                  <w:r>
                    <w:rPr>
                      <w:rFonts w:hint="eastAsia" w:ascii="Times New Roman" w:hAnsi="Times New Roman" w:cs="Times New Roman"/>
                      <w:b/>
                      <w:color w:val="auto"/>
                      <w:szCs w:val="21"/>
                      <w:highlight w:val="none"/>
                      <w:lang w:val="en-US" w:eastAsia="zh-CN"/>
                    </w:rPr>
                    <w:t>规格</w:t>
                  </w:r>
                </w:p>
              </w:tc>
              <w:tc>
                <w:tcPr>
                  <w:tcW w:w="1647" w:type="pct"/>
                  <w:tcBorders>
                    <w:bottom w:val="single" w:color="000000" w:sz="12" w:space="0"/>
                  </w:tcBorders>
                  <w:vAlign w:val="center"/>
                </w:tcPr>
                <w:p w14:paraId="314F4302">
                  <w:pPr>
                    <w:pStyle w:val="29"/>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年达产规模</w:t>
                  </w:r>
                </w:p>
              </w:tc>
            </w:tr>
            <w:tr w14:paraId="680B20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679" w:type="pct"/>
                  <w:tcBorders>
                    <w:top w:val="single" w:color="000000" w:sz="12" w:space="0"/>
                    <w:tl2br w:val="nil"/>
                    <w:tr2bl w:val="nil"/>
                  </w:tcBorders>
                  <w:vAlign w:val="center"/>
                </w:tcPr>
                <w:p w14:paraId="568CDC49">
                  <w:pPr>
                    <w:pStyle w:val="29"/>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1336" w:type="pct"/>
                  <w:tcBorders>
                    <w:top w:val="single" w:color="000000" w:sz="12" w:space="0"/>
                    <w:tl2br w:val="nil"/>
                    <w:tr2bl w:val="nil"/>
                  </w:tcBorders>
                  <w:vAlign w:val="center"/>
                </w:tcPr>
                <w:p w14:paraId="73B5CE69">
                  <w:pPr>
                    <w:pStyle w:val="29"/>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PCCP管材</w:t>
                  </w:r>
                </w:p>
              </w:tc>
              <w:tc>
                <w:tcPr>
                  <w:tcW w:w="1336" w:type="pct"/>
                  <w:tcBorders>
                    <w:top w:val="single" w:color="000000" w:sz="12" w:space="0"/>
                    <w:tl2br w:val="nil"/>
                    <w:tr2bl w:val="nil"/>
                  </w:tcBorders>
                  <w:vAlign w:val="center"/>
                </w:tcPr>
                <w:p w14:paraId="2B1EB3CA">
                  <w:pPr>
                    <w:pStyle w:val="29"/>
                    <w:jc w:val="center"/>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DN2800</w:t>
                  </w:r>
                </w:p>
              </w:tc>
              <w:tc>
                <w:tcPr>
                  <w:tcW w:w="1647" w:type="pct"/>
                  <w:tcBorders>
                    <w:top w:val="single" w:color="000000" w:sz="12" w:space="0"/>
                    <w:tl2br w:val="nil"/>
                    <w:tr2bl w:val="nil"/>
                  </w:tcBorders>
                  <w:vAlign w:val="center"/>
                </w:tcPr>
                <w:p w14:paraId="0C8D603C">
                  <w:pPr>
                    <w:pStyle w:val="29"/>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约7350节，共44.1km</w:t>
                  </w:r>
                </w:p>
              </w:tc>
            </w:tr>
          </w:tbl>
          <w:p w14:paraId="3185F0EB">
            <w:pPr>
              <w:adjustRightInd w:val="0"/>
              <w:snapToGrid w:val="0"/>
              <w:spacing w:line="360" w:lineRule="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3.主要生产设备</w:t>
            </w:r>
          </w:p>
          <w:p w14:paraId="0D0877D7">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本项目主要生产设备名称及用量见下表。</w:t>
            </w:r>
          </w:p>
          <w:p w14:paraId="2D119A04">
            <w:pPr>
              <w:ind w:right="1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表2</w:t>
            </w:r>
            <w:r>
              <w:rPr>
                <w:rFonts w:hint="default" w:ascii="Times New Roman" w:hAnsi="Times New Roman" w:eastAsia="Times New Roman" w:cs="Times New Roman"/>
                <w:b/>
                <w:color w:val="auto"/>
                <w:szCs w:val="21"/>
                <w:highlight w:val="none"/>
              </w:rPr>
              <w:t>-3</w:t>
            </w:r>
            <w:r>
              <w:rPr>
                <w:rFonts w:hint="default" w:ascii="Times New Roman" w:hAnsi="Times New Roman" w:cs="Times New Roman"/>
                <w:b/>
                <w:color w:val="auto"/>
                <w:szCs w:val="21"/>
                <w:highlight w:val="none"/>
              </w:rPr>
              <w:t xml:space="preserve">    主要生产设备一览表</w:t>
            </w:r>
          </w:p>
          <w:tbl>
            <w:tblPr>
              <w:tblStyle w:val="23"/>
              <w:tblW w:w="4970" w:type="pct"/>
              <w:tblInd w:w="2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1"/>
              <w:gridCol w:w="2366"/>
              <w:gridCol w:w="1765"/>
              <w:gridCol w:w="934"/>
              <w:gridCol w:w="1568"/>
            </w:tblGrid>
            <w:tr w14:paraId="63BFF1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bottom w:val="single" w:color="auto" w:sz="12" w:space="0"/>
                  </w:tcBorders>
                  <w:shd w:val="clear" w:color="auto" w:fill="auto"/>
                  <w:vAlign w:val="center"/>
                </w:tcPr>
                <w:p w14:paraId="03365B52">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595" w:type="pct"/>
                  <w:tcBorders>
                    <w:bottom w:val="single" w:color="auto" w:sz="12" w:space="0"/>
                  </w:tcBorders>
                  <w:shd w:val="clear" w:color="auto" w:fill="auto"/>
                  <w:vAlign w:val="center"/>
                </w:tcPr>
                <w:p w14:paraId="358CC202">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设备名称</w:t>
                  </w:r>
                </w:p>
              </w:tc>
              <w:tc>
                <w:tcPr>
                  <w:tcW w:w="1190" w:type="pct"/>
                  <w:tcBorders>
                    <w:bottom w:val="single" w:color="auto" w:sz="12" w:space="0"/>
                  </w:tcBorders>
                  <w:shd w:val="clear" w:color="auto" w:fill="auto"/>
                  <w:vAlign w:val="center"/>
                </w:tcPr>
                <w:p w14:paraId="33DE8950">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型号/规格</w:t>
                  </w:r>
                </w:p>
              </w:tc>
              <w:tc>
                <w:tcPr>
                  <w:tcW w:w="629" w:type="pct"/>
                  <w:tcBorders>
                    <w:bottom w:val="single" w:color="auto" w:sz="12" w:space="0"/>
                  </w:tcBorders>
                  <w:shd w:val="clear" w:color="auto" w:fill="auto"/>
                  <w:vAlign w:val="center"/>
                </w:tcPr>
                <w:p w14:paraId="7DDA6042">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c>
                <w:tcPr>
                  <w:tcW w:w="1057" w:type="pct"/>
                  <w:tcBorders>
                    <w:bottom w:val="single" w:color="auto" w:sz="12" w:space="0"/>
                  </w:tcBorders>
                  <w:shd w:val="clear" w:color="auto" w:fill="auto"/>
                  <w:vAlign w:val="center"/>
                </w:tcPr>
                <w:p w14:paraId="41A216C7">
                  <w:pPr>
                    <w:pStyle w:val="29"/>
                    <w:autoSpaceDE w:val="0"/>
                    <w:autoSpaceDN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数量</w:t>
                  </w:r>
                </w:p>
              </w:tc>
            </w:tr>
            <w:tr w14:paraId="754772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2666AB70">
                  <w:pPr>
                    <w:pStyle w:val="29"/>
                    <w:autoSpaceDE w:val="0"/>
                    <w:autoSpaceDN w:val="0"/>
                    <w:jc w:val="center"/>
                    <w:rPr>
                      <w:rFonts w:hint="default" w:ascii="Times New Roman" w:hAnsi="Times New Roman" w:cs="Times New Roman"/>
                      <w:color w:val="auto"/>
                      <w:sz w:val="21"/>
                      <w:szCs w:val="21"/>
                      <w:highlight w:val="none"/>
                    </w:rPr>
                  </w:pPr>
                  <w:r>
                    <w:rPr>
                      <w:rFonts w:hint="eastAsia" w:ascii="宋体" w:hAnsi="宋体" w:eastAsia="宋体" w:cs="宋体"/>
                      <w:b w:val="0"/>
                      <w:bCs w:val="0"/>
                      <w:color w:val="auto"/>
                      <w:spacing w:val="-2"/>
                      <w:sz w:val="21"/>
                      <w:szCs w:val="21"/>
                      <w:lang w:val="en-US" w:eastAsia="zh-CN"/>
                    </w:rPr>
                    <w:t>一、</w:t>
                  </w:r>
                  <w:r>
                    <w:rPr>
                      <w:rFonts w:ascii="宋体" w:hAnsi="宋体" w:eastAsia="宋体" w:cs="宋体"/>
                      <w:b w:val="0"/>
                      <w:bCs w:val="0"/>
                      <w:color w:val="auto"/>
                      <w:spacing w:val="-2"/>
                      <w:sz w:val="21"/>
                      <w:szCs w:val="21"/>
                    </w:rPr>
                    <w:t>承插口钢圈、钢筒加工设备</w:t>
                  </w:r>
                </w:p>
              </w:tc>
            </w:tr>
            <w:tr w14:paraId="4D53E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287F06F">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595" w:type="pct"/>
                  <w:tcBorders>
                    <w:tl2br w:val="nil"/>
                    <w:tr2bl w:val="nil"/>
                  </w:tcBorders>
                  <w:shd w:val="clear" w:color="auto" w:fill="auto"/>
                  <w:vAlign w:val="top"/>
                </w:tcPr>
                <w:p w14:paraId="69B8F3A0">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三辊轧圆机</w:t>
                  </w:r>
                </w:p>
              </w:tc>
              <w:tc>
                <w:tcPr>
                  <w:tcW w:w="1190" w:type="pct"/>
                  <w:tcBorders>
                    <w:tl2br w:val="nil"/>
                    <w:tr2bl w:val="nil"/>
                  </w:tcBorders>
                  <w:shd w:val="clear" w:color="auto" w:fill="auto"/>
                  <w:vAlign w:val="center"/>
                </w:tcPr>
                <w:p w14:paraId="3D3F001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pacing w:val="-1"/>
                      <w:sz w:val="21"/>
                      <w:szCs w:val="21"/>
                    </w:rPr>
                    <w:t>3LJY400</w:t>
                  </w:r>
                </w:p>
              </w:tc>
              <w:tc>
                <w:tcPr>
                  <w:tcW w:w="629" w:type="pct"/>
                  <w:tcBorders>
                    <w:tl2br w:val="nil"/>
                    <w:tr2bl w:val="nil"/>
                  </w:tcBorders>
                  <w:shd w:val="clear" w:color="auto" w:fill="auto"/>
                  <w:vAlign w:val="center"/>
                </w:tcPr>
                <w:p w14:paraId="050CE375">
                  <w:pPr>
                    <w:pStyle w:val="29"/>
                    <w:autoSpaceDE w:val="0"/>
                    <w:autoSpaceDN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5B2532AA">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4433F9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9715E68">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595" w:type="pct"/>
                  <w:tcBorders>
                    <w:tl2br w:val="nil"/>
                    <w:tr2bl w:val="nil"/>
                  </w:tcBorders>
                  <w:shd w:val="clear" w:color="auto" w:fill="auto"/>
                  <w:vAlign w:val="top"/>
                </w:tcPr>
                <w:p w14:paraId="3E5FFFF5">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承口环轧边机</w:t>
                  </w:r>
                </w:p>
              </w:tc>
              <w:tc>
                <w:tcPr>
                  <w:tcW w:w="1190" w:type="pct"/>
                  <w:tcBorders>
                    <w:tl2br w:val="nil"/>
                    <w:tr2bl w:val="nil"/>
                  </w:tcBorders>
                  <w:shd w:val="clear" w:color="auto" w:fill="auto"/>
                  <w:vAlign w:val="center"/>
                </w:tcPr>
                <w:p w14:paraId="25F8A5B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WB400</w:t>
                  </w:r>
                </w:p>
              </w:tc>
              <w:tc>
                <w:tcPr>
                  <w:tcW w:w="629" w:type="pct"/>
                  <w:tcBorders>
                    <w:tl2br w:val="nil"/>
                    <w:tr2bl w:val="nil"/>
                  </w:tcBorders>
                  <w:shd w:val="clear" w:color="auto" w:fill="auto"/>
                  <w:vAlign w:val="center"/>
                </w:tcPr>
                <w:p w14:paraId="345E582F">
                  <w:pPr>
                    <w:pStyle w:val="29"/>
                    <w:autoSpaceDE w:val="0"/>
                    <w:autoSpaceDN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7059894F">
                  <w:pPr>
                    <w:pStyle w:val="29"/>
                    <w:autoSpaceDE w:val="0"/>
                    <w:autoSpaceDN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1</w:t>
                  </w:r>
                </w:p>
              </w:tc>
            </w:tr>
            <w:tr w14:paraId="2FD64E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7E48EA48">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595" w:type="pct"/>
                  <w:tcBorders>
                    <w:tl2br w:val="nil"/>
                    <w:tr2bl w:val="nil"/>
                  </w:tcBorders>
                  <w:shd w:val="clear" w:color="auto" w:fill="auto"/>
                  <w:vAlign w:val="top"/>
                </w:tcPr>
                <w:p w14:paraId="069D3871">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3"/>
                      <w:sz w:val="21"/>
                      <w:szCs w:val="21"/>
                    </w:rPr>
                    <w:t>交流焊机</w:t>
                  </w:r>
                </w:p>
              </w:tc>
              <w:tc>
                <w:tcPr>
                  <w:tcW w:w="1190" w:type="pct"/>
                  <w:tcBorders>
                    <w:tl2br w:val="nil"/>
                    <w:tr2bl w:val="nil"/>
                  </w:tcBorders>
                  <w:shd w:val="clear" w:color="auto" w:fill="auto"/>
                  <w:vAlign w:val="center"/>
                </w:tcPr>
                <w:p w14:paraId="35A3896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BX3-500</w:t>
                  </w:r>
                </w:p>
              </w:tc>
              <w:tc>
                <w:tcPr>
                  <w:tcW w:w="629" w:type="pct"/>
                  <w:tcBorders>
                    <w:tl2br w:val="nil"/>
                    <w:tr2bl w:val="nil"/>
                  </w:tcBorders>
                  <w:shd w:val="clear" w:color="auto" w:fill="auto"/>
                  <w:vAlign w:val="center"/>
                </w:tcPr>
                <w:p w14:paraId="4496BF8F">
                  <w:pPr>
                    <w:pStyle w:val="29"/>
                    <w:autoSpaceDE w:val="0"/>
                    <w:autoSpaceDN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07B454D6">
                  <w:pPr>
                    <w:pStyle w:val="29"/>
                    <w:autoSpaceDE w:val="0"/>
                    <w:autoSpaceDN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6</w:t>
                  </w:r>
                </w:p>
              </w:tc>
            </w:tr>
            <w:tr w14:paraId="54EED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D91211A">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595" w:type="pct"/>
                  <w:tcBorders>
                    <w:tl2br w:val="nil"/>
                    <w:tr2bl w:val="nil"/>
                  </w:tcBorders>
                  <w:shd w:val="clear" w:color="auto" w:fill="auto"/>
                  <w:vAlign w:val="top"/>
                </w:tcPr>
                <w:p w14:paraId="68ABF57D">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合缝焊接工作台</w:t>
                  </w:r>
                </w:p>
              </w:tc>
              <w:tc>
                <w:tcPr>
                  <w:tcW w:w="1190" w:type="pct"/>
                  <w:tcBorders>
                    <w:tl2br w:val="nil"/>
                    <w:tr2bl w:val="nil"/>
                  </w:tcBorders>
                  <w:shd w:val="clear" w:color="auto" w:fill="auto"/>
                  <w:vAlign w:val="center"/>
                </w:tcPr>
                <w:p w14:paraId="04F966C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HJT120-400</w:t>
                  </w:r>
                </w:p>
              </w:tc>
              <w:tc>
                <w:tcPr>
                  <w:tcW w:w="629" w:type="pct"/>
                  <w:tcBorders>
                    <w:tl2br w:val="nil"/>
                    <w:tr2bl w:val="nil"/>
                  </w:tcBorders>
                  <w:shd w:val="clear" w:color="auto" w:fill="auto"/>
                  <w:vAlign w:val="center"/>
                </w:tcPr>
                <w:p w14:paraId="1C766A92">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1057" w:type="pct"/>
                  <w:tcBorders>
                    <w:tl2br w:val="nil"/>
                    <w:tr2bl w:val="nil"/>
                  </w:tcBorders>
                  <w:shd w:val="clear" w:color="auto" w:fill="auto"/>
                  <w:vAlign w:val="center"/>
                </w:tcPr>
                <w:p w14:paraId="40342F32">
                  <w:pPr>
                    <w:pStyle w:val="29"/>
                    <w:autoSpaceDE w:val="0"/>
                    <w:autoSpaceDN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1</w:t>
                  </w:r>
                </w:p>
              </w:tc>
            </w:tr>
            <w:tr w14:paraId="37D63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3142B319">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595" w:type="pct"/>
                  <w:tcBorders>
                    <w:tl2br w:val="nil"/>
                    <w:tr2bl w:val="nil"/>
                  </w:tcBorders>
                  <w:shd w:val="clear" w:color="auto" w:fill="auto"/>
                  <w:vAlign w:val="top"/>
                </w:tcPr>
                <w:p w14:paraId="6FE6FF39">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lang w:val="en-US" w:eastAsia="zh-CN"/>
                    </w:rPr>
                  </w:pPr>
                  <w:r>
                    <w:rPr>
                      <w:rFonts w:ascii="宋体" w:hAnsi="宋体" w:eastAsia="宋体" w:cs="宋体"/>
                      <w:color w:val="auto"/>
                      <w:spacing w:val="-1"/>
                      <w:sz w:val="21"/>
                      <w:szCs w:val="21"/>
                    </w:rPr>
                    <w:t>胀圆机、配套胀块</w:t>
                  </w:r>
                </w:p>
              </w:tc>
              <w:tc>
                <w:tcPr>
                  <w:tcW w:w="1190" w:type="pct"/>
                  <w:tcBorders>
                    <w:tl2br w:val="nil"/>
                    <w:tr2bl w:val="nil"/>
                  </w:tcBorders>
                  <w:shd w:val="clear" w:color="auto" w:fill="auto"/>
                  <w:vAlign w:val="center"/>
                </w:tcPr>
                <w:p w14:paraId="334B7DA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ZY60-400</w:t>
                  </w:r>
                </w:p>
              </w:tc>
              <w:tc>
                <w:tcPr>
                  <w:tcW w:w="629" w:type="pct"/>
                  <w:tcBorders>
                    <w:tl2br w:val="nil"/>
                    <w:tr2bl w:val="nil"/>
                  </w:tcBorders>
                  <w:shd w:val="clear" w:color="auto" w:fill="auto"/>
                  <w:vAlign w:val="center"/>
                </w:tcPr>
                <w:p w14:paraId="1060BECD">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1057" w:type="pct"/>
                  <w:tcBorders>
                    <w:tl2br w:val="nil"/>
                    <w:tr2bl w:val="nil"/>
                  </w:tcBorders>
                  <w:shd w:val="clear" w:color="auto" w:fill="auto"/>
                  <w:vAlign w:val="center"/>
                </w:tcPr>
                <w:p w14:paraId="1993327B">
                  <w:pPr>
                    <w:pStyle w:val="29"/>
                    <w:autoSpaceDE w:val="0"/>
                    <w:autoSpaceDN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1</w:t>
                  </w:r>
                </w:p>
              </w:tc>
            </w:tr>
            <w:tr w14:paraId="7A40B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70ADB65">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w:t>
                  </w:r>
                </w:p>
              </w:tc>
              <w:tc>
                <w:tcPr>
                  <w:tcW w:w="1595" w:type="pct"/>
                  <w:tcBorders>
                    <w:tl2br w:val="nil"/>
                    <w:tr2bl w:val="nil"/>
                  </w:tcBorders>
                  <w:shd w:val="clear" w:color="auto" w:fill="auto"/>
                  <w:vAlign w:val="top"/>
                </w:tcPr>
                <w:p w14:paraId="3F592EBA">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钢筒螺旋焊机</w:t>
                  </w:r>
                </w:p>
              </w:tc>
              <w:tc>
                <w:tcPr>
                  <w:tcW w:w="1190" w:type="pct"/>
                  <w:tcBorders>
                    <w:tl2br w:val="nil"/>
                    <w:tr2bl w:val="nil"/>
                  </w:tcBorders>
                  <w:shd w:val="clear" w:color="auto" w:fill="auto"/>
                  <w:vAlign w:val="center"/>
                </w:tcPr>
                <w:p w14:paraId="4969A61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TJH120-400</w:t>
                  </w:r>
                </w:p>
              </w:tc>
              <w:tc>
                <w:tcPr>
                  <w:tcW w:w="629" w:type="pct"/>
                  <w:tcBorders>
                    <w:tl2br w:val="nil"/>
                    <w:tr2bl w:val="nil"/>
                  </w:tcBorders>
                  <w:shd w:val="clear" w:color="auto" w:fill="auto"/>
                  <w:vAlign w:val="center"/>
                </w:tcPr>
                <w:p w14:paraId="4908D035">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1057" w:type="pct"/>
                  <w:tcBorders>
                    <w:tl2br w:val="nil"/>
                    <w:tr2bl w:val="nil"/>
                  </w:tcBorders>
                  <w:shd w:val="clear" w:color="auto" w:fill="auto"/>
                  <w:vAlign w:val="center"/>
                </w:tcPr>
                <w:p w14:paraId="13CDA6F8">
                  <w:pPr>
                    <w:pStyle w:val="29"/>
                    <w:autoSpaceDE w:val="0"/>
                    <w:autoSpaceDN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1</w:t>
                  </w:r>
                </w:p>
              </w:tc>
            </w:tr>
            <w:tr w14:paraId="7749E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7D5E7405">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w:t>
                  </w:r>
                </w:p>
              </w:tc>
              <w:tc>
                <w:tcPr>
                  <w:tcW w:w="1595" w:type="pct"/>
                  <w:tcBorders>
                    <w:tl2br w:val="nil"/>
                    <w:tr2bl w:val="nil"/>
                  </w:tcBorders>
                  <w:shd w:val="clear" w:color="auto" w:fill="auto"/>
                  <w:vAlign w:val="top"/>
                </w:tcPr>
                <w:p w14:paraId="7A701E2E">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2"/>
                      <w:sz w:val="21"/>
                      <w:szCs w:val="21"/>
                    </w:rPr>
                    <w:t>螺旋焊芯模</w:t>
                  </w:r>
                </w:p>
              </w:tc>
              <w:tc>
                <w:tcPr>
                  <w:tcW w:w="1190" w:type="pct"/>
                  <w:tcBorders>
                    <w:tl2br w:val="nil"/>
                    <w:tr2bl w:val="nil"/>
                  </w:tcBorders>
                  <w:shd w:val="clear" w:color="auto" w:fill="auto"/>
                  <w:vAlign w:val="center"/>
                </w:tcPr>
                <w:p w14:paraId="6DF1C87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DN2800*5000</w:t>
                  </w:r>
                </w:p>
              </w:tc>
              <w:tc>
                <w:tcPr>
                  <w:tcW w:w="629" w:type="pct"/>
                  <w:tcBorders>
                    <w:tl2br w:val="nil"/>
                    <w:tr2bl w:val="nil"/>
                  </w:tcBorders>
                  <w:shd w:val="clear" w:color="auto" w:fill="auto"/>
                  <w:vAlign w:val="center"/>
                </w:tcPr>
                <w:p w14:paraId="4E20B841">
                  <w:pPr>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1057" w:type="pct"/>
                  <w:tcBorders>
                    <w:tl2br w:val="nil"/>
                    <w:tr2bl w:val="nil"/>
                  </w:tcBorders>
                  <w:shd w:val="clear" w:color="auto" w:fill="auto"/>
                  <w:vAlign w:val="center"/>
                </w:tcPr>
                <w:p w14:paraId="401E9C66">
                  <w:pPr>
                    <w:pStyle w:val="29"/>
                    <w:autoSpaceDE w:val="0"/>
                    <w:autoSpaceDN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1</w:t>
                  </w:r>
                </w:p>
              </w:tc>
            </w:tr>
            <w:tr w14:paraId="1EA1B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7240CDAE">
                  <w:pPr>
                    <w:pStyle w:val="29"/>
                    <w:autoSpaceDE w:val="0"/>
                    <w:autoSpaceDN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8</w:t>
                  </w:r>
                </w:p>
              </w:tc>
              <w:tc>
                <w:tcPr>
                  <w:tcW w:w="1595" w:type="pct"/>
                  <w:tcBorders>
                    <w:tl2br w:val="nil"/>
                    <w:tr2bl w:val="nil"/>
                  </w:tcBorders>
                  <w:shd w:val="clear" w:color="auto" w:fill="auto"/>
                  <w:vAlign w:val="top"/>
                </w:tcPr>
                <w:p w14:paraId="466EDDFE">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2"/>
                      <w:sz w:val="21"/>
                      <w:szCs w:val="21"/>
                    </w:rPr>
                    <w:t>螺旋焊芯模</w:t>
                  </w:r>
                </w:p>
              </w:tc>
              <w:tc>
                <w:tcPr>
                  <w:tcW w:w="1190" w:type="pct"/>
                  <w:tcBorders>
                    <w:tl2br w:val="nil"/>
                    <w:tr2bl w:val="nil"/>
                  </w:tcBorders>
                  <w:shd w:val="clear" w:color="auto" w:fill="auto"/>
                  <w:vAlign w:val="center"/>
                </w:tcPr>
                <w:p w14:paraId="67BBCF0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DN2400*6000</w:t>
                  </w:r>
                </w:p>
              </w:tc>
              <w:tc>
                <w:tcPr>
                  <w:tcW w:w="629" w:type="pct"/>
                  <w:tcBorders>
                    <w:tl2br w:val="nil"/>
                    <w:tr2bl w:val="nil"/>
                  </w:tcBorders>
                  <w:shd w:val="clear" w:color="auto" w:fill="auto"/>
                  <w:vAlign w:val="center"/>
                </w:tcPr>
                <w:p w14:paraId="5A6692F7">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1057" w:type="pct"/>
                  <w:tcBorders>
                    <w:tl2br w:val="nil"/>
                    <w:tr2bl w:val="nil"/>
                  </w:tcBorders>
                  <w:shd w:val="clear" w:color="auto" w:fill="auto"/>
                  <w:vAlign w:val="center"/>
                </w:tcPr>
                <w:p w14:paraId="097475EE">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2DF76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26" w:type="pct"/>
                  <w:tcBorders>
                    <w:tl2br w:val="nil"/>
                    <w:tr2bl w:val="nil"/>
                  </w:tcBorders>
                  <w:shd w:val="clear" w:color="auto" w:fill="auto"/>
                  <w:vAlign w:val="center"/>
                </w:tcPr>
                <w:p w14:paraId="472EDC9D">
                  <w:pPr>
                    <w:pStyle w:val="29"/>
                    <w:autoSpaceDE w:val="0"/>
                    <w:autoSpaceDN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9</w:t>
                  </w:r>
                </w:p>
              </w:tc>
              <w:tc>
                <w:tcPr>
                  <w:tcW w:w="1595" w:type="pct"/>
                  <w:tcBorders>
                    <w:tl2br w:val="nil"/>
                    <w:tr2bl w:val="nil"/>
                  </w:tcBorders>
                  <w:shd w:val="clear" w:color="auto" w:fill="auto"/>
                  <w:vAlign w:val="top"/>
                </w:tcPr>
                <w:p w14:paraId="03C60CF4">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钢筒水压机、配套机芯</w:t>
                  </w:r>
                </w:p>
              </w:tc>
              <w:tc>
                <w:tcPr>
                  <w:tcW w:w="1190" w:type="pct"/>
                  <w:tcBorders>
                    <w:tl2br w:val="nil"/>
                    <w:tr2bl w:val="nil"/>
                  </w:tcBorders>
                  <w:shd w:val="clear" w:color="auto" w:fill="auto"/>
                  <w:vAlign w:val="center"/>
                </w:tcPr>
                <w:p w14:paraId="7FE9A9D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rPr>
                    <w:t>SYJ2800</w:t>
                  </w:r>
                </w:p>
              </w:tc>
              <w:tc>
                <w:tcPr>
                  <w:tcW w:w="629" w:type="pct"/>
                  <w:tcBorders>
                    <w:tl2br w:val="nil"/>
                    <w:tr2bl w:val="nil"/>
                  </w:tcBorders>
                  <w:shd w:val="clear" w:color="auto" w:fill="auto"/>
                  <w:vAlign w:val="center"/>
                </w:tcPr>
                <w:p w14:paraId="2759B73F">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套</w:t>
                  </w:r>
                </w:p>
              </w:tc>
              <w:tc>
                <w:tcPr>
                  <w:tcW w:w="1057" w:type="pct"/>
                  <w:tcBorders>
                    <w:tl2br w:val="nil"/>
                    <w:tr2bl w:val="nil"/>
                  </w:tcBorders>
                  <w:shd w:val="clear" w:color="auto" w:fill="auto"/>
                  <w:vAlign w:val="center"/>
                </w:tcPr>
                <w:p w14:paraId="017BC7A6">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222E46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54BBF9B6">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1595" w:type="pct"/>
                  <w:tcBorders>
                    <w:tl2br w:val="nil"/>
                    <w:tr2bl w:val="nil"/>
                  </w:tcBorders>
                  <w:shd w:val="clear" w:color="auto" w:fill="auto"/>
                  <w:vAlign w:val="top"/>
                </w:tcPr>
                <w:p w14:paraId="48D84DF9">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钢筒水压机、配套机芯</w:t>
                  </w:r>
                </w:p>
              </w:tc>
              <w:tc>
                <w:tcPr>
                  <w:tcW w:w="1190" w:type="pct"/>
                  <w:tcBorders>
                    <w:tl2br w:val="nil"/>
                    <w:tr2bl w:val="nil"/>
                  </w:tcBorders>
                  <w:shd w:val="clear" w:color="auto" w:fill="auto"/>
                  <w:vAlign w:val="center"/>
                </w:tcPr>
                <w:p w14:paraId="7AF8533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pacing w:val="-2"/>
                      <w:sz w:val="21"/>
                      <w:szCs w:val="21"/>
                    </w:rPr>
                    <w:t>SYJ2400</w:t>
                  </w:r>
                </w:p>
              </w:tc>
              <w:tc>
                <w:tcPr>
                  <w:tcW w:w="629" w:type="pct"/>
                  <w:tcBorders>
                    <w:tl2br w:val="nil"/>
                    <w:tr2bl w:val="nil"/>
                  </w:tcBorders>
                  <w:shd w:val="clear" w:color="auto" w:fill="auto"/>
                  <w:vAlign w:val="center"/>
                </w:tcPr>
                <w:p w14:paraId="6E60A72C">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套</w:t>
                  </w:r>
                </w:p>
              </w:tc>
              <w:tc>
                <w:tcPr>
                  <w:tcW w:w="1057" w:type="pct"/>
                  <w:tcBorders>
                    <w:tl2br w:val="nil"/>
                    <w:tr2bl w:val="nil"/>
                  </w:tcBorders>
                  <w:shd w:val="clear" w:color="auto" w:fill="auto"/>
                  <w:vAlign w:val="center"/>
                </w:tcPr>
                <w:p w14:paraId="7B3F25F3">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34C98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8D94E35">
                  <w:pPr>
                    <w:pStyle w:val="29"/>
                    <w:autoSpaceDE w:val="0"/>
                    <w:autoSpaceDN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1</w:t>
                  </w:r>
                </w:p>
              </w:tc>
              <w:tc>
                <w:tcPr>
                  <w:tcW w:w="1595" w:type="pct"/>
                  <w:tcBorders>
                    <w:tl2br w:val="nil"/>
                    <w:tr2bl w:val="nil"/>
                  </w:tcBorders>
                  <w:shd w:val="clear" w:color="auto" w:fill="auto"/>
                  <w:vAlign w:val="top"/>
                </w:tcPr>
                <w:p w14:paraId="5424C8E3">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垂直钢筒吊具</w:t>
                  </w:r>
                </w:p>
              </w:tc>
              <w:tc>
                <w:tcPr>
                  <w:tcW w:w="1190" w:type="pct"/>
                  <w:tcBorders>
                    <w:tl2br w:val="nil"/>
                    <w:tr2bl w:val="nil"/>
                  </w:tcBorders>
                  <w:shd w:val="clear" w:color="auto" w:fill="auto"/>
                  <w:vAlign w:val="center"/>
                </w:tcPr>
                <w:p w14:paraId="2CE3855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pacing w:val="-11"/>
                      <w:sz w:val="21"/>
                      <w:szCs w:val="21"/>
                    </w:rPr>
                    <w:t>自制</w:t>
                  </w:r>
                </w:p>
              </w:tc>
              <w:tc>
                <w:tcPr>
                  <w:tcW w:w="629" w:type="pct"/>
                  <w:tcBorders>
                    <w:tl2br w:val="nil"/>
                    <w:tr2bl w:val="nil"/>
                  </w:tcBorders>
                  <w:shd w:val="clear" w:color="auto" w:fill="auto"/>
                  <w:vAlign w:val="center"/>
                </w:tcPr>
                <w:p w14:paraId="46D6271C">
                  <w:pPr>
                    <w:pStyle w:val="29"/>
                    <w:autoSpaceDE w:val="0"/>
                    <w:autoSpaceDN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20DE61CF">
                  <w:pPr>
                    <w:pStyle w:val="29"/>
                    <w:autoSpaceDE w:val="0"/>
                    <w:autoSpaceDN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4</w:t>
                  </w:r>
                </w:p>
              </w:tc>
            </w:tr>
            <w:tr w14:paraId="2234B1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9E9D381">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2</w:t>
                  </w:r>
                </w:p>
              </w:tc>
              <w:tc>
                <w:tcPr>
                  <w:tcW w:w="1595" w:type="pct"/>
                  <w:tcBorders>
                    <w:tl2br w:val="nil"/>
                    <w:tr2bl w:val="nil"/>
                  </w:tcBorders>
                  <w:shd w:val="clear" w:color="auto" w:fill="auto"/>
                  <w:vAlign w:val="top"/>
                </w:tcPr>
                <w:p w14:paraId="20AC911E">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2"/>
                      <w:sz w:val="21"/>
                      <w:szCs w:val="21"/>
                    </w:rPr>
                    <w:t>水平钢筒吊具</w:t>
                  </w:r>
                </w:p>
              </w:tc>
              <w:tc>
                <w:tcPr>
                  <w:tcW w:w="1190" w:type="pct"/>
                  <w:tcBorders>
                    <w:tl2br w:val="nil"/>
                    <w:tr2bl w:val="nil"/>
                  </w:tcBorders>
                  <w:shd w:val="clear" w:color="auto" w:fill="auto"/>
                  <w:vAlign w:val="center"/>
                </w:tcPr>
                <w:p w14:paraId="4E3C603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rPr>
                    <w:t>STD</w:t>
                  </w:r>
                </w:p>
              </w:tc>
              <w:tc>
                <w:tcPr>
                  <w:tcW w:w="629" w:type="pct"/>
                  <w:tcBorders>
                    <w:tl2br w:val="nil"/>
                    <w:tr2bl w:val="nil"/>
                  </w:tcBorders>
                  <w:shd w:val="clear" w:color="auto" w:fill="auto"/>
                  <w:vAlign w:val="center"/>
                </w:tcPr>
                <w:p w14:paraId="59828958">
                  <w:pPr>
                    <w:pStyle w:val="29"/>
                    <w:autoSpaceDE w:val="0"/>
                    <w:autoSpaceDN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2A5B248C">
                  <w:pPr>
                    <w:pStyle w:val="29"/>
                    <w:autoSpaceDE w:val="0"/>
                    <w:autoSpaceDN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4</w:t>
                  </w:r>
                </w:p>
              </w:tc>
            </w:tr>
            <w:tr w14:paraId="65688B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950C8B2">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3</w:t>
                  </w:r>
                </w:p>
              </w:tc>
              <w:tc>
                <w:tcPr>
                  <w:tcW w:w="1595" w:type="pct"/>
                  <w:tcBorders>
                    <w:tl2br w:val="nil"/>
                    <w:tr2bl w:val="nil"/>
                  </w:tcBorders>
                  <w:shd w:val="clear" w:color="auto" w:fill="auto"/>
                  <w:vAlign w:val="top"/>
                </w:tcPr>
                <w:p w14:paraId="21D1C421">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8"/>
                      <w:sz w:val="21"/>
                      <w:szCs w:val="21"/>
                    </w:rPr>
                    <w:t>电动平车</w:t>
                  </w:r>
                </w:p>
              </w:tc>
              <w:tc>
                <w:tcPr>
                  <w:tcW w:w="1190" w:type="pct"/>
                  <w:tcBorders>
                    <w:tl2br w:val="nil"/>
                    <w:tr2bl w:val="nil"/>
                  </w:tcBorders>
                  <w:shd w:val="clear" w:color="auto" w:fill="auto"/>
                  <w:vAlign w:val="center"/>
                </w:tcPr>
                <w:p w14:paraId="3229927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rPr>
                    <w:t>0.5T</w:t>
                  </w:r>
                </w:p>
              </w:tc>
              <w:tc>
                <w:tcPr>
                  <w:tcW w:w="629" w:type="pct"/>
                  <w:tcBorders>
                    <w:tl2br w:val="nil"/>
                    <w:tr2bl w:val="nil"/>
                  </w:tcBorders>
                  <w:shd w:val="clear" w:color="auto" w:fill="auto"/>
                  <w:vAlign w:val="center"/>
                </w:tcPr>
                <w:p w14:paraId="0AED1600">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辆</w:t>
                  </w:r>
                </w:p>
              </w:tc>
              <w:tc>
                <w:tcPr>
                  <w:tcW w:w="1057" w:type="pct"/>
                  <w:tcBorders>
                    <w:tl2br w:val="nil"/>
                    <w:tr2bl w:val="nil"/>
                  </w:tcBorders>
                  <w:shd w:val="clear" w:color="auto" w:fill="auto"/>
                  <w:vAlign w:val="center"/>
                </w:tcPr>
                <w:p w14:paraId="6377A7D3">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0A02A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15150EB">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4</w:t>
                  </w:r>
                </w:p>
              </w:tc>
              <w:tc>
                <w:tcPr>
                  <w:tcW w:w="1595" w:type="pct"/>
                  <w:tcBorders>
                    <w:tl2br w:val="nil"/>
                    <w:tr2bl w:val="nil"/>
                  </w:tcBorders>
                  <w:shd w:val="clear" w:color="auto" w:fill="auto"/>
                  <w:vAlign w:val="top"/>
                </w:tcPr>
                <w:p w14:paraId="581719AE">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cs="Times New Roman"/>
                      <w:color w:val="auto"/>
                      <w:sz w:val="21"/>
                      <w:szCs w:val="21"/>
                      <w:highlight w:val="none"/>
                    </w:rPr>
                  </w:pPr>
                  <w:r>
                    <w:rPr>
                      <w:rFonts w:ascii="宋体" w:hAnsi="宋体" w:eastAsia="宋体" w:cs="宋体"/>
                      <w:color w:val="auto"/>
                      <w:spacing w:val="-1"/>
                      <w:sz w:val="21"/>
                      <w:szCs w:val="21"/>
                    </w:rPr>
                    <w:t>钢筒除油设备</w:t>
                  </w:r>
                </w:p>
              </w:tc>
              <w:tc>
                <w:tcPr>
                  <w:tcW w:w="1190" w:type="pct"/>
                  <w:tcBorders>
                    <w:tl2br w:val="nil"/>
                    <w:tr2bl w:val="nil"/>
                  </w:tcBorders>
                  <w:shd w:val="clear" w:color="auto" w:fill="auto"/>
                  <w:vAlign w:val="center"/>
                </w:tcPr>
                <w:p w14:paraId="078DABE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DN600-4000</w:t>
                  </w:r>
                </w:p>
              </w:tc>
              <w:tc>
                <w:tcPr>
                  <w:tcW w:w="629" w:type="pct"/>
                  <w:tcBorders>
                    <w:tl2br w:val="nil"/>
                    <w:tr2bl w:val="nil"/>
                  </w:tcBorders>
                  <w:shd w:val="clear" w:color="auto" w:fill="auto"/>
                  <w:vAlign w:val="center"/>
                </w:tcPr>
                <w:p w14:paraId="2D7773CB">
                  <w:pPr>
                    <w:pStyle w:val="29"/>
                    <w:autoSpaceDE w:val="0"/>
                    <w:autoSpaceDN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center"/>
                </w:tcPr>
                <w:p w14:paraId="45492B16">
                  <w:pPr>
                    <w:pStyle w:val="29"/>
                    <w:autoSpaceDE w:val="0"/>
                    <w:autoSpaceDN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14:paraId="234CE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3EFB6679">
                  <w:pPr>
                    <w:pStyle w:val="29"/>
                    <w:autoSpaceDE w:val="0"/>
                    <w:autoSpaceDN w:val="0"/>
                    <w:jc w:val="center"/>
                    <w:rPr>
                      <w:rFonts w:hint="default" w:ascii="Times New Roman" w:hAnsi="Times New Roman" w:cs="Times New Roman"/>
                      <w:color w:val="auto"/>
                      <w:sz w:val="21"/>
                      <w:szCs w:val="21"/>
                      <w:highlight w:val="none"/>
                    </w:rPr>
                  </w:pPr>
                  <w:r>
                    <w:rPr>
                      <w:rFonts w:hint="eastAsia" w:ascii="宋体" w:hAnsi="宋体" w:eastAsia="宋体" w:cs="宋体"/>
                      <w:b w:val="0"/>
                      <w:bCs w:val="0"/>
                      <w:color w:val="auto"/>
                      <w:spacing w:val="-3"/>
                      <w:sz w:val="21"/>
                      <w:szCs w:val="21"/>
                      <w:lang w:val="en-US" w:eastAsia="zh-CN"/>
                    </w:rPr>
                    <w:t>二、</w:t>
                  </w:r>
                  <w:r>
                    <w:rPr>
                      <w:rFonts w:ascii="宋体" w:hAnsi="宋体" w:eastAsia="宋体" w:cs="宋体"/>
                      <w:b w:val="0"/>
                      <w:bCs w:val="0"/>
                      <w:color w:val="auto"/>
                      <w:spacing w:val="-3"/>
                      <w:sz w:val="21"/>
                      <w:szCs w:val="21"/>
                    </w:rPr>
                    <w:t>混凝土管芯模具及浇筑设备</w:t>
                  </w:r>
                </w:p>
              </w:tc>
            </w:tr>
            <w:tr w14:paraId="3BF725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A15723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595" w:type="pct"/>
                  <w:tcBorders>
                    <w:tl2br w:val="nil"/>
                    <w:tr2bl w:val="nil"/>
                  </w:tcBorders>
                  <w:shd w:val="clear" w:color="auto" w:fill="auto"/>
                  <w:vAlign w:val="center"/>
                </w:tcPr>
                <w:p w14:paraId="3447C2F3">
                  <w:pPr>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rPr>
                    <w:t>混凝土搅拌站</w:t>
                  </w:r>
                </w:p>
              </w:tc>
              <w:tc>
                <w:tcPr>
                  <w:tcW w:w="1190" w:type="pct"/>
                  <w:tcBorders>
                    <w:tl2br w:val="nil"/>
                    <w:tr2bl w:val="nil"/>
                  </w:tcBorders>
                  <w:shd w:val="clear" w:color="auto" w:fill="auto"/>
                  <w:vAlign w:val="center"/>
                </w:tcPr>
                <w:p w14:paraId="177DD93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HZS180</w:t>
                  </w:r>
                </w:p>
              </w:tc>
              <w:tc>
                <w:tcPr>
                  <w:tcW w:w="629" w:type="pct"/>
                  <w:tcBorders>
                    <w:tl2br w:val="nil"/>
                    <w:tr2bl w:val="nil"/>
                  </w:tcBorders>
                  <w:shd w:val="clear" w:color="auto" w:fill="auto"/>
                  <w:vAlign w:val="center"/>
                </w:tcPr>
                <w:p w14:paraId="7A13E75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top"/>
                </w:tcPr>
                <w:p w14:paraId="019C2E5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rPr>
                    <w:t>1</w:t>
                  </w:r>
                </w:p>
              </w:tc>
            </w:tr>
            <w:tr w14:paraId="66C10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73BD2EC">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w:t>
                  </w:r>
                </w:p>
              </w:tc>
              <w:tc>
                <w:tcPr>
                  <w:tcW w:w="1595" w:type="pct"/>
                  <w:tcBorders>
                    <w:tl2br w:val="nil"/>
                    <w:tr2bl w:val="nil"/>
                  </w:tcBorders>
                  <w:shd w:val="clear" w:color="auto" w:fill="auto"/>
                  <w:vAlign w:val="center"/>
                </w:tcPr>
                <w:p w14:paraId="6D19884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rPr>
                    <w:t>混凝土料罐</w:t>
                  </w:r>
                </w:p>
              </w:tc>
              <w:tc>
                <w:tcPr>
                  <w:tcW w:w="1190" w:type="pct"/>
                  <w:tcBorders>
                    <w:tl2br w:val="nil"/>
                    <w:tr2bl w:val="nil"/>
                  </w:tcBorders>
                  <w:shd w:val="clear" w:color="auto" w:fill="auto"/>
                  <w:vAlign w:val="center"/>
                </w:tcPr>
                <w:p w14:paraId="0521AF2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6m³</w:t>
                  </w:r>
                </w:p>
              </w:tc>
              <w:tc>
                <w:tcPr>
                  <w:tcW w:w="629" w:type="pct"/>
                  <w:tcBorders>
                    <w:tl2br w:val="nil"/>
                    <w:tr2bl w:val="nil"/>
                  </w:tcBorders>
                  <w:shd w:val="clear" w:color="auto" w:fill="auto"/>
                  <w:vAlign w:val="center"/>
                </w:tcPr>
                <w:p w14:paraId="00C9B16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座</w:t>
                  </w:r>
                </w:p>
              </w:tc>
              <w:tc>
                <w:tcPr>
                  <w:tcW w:w="1057" w:type="pct"/>
                  <w:tcBorders>
                    <w:tl2br w:val="nil"/>
                    <w:tr2bl w:val="nil"/>
                  </w:tcBorders>
                  <w:shd w:val="clear" w:color="auto" w:fill="auto"/>
                  <w:vAlign w:val="top"/>
                </w:tcPr>
                <w:p w14:paraId="31CACD6C">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2</w:t>
                  </w:r>
                </w:p>
              </w:tc>
            </w:tr>
            <w:tr w14:paraId="1F270F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59597B11">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w:t>
                  </w:r>
                </w:p>
              </w:tc>
              <w:tc>
                <w:tcPr>
                  <w:tcW w:w="1595" w:type="pct"/>
                  <w:tcBorders>
                    <w:tl2br w:val="nil"/>
                    <w:tr2bl w:val="nil"/>
                  </w:tcBorders>
                  <w:shd w:val="clear" w:color="auto" w:fill="auto"/>
                  <w:vAlign w:val="center"/>
                </w:tcPr>
                <w:p w14:paraId="6B89A14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8"/>
                      <w:sz w:val="21"/>
                      <w:szCs w:val="21"/>
                    </w:rPr>
                    <w:t>电动平车</w:t>
                  </w:r>
                </w:p>
              </w:tc>
              <w:tc>
                <w:tcPr>
                  <w:tcW w:w="1190" w:type="pct"/>
                  <w:tcBorders>
                    <w:tl2br w:val="nil"/>
                    <w:tr2bl w:val="nil"/>
                  </w:tcBorders>
                  <w:shd w:val="clear" w:color="auto" w:fill="auto"/>
                  <w:vAlign w:val="center"/>
                </w:tcPr>
                <w:p w14:paraId="20289FE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40T</w:t>
                  </w:r>
                </w:p>
              </w:tc>
              <w:tc>
                <w:tcPr>
                  <w:tcW w:w="629" w:type="pct"/>
                  <w:tcBorders>
                    <w:tl2br w:val="nil"/>
                    <w:tr2bl w:val="nil"/>
                  </w:tcBorders>
                  <w:shd w:val="clear" w:color="auto" w:fill="auto"/>
                  <w:vAlign w:val="center"/>
                </w:tcPr>
                <w:p w14:paraId="340E47A2">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辆</w:t>
                  </w:r>
                </w:p>
              </w:tc>
              <w:tc>
                <w:tcPr>
                  <w:tcW w:w="1057" w:type="pct"/>
                  <w:tcBorders>
                    <w:tl2br w:val="nil"/>
                    <w:tr2bl w:val="nil"/>
                  </w:tcBorders>
                  <w:shd w:val="clear" w:color="auto" w:fill="auto"/>
                  <w:vAlign w:val="top"/>
                </w:tcPr>
                <w:p w14:paraId="2458BFF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1</w:t>
                  </w:r>
                </w:p>
              </w:tc>
            </w:tr>
            <w:tr w14:paraId="40CB2A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DC6E06B">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w:t>
                  </w:r>
                </w:p>
              </w:tc>
              <w:tc>
                <w:tcPr>
                  <w:tcW w:w="1595" w:type="pct"/>
                  <w:tcBorders>
                    <w:tl2br w:val="nil"/>
                    <w:tr2bl w:val="nil"/>
                  </w:tcBorders>
                  <w:shd w:val="clear" w:color="auto" w:fill="auto"/>
                  <w:vAlign w:val="center"/>
                </w:tcPr>
                <w:p w14:paraId="2EE1017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1"/>
                      <w:sz w:val="21"/>
                      <w:szCs w:val="21"/>
                    </w:rPr>
                    <w:t>PCCPD-C</w:t>
                  </w:r>
                  <w:r>
                    <w:rPr>
                      <w:rFonts w:hint="default" w:ascii="Times New Roman" w:hAnsi="Times New Roman" w:eastAsia="宋体" w:cs="Times New Roman"/>
                      <w:color w:val="auto"/>
                      <w:spacing w:val="-1"/>
                      <w:sz w:val="21"/>
                      <w:szCs w:val="21"/>
                    </w:rPr>
                    <w:t>管芯模具</w:t>
                  </w:r>
                </w:p>
              </w:tc>
              <w:tc>
                <w:tcPr>
                  <w:tcW w:w="1190" w:type="pct"/>
                  <w:tcBorders>
                    <w:tl2br w:val="nil"/>
                    <w:tr2bl w:val="nil"/>
                  </w:tcBorders>
                  <w:shd w:val="clear" w:color="auto" w:fill="auto"/>
                  <w:vAlign w:val="center"/>
                </w:tcPr>
                <w:p w14:paraId="5214DB4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DN2800*5000</w:t>
                  </w:r>
                </w:p>
              </w:tc>
              <w:tc>
                <w:tcPr>
                  <w:tcW w:w="629" w:type="pct"/>
                  <w:tcBorders>
                    <w:tl2br w:val="nil"/>
                    <w:tr2bl w:val="nil"/>
                  </w:tcBorders>
                  <w:shd w:val="clear" w:color="auto" w:fill="auto"/>
                  <w:vAlign w:val="center"/>
                </w:tcPr>
                <w:p w14:paraId="5F7AD94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top"/>
                </w:tcPr>
                <w:p w14:paraId="6F290486">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1"/>
                      <w:sz w:val="21"/>
                      <w:szCs w:val="21"/>
                    </w:rPr>
                    <w:t>22</w:t>
                  </w:r>
                </w:p>
              </w:tc>
            </w:tr>
            <w:tr w14:paraId="3A5B85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5BB80BE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19</w:t>
                  </w:r>
                </w:p>
              </w:tc>
              <w:tc>
                <w:tcPr>
                  <w:tcW w:w="1595" w:type="pct"/>
                  <w:tcBorders>
                    <w:tl2br w:val="nil"/>
                    <w:tr2bl w:val="nil"/>
                  </w:tcBorders>
                  <w:shd w:val="clear" w:color="auto" w:fill="auto"/>
                  <w:vAlign w:val="center"/>
                </w:tcPr>
                <w:p w14:paraId="1D289E0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1"/>
                      <w:sz w:val="21"/>
                      <w:szCs w:val="21"/>
                    </w:rPr>
                    <w:t>PCCPD-C</w:t>
                  </w:r>
                  <w:r>
                    <w:rPr>
                      <w:rFonts w:hint="default" w:ascii="Times New Roman" w:hAnsi="Times New Roman" w:eastAsia="宋体" w:cs="Times New Roman"/>
                      <w:color w:val="auto"/>
                      <w:spacing w:val="-1"/>
                      <w:sz w:val="21"/>
                      <w:szCs w:val="21"/>
                    </w:rPr>
                    <w:t>管芯模具</w:t>
                  </w:r>
                </w:p>
              </w:tc>
              <w:tc>
                <w:tcPr>
                  <w:tcW w:w="1190" w:type="pct"/>
                  <w:tcBorders>
                    <w:tl2br w:val="nil"/>
                    <w:tr2bl w:val="nil"/>
                  </w:tcBorders>
                  <w:shd w:val="clear" w:color="auto" w:fill="auto"/>
                  <w:vAlign w:val="center"/>
                </w:tcPr>
                <w:p w14:paraId="21CFF7D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DN2400*6000</w:t>
                  </w:r>
                </w:p>
              </w:tc>
              <w:tc>
                <w:tcPr>
                  <w:tcW w:w="629" w:type="pct"/>
                  <w:tcBorders>
                    <w:tl2br w:val="nil"/>
                    <w:tr2bl w:val="nil"/>
                  </w:tcBorders>
                  <w:shd w:val="clear" w:color="auto" w:fill="auto"/>
                  <w:vAlign w:val="center"/>
                </w:tcPr>
                <w:p w14:paraId="76399AB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top"/>
                </w:tcPr>
                <w:p w14:paraId="116F4C4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6"/>
                      <w:sz w:val="21"/>
                      <w:szCs w:val="21"/>
                    </w:rPr>
                    <w:t>10</w:t>
                  </w:r>
                </w:p>
              </w:tc>
            </w:tr>
            <w:tr w14:paraId="275EEA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C41245D">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20</w:t>
                  </w:r>
                </w:p>
              </w:tc>
              <w:tc>
                <w:tcPr>
                  <w:tcW w:w="1595" w:type="pct"/>
                  <w:tcBorders>
                    <w:tl2br w:val="nil"/>
                    <w:tr2bl w:val="nil"/>
                  </w:tcBorders>
                  <w:shd w:val="clear" w:color="auto" w:fill="auto"/>
                  <w:vAlign w:val="center"/>
                </w:tcPr>
                <w:p w14:paraId="58DD4AE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3"/>
                      <w:sz w:val="21"/>
                      <w:szCs w:val="21"/>
                    </w:rPr>
                    <w:t>管芯吊具</w:t>
                  </w:r>
                </w:p>
              </w:tc>
              <w:tc>
                <w:tcPr>
                  <w:tcW w:w="1190" w:type="pct"/>
                  <w:tcBorders>
                    <w:tl2br w:val="nil"/>
                    <w:tr2bl w:val="nil"/>
                  </w:tcBorders>
                  <w:shd w:val="clear" w:color="auto" w:fill="auto"/>
                  <w:vAlign w:val="center"/>
                </w:tcPr>
                <w:p w14:paraId="751B0D34">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DN2800</w:t>
                  </w:r>
                </w:p>
              </w:tc>
              <w:tc>
                <w:tcPr>
                  <w:tcW w:w="629" w:type="pct"/>
                  <w:tcBorders>
                    <w:tl2br w:val="nil"/>
                    <w:tr2bl w:val="nil"/>
                  </w:tcBorders>
                  <w:shd w:val="clear" w:color="auto" w:fill="auto"/>
                  <w:vAlign w:val="center"/>
                </w:tcPr>
                <w:p w14:paraId="7B25D9B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4A07C65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4</w:t>
                  </w:r>
                </w:p>
              </w:tc>
            </w:tr>
            <w:tr w14:paraId="3B62D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52EF6975">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21</w:t>
                  </w:r>
                </w:p>
              </w:tc>
              <w:tc>
                <w:tcPr>
                  <w:tcW w:w="1595" w:type="pct"/>
                  <w:tcBorders>
                    <w:tl2br w:val="nil"/>
                    <w:tr2bl w:val="nil"/>
                  </w:tcBorders>
                  <w:shd w:val="clear" w:color="auto" w:fill="auto"/>
                  <w:vAlign w:val="center"/>
                </w:tcPr>
                <w:p w14:paraId="7E20DD7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3"/>
                      <w:sz w:val="21"/>
                      <w:szCs w:val="21"/>
                    </w:rPr>
                    <w:t>管芯吊具</w:t>
                  </w:r>
                </w:p>
              </w:tc>
              <w:tc>
                <w:tcPr>
                  <w:tcW w:w="1190" w:type="pct"/>
                  <w:tcBorders>
                    <w:tl2br w:val="nil"/>
                    <w:tr2bl w:val="nil"/>
                  </w:tcBorders>
                  <w:shd w:val="clear" w:color="auto" w:fill="auto"/>
                  <w:vAlign w:val="center"/>
                </w:tcPr>
                <w:p w14:paraId="1E3C065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DN2400</w:t>
                  </w:r>
                </w:p>
              </w:tc>
              <w:tc>
                <w:tcPr>
                  <w:tcW w:w="629" w:type="pct"/>
                  <w:tcBorders>
                    <w:tl2br w:val="nil"/>
                    <w:tr2bl w:val="nil"/>
                  </w:tcBorders>
                  <w:shd w:val="clear" w:color="auto" w:fill="auto"/>
                  <w:vAlign w:val="center"/>
                </w:tcPr>
                <w:p w14:paraId="1FB1247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4B7395E5">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4</w:t>
                  </w:r>
                </w:p>
              </w:tc>
            </w:tr>
            <w:tr w14:paraId="6EB172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7022D12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22</w:t>
                  </w:r>
                </w:p>
              </w:tc>
              <w:tc>
                <w:tcPr>
                  <w:tcW w:w="1595" w:type="pct"/>
                  <w:tcBorders>
                    <w:tl2br w:val="nil"/>
                    <w:tr2bl w:val="nil"/>
                  </w:tcBorders>
                  <w:shd w:val="clear" w:color="auto" w:fill="auto"/>
                  <w:vAlign w:val="center"/>
                </w:tcPr>
                <w:p w14:paraId="1FAB43A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rPr>
                    <w:t>混凝土导料器</w:t>
                  </w:r>
                </w:p>
              </w:tc>
              <w:tc>
                <w:tcPr>
                  <w:tcW w:w="1190" w:type="pct"/>
                  <w:tcBorders>
                    <w:tl2br w:val="nil"/>
                    <w:tr2bl w:val="nil"/>
                  </w:tcBorders>
                  <w:shd w:val="clear" w:color="auto" w:fill="auto"/>
                  <w:vAlign w:val="center"/>
                </w:tcPr>
                <w:p w14:paraId="76CC6B7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DN2800/2400</w:t>
                  </w:r>
                </w:p>
              </w:tc>
              <w:tc>
                <w:tcPr>
                  <w:tcW w:w="629" w:type="pct"/>
                  <w:tcBorders>
                    <w:tl2br w:val="nil"/>
                    <w:tr2bl w:val="nil"/>
                  </w:tcBorders>
                  <w:shd w:val="clear" w:color="auto" w:fill="auto"/>
                  <w:vAlign w:val="center"/>
                </w:tcPr>
                <w:p w14:paraId="7BF44D4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4E8137BC">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2</w:t>
                  </w:r>
                </w:p>
              </w:tc>
            </w:tr>
            <w:tr w14:paraId="3E7A32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D9D90D6">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23</w:t>
                  </w:r>
                </w:p>
              </w:tc>
              <w:tc>
                <w:tcPr>
                  <w:tcW w:w="1595" w:type="pct"/>
                  <w:tcBorders>
                    <w:tl2br w:val="nil"/>
                    <w:tr2bl w:val="nil"/>
                  </w:tcBorders>
                  <w:shd w:val="clear" w:color="auto" w:fill="auto"/>
                  <w:vAlign w:val="center"/>
                </w:tcPr>
                <w:p w14:paraId="079B4A00">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rPr>
                    <w:t>脱模剂喷涂装置</w:t>
                  </w:r>
                </w:p>
              </w:tc>
              <w:tc>
                <w:tcPr>
                  <w:tcW w:w="1190" w:type="pct"/>
                  <w:tcBorders>
                    <w:tl2br w:val="nil"/>
                    <w:tr2bl w:val="nil"/>
                  </w:tcBorders>
                  <w:shd w:val="clear" w:color="auto" w:fill="auto"/>
                  <w:vAlign w:val="center"/>
                </w:tcPr>
                <w:p w14:paraId="61E67E3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w:t>
                  </w:r>
                </w:p>
              </w:tc>
              <w:tc>
                <w:tcPr>
                  <w:tcW w:w="629" w:type="pct"/>
                  <w:tcBorders>
                    <w:tl2br w:val="nil"/>
                    <w:tr2bl w:val="nil"/>
                  </w:tcBorders>
                  <w:shd w:val="clear" w:color="auto" w:fill="auto"/>
                  <w:vAlign w:val="center"/>
                </w:tcPr>
                <w:p w14:paraId="6FA1B25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top"/>
                </w:tcPr>
                <w:p w14:paraId="791F2FC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1</w:t>
                  </w:r>
                </w:p>
              </w:tc>
            </w:tr>
            <w:tr w14:paraId="41FAA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3E1A3FB">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p>
              </w:tc>
              <w:tc>
                <w:tcPr>
                  <w:tcW w:w="1595" w:type="pct"/>
                  <w:tcBorders>
                    <w:tl2br w:val="nil"/>
                    <w:tr2bl w:val="nil"/>
                  </w:tcBorders>
                  <w:shd w:val="clear" w:color="auto" w:fill="auto"/>
                  <w:vAlign w:val="center"/>
                </w:tcPr>
                <w:p w14:paraId="67D32214">
                  <w:pPr>
                    <w:keepNext w:val="0"/>
                    <w:keepLines w:val="0"/>
                    <w:pageBreakBefore w:val="0"/>
                    <w:widowControl w:val="0"/>
                    <w:kinsoku/>
                    <w:wordWrap/>
                    <w:overflowPunct/>
                    <w:topLinePunct w:val="0"/>
                    <w:bidi w:val="0"/>
                    <w:adjustRightInd/>
                    <w:snapToGrid/>
                    <w:spacing w:line="240" w:lineRule="auto"/>
                    <w:ind w:right="144" w:right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rPr>
                    <w:t>蒸汽养护自动温控系统（自带</w:t>
                  </w:r>
                  <w:r>
                    <w:rPr>
                      <w:rFonts w:hint="default" w:ascii="Times New Roman" w:hAnsi="Times New Roman" w:eastAsia="宋体" w:cs="Times New Roman"/>
                      <w:color w:val="auto"/>
                      <w:spacing w:val="-2"/>
                      <w:sz w:val="21"/>
                      <w:szCs w:val="21"/>
                    </w:rPr>
                    <w:t>蒸汽发生器）</w:t>
                  </w:r>
                </w:p>
              </w:tc>
              <w:tc>
                <w:tcPr>
                  <w:tcW w:w="1190" w:type="pct"/>
                  <w:tcBorders>
                    <w:tl2br w:val="nil"/>
                    <w:tr2bl w:val="nil"/>
                  </w:tcBorders>
                  <w:shd w:val="clear" w:color="auto" w:fill="auto"/>
                  <w:vAlign w:val="center"/>
                </w:tcPr>
                <w:p w14:paraId="2F00080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4"/>
                      <w:sz w:val="21"/>
                      <w:szCs w:val="21"/>
                    </w:rPr>
                    <w:t>KXWH</w:t>
                  </w:r>
                  <w:r>
                    <w:rPr>
                      <w:rFonts w:hint="default" w:ascii="Times New Roman" w:hAnsi="Times New Roman" w:eastAsia="宋体" w:cs="Times New Roman"/>
                      <w:color w:val="auto"/>
                      <w:spacing w:val="-4"/>
                      <w:sz w:val="21"/>
                      <w:szCs w:val="21"/>
                    </w:rPr>
                    <w:t>型</w:t>
                  </w:r>
                  <w:r>
                    <w:rPr>
                      <w:rFonts w:hint="default" w:ascii="Times New Roman" w:hAnsi="Times New Roman" w:cs="Times New Roman"/>
                      <w:color w:val="auto"/>
                      <w:spacing w:val="-4"/>
                      <w:sz w:val="21"/>
                      <w:szCs w:val="21"/>
                    </w:rPr>
                    <w:t>30</w:t>
                  </w:r>
                  <w:r>
                    <w:rPr>
                      <w:rFonts w:hint="default" w:ascii="Times New Roman" w:hAnsi="Times New Roman" w:eastAsia="宋体" w:cs="Times New Roman"/>
                      <w:color w:val="auto"/>
                      <w:spacing w:val="-4"/>
                      <w:sz w:val="21"/>
                      <w:szCs w:val="21"/>
                    </w:rPr>
                    <w:t>回路</w:t>
                  </w:r>
                </w:p>
              </w:tc>
              <w:tc>
                <w:tcPr>
                  <w:tcW w:w="629" w:type="pct"/>
                  <w:tcBorders>
                    <w:tl2br w:val="nil"/>
                    <w:tr2bl w:val="nil"/>
                  </w:tcBorders>
                  <w:shd w:val="clear" w:color="auto" w:fill="auto"/>
                  <w:vAlign w:val="center"/>
                </w:tcPr>
                <w:p w14:paraId="4F80D5F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center"/>
                </w:tcPr>
                <w:p w14:paraId="5BBB32DC">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1</w:t>
                  </w:r>
                </w:p>
              </w:tc>
            </w:tr>
            <w:tr w14:paraId="2DC23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14502BC">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25</w:t>
                  </w:r>
                </w:p>
              </w:tc>
              <w:tc>
                <w:tcPr>
                  <w:tcW w:w="1595" w:type="pct"/>
                  <w:tcBorders>
                    <w:tl2br w:val="nil"/>
                    <w:tr2bl w:val="nil"/>
                  </w:tcBorders>
                  <w:shd w:val="clear" w:color="auto" w:fill="auto"/>
                  <w:vAlign w:val="center"/>
                </w:tcPr>
                <w:p w14:paraId="0FB86F0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rPr>
                    <w:t>蒸汽养护罩</w:t>
                  </w:r>
                </w:p>
              </w:tc>
              <w:tc>
                <w:tcPr>
                  <w:tcW w:w="1190" w:type="pct"/>
                  <w:tcBorders>
                    <w:tl2br w:val="nil"/>
                    <w:tr2bl w:val="nil"/>
                  </w:tcBorders>
                  <w:shd w:val="clear" w:color="auto" w:fill="auto"/>
                  <w:vAlign w:val="center"/>
                </w:tcPr>
                <w:p w14:paraId="73AC06E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DN2800/2400</w:t>
                  </w:r>
                </w:p>
              </w:tc>
              <w:tc>
                <w:tcPr>
                  <w:tcW w:w="629" w:type="pct"/>
                  <w:tcBorders>
                    <w:tl2br w:val="nil"/>
                    <w:tr2bl w:val="nil"/>
                  </w:tcBorders>
                  <w:shd w:val="clear" w:color="auto" w:fill="auto"/>
                  <w:vAlign w:val="center"/>
                </w:tcPr>
                <w:p w14:paraId="63C21B8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top"/>
                </w:tcPr>
                <w:p w14:paraId="442D9E5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pacing w:val="-2"/>
                      <w:sz w:val="21"/>
                      <w:szCs w:val="21"/>
                    </w:rPr>
                    <w:t>30</w:t>
                  </w:r>
                </w:p>
              </w:tc>
            </w:tr>
            <w:tr w14:paraId="49010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43F32E0">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26</w:t>
                  </w:r>
                </w:p>
              </w:tc>
              <w:tc>
                <w:tcPr>
                  <w:tcW w:w="1595" w:type="pct"/>
                  <w:tcBorders>
                    <w:tl2br w:val="nil"/>
                    <w:tr2bl w:val="nil"/>
                  </w:tcBorders>
                  <w:shd w:val="clear" w:color="auto" w:fill="auto"/>
                  <w:vAlign w:val="center"/>
                </w:tcPr>
                <w:p w14:paraId="50021D6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2"/>
                      <w:sz w:val="21"/>
                      <w:szCs w:val="21"/>
                    </w:rPr>
                    <w:t>装载机</w:t>
                  </w:r>
                </w:p>
              </w:tc>
              <w:tc>
                <w:tcPr>
                  <w:tcW w:w="1190" w:type="pct"/>
                  <w:tcBorders>
                    <w:tl2br w:val="nil"/>
                    <w:tr2bl w:val="nil"/>
                  </w:tcBorders>
                  <w:shd w:val="clear" w:color="auto" w:fill="auto"/>
                  <w:vAlign w:val="center"/>
                </w:tcPr>
                <w:p w14:paraId="0CB0CB8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rPr>
                    <w:t>LW500KN</w:t>
                  </w:r>
                </w:p>
              </w:tc>
              <w:tc>
                <w:tcPr>
                  <w:tcW w:w="629" w:type="pct"/>
                  <w:tcBorders>
                    <w:tl2br w:val="nil"/>
                    <w:tr2bl w:val="nil"/>
                  </w:tcBorders>
                  <w:shd w:val="clear" w:color="auto" w:fill="auto"/>
                  <w:vAlign w:val="center"/>
                </w:tcPr>
                <w:p w14:paraId="0D1BE1F9">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152BAAF4">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rPr>
                    <w:t>2</w:t>
                  </w:r>
                </w:p>
              </w:tc>
            </w:tr>
            <w:tr w14:paraId="51F3A8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75036F6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eastAsia" w:ascii="宋体" w:hAnsi="宋体" w:eastAsia="宋体" w:cs="宋体"/>
                      <w:b w:val="0"/>
                      <w:bCs w:val="0"/>
                      <w:color w:val="auto"/>
                      <w:spacing w:val="-3"/>
                      <w:sz w:val="21"/>
                      <w:szCs w:val="21"/>
                      <w:lang w:val="en-US" w:eastAsia="zh-CN"/>
                    </w:rPr>
                    <w:t>三、</w:t>
                  </w:r>
                  <w:r>
                    <w:rPr>
                      <w:rFonts w:ascii="宋体" w:hAnsi="宋体" w:eastAsia="宋体" w:cs="宋体"/>
                      <w:b w:val="0"/>
                      <w:bCs w:val="0"/>
                      <w:color w:val="auto"/>
                      <w:spacing w:val="-3"/>
                      <w:sz w:val="21"/>
                      <w:szCs w:val="21"/>
                    </w:rPr>
                    <w:t>缠丝、保护层制作设备</w:t>
                  </w:r>
                </w:p>
              </w:tc>
            </w:tr>
            <w:tr w14:paraId="6041CF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271B662">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27</w:t>
                  </w:r>
                </w:p>
              </w:tc>
              <w:tc>
                <w:tcPr>
                  <w:tcW w:w="1595" w:type="pct"/>
                  <w:tcBorders>
                    <w:tl2br w:val="nil"/>
                    <w:tr2bl w:val="nil"/>
                  </w:tcBorders>
                  <w:shd w:val="clear" w:color="auto" w:fill="auto"/>
                  <w:vAlign w:val="center"/>
                </w:tcPr>
                <w:p w14:paraId="37DD52C4">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1"/>
                      <w:sz w:val="21"/>
                      <w:szCs w:val="21"/>
                    </w:rPr>
                    <w:t>立式差速缠丝机</w:t>
                  </w:r>
                </w:p>
              </w:tc>
              <w:tc>
                <w:tcPr>
                  <w:tcW w:w="1190" w:type="pct"/>
                  <w:tcBorders>
                    <w:tl2br w:val="nil"/>
                    <w:tr2bl w:val="nil"/>
                  </w:tcBorders>
                  <w:shd w:val="clear" w:color="auto" w:fill="auto"/>
                  <w:vAlign w:val="center"/>
                </w:tcPr>
                <w:p w14:paraId="2E7054D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LCS120-400</w:t>
                  </w:r>
                </w:p>
              </w:tc>
              <w:tc>
                <w:tcPr>
                  <w:tcW w:w="629" w:type="pct"/>
                  <w:tcBorders>
                    <w:tl2br w:val="nil"/>
                    <w:tr2bl w:val="nil"/>
                  </w:tcBorders>
                  <w:shd w:val="clear" w:color="auto" w:fill="auto"/>
                  <w:vAlign w:val="center"/>
                </w:tcPr>
                <w:p w14:paraId="15E6807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座</w:t>
                  </w:r>
                </w:p>
              </w:tc>
              <w:tc>
                <w:tcPr>
                  <w:tcW w:w="1057" w:type="pct"/>
                  <w:tcBorders>
                    <w:tl2br w:val="nil"/>
                    <w:tr2bl w:val="nil"/>
                  </w:tcBorders>
                  <w:shd w:val="clear" w:color="auto" w:fill="auto"/>
                  <w:vAlign w:val="center"/>
                </w:tcPr>
                <w:p w14:paraId="21D2B01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64C8D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325D637A">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28</w:t>
                  </w:r>
                </w:p>
              </w:tc>
              <w:tc>
                <w:tcPr>
                  <w:tcW w:w="1595" w:type="pct"/>
                  <w:tcBorders>
                    <w:tl2br w:val="nil"/>
                    <w:tr2bl w:val="nil"/>
                  </w:tcBorders>
                  <w:shd w:val="clear" w:color="auto" w:fill="auto"/>
                  <w:vAlign w:val="center"/>
                </w:tcPr>
                <w:p w14:paraId="6D2B107A">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1"/>
                      <w:sz w:val="21"/>
                      <w:szCs w:val="21"/>
                    </w:rPr>
                    <w:t>钢丝在线检测系统</w:t>
                  </w:r>
                </w:p>
              </w:tc>
              <w:tc>
                <w:tcPr>
                  <w:tcW w:w="1190" w:type="pct"/>
                  <w:tcBorders>
                    <w:tl2br w:val="nil"/>
                    <w:tr2bl w:val="nil"/>
                  </w:tcBorders>
                  <w:shd w:val="clear" w:color="auto" w:fill="auto"/>
                  <w:vAlign w:val="center"/>
                </w:tcPr>
                <w:p w14:paraId="0CFD7A9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z w:val="21"/>
                      <w:szCs w:val="21"/>
                    </w:rPr>
                    <w:t>/</w:t>
                  </w:r>
                </w:p>
              </w:tc>
              <w:tc>
                <w:tcPr>
                  <w:tcW w:w="629" w:type="pct"/>
                  <w:tcBorders>
                    <w:tl2br w:val="nil"/>
                    <w:tr2bl w:val="nil"/>
                  </w:tcBorders>
                  <w:shd w:val="clear" w:color="auto" w:fill="auto"/>
                  <w:vAlign w:val="center"/>
                </w:tcPr>
                <w:p w14:paraId="222609B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center"/>
                </w:tcPr>
                <w:p w14:paraId="5E821FC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21079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8E58870">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29</w:t>
                  </w:r>
                </w:p>
              </w:tc>
              <w:tc>
                <w:tcPr>
                  <w:tcW w:w="1595" w:type="pct"/>
                  <w:tcBorders>
                    <w:tl2br w:val="nil"/>
                    <w:tr2bl w:val="nil"/>
                  </w:tcBorders>
                  <w:shd w:val="clear" w:color="auto" w:fill="auto"/>
                  <w:vAlign w:val="center"/>
                </w:tcPr>
                <w:p w14:paraId="610E7E7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净浆喷涂机</w:t>
                  </w:r>
                </w:p>
              </w:tc>
              <w:tc>
                <w:tcPr>
                  <w:tcW w:w="1190" w:type="pct"/>
                  <w:tcBorders>
                    <w:tl2br w:val="nil"/>
                    <w:tr2bl w:val="nil"/>
                  </w:tcBorders>
                  <w:shd w:val="clear" w:color="auto" w:fill="auto"/>
                  <w:vAlign w:val="center"/>
                </w:tcPr>
                <w:p w14:paraId="05582EE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z w:val="21"/>
                      <w:szCs w:val="21"/>
                    </w:rPr>
                    <w:t>/</w:t>
                  </w:r>
                </w:p>
              </w:tc>
              <w:tc>
                <w:tcPr>
                  <w:tcW w:w="629" w:type="pct"/>
                  <w:tcBorders>
                    <w:tl2br w:val="nil"/>
                    <w:tr2bl w:val="nil"/>
                  </w:tcBorders>
                  <w:shd w:val="clear" w:color="auto" w:fill="auto"/>
                  <w:vAlign w:val="center"/>
                </w:tcPr>
                <w:p w14:paraId="02F5AC7A">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座</w:t>
                  </w:r>
                </w:p>
              </w:tc>
              <w:tc>
                <w:tcPr>
                  <w:tcW w:w="1057" w:type="pct"/>
                  <w:tcBorders>
                    <w:tl2br w:val="nil"/>
                    <w:tr2bl w:val="nil"/>
                  </w:tcBorders>
                  <w:shd w:val="clear" w:color="auto" w:fill="auto"/>
                  <w:vAlign w:val="center"/>
                </w:tcPr>
                <w:p w14:paraId="614B0CF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539D6C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7346E91A">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w:t>
                  </w:r>
                </w:p>
              </w:tc>
              <w:tc>
                <w:tcPr>
                  <w:tcW w:w="1595" w:type="pct"/>
                  <w:tcBorders>
                    <w:tl2br w:val="nil"/>
                    <w:tr2bl w:val="nil"/>
                  </w:tcBorders>
                  <w:shd w:val="clear" w:color="auto" w:fill="auto"/>
                  <w:vAlign w:val="center"/>
                </w:tcPr>
                <w:p w14:paraId="6B76E61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1"/>
                      <w:sz w:val="21"/>
                      <w:szCs w:val="21"/>
                    </w:rPr>
                    <w:t>钢丝锚固夹具</w:t>
                  </w:r>
                </w:p>
              </w:tc>
              <w:tc>
                <w:tcPr>
                  <w:tcW w:w="1190" w:type="pct"/>
                  <w:tcBorders>
                    <w:tl2br w:val="nil"/>
                    <w:tr2bl w:val="nil"/>
                  </w:tcBorders>
                  <w:shd w:val="clear" w:color="auto" w:fill="auto"/>
                  <w:vAlign w:val="center"/>
                </w:tcPr>
                <w:p w14:paraId="25DD12BC">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z w:val="21"/>
                      <w:szCs w:val="21"/>
                    </w:rPr>
                    <w:t>/</w:t>
                  </w:r>
                </w:p>
              </w:tc>
              <w:tc>
                <w:tcPr>
                  <w:tcW w:w="629" w:type="pct"/>
                  <w:tcBorders>
                    <w:tl2br w:val="nil"/>
                    <w:tr2bl w:val="nil"/>
                  </w:tcBorders>
                  <w:shd w:val="clear" w:color="auto" w:fill="auto"/>
                  <w:vAlign w:val="center"/>
                </w:tcPr>
                <w:p w14:paraId="0A173A25">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107D1BE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2D2DA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59991AC">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31</w:t>
                  </w:r>
                </w:p>
              </w:tc>
              <w:tc>
                <w:tcPr>
                  <w:tcW w:w="1595" w:type="pct"/>
                  <w:tcBorders>
                    <w:tl2br w:val="nil"/>
                    <w:tr2bl w:val="nil"/>
                  </w:tcBorders>
                  <w:shd w:val="clear" w:color="auto" w:fill="auto"/>
                  <w:vAlign w:val="center"/>
                </w:tcPr>
                <w:p w14:paraId="45838490">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1"/>
                      <w:sz w:val="21"/>
                      <w:szCs w:val="21"/>
                    </w:rPr>
                    <w:t>钢丝绑扎器</w:t>
                  </w:r>
                </w:p>
              </w:tc>
              <w:tc>
                <w:tcPr>
                  <w:tcW w:w="1190" w:type="pct"/>
                  <w:tcBorders>
                    <w:tl2br w:val="nil"/>
                    <w:tr2bl w:val="nil"/>
                  </w:tcBorders>
                  <w:shd w:val="clear" w:color="auto" w:fill="auto"/>
                  <w:vAlign w:val="center"/>
                </w:tcPr>
                <w:p w14:paraId="549FAEA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2"/>
                      <w:sz w:val="21"/>
                      <w:szCs w:val="21"/>
                    </w:rPr>
                    <w:t>Φ5-7</w:t>
                  </w:r>
                </w:p>
              </w:tc>
              <w:tc>
                <w:tcPr>
                  <w:tcW w:w="629" w:type="pct"/>
                  <w:tcBorders>
                    <w:tl2br w:val="nil"/>
                    <w:tr2bl w:val="nil"/>
                  </w:tcBorders>
                  <w:shd w:val="clear" w:color="auto" w:fill="auto"/>
                  <w:vAlign w:val="center"/>
                </w:tcPr>
                <w:p w14:paraId="225845C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5C71960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EB9C4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EE90254">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32</w:t>
                  </w:r>
                </w:p>
              </w:tc>
              <w:tc>
                <w:tcPr>
                  <w:tcW w:w="1595" w:type="pct"/>
                  <w:tcBorders>
                    <w:tl2br w:val="nil"/>
                    <w:tr2bl w:val="nil"/>
                  </w:tcBorders>
                  <w:shd w:val="clear" w:color="auto" w:fill="auto"/>
                  <w:vAlign w:val="center"/>
                </w:tcPr>
                <w:p w14:paraId="410B2D1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混凝土料罐</w:t>
                  </w:r>
                </w:p>
              </w:tc>
              <w:tc>
                <w:tcPr>
                  <w:tcW w:w="1190" w:type="pct"/>
                  <w:tcBorders>
                    <w:tl2br w:val="nil"/>
                    <w:tr2bl w:val="nil"/>
                  </w:tcBorders>
                  <w:shd w:val="clear" w:color="auto" w:fill="auto"/>
                  <w:vAlign w:val="center"/>
                </w:tcPr>
                <w:p w14:paraId="2CD7260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6m³</w:t>
                  </w:r>
                </w:p>
              </w:tc>
              <w:tc>
                <w:tcPr>
                  <w:tcW w:w="629" w:type="pct"/>
                  <w:tcBorders>
                    <w:tl2br w:val="nil"/>
                    <w:tr2bl w:val="nil"/>
                  </w:tcBorders>
                  <w:shd w:val="clear" w:color="auto" w:fill="auto"/>
                  <w:vAlign w:val="center"/>
                </w:tcPr>
                <w:p w14:paraId="5355B1E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座</w:t>
                  </w:r>
                </w:p>
              </w:tc>
              <w:tc>
                <w:tcPr>
                  <w:tcW w:w="1057" w:type="pct"/>
                  <w:tcBorders>
                    <w:tl2br w:val="nil"/>
                    <w:tr2bl w:val="nil"/>
                  </w:tcBorders>
                  <w:shd w:val="clear" w:color="auto" w:fill="auto"/>
                  <w:vAlign w:val="center"/>
                </w:tcPr>
                <w:p w14:paraId="4054588C">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E2A0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A83972E">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33</w:t>
                  </w:r>
                </w:p>
              </w:tc>
              <w:tc>
                <w:tcPr>
                  <w:tcW w:w="1595" w:type="pct"/>
                  <w:tcBorders>
                    <w:tl2br w:val="nil"/>
                    <w:tr2bl w:val="nil"/>
                  </w:tcBorders>
                  <w:shd w:val="clear" w:color="auto" w:fill="auto"/>
                  <w:vAlign w:val="center"/>
                </w:tcPr>
                <w:p w14:paraId="79AA997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cs="Times New Roman"/>
                      <w:color w:val="auto"/>
                      <w:spacing w:val="-1"/>
                      <w:sz w:val="21"/>
                      <w:szCs w:val="21"/>
                    </w:rPr>
                    <w:t>PCCPD-C</w:t>
                  </w:r>
                  <w:r>
                    <w:rPr>
                      <w:rFonts w:hint="default" w:ascii="Times New Roman" w:hAnsi="Times New Roman" w:eastAsia="宋体" w:cs="Times New Roman"/>
                      <w:color w:val="auto"/>
                      <w:spacing w:val="-1"/>
                      <w:sz w:val="21"/>
                      <w:szCs w:val="21"/>
                    </w:rPr>
                    <w:t>保护层模具</w:t>
                  </w:r>
                </w:p>
              </w:tc>
              <w:tc>
                <w:tcPr>
                  <w:tcW w:w="1190" w:type="pct"/>
                  <w:tcBorders>
                    <w:tl2br w:val="nil"/>
                    <w:tr2bl w:val="nil"/>
                  </w:tcBorders>
                  <w:shd w:val="clear" w:color="auto" w:fill="auto"/>
                  <w:vAlign w:val="center"/>
                </w:tcPr>
                <w:p w14:paraId="34A7BCD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DN2800*5000</w:t>
                  </w:r>
                </w:p>
              </w:tc>
              <w:tc>
                <w:tcPr>
                  <w:tcW w:w="629" w:type="pct"/>
                  <w:tcBorders>
                    <w:tl2br w:val="nil"/>
                    <w:tr2bl w:val="nil"/>
                  </w:tcBorders>
                  <w:shd w:val="clear" w:color="auto" w:fill="auto"/>
                  <w:vAlign w:val="center"/>
                </w:tcPr>
                <w:p w14:paraId="18D56D89">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center"/>
                </w:tcPr>
                <w:p w14:paraId="203663F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22</w:t>
                  </w:r>
                </w:p>
              </w:tc>
            </w:tr>
            <w:tr w14:paraId="5C7B8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380CDFB6">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34</w:t>
                  </w:r>
                </w:p>
              </w:tc>
              <w:tc>
                <w:tcPr>
                  <w:tcW w:w="1595" w:type="pct"/>
                  <w:tcBorders>
                    <w:tl2br w:val="nil"/>
                    <w:tr2bl w:val="nil"/>
                  </w:tcBorders>
                  <w:shd w:val="clear" w:color="auto" w:fill="auto"/>
                  <w:vAlign w:val="center"/>
                </w:tcPr>
                <w:p w14:paraId="4486A18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cs="Times New Roman"/>
                      <w:color w:val="auto"/>
                      <w:spacing w:val="-1"/>
                      <w:sz w:val="21"/>
                      <w:szCs w:val="21"/>
                    </w:rPr>
                    <w:t>PCCPD-C</w:t>
                  </w:r>
                  <w:r>
                    <w:rPr>
                      <w:rFonts w:hint="default" w:ascii="Times New Roman" w:hAnsi="Times New Roman" w:eastAsia="宋体" w:cs="Times New Roman"/>
                      <w:color w:val="auto"/>
                      <w:spacing w:val="-1"/>
                      <w:sz w:val="21"/>
                      <w:szCs w:val="21"/>
                    </w:rPr>
                    <w:t>保护层模具</w:t>
                  </w:r>
                </w:p>
              </w:tc>
              <w:tc>
                <w:tcPr>
                  <w:tcW w:w="1190" w:type="pct"/>
                  <w:tcBorders>
                    <w:tl2br w:val="nil"/>
                    <w:tr2bl w:val="nil"/>
                  </w:tcBorders>
                  <w:shd w:val="clear" w:color="auto" w:fill="auto"/>
                  <w:vAlign w:val="center"/>
                </w:tcPr>
                <w:p w14:paraId="386426D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DN2400*6000</w:t>
                  </w:r>
                </w:p>
              </w:tc>
              <w:tc>
                <w:tcPr>
                  <w:tcW w:w="629" w:type="pct"/>
                  <w:tcBorders>
                    <w:tl2br w:val="nil"/>
                    <w:tr2bl w:val="nil"/>
                  </w:tcBorders>
                  <w:shd w:val="clear" w:color="auto" w:fill="auto"/>
                  <w:vAlign w:val="center"/>
                </w:tcPr>
                <w:p w14:paraId="12637F3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center"/>
                </w:tcPr>
                <w:p w14:paraId="5890FC2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6"/>
                      <w:sz w:val="21"/>
                      <w:szCs w:val="21"/>
                    </w:rPr>
                    <w:t>10</w:t>
                  </w:r>
                </w:p>
              </w:tc>
            </w:tr>
            <w:tr w14:paraId="7891D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38A2265">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w:t>
                  </w:r>
                </w:p>
              </w:tc>
              <w:tc>
                <w:tcPr>
                  <w:tcW w:w="1595" w:type="pct"/>
                  <w:tcBorders>
                    <w:tl2br w:val="nil"/>
                    <w:tr2bl w:val="nil"/>
                  </w:tcBorders>
                  <w:shd w:val="clear" w:color="auto" w:fill="auto"/>
                  <w:vAlign w:val="center"/>
                </w:tcPr>
                <w:p w14:paraId="047EC75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蒸汽养护罩</w:t>
                  </w:r>
                </w:p>
              </w:tc>
              <w:tc>
                <w:tcPr>
                  <w:tcW w:w="1190" w:type="pct"/>
                  <w:tcBorders>
                    <w:tl2br w:val="nil"/>
                    <w:tr2bl w:val="nil"/>
                  </w:tcBorders>
                  <w:shd w:val="clear" w:color="auto" w:fill="auto"/>
                  <w:vAlign w:val="center"/>
                </w:tcPr>
                <w:p w14:paraId="689DD186">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1"/>
                      <w:sz w:val="21"/>
                      <w:szCs w:val="21"/>
                    </w:rPr>
                    <w:t>DN2800/2400</w:t>
                  </w:r>
                </w:p>
              </w:tc>
              <w:tc>
                <w:tcPr>
                  <w:tcW w:w="629" w:type="pct"/>
                  <w:tcBorders>
                    <w:tl2br w:val="nil"/>
                    <w:tr2bl w:val="nil"/>
                  </w:tcBorders>
                  <w:shd w:val="clear" w:color="auto" w:fill="auto"/>
                  <w:vAlign w:val="center"/>
                </w:tcPr>
                <w:p w14:paraId="7C68076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center"/>
                </w:tcPr>
                <w:p w14:paraId="48C155C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30</w:t>
                  </w:r>
                </w:p>
              </w:tc>
            </w:tr>
            <w:tr w14:paraId="45FAB3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E977EA2">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36</w:t>
                  </w:r>
                </w:p>
              </w:tc>
              <w:tc>
                <w:tcPr>
                  <w:tcW w:w="1595" w:type="pct"/>
                  <w:tcBorders>
                    <w:tl2br w:val="nil"/>
                    <w:tr2bl w:val="nil"/>
                  </w:tcBorders>
                  <w:shd w:val="clear" w:color="auto" w:fill="auto"/>
                  <w:vAlign w:val="center"/>
                </w:tcPr>
                <w:p w14:paraId="31C5CD0B">
                  <w:pPr>
                    <w:keepNext w:val="0"/>
                    <w:keepLines w:val="0"/>
                    <w:pageBreakBefore w:val="0"/>
                    <w:widowControl w:val="0"/>
                    <w:kinsoku/>
                    <w:wordWrap/>
                    <w:overflowPunct/>
                    <w:topLinePunct w:val="0"/>
                    <w:bidi w:val="0"/>
                    <w:adjustRightInd/>
                    <w:snapToGrid/>
                    <w:spacing w:line="240" w:lineRule="auto"/>
                    <w:ind w:right="144" w:rightChars="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1"/>
                      <w:sz w:val="21"/>
                      <w:szCs w:val="21"/>
                    </w:rPr>
                    <w:t>蒸汽养护自动温控系统（自带</w:t>
                  </w:r>
                  <w:r>
                    <w:rPr>
                      <w:rFonts w:hint="default" w:ascii="Times New Roman" w:hAnsi="Times New Roman" w:eastAsia="宋体" w:cs="Times New Roman"/>
                      <w:color w:val="auto"/>
                      <w:spacing w:val="-2"/>
                      <w:sz w:val="21"/>
                      <w:szCs w:val="21"/>
                    </w:rPr>
                    <w:t>蒸汽发生器）</w:t>
                  </w:r>
                </w:p>
              </w:tc>
              <w:tc>
                <w:tcPr>
                  <w:tcW w:w="1190" w:type="pct"/>
                  <w:tcBorders>
                    <w:tl2br w:val="nil"/>
                    <w:tr2bl w:val="nil"/>
                  </w:tcBorders>
                  <w:shd w:val="clear" w:color="auto" w:fill="auto"/>
                  <w:vAlign w:val="center"/>
                </w:tcPr>
                <w:p w14:paraId="58B50D4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4"/>
                      <w:sz w:val="21"/>
                      <w:szCs w:val="21"/>
                    </w:rPr>
                    <w:t>KXW-H</w:t>
                  </w:r>
                  <w:r>
                    <w:rPr>
                      <w:rFonts w:hint="default" w:ascii="Times New Roman" w:hAnsi="Times New Roman" w:eastAsia="宋体" w:cs="Times New Roman"/>
                      <w:color w:val="auto"/>
                      <w:spacing w:val="-4"/>
                      <w:sz w:val="21"/>
                      <w:szCs w:val="21"/>
                    </w:rPr>
                    <w:t>型</w:t>
                  </w:r>
                  <w:r>
                    <w:rPr>
                      <w:rFonts w:hint="default" w:ascii="Times New Roman" w:hAnsi="Times New Roman" w:cs="Times New Roman"/>
                      <w:color w:val="auto"/>
                      <w:spacing w:val="-4"/>
                      <w:sz w:val="21"/>
                      <w:szCs w:val="21"/>
                    </w:rPr>
                    <w:t>30</w:t>
                  </w:r>
                  <w:r>
                    <w:rPr>
                      <w:rFonts w:hint="default" w:ascii="Times New Roman" w:hAnsi="Times New Roman" w:eastAsia="宋体" w:cs="Times New Roman"/>
                      <w:color w:val="auto"/>
                      <w:spacing w:val="-4"/>
                      <w:sz w:val="21"/>
                      <w:szCs w:val="21"/>
                    </w:rPr>
                    <w:t>回路</w:t>
                  </w:r>
                </w:p>
              </w:tc>
              <w:tc>
                <w:tcPr>
                  <w:tcW w:w="629" w:type="pct"/>
                  <w:tcBorders>
                    <w:tl2br w:val="nil"/>
                    <w:tr2bl w:val="nil"/>
                  </w:tcBorders>
                  <w:shd w:val="clear" w:color="auto" w:fill="auto"/>
                  <w:vAlign w:val="center"/>
                </w:tcPr>
                <w:p w14:paraId="007152F5">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center"/>
                </w:tcPr>
                <w:p w14:paraId="034D9D7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AB2B0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C29EA6C">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37</w:t>
                  </w:r>
                </w:p>
              </w:tc>
              <w:tc>
                <w:tcPr>
                  <w:tcW w:w="1595" w:type="pct"/>
                  <w:tcBorders>
                    <w:tl2br w:val="nil"/>
                    <w:tr2bl w:val="nil"/>
                  </w:tcBorders>
                  <w:shd w:val="clear" w:color="auto" w:fill="auto"/>
                  <w:vAlign w:val="center"/>
                </w:tcPr>
                <w:p w14:paraId="7979304A">
                  <w:pPr>
                    <w:keepNext w:val="0"/>
                    <w:keepLines w:val="0"/>
                    <w:pageBreakBefore w:val="0"/>
                    <w:widowControl w:val="0"/>
                    <w:kinsoku/>
                    <w:wordWrap/>
                    <w:overflowPunct/>
                    <w:topLinePunct w:val="0"/>
                    <w:bidi w:val="0"/>
                    <w:adjustRightInd/>
                    <w:snapToGrid/>
                    <w:spacing w:line="240" w:lineRule="auto"/>
                    <w:jc w:val="both"/>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5"/>
                      <w:sz w:val="21"/>
                      <w:szCs w:val="21"/>
                    </w:rPr>
                    <w:t>自动喷淋养护系统</w:t>
                  </w:r>
                </w:p>
              </w:tc>
              <w:tc>
                <w:tcPr>
                  <w:tcW w:w="1190" w:type="pct"/>
                  <w:tcBorders>
                    <w:tl2br w:val="nil"/>
                    <w:tr2bl w:val="nil"/>
                  </w:tcBorders>
                  <w:shd w:val="clear" w:color="auto" w:fill="auto"/>
                  <w:vAlign w:val="center"/>
                </w:tcPr>
                <w:p w14:paraId="001E93F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z w:val="21"/>
                      <w:szCs w:val="21"/>
                    </w:rPr>
                    <w:t>/</w:t>
                  </w:r>
                </w:p>
              </w:tc>
              <w:tc>
                <w:tcPr>
                  <w:tcW w:w="629" w:type="pct"/>
                  <w:tcBorders>
                    <w:tl2br w:val="nil"/>
                    <w:tr2bl w:val="nil"/>
                  </w:tcBorders>
                  <w:shd w:val="clear" w:color="auto" w:fill="auto"/>
                  <w:vAlign w:val="center"/>
                </w:tcPr>
                <w:p w14:paraId="4C198212">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center"/>
                </w:tcPr>
                <w:p w14:paraId="4387455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333CD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1A5FD01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四、</w:t>
                  </w:r>
                  <w:r>
                    <w:rPr>
                      <w:rFonts w:hint="default" w:ascii="Times New Roman" w:hAnsi="Times New Roman" w:cs="Times New Roman"/>
                      <w:color w:val="auto"/>
                      <w:sz w:val="21"/>
                      <w:szCs w:val="21"/>
                    </w:rPr>
                    <w:t>管道翻转设备</w:t>
                  </w:r>
                </w:p>
              </w:tc>
            </w:tr>
            <w:tr w14:paraId="515B2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B24B38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38</w:t>
                  </w:r>
                </w:p>
              </w:tc>
              <w:tc>
                <w:tcPr>
                  <w:tcW w:w="1595" w:type="pct"/>
                  <w:tcBorders>
                    <w:tl2br w:val="nil"/>
                    <w:tr2bl w:val="nil"/>
                  </w:tcBorders>
                  <w:shd w:val="clear" w:color="auto" w:fill="auto"/>
                  <w:vAlign w:val="center"/>
                </w:tcPr>
                <w:p w14:paraId="3F37BCD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翻管设备</w:t>
                  </w:r>
                </w:p>
              </w:tc>
              <w:tc>
                <w:tcPr>
                  <w:tcW w:w="1190" w:type="pct"/>
                  <w:tcBorders>
                    <w:tl2br w:val="nil"/>
                    <w:tr2bl w:val="nil"/>
                  </w:tcBorders>
                  <w:shd w:val="clear" w:color="auto" w:fill="auto"/>
                  <w:vAlign w:val="center"/>
                </w:tcPr>
                <w:p w14:paraId="6337624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DN600-3800</w:t>
                  </w:r>
                </w:p>
              </w:tc>
              <w:tc>
                <w:tcPr>
                  <w:tcW w:w="629" w:type="pct"/>
                  <w:tcBorders>
                    <w:tl2br w:val="nil"/>
                    <w:tr2bl w:val="nil"/>
                  </w:tcBorders>
                  <w:shd w:val="clear" w:color="auto" w:fill="auto"/>
                  <w:vAlign w:val="center"/>
                </w:tcPr>
                <w:p w14:paraId="1033500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套</w:t>
                  </w:r>
                </w:p>
              </w:tc>
              <w:tc>
                <w:tcPr>
                  <w:tcW w:w="1057" w:type="pct"/>
                  <w:tcBorders>
                    <w:tl2br w:val="nil"/>
                    <w:tr2bl w:val="nil"/>
                  </w:tcBorders>
                  <w:shd w:val="clear" w:color="auto" w:fill="auto"/>
                  <w:vAlign w:val="center"/>
                </w:tcPr>
                <w:p w14:paraId="3CC3B18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A40BC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DE5ECB2">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49</w:t>
                  </w:r>
                </w:p>
              </w:tc>
              <w:tc>
                <w:tcPr>
                  <w:tcW w:w="1595" w:type="pct"/>
                  <w:tcBorders>
                    <w:tl2br w:val="nil"/>
                    <w:tr2bl w:val="nil"/>
                  </w:tcBorders>
                  <w:shd w:val="clear" w:color="auto" w:fill="auto"/>
                  <w:vAlign w:val="center"/>
                </w:tcPr>
                <w:p w14:paraId="4BECECE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8"/>
                      <w:sz w:val="21"/>
                      <w:szCs w:val="21"/>
                    </w:rPr>
                    <w:t>电动平车</w:t>
                  </w:r>
                </w:p>
              </w:tc>
              <w:tc>
                <w:tcPr>
                  <w:tcW w:w="1190" w:type="pct"/>
                  <w:tcBorders>
                    <w:tl2br w:val="nil"/>
                    <w:tr2bl w:val="nil"/>
                  </w:tcBorders>
                  <w:shd w:val="clear" w:color="auto" w:fill="auto"/>
                  <w:vAlign w:val="center"/>
                </w:tcPr>
                <w:p w14:paraId="1E9EF3A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3"/>
                      <w:sz w:val="21"/>
                      <w:szCs w:val="21"/>
                    </w:rPr>
                    <w:t>50T</w:t>
                  </w:r>
                </w:p>
              </w:tc>
              <w:tc>
                <w:tcPr>
                  <w:tcW w:w="629" w:type="pct"/>
                  <w:tcBorders>
                    <w:tl2br w:val="nil"/>
                    <w:tr2bl w:val="nil"/>
                  </w:tcBorders>
                  <w:shd w:val="clear" w:color="auto" w:fill="auto"/>
                  <w:vAlign w:val="center"/>
                </w:tcPr>
                <w:p w14:paraId="7993E08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辆</w:t>
                  </w:r>
                </w:p>
              </w:tc>
              <w:tc>
                <w:tcPr>
                  <w:tcW w:w="1057" w:type="pct"/>
                  <w:tcBorders>
                    <w:tl2br w:val="nil"/>
                    <w:tr2bl w:val="nil"/>
                  </w:tcBorders>
                  <w:shd w:val="clear" w:color="auto" w:fill="auto"/>
                  <w:vAlign w:val="center"/>
                </w:tcPr>
                <w:p w14:paraId="40D5103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B794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15C05A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40</w:t>
                  </w:r>
                </w:p>
              </w:tc>
              <w:tc>
                <w:tcPr>
                  <w:tcW w:w="1595" w:type="pct"/>
                  <w:tcBorders>
                    <w:tl2br w:val="nil"/>
                    <w:tr2bl w:val="nil"/>
                  </w:tcBorders>
                  <w:shd w:val="clear" w:color="auto" w:fill="auto"/>
                  <w:vAlign w:val="center"/>
                </w:tcPr>
                <w:p w14:paraId="53392097">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2"/>
                      <w:sz w:val="21"/>
                      <w:szCs w:val="21"/>
                    </w:rPr>
                    <w:t>成品管吊具</w:t>
                  </w:r>
                </w:p>
              </w:tc>
              <w:tc>
                <w:tcPr>
                  <w:tcW w:w="1190" w:type="pct"/>
                  <w:tcBorders>
                    <w:tl2br w:val="nil"/>
                    <w:tr2bl w:val="nil"/>
                  </w:tcBorders>
                  <w:shd w:val="clear" w:color="auto" w:fill="auto"/>
                  <w:vAlign w:val="center"/>
                </w:tcPr>
                <w:p w14:paraId="3E459A8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6000/5000</w:t>
                  </w:r>
                </w:p>
              </w:tc>
              <w:tc>
                <w:tcPr>
                  <w:tcW w:w="629" w:type="pct"/>
                  <w:tcBorders>
                    <w:tl2br w:val="nil"/>
                    <w:tr2bl w:val="nil"/>
                  </w:tcBorders>
                  <w:shd w:val="clear" w:color="auto" w:fill="auto"/>
                  <w:vAlign w:val="center"/>
                </w:tcPr>
                <w:p w14:paraId="49E31DA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034AB46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r>
            <w:tr w14:paraId="325216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306BA21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五、</w:t>
                  </w:r>
                  <w:r>
                    <w:rPr>
                      <w:rFonts w:hint="default" w:ascii="Times New Roman" w:hAnsi="Times New Roman" w:cs="Times New Roman"/>
                      <w:color w:val="auto"/>
                      <w:sz w:val="21"/>
                      <w:szCs w:val="21"/>
                    </w:rPr>
                    <w:t>防腐设备</w:t>
                  </w:r>
                </w:p>
              </w:tc>
            </w:tr>
            <w:tr w14:paraId="4ECEF5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1748911">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41</w:t>
                  </w:r>
                </w:p>
              </w:tc>
              <w:tc>
                <w:tcPr>
                  <w:tcW w:w="1595" w:type="pct"/>
                  <w:tcBorders>
                    <w:tl2br w:val="nil"/>
                    <w:tr2bl w:val="nil"/>
                  </w:tcBorders>
                  <w:shd w:val="clear" w:color="auto" w:fill="auto"/>
                  <w:vAlign w:val="top"/>
                </w:tcPr>
                <w:p w14:paraId="5126927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3"/>
                      <w:sz w:val="21"/>
                      <w:szCs w:val="21"/>
                    </w:rPr>
                    <w:t>防腐回转平台</w:t>
                  </w:r>
                </w:p>
              </w:tc>
              <w:tc>
                <w:tcPr>
                  <w:tcW w:w="1190" w:type="pct"/>
                  <w:tcBorders>
                    <w:tl2br w:val="nil"/>
                    <w:tr2bl w:val="nil"/>
                  </w:tcBorders>
                  <w:shd w:val="clear" w:color="auto" w:fill="auto"/>
                  <w:vAlign w:val="top"/>
                </w:tcPr>
                <w:p w14:paraId="6B3089DC">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FFJ120-400</w:t>
                  </w:r>
                </w:p>
              </w:tc>
              <w:tc>
                <w:tcPr>
                  <w:tcW w:w="629" w:type="pct"/>
                  <w:tcBorders>
                    <w:tl2br w:val="nil"/>
                    <w:tr2bl w:val="nil"/>
                  </w:tcBorders>
                  <w:shd w:val="clear" w:color="auto" w:fill="auto"/>
                  <w:vAlign w:val="center"/>
                </w:tcPr>
                <w:p w14:paraId="530EBE34">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座</w:t>
                  </w:r>
                </w:p>
              </w:tc>
              <w:tc>
                <w:tcPr>
                  <w:tcW w:w="1057" w:type="pct"/>
                  <w:tcBorders>
                    <w:tl2br w:val="nil"/>
                    <w:tr2bl w:val="nil"/>
                  </w:tcBorders>
                  <w:shd w:val="clear" w:color="auto" w:fill="auto"/>
                  <w:vAlign w:val="top"/>
                </w:tcPr>
                <w:p w14:paraId="5549AB6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11A25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64509FB">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42</w:t>
                  </w:r>
                </w:p>
              </w:tc>
              <w:tc>
                <w:tcPr>
                  <w:tcW w:w="1595" w:type="pct"/>
                  <w:tcBorders>
                    <w:tl2br w:val="nil"/>
                    <w:tr2bl w:val="nil"/>
                  </w:tcBorders>
                  <w:shd w:val="clear" w:color="auto" w:fill="auto"/>
                  <w:vAlign w:val="center"/>
                </w:tcPr>
                <w:p w14:paraId="02C114D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2"/>
                      <w:sz w:val="21"/>
                      <w:szCs w:val="21"/>
                    </w:rPr>
                    <w:t>高压无气喷涂机</w:t>
                  </w:r>
                </w:p>
              </w:tc>
              <w:tc>
                <w:tcPr>
                  <w:tcW w:w="1190" w:type="pct"/>
                  <w:tcBorders>
                    <w:tl2br w:val="nil"/>
                    <w:tr2bl w:val="nil"/>
                  </w:tcBorders>
                  <w:shd w:val="clear" w:color="auto" w:fill="auto"/>
                  <w:vAlign w:val="center"/>
                </w:tcPr>
                <w:p w14:paraId="285A7F70">
                  <w:pPr>
                    <w:pStyle w:val="36"/>
                    <w:keepNext w:val="0"/>
                    <w:keepLines w:val="0"/>
                    <w:pageBreakBefore w:val="0"/>
                    <w:widowControl w:val="0"/>
                    <w:kinsoku/>
                    <w:wordWrap/>
                    <w:overflowPunct/>
                    <w:topLinePunct w:val="0"/>
                    <w:bidi w:val="0"/>
                    <w:adjustRightInd/>
                    <w:snapToGrid/>
                    <w:spacing w:line="240" w:lineRule="auto"/>
                    <w:ind w:right="304" w:right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SQP4-5025-57-R2X1</w:t>
                  </w:r>
                </w:p>
              </w:tc>
              <w:tc>
                <w:tcPr>
                  <w:tcW w:w="629" w:type="pct"/>
                  <w:tcBorders>
                    <w:tl2br w:val="nil"/>
                    <w:tr2bl w:val="nil"/>
                  </w:tcBorders>
                  <w:shd w:val="clear" w:color="auto" w:fill="auto"/>
                  <w:vAlign w:val="center"/>
                </w:tcPr>
                <w:p w14:paraId="0661A75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476EBBD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r w14:paraId="0C2A14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A91651D">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43</w:t>
                  </w:r>
                </w:p>
              </w:tc>
              <w:tc>
                <w:tcPr>
                  <w:tcW w:w="1595" w:type="pct"/>
                  <w:tcBorders>
                    <w:tl2br w:val="nil"/>
                    <w:tr2bl w:val="nil"/>
                  </w:tcBorders>
                  <w:shd w:val="clear" w:color="auto" w:fill="auto"/>
                  <w:vAlign w:val="top"/>
                </w:tcPr>
                <w:p w14:paraId="7D1A033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2"/>
                      <w:sz w:val="21"/>
                      <w:szCs w:val="21"/>
                    </w:rPr>
                    <w:t>螺杆空压机</w:t>
                  </w:r>
                </w:p>
              </w:tc>
              <w:tc>
                <w:tcPr>
                  <w:tcW w:w="1190" w:type="pct"/>
                  <w:tcBorders>
                    <w:tl2br w:val="nil"/>
                    <w:tr2bl w:val="nil"/>
                  </w:tcBorders>
                  <w:shd w:val="clear" w:color="auto" w:fill="auto"/>
                  <w:vAlign w:val="top"/>
                </w:tcPr>
                <w:p w14:paraId="36CDDE9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5"/>
                      <w:sz w:val="21"/>
                      <w:szCs w:val="21"/>
                    </w:rPr>
                    <w:t>1.5m³</w:t>
                  </w:r>
                </w:p>
              </w:tc>
              <w:tc>
                <w:tcPr>
                  <w:tcW w:w="629" w:type="pct"/>
                  <w:tcBorders>
                    <w:tl2br w:val="nil"/>
                    <w:tr2bl w:val="nil"/>
                  </w:tcBorders>
                  <w:shd w:val="clear" w:color="auto" w:fill="auto"/>
                  <w:vAlign w:val="center"/>
                </w:tcPr>
                <w:p w14:paraId="176C4C64">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5716EF4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693CF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B7C18D5">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44</w:t>
                  </w:r>
                </w:p>
              </w:tc>
              <w:tc>
                <w:tcPr>
                  <w:tcW w:w="1595" w:type="pct"/>
                  <w:tcBorders>
                    <w:tl2br w:val="nil"/>
                    <w:tr2bl w:val="nil"/>
                  </w:tcBorders>
                  <w:shd w:val="clear" w:color="auto" w:fill="auto"/>
                  <w:vAlign w:val="top"/>
                </w:tcPr>
                <w:p w14:paraId="6191909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2"/>
                      <w:sz w:val="21"/>
                      <w:szCs w:val="21"/>
                    </w:rPr>
                    <w:t>增压泵</w:t>
                  </w:r>
                </w:p>
              </w:tc>
              <w:tc>
                <w:tcPr>
                  <w:tcW w:w="1190" w:type="pct"/>
                  <w:tcBorders>
                    <w:tl2br w:val="nil"/>
                    <w:tr2bl w:val="nil"/>
                  </w:tcBorders>
                  <w:shd w:val="clear" w:color="auto" w:fill="auto"/>
                  <w:vAlign w:val="top"/>
                </w:tcPr>
                <w:p w14:paraId="7149B68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2.0MPa</w:t>
                  </w:r>
                </w:p>
              </w:tc>
              <w:tc>
                <w:tcPr>
                  <w:tcW w:w="629" w:type="pct"/>
                  <w:tcBorders>
                    <w:tl2br w:val="nil"/>
                    <w:tr2bl w:val="nil"/>
                  </w:tcBorders>
                  <w:shd w:val="clear" w:color="auto" w:fill="auto"/>
                  <w:vAlign w:val="center"/>
                </w:tcPr>
                <w:p w14:paraId="08326DCE">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top"/>
                </w:tcPr>
                <w:p w14:paraId="2A5653B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F1414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8AA7EE2">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45</w:t>
                  </w:r>
                </w:p>
              </w:tc>
              <w:tc>
                <w:tcPr>
                  <w:tcW w:w="1595" w:type="pct"/>
                  <w:tcBorders>
                    <w:tl2br w:val="nil"/>
                    <w:tr2bl w:val="nil"/>
                  </w:tcBorders>
                  <w:shd w:val="clear" w:color="auto" w:fill="auto"/>
                  <w:vAlign w:val="top"/>
                </w:tcPr>
                <w:p w14:paraId="2FA780D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超声波测厚仪</w:t>
                  </w:r>
                </w:p>
              </w:tc>
              <w:tc>
                <w:tcPr>
                  <w:tcW w:w="1190" w:type="pct"/>
                  <w:tcBorders>
                    <w:tl2br w:val="nil"/>
                    <w:tr2bl w:val="nil"/>
                  </w:tcBorders>
                  <w:shd w:val="clear" w:color="auto" w:fill="auto"/>
                  <w:vAlign w:val="top"/>
                </w:tcPr>
                <w:p w14:paraId="7F4D0DA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PT-200B/S</w:t>
                  </w:r>
                </w:p>
              </w:tc>
              <w:tc>
                <w:tcPr>
                  <w:tcW w:w="629" w:type="pct"/>
                  <w:tcBorders>
                    <w:tl2br w:val="nil"/>
                    <w:tr2bl w:val="nil"/>
                  </w:tcBorders>
                  <w:shd w:val="clear" w:color="auto" w:fill="auto"/>
                  <w:vAlign w:val="center"/>
                </w:tcPr>
                <w:p w14:paraId="3301EE85">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2BFC221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E612E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785C187">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46</w:t>
                  </w:r>
                </w:p>
              </w:tc>
              <w:tc>
                <w:tcPr>
                  <w:tcW w:w="1595" w:type="pct"/>
                  <w:tcBorders>
                    <w:tl2br w:val="nil"/>
                    <w:tr2bl w:val="nil"/>
                  </w:tcBorders>
                  <w:shd w:val="clear" w:color="auto" w:fill="auto"/>
                  <w:vAlign w:val="top"/>
                </w:tcPr>
                <w:p w14:paraId="39A7281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4"/>
                      <w:sz w:val="21"/>
                      <w:szCs w:val="21"/>
                    </w:rPr>
                    <w:t>附着力测定仪</w:t>
                  </w:r>
                </w:p>
              </w:tc>
              <w:tc>
                <w:tcPr>
                  <w:tcW w:w="1190" w:type="pct"/>
                  <w:tcBorders>
                    <w:tl2br w:val="nil"/>
                    <w:tr2bl w:val="nil"/>
                  </w:tcBorders>
                  <w:shd w:val="clear" w:color="auto" w:fill="auto"/>
                  <w:vAlign w:val="top"/>
                </w:tcPr>
                <w:p w14:paraId="1450A4BC">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ZP-6000C</w:t>
                  </w:r>
                </w:p>
              </w:tc>
              <w:tc>
                <w:tcPr>
                  <w:tcW w:w="629" w:type="pct"/>
                  <w:tcBorders>
                    <w:tl2br w:val="nil"/>
                    <w:tr2bl w:val="nil"/>
                  </w:tcBorders>
                  <w:shd w:val="clear" w:color="auto" w:fill="auto"/>
                  <w:vAlign w:val="center"/>
                </w:tcPr>
                <w:p w14:paraId="47713A2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4196794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2B97B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D3D57D2">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47</w:t>
                  </w:r>
                </w:p>
              </w:tc>
              <w:tc>
                <w:tcPr>
                  <w:tcW w:w="1595" w:type="pct"/>
                  <w:tcBorders>
                    <w:tl2br w:val="nil"/>
                    <w:tr2bl w:val="nil"/>
                  </w:tcBorders>
                  <w:shd w:val="clear" w:color="auto" w:fill="auto"/>
                  <w:vAlign w:val="top"/>
                </w:tcPr>
                <w:p w14:paraId="1F121124">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6"/>
                      <w:sz w:val="21"/>
                      <w:szCs w:val="21"/>
                    </w:rPr>
                    <w:t>电阻测定仪</w:t>
                  </w:r>
                </w:p>
              </w:tc>
              <w:tc>
                <w:tcPr>
                  <w:tcW w:w="1190" w:type="pct"/>
                  <w:tcBorders>
                    <w:tl2br w:val="nil"/>
                    <w:tr2bl w:val="nil"/>
                  </w:tcBorders>
                  <w:shd w:val="clear" w:color="auto" w:fill="auto"/>
                  <w:vAlign w:val="top"/>
                </w:tcPr>
                <w:p w14:paraId="43FE392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SL-030</w:t>
                  </w:r>
                </w:p>
              </w:tc>
              <w:tc>
                <w:tcPr>
                  <w:tcW w:w="629" w:type="pct"/>
                  <w:tcBorders>
                    <w:tl2br w:val="nil"/>
                    <w:tr2bl w:val="nil"/>
                  </w:tcBorders>
                  <w:shd w:val="clear" w:color="auto" w:fill="auto"/>
                  <w:vAlign w:val="center"/>
                </w:tcPr>
                <w:p w14:paraId="2755C034">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643ADAE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42F66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A4478FF">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w:t>
                  </w:r>
                </w:p>
              </w:tc>
              <w:tc>
                <w:tcPr>
                  <w:tcW w:w="1595" w:type="pct"/>
                  <w:tcBorders>
                    <w:tl2br w:val="nil"/>
                    <w:tr2bl w:val="nil"/>
                  </w:tcBorders>
                  <w:shd w:val="clear" w:color="auto" w:fill="auto"/>
                  <w:vAlign w:val="top"/>
                </w:tcPr>
                <w:p w14:paraId="062859FB">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含水率测定仪</w:t>
                  </w:r>
                </w:p>
              </w:tc>
              <w:tc>
                <w:tcPr>
                  <w:tcW w:w="1190" w:type="pct"/>
                  <w:tcBorders>
                    <w:tl2br w:val="nil"/>
                    <w:tr2bl w:val="nil"/>
                  </w:tcBorders>
                  <w:shd w:val="clear" w:color="auto" w:fill="auto"/>
                  <w:vAlign w:val="top"/>
                </w:tcPr>
                <w:p w14:paraId="032F0E9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JT-C50</w:t>
                  </w:r>
                </w:p>
              </w:tc>
              <w:tc>
                <w:tcPr>
                  <w:tcW w:w="629" w:type="pct"/>
                  <w:tcBorders>
                    <w:tl2br w:val="nil"/>
                    <w:tr2bl w:val="nil"/>
                  </w:tcBorders>
                  <w:shd w:val="clear" w:color="auto" w:fill="auto"/>
                  <w:vAlign w:val="center"/>
                </w:tcPr>
                <w:p w14:paraId="2ED6F74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651C24D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0AF92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F110BEA">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49</w:t>
                  </w:r>
                </w:p>
              </w:tc>
              <w:tc>
                <w:tcPr>
                  <w:tcW w:w="1595" w:type="pct"/>
                  <w:tcBorders>
                    <w:tl2br w:val="nil"/>
                    <w:tr2bl w:val="nil"/>
                  </w:tcBorders>
                  <w:shd w:val="clear" w:color="auto" w:fill="auto"/>
                  <w:vAlign w:val="top"/>
                </w:tcPr>
                <w:p w14:paraId="542D7C3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2"/>
                      <w:sz w:val="21"/>
                      <w:szCs w:val="21"/>
                    </w:rPr>
                    <w:t>一体式温湿度计</w:t>
                  </w:r>
                </w:p>
              </w:tc>
              <w:tc>
                <w:tcPr>
                  <w:tcW w:w="1190" w:type="pct"/>
                  <w:tcBorders>
                    <w:tl2br w:val="nil"/>
                    <w:tr2bl w:val="nil"/>
                  </w:tcBorders>
                  <w:shd w:val="clear" w:color="auto" w:fill="auto"/>
                  <w:vAlign w:val="top"/>
                </w:tcPr>
                <w:p w14:paraId="65CAE19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AS837</w:t>
                  </w:r>
                </w:p>
              </w:tc>
              <w:tc>
                <w:tcPr>
                  <w:tcW w:w="629" w:type="pct"/>
                  <w:tcBorders>
                    <w:tl2br w:val="nil"/>
                    <w:tr2bl w:val="nil"/>
                  </w:tcBorders>
                  <w:shd w:val="clear" w:color="auto" w:fill="auto"/>
                  <w:vAlign w:val="center"/>
                </w:tcPr>
                <w:p w14:paraId="5920EEFD">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个</w:t>
                  </w:r>
                </w:p>
              </w:tc>
              <w:tc>
                <w:tcPr>
                  <w:tcW w:w="1057" w:type="pct"/>
                  <w:tcBorders>
                    <w:tl2br w:val="nil"/>
                    <w:tr2bl w:val="nil"/>
                  </w:tcBorders>
                  <w:shd w:val="clear" w:color="auto" w:fill="auto"/>
                  <w:vAlign w:val="top"/>
                </w:tcPr>
                <w:p w14:paraId="4343E6A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6D3A8E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441C4DB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eastAsia" w:ascii="宋体" w:hAnsi="宋体" w:eastAsia="宋体" w:cs="宋体"/>
                      <w:b w:val="0"/>
                      <w:bCs w:val="0"/>
                      <w:color w:val="auto"/>
                      <w:spacing w:val="-4"/>
                      <w:sz w:val="21"/>
                      <w:szCs w:val="21"/>
                      <w:lang w:val="en-US" w:eastAsia="zh-CN"/>
                    </w:rPr>
                    <w:t>六、</w:t>
                  </w:r>
                  <w:r>
                    <w:rPr>
                      <w:rFonts w:ascii="宋体" w:hAnsi="宋体" w:eastAsia="宋体" w:cs="宋体"/>
                      <w:b w:val="0"/>
                      <w:bCs w:val="0"/>
                      <w:color w:val="auto"/>
                      <w:spacing w:val="-4"/>
                      <w:sz w:val="21"/>
                      <w:szCs w:val="21"/>
                    </w:rPr>
                    <w:t>起重设备</w:t>
                  </w:r>
                </w:p>
              </w:tc>
            </w:tr>
            <w:tr w14:paraId="7C31F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59F9C9F">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50</w:t>
                  </w:r>
                </w:p>
              </w:tc>
              <w:tc>
                <w:tcPr>
                  <w:tcW w:w="1595" w:type="pct"/>
                  <w:tcBorders>
                    <w:tl2br w:val="nil"/>
                    <w:tr2bl w:val="nil"/>
                  </w:tcBorders>
                  <w:shd w:val="clear" w:color="auto" w:fill="auto"/>
                  <w:vAlign w:val="center"/>
                </w:tcPr>
                <w:p w14:paraId="34EBE76B">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桥式起重机</w:t>
                  </w:r>
                </w:p>
              </w:tc>
              <w:tc>
                <w:tcPr>
                  <w:tcW w:w="1190" w:type="pct"/>
                  <w:tcBorders>
                    <w:tl2br w:val="nil"/>
                    <w:tr2bl w:val="nil"/>
                  </w:tcBorders>
                  <w:shd w:val="clear" w:color="auto" w:fill="auto"/>
                  <w:vAlign w:val="center"/>
                </w:tcPr>
                <w:p w14:paraId="2A2C251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Q=10t</w:t>
                  </w:r>
                  <w:r>
                    <w:rPr>
                      <w:rFonts w:hint="default" w:ascii="Times New Roman" w:hAnsi="Times New Roman" w:cs="Times New Roman"/>
                      <w:color w:val="auto"/>
                      <w:spacing w:val="-1"/>
                      <w:sz w:val="21"/>
                      <w:szCs w:val="21"/>
                      <w:lang w:val="en-US" w:eastAsia="zh-CN"/>
                    </w:rPr>
                    <w:t xml:space="preserve"> </w:t>
                  </w:r>
                  <w:r>
                    <w:rPr>
                      <w:rFonts w:hint="default" w:ascii="Times New Roman" w:hAnsi="Times New Roman" w:cs="Times New Roman"/>
                      <w:color w:val="auto"/>
                      <w:spacing w:val="-1"/>
                      <w:sz w:val="21"/>
                      <w:szCs w:val="21"/>
                    </w:rPr>
                    <w:t>LK=22.5m</w:t>
                  </w:r>
                </w:p>
              </w:tc>
              <w:tc>
                <w:tcPr>
                  <w:tcW w:w="629" w:type="pct"/>
                  <w:tcBorders>
                    <w:tl2br w:val="nil"/>
                    <w:tr2bl w:val="nil"/>
                  </w:tcBorders>
                  <w:shd w:val="clear" w:color="auto" w:fill="auto"/>
                  <w:vAlign w:val="center"/>
                </w:tcPr>
                <w:p w14:paraId="6F569C2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3DACBAF5">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r w14:paraId="4E9AB8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FE168F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51</w:t>
                  </w:r>
                </w:p>
              </w:tc>
              <w:tc>
                <w:tcPr>
                  <w:tcW w:w="1595" w:type="pct"/>
                  <w:tcBorders>
                    <w:tl2br w:val="nil"/>
                    <w:tr2bl w:val="nil"/>
                  </w:tcBorders>
                  <w:shd w:val="clear" w:color="auto" w:fill="auto"/>
                  <w:vAlign w:val="center"/>
                </w:tcPr>
                <w:p w14:paraId="441FFE4C">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桥式起重机</w:t>
                  </w:r>
                </w:p>
              </w:tc>
              <w:tc>
                <w:tcPr>
                  <w:tcW w:w="1190" w:type="pct"/>
                  <w:tcBorders>
                    <w:tl2br w:val="nil"/>
                    <w:tr2bl w:val="nil"/>
                  </w:tcBorders>
                  <w:shd w:val="clear" w:color="auto" w:fill="auto"/>
                  <w:vAlign w:val="center"/>
                </w:tcPr>
                <w:p w14:paraId="01F20B9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Q=16t LK=22.5m</w:t>
                  </w:r>
                </w:p>
              </w:tc>
              <w:tc>
                <w:tcPr>
                  <w:tcW w:w="629" w:type="pct"/>
                  <w:tcBorders>
                    <w:tl2br w:val="nil"/>
                    <w:tr2bl w:val="nil"/>
                  </w:tcBorders>
                  <w:shd w:val="clear" w:color="auto" w:fill="auto"/>
                  <w:vAlign w:val="center"/>
                </w:tcPr>
                <w:p w14:paraId="41371FA9">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07A14CC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r w14:paraId="0C5718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F368D2D">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52</w:t>
                  </w:r>
                </w:p>
              </w:tc>
              <w:tc>
                <w:tcPr>
                  <w:tcW w:w="1595" w:type="pct"/>
                  <w:tcBorders>
                    <w:tl2br w:val="nil"/>
                    <w:tr2bl w:val="nil"/>
                  </w:tcBorders>
                  <w:shd w:val="clear" w:color="auto" w:fill="auto"/>
                  <w:vAlign w:val="center"/>
                </w:tcPr>
                <w:p w14:paraId="1F86E0CE">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6"/>
                      <w:sz w:val="21"/>
                      <w:szCs w:val="21"/>
                    </w:rPr>
                    <w:t>门式起重机</w:t>
                  </w:r>
                </w:p>
              </w:tc>
              <w:tc>
                <w:tcPr>
                  <w:tcW w:w="1190" w:type="pct"/>
                  <w:tcBorders>
                    <w:tl2br w:val="nil"/>
                    <w:tr2bl w:val="nil"/>
                  </w:tcBorders>
                  <w:shd w:val="clear" w:color="auto" w:fill="auto"/>
                  <w:vAlign w:val="center"/>
                </w:tcPr>
                <w:p w14:paraId="488B7294">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Q=25t LK=24m</w:t>
                  </w:r>
                </w:p>
              </w:tc>
              <w:tc>
                <w:tcPr>
                  <w:tcW w:w="629" w:type="pct"/>
                  <w:tcBorders>
                    <w:tl2br w:val="nil"/>
                    <w:tr2bl w:val="nil"/>
                  </w:tcBorders>
                  <w:shd w:val="clear" w:color="auto" w:fill="auto"/>
                  <w:vAlign w:val="center"/>
                </w:tcPr>
                <w:p w14:paraId="229E95E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58F19FE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11912E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F363E38">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53</w:t>
                  </w:r>
                </w:p>
              </w:tc>
              <w:tc>
                <w:tcPr>
                  <w:tcW w:w="1595" w:type="pct"/>
                  <w:tcBorders>
                    <w:tl2br w:val="nil"/>
                    <w:tr2bl w:val="nil"/>
                  </w:tcBorders>
                  <w:shd w:val="clear" w:color="auto" w:fill="auto"/>
                  <w:vAlign w:val="center"/>
                </w:tcPr>
                <w:p w14:paraId="315D0DF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6"/>
                      <w:sz w:val="21"/>
                      <w:szCs w:val="21"/>
                    </w:rPr>
                    <w:t>门式起重机</w:t>
                  </w:r>
                </w:p>
              </w:tc>
              <w:tc>
                <w:tcPr>
                  <w:tcW w:w="1190" w:type="pct"/>
                  <w:tcBorders>
                    <w:tl2br w:val="nil"/>
                    <w:tr2bl w:val="nil"/>
                  </w:tcBorders>
                  <w:shd w:val="clear" w:color="auto" w:fill="auto"/>
                  <w:vAlign w:val="center"/>
                </w:tcPr>
                <w:p w14:paraId="096C03A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Q=50t LK=40m</w:t>
                  </w:r>
                </w:p>
              </w:tc>
              <w:tc>
                <w:tcPr>
                  <w:tcW w:w="629" w:type="pct"/>
                  <w:tcBorders>
                    <w:tl2br w:val="nil"/>
                    <w:tr2bl w:val="nil"/>
                  </w:tcBorders>
                  <w:shd w:val="clear" w:color="auto" w:fill="auto"/>
                  <w:vAlign w:val="center"/>
                </w:tcPr>
                <w:p w14:paraId="45BFB71B">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176BB90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r>
            <w:tr w14:paraId="444F0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32502867">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54</w:t>
                  </w:r>
                </w:p>
              </w:tc>
              <w:tc>
                <w:tcPr>
                  <w:tcW w:w="1595" w:type="pct"/>
                  <w:tcBorders>
                    <w:tl2br w:val="nil"/>
                    <w:tr2bl w:val="nil"/>
                  </w:tcBorders>
                  <w:shd w:val="clear" w:color="auto" w:fill="auto"/>
                  <w:vAlign w:val="center"/>
                </w:tcPr>
                <w:p w14:paraId="38F3B2A6">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6"/>
                      <w:sz w:val="21"/>
                      <w:szCs w:val="21"/>
                    </w:rPr>
                    <w:t>门式起重机</w:t>
                  </w:r>
                </w:p>
              </w:tc>
              <w:tc>
                <w:tcPr>
                  <w:tcW w:w="1190" w:type="pct"/>
                  <w:tcBorders>
                    <w:tl2br w:val="nil"/>
                    <w:tr2bl w:val="nil"/>
                  </w:tcBorders>
                  <w:shd w:val="clear" w:color="auto" w:fill="auto"/>
                  <w:vAlign w:val="center"/>
                </w:tcPr>
                <w:p w14:paraId="15AAEF0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Q=32t LK=28m</w:t>
                  </w:r>
                </w:p>
              </w:tc>
              <w:tc>
                <w:tcPr>
                  <w:tcW w:w="629" w:type="pct"/>
                  <w:tcBorders>
                    <w:tl2br w:val="nil"/>
                    <w:tr2bl w:val="nil"/>
                  </w:tcBorders>
                  <w:shd w:val="clear" w:color="auto" w:fill="auto"/>
                  <w:vAlign w:val="center"/>
                </w:tcPr>
                <w:p w14:paraId="7C49A2D4">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center"/>
                </w:tcPr>
                <w:p w14:paraId="1329133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CD61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4F2AD2E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eastAsia" w:ascii="宋体" w:hAnsi="宋体" w:eastAsia="宋体" w:cs="宋体"/>
                      <w:b w:val="0"/>
                      <w:bCs w:val="0"/>
                      <w:color w:val="auto"/>
                      <w:spacing w:val="-2"/>
                      <w:sz w:val="21"/>
                      <w:szCs w:val="21"/>
                      <w:lang w:val="en-US" w:eastAsia="zh-CN"/>
                    </w:rPr>
                    <w:t>七、</w:t>
                  </w:r>
                  <w:r>
                    <w:rPr>
                      <w:rFonts w:ascii="宋体" w:hAnsi="宋体" w:eastAsia="宋体" w:cs="宋体"/>
                      <w:b w:val="0"/>
                      <w:bCs w:val="0"/>
                      <w:color w:val="auto"/>
                      <w:spacing w:val="-2"/>
                      <w:sz w:val="21"/>
                      <w:szCs w:val="21"/>
                    </w:rPr>
                    <w:t>钢管及钢制配件管生产设备</w:t>
                  </w:r>
                </w:p>
              </w:tc>
            </w:tr>
            <w:tr w14:paraId="77481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3115708B">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55</w:t>
                  </w:r>
                </w:p>
              </w:tc>
              <w:tc>
                <w:tcPr>
                  <w:tcW w:w="1595" w:type="pct"/>
                  <w:tcBorders>
                    <w:tl2br w:val="nil"/>
                    <w:tr2bl w:val="nil"/>
                  </w:tcBorders>
                  <w:shd w:val="clear" w:color="auto" w:fill="auto"/>
                  <w:vAlign w:val="top"/>
                </w:tcPr>
                <w:p w14:paraId="063F6706">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上辊数控万能卷板机</w:t>
                  </w:r>
                </w:p>
              </w:tc>
              <w:tc>
                <w:tcPr>
                  <w:tcW w:w="1190" w:type="pct"/>
                  <w:tcBorders>
                    <w:tl2br w:val="nil"/>
                    <w:tr2bl w:val="nil"/>
                  </w:tcBorders>
                  <w:shd w:val="clear" w:color="auto" w:fill="auto"/>
                  <w:vAlign w:val="top"/>
                </w:tcPr>
                <w:p w14:paraId="7CBFEE05">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OSR-40*2500/3000</w:t>
                  </w:r>
                </w:p>
              </w:tc>
              <w:tc>
                <w:tcPr>
                  <w:tcW w:w="629" w:type="pct"/>
                  <w:tcBorders>
                    <w:tl2br w:val="nil"/>
                    <w:tr2bl w:val="nil"/>
                  </w:tcBorders>
                  <w:shd w:val="clear" w:color="auto" w:fill="auto"/>
                  <w:vAlign w:val="center"/>
                </w:tcPr>
                <w:p w14:paraId="47985A7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773348F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2E11B5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F1E45C2">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56</w:t>
                  </w:r>
                </w:p>
              </w:tc>
              <w:tc>
                <w:tcPr>
                  <w:tcW w:w="1595" w:type="pct"/>
                  <w:tcBorders>
                    <w:tl2br w:val="nil"/>
                    <w:tr2bl w:val="nil"/>
                  </w:tcBorders>
                  <w:shd w:val="clear" w:color="auto" w:fill="auto"/>
                  <w:vAlign w:val="top"/>
                </w:tcPr>
                <w:p w14:paraId="725D12D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全自动数控切割机</w:t>
                  </w:r>
                </w:p>
              </w:tc>
              <w:tc>
                <w:tcPr>
                  <w:tcW w:w="1190" w:type="pct"/>
                  <w:tcBorders>
                    <w:tl2br w:val="nil"/>
                    <w:tr2bl w:val="nil"/>
                  </w:tcBorders>
                  <w:shd w:val="clear" w:color="auto" w:fill="auto"/>
                  <w:vAlign w:val="top"/>
                </w:tcPr>
                <w:p w14:paraId="0D3AFB5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6-150mm</w:t>
                  </w:r>
                </w:p>
              </w:tc>
              <w:tc>
                <w:tcPr>
                  <w:tcW w:w="629" w:type="pct"/>
                  <w:tcBorders>
                    <w:tl2br w:val="nil"/>
                    <w:tr2bl w:val="nil"/>
                  </w:tcBorders>
                  <w:shd w:val="clear" w:color="auto" w:fill="auto"/>
                  <w:vAlign w:val="center"/>
                </w:tcPr>
                <w:p w14:paraId="6787AD9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452E0E8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679B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8D5D348">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57</w:t>
                  </w:r>
                </w:p>
              </w:tc>
              <w:tc>
                <w:tcPr>
                  <w:tcW w:w="1595" w:type="pct"/>
                  <w:tcBorders>
                    <w:tl2br w:val="nil"/>
                    <w:tr2bl w:val="nil"/>
                  </w:tcBorders>
                  <w:shd w:val="clear" w:color="auto" w:fill="auto"/>
                  <w:vAlign w:val="top"/>
                </w:tcPr>
                <w:p w14:paraId="6A3C26A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可调式滑轮埋弧焊机</w:t>
                  </w:r>
                </w:p>
              </w:tc>
              <w:tc>
                <w:tcPr>
                  <w:tcW w:w="1190" w:type="pct"/>
                  <w:tcBorders>
                    <w:tl2br w:val="nil"/>
                    <w:tr2bl w:val="nil"/>
                  </w:tcBorders>
                  <w:shd w:val="clear" w:color="auto" w:fill="auto"/>
                  <w:vAlign w:val="top"/>
                </w:tcPr>
                <w:p w14:paraId="71A76C2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HGK10</w:t>
                  </w:r>
                </w:p>
              </w:tc>
              <w:tc>
                <w:tcPr>
                  <w:tcW w:w="629" w:type="pct"/>
                  <w:tcBorders>
                    <w:tl2br w:val="nil"/>
                    <w:tr2bl w:val="nil"/>
                  </w:tcBorders>
                  <w:shd w:val="clear" w:color="auto" w:fill="auto"/>
                  <w:vAlign w:val="center"/>
                </w:tcPr>
                <w:p w14:paraId="4C7C346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19A0173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53B85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046FF0D">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58</w:t>
                  </w:r>
                </w:p>
              </w:tc>
              <w:tc>
                <w:tcPr>
                  <w:tcW w:w="1595" w:type="pct"/>
                  <w:tcBorders>
                    <w:tl2br w:val="nil"/>
                    <w:tr2bl w:val="nil"/>
                  </w:tcBorders>
                  <w:shd w:val="clear" w:color="auto" w:fill="auto"/>
                  <w:vAlign w:val="top"/>
                </w:tcPr>
                <w:p w14:paraId="32E3F12D">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5"/>
                      <w:sz w:val="21"/>
                      <w:szCs w:val="21"/>
                    </w:rPr>
                    <w:t>自动埋弧焊接操作机</w:t>
                  </w:r>
                </w:p>
              </w:tc>
              <w:tc>
                <w:tcPr>
                  <w:tcW w:w="1190" w:type="pct"/>
                  <w:tcBorders>
                    <w:tl2br w:val="nil"/>
                    <w:tr2bl w:val="nil"/>
                  </w:tcBorders>
                  <w:shd w:val="clear" w:color="auto" w:fill="auto"/>
                  <w:vAlign w:val="top"/>
                </w:tcPr>
                <w:p w14:paraId="178AD48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RCK40</w:t>
                  </w:r>
                </w:p>
              </w:tc>
              <w:tc>
                <w:tcPr>
                  <w:tcW w:w="629" w:type="pct"/>
                  <w:tcBorders>
                    <w:tl2br w:val="nil"/>
                    <w:tr2bl w:val="nil"/>
                  </w:tcBorders>
                  <w:shd w:val="clear" w:color="auto" w:fill="auto"/>
                  <w:vAlign w:val="center"/>
                </w:tcPr>
                <w:p w14:paraId="5CBFEEF2">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207878B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84144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0813AC5">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59</w:t>
                  </w:r>
                </w:p>
              </w:tc>
              <w:tc>
                <w:tcPr>
                  <w:tcW w:w="1595" w:type="pct"/>
                  <w:tcBorders>
                    <w:tl2br w:val="nil"/>
                    <w:tr2bl w:val="nil"/>
                  </w:tcBorders>
                  <w:shd w:val="clear" w:color="auto" w:fill="auto"/>
                  <w:vAlign w:val="top"/>
                </w:tcPr>
                <w:p w14:paraId="03CA013B">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2"/>
                      <w:sz w:val="21"/>
                      <w:szCs w:val="21"/>
                    </w:rPr>
                    <w:t>滚剪机</w:t>
                  </w:r>
                </w:p>
              </w:tc>
              <w:tc>
                <w:tcPr>
                  <w:tcW w:w="1190" w:type="pct"/>
                  <w:tcBorders>
                    <w:tl2br w:val="nil"/>
                    <w:tr2bl w:val="nil"/>
                  </w:tcBorders>
                  <w:shd w:val="clear" w:color="auto" w:fill="auto"/>
                  <w:vAlign w:val="top"/>
                </w:tcPr>
                <w:p w14:paraId="6FA0A61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GD-40</w:t>
                  </w:r>
                </w:p>
              </w:tc>
              <w:tc>
                <w:tcPr>
                  <w:tcW w:w="629" w:type="pct"/>
                  <w:tcBorders>
                    <w:tl2br w:val="nil"/>
                    <w:tr2bl w:val="nil"/>
                  </w:tcBorders>
                  <w:shd w:val="clear" w:color="auto" w:fill="auto"/>
                  <w:vAlign w:val="center"/>
                </w:tcPr>
                <w:p w14:paraId="7DA3166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548D574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AEC23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7525FEA">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c>
                <w:tcPr>
                  <w:tcW w:w="1595" w:type="pct"/>
                  <w:tcBorders>
                    <w:tl2br w:val="nil"/>
                    <w:tr2bl w:val="nil"/>
                  </w:tcBorders>
                  <w:shd w:val="clear" w:color="auto" w:fill="auto"/>
                  <w:vAlign w:val="top"/>
                </w:tcPr>
                <w:p w14:paraId="18D581D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8"/>
                      <w:sz w:val="21"/>
                      <w:szCs w:val="21"/>
                    </w:rPr>
                    <w:t>电动平车</w:t>
                  </w:r>
                </w:p>
              </w:tc>
              <w:tc>
                <w:tcPr>
                  <w:tcW w:w="1190" w:type="pct"/>
                  <w:tcBorders>
                    <w:tl2br w:val="nil"/>
                    <w:tr2bl w:val="nil"/>
                  </w:tcBorders>
                  <w:shd w:val="clear" w:color="auto" w:fill="auto"/>
                  <w:vAlign w:val="top"/>
                </w:tcPr>
                <w:p w14:paraId="78F03E56">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20T</w:t>
                  </w:r>
                </w:p>
              </w:tc>
              <w:tc>
                <w:tcPr>
                  <w:tcW w:w="629" w:type="pct"/>
                  <w:tcBorders>
                    <w:tl2br w:val="nil"/>
                    <w:tr2bl w:val="nil"/>
                  </w:tcBorders>
                  <w:shd w:val="clear" w:color="auto" w:fill="auto"/>
                  <w:vAlign w:val="center"/>
                </w:tcPr>
                <w:p w14:paraId="1795C37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辆</w:t>
                  </w:r>
                </w:p>
              </w:tc>
              <w:tc>
                <w:tcPr>
                  <w:tcW w:w="1057" w:type="pct"/>
                  <w:tcBorders>
                    <w:tl2br w:val="nil"/>
                    <w:tr2bl w:val="nil"/>
                  </w:tcBorders>
                  <w:shd w:val="clear" w:color="auto" w:fill="auto"/>
                  <w:vAlign w:val="top"/>
                </w:tcPr>
                <w:p w14:paraId="7AFE735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56C3D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1D537A33">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61</w:t>
                  </w:r>
                </w:p>
              </w:tc>
              <w:tc>
                <w:tcPr>
                  <w:tcW w:w="1595" w:type="pct"/>
                  <w:tcBorders>
                    <w:tl2br w:val="nil"/>
                    <w:tr2bl w:val="nil"/>
                  </w:tcBorders>
                  <w:shd w:val="clear" w:color="auto" w:fill="auto"/>
                  <w:vAlign w:val="top"/>
                </w:tcPr>
                <w:p w14:paraId="633F3F7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cs="Times New Roman"/>
                      <w:color w:val="auto"/>
                      <w:spacing w:val="-2"/>
                      <w:sz w:val="21"/>
                      <w:szCs w:val="21"/>
                    </w:rPr>
                    <w:t>CO</w:t>
                  </w:r>
                  <w:r>
                    <w:rPr>
                      <w:rFonts w:hint="default" w:ascii="Times New Roman" w:hAnsi="Times New Roman" w:cs="Times New Roman"/>
                      <w:color w:val="auto"/>
                      <w:spacing w:val="-2"/>
                      <w:position w:val="-1"/>
                      <w:sz w:val="21"/>
                      <w:szCs w:val="21"/>
                      <w:vertAlign w:val="subscript"/>
                    </w:rPr>
                    <w:t>2</w:t>
                  </w:r>
                  <w:r>
                    <w:rPr>
                      <w:rFonts w:hint="default" w:ascii="Times New Roman" w:hAnsi="Times New Roman" w:eastAsia="宋体" w:cs="Times New Roman"/>
                      <w:color w:val="auto"/>
                      <w:spacing w:val="-2"/>
                      <w:sz w:val="21"/>
                      <w:szCs w:val="21"/>
                    </w:rPr>
                    <w:t>气保焊机</w:t>
                  </w:r>
                </w:p>
              </w:tc>
              <w:tc>
                <w:tcPr>
                  <w:tcW w:w="1190" w:type="pct"/>
                  <w:tcBorders>
                    <w:tl2br w:val="nil"/>
                    <w:tr2bl w:val="nil"/>
                  </w:tcBorders>
                  <w:shd w:val="clear" w:color="auto" w:fill="auto"/>
                  <w:vAlign w:val="top"/>
                </w:tcPr>
                <w:p w14:paraId="654D531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NB</w:t>
                  </w:r>
                  <w:r>
                    <w:rPr>
                      <w:rFonts w:hint="default" w:ascii="Times New Roman" w:hAnsi="Times New Roman" w:cs="Times New Roman"/>
                      <w:color w:val="auto"/>
                      <w:spacing w:val="1"/>
                      <w:sz w:val="21"/>
                      <w:szCs w:val="21"/>
                    </w:rPr>
                    <w:t>-350R</w:t>
                  </w:r>
                </w:p>
              </w:tc>
              <w:tc>
                <w:tcPr>
                  <w:tcW w:w="629" w:type="pct"/>
                  <w:tcBorders>
                    <w:tl2br w:val="nil"/>
                    <w:tr2bl w:val="nil"/>
                  </w:tcBorders>
                  <w:shd w:val="clear" w:color="auto" w:fill="auto"/>
                  <w:vAlign w:val="center"/>
                </w:tcPr>
                <w:p w14:paraId="5ED1DB1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2A259E4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r>
            <w:tr w14:paraId="3BA70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98B8C23">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62</w:t>
                  </w:r>
                </w:p>
              </w:tc>
              <w:tc>
                <w:tcPr>
                  <w:tcW w:w="1595" w:type="pct"/>
                  <w:tcBorders>
                    <w:tl2br w:val="nil"/>
                    <w:tr2bl w:val="nil"/>
                  </w:tcBorders>
                  <w:shd w:val="clear" w:color="auto" w:fill="auto"/>
                  <w:vAlign w:val="top"/>
                </w:tcPr>
                <w:p w14:paraId="123AD232">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3"/>
                      <w:sz w:val="21"/>
                      <w:szCs w:val="21"/>
                    </w:rPr>
                    <w:t>交流焊机</w:t>
                  </w:r>
                </w:p>
              </w:tc>
              <w:tc>
                <w:tcPr>
                  <w:tcW w:w="1190" w:type="pct"/>
                  <w:tcBorders>
                    <w:tl2br w:val="nil"/>
                    <w:tr2bl w:val="nil"/>
                  </w:tcBorders>
                  <w:shd w:val="clear" w:color="auto" w:fill="auto"/>
                  <w:vAlign w:val="top"/>
                </w:tcPr>
                <w:p w14:paraId="7D8DED3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BX3-500</w:t>
                  </w:r>
                </w:p>
              </w:tc>
              <w:tc>
                <w:tcPr>
                  <w:tcW w:w="629" w:type="pct"/>
                  <w:tcBorders>
                    <w:tl2br w:val="nil"/>
                    <w:tr2bl w:val="nil"/>
                  </w:tcBorders>
                  <w:shd w:val="clear" w:color="auto" w:fill="auto"/>
                  <w:vAlign w:val="center"/>
                </w:tcPr>
                <w:p w14:paraId="409F6409">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45D889A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r>
            <w:tr w14:paraId="5EF71A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8EAD2AB">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63</w:t>
                  </w:r>
                </w:p>
              </w:tc>
              <w:tc>
                <w:tcPr>
                  <w:tcW w:w="1595" w:type="pct"/>
                  <w:tcBorders>
                    <w:tl2br w:val="nil"/>
                    <w:tr2bl w:val="nil"/>
                  </w:tcBorders>
                  <w:shd w:val="clear" w:color="auto" w:fill="auto"/>
                  <w:vAlign w:val="top"/>
                </w:tcPr>
                <w:p w14:paraId="68679EB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cs="Times New Roman"/>
                      <w:color w:val="auto"/>
                      <w:sz w:val="21"/>
                      <w:szCs w:val="21"/>
                    </w:rPr>
                    <w:t>X</w:t>
                  </w:r>
                  <w:r>
                    <w:rPr>
                      <w:rFonts w:hint="default" w:ascii="Times New Roman" w:hAnsi="Times New Roman" w:eastAsia="宋体" w:cs="Times New Roman"/>
                      <w:color w:val="auto"/>
                      <w:sz w:val="21"/>
                      <w:szCs w:val="21"/>
                    </w:rPr>
                    <w:t>射线探伤机</w:t>
                  </w:r>
                </w:p>
              </w:tc>
              <w:tc>
                <w:tcPr>
                  <w:tcW w:w="1190" w:type="pct"/>
                  <w:tcBorders>
                    <w:tl2br w:val="nil"/>
                    <w:tr2bl w:val="nil"/>
                  </w:tcBorders>
                  <w:shd w:val="clear" w:color="auto" w:fill="auto"/>
                  <w:vAlign w:val="top"/>
                </w:tcPr>
                <w:p w14:paraId="0984F8F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XT3505D</w:t>
                  </w:r>
                </w:p>
              </w:tc>
              <w:tc>
                <w:tcPr>
                  <w:tcW w:w="629" w:type="pct"/>
                  <w:tcBorders>
                    <w:tl2br w:val="nil"/>
                    <w:tr2bl w:val="nil"/>
                  </w:tcBorders>
                  <w:shd w:val="clear" w:color="auto" w:fill="auto"/>
                  <w:vAlign w:val="center"/>
                </w:tcPr>
                <w:p w14:paraId="6639750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629F7A0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r w14:paraId="038D2C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662B0A1F">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64</w:t>
                  </w:r>
                </w:p>
              </w:tc>
              <w:tc>
                <w:tcPr>
                  <w:tcW w:w="1595" w:type="pct"/>
                  <w:tcBorders>
                    <w:tl2br w:val="nil"/>
                    <w:tr2bl w:val="nil"/>
                  </w:tcBorders>
                  <w:shd w:val="clear" w:color="auto" w:fill="auto"/>
                  <w:vAlign w:val="top"/>
                </w:tcPr>
                <w:p w14:paraId="4B70C2A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超声波探伤仪</w:t>
                  </w:r>
                </w:p>
              </w:tc>
              <w:tc>
                <w:tcPr>
                  <w:tcW w:w="1190" w:type="pct"/>
                  <w:tcBorders>
                    <w:tl2br w:val="nil"/>
                    <w:tr2bl w:val="nil"/>
                  </w:tcBorders>
                  <w:shd w:val="clear" w:color="auto" w:fill="auto"/>
                  <w:vAlign w:val="top"/>
                </w:tcPr>
                <w:p w14:paraId="51BBBF5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MUT800B</w:t>
                  </w:r>
                </w:p>
              </w:tc>
              <w:tc>
                <w:tcPr>
                  <w:tcW w:w="629" w:type="pct"/>
                  <w:tcBorders>
                    <w:tl2br w:val="nil"/>
                    <w:tr2bl w:val="nil"/>
                  </w:tcBorders>
                  <w:shd w:val="clear" w:color="auto" w:fill="auto"/>
                  <w:vAlign w:val="center"/>
                </w:tcPr>
                <w:p w14:paraId="3DA9848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0643F76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r w14:paraId="47F55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8A6CDB4">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65</w:t>
                  </w:r>
                </w:p>
              </w:tc>
              <w:tc>
                <w:tcPr>
                  <w:tcW w:w="1595" w:type="pct"/>
                  <w:tcBorders>
                    <w:tl2br w:val="nil"/>
                    <w:tr2bl w:val="nil"/>
                  </w:tcBorders>
                  <w:shd w:val="clear" w:color="auto" w:fill="auto"/>
                  <w:vAlign w:val="top"/>
                </w:tcPr>
                <w:p w14:paraId="7B975034">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3"/>
                      <w:sz w:val="21"/>
                      <w:szCs w:val="21"/>
                    </w:rPr>
                    <w:t>空气压缩机</w:t>
                  </w:r>
                </w:p>
              </w:tc>
              <w:tc>
                <w:tcPr>
                  <w:tcW w:w="1190" w:type="pct"/>
                  <w:tcBorders>
                    <w:tl2br w:val="nil"/>
                    <w:tr2bl w:val="nil"/>
                  </w:tcBorders>
                  <w:shd w:val="clear" w:color="auto" w:fill="auto"/>
                  <w:vAlign w:val="top"/>
                </w:tcPr>
                <w:p w14:paraId="28AD061F">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6m³</w:t>
                  </w:r>
                </w:p>
              </w:tc>
              <w:tc>
                <w:tcPr>
                  <w:tcW w:w="629" w:type="pct"/>
                  <w:tcBorders>
                    <w:tl2br w:val="nil"/>
                    <w:tr2bl w:val="nil"/>
                  </w:tcBorders>
                  <w:shd w:val="clear" w:color="auto" w:fill="auto"/>
                  <w:vAlign w:val="center"/>
                </w:tcPr>
                <w:p w14:paraId="359B1FC6">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7B7396F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7F281C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A80609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66</w:t>
                  </w:r>
                </w:p>
              </w:tc>
              <w:tc>
                <w:tcPr>
                  <w:tcW w:w="1595" w:type="pct"/>
                  <w:tcBorders>
                    <w:tl2br w:val="nil"/>
                    <w:tr2bl w:val="nil"/>
                  </w:tcBorders>
                  <w:shd w:val="clear" w:color="auto" w:fill="auto"/>
                  <w:vAlign w:val="top"/>
                </w:tcPr>
                <w:p w14:paraId="0B9C3F0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3"/>
                      <w:sz w:val="21"/>
                      <w:szCs w:val="21"/>
                    </w:rPr>
                    <w:t>喷砂机</w:t>
                  </w:r>
                </w:p>
              </w:tc>
              <w:tc>
                <w:tcPr>
                  <w:tcW w:w="1190" w:type="pct"/>
                  <w:tcBorders>
                    <w:tl2br w:val="nil"/>
                    <w:tr2bl w:val="nil"/>
                  </w:tcBorders>
                  <w:shd w:val="clear" w:color="auto" w:fill="auto"/>
                  <w:vAlign w:val="top"/>
                </w:tcPr>
                <w:p w14:paraId="14A61E45">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2"/>
                      <w:sz w:val="21"/>
                      <w:szCs w:val="21"/>
                    </w:rPr>
                    <w:t>STR-6050</w:t>
                  </w:r>
                </w:p>
              </w:tc>
              <w:tc>
                <w:tcPr>
                  <w:tcW w:w="629" w:type="pct"/>
                  <w:tcBorders>
                    <w:tl2br w:val="nil"/>
                    <w:tr2bl w:val="nil"/>
                  </w:tcBorders>
                  <w:shd w:val="clear" w:color="auto" w:fill="auto"/>
                  <w:vAlign w:val="center"/>
                </w:tcPr>
                <w:p w14:paraId="39B9C65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303C7441">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69EAF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5DB0CA1E">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67</w:t>
                  </w:r>
                </w:p>
              </w:tc>
              <w:tc>
                <w:tcPr>
                  <w:tcW w:w="1595" w:type="pct"/>
                  <w:tcBorders>
                    <w:tl2br w:val="nil"/>
                    <w:tr2bl w:val="nil"/>
                  </w:tcBorders>
                  <w:shd w:val="clear" w:color="auto" w:fill="auto"/>
                  <w:vAlign w:val="top"/>
                </w:tcPr>
                <w:p w14:paraId="02953E3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6"/>
                      <w:sz w:val="21"/>
                      <w:szCs w:val="21"/>
                    </w:rPr>
                    <w:t>电弧喷涂机</w:t>
                  </w:r>
                </w:p>
              </w:tc>
              <w:tc>
                <w:tcPr>
                  <w:tcW w:w="1190" w:type="pct"/>
                  <w:tcBorders>
                    <w:tl2br w:val="nil"/>
                    <w:tr2bl w:val="nil"/>
                  </w:tcBorders>
                  <w:shd w:val="clear" w:color="auto" w:fill="auto"/>
                  <w:vAlign w:val="top"/>
                </w:tcPr>
                <w:p w14:paraId="66FCFD35">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CDM-AS300</w:t>
                  </w:r>
                </w:p>
              </w:tc>
              <w:tc>
                <w:tcPr>
                  <w:tcW w:w="629" w:type="pct"/>
                  <w:tcBorders>
                    <w:tl2br w:val="nil"/>
                    <w:tr2bl w:val="nil"/>
                  </w:tcBorders>
                  <w:shd w:val="clear" w:color="auto" w:fill="auto"/>
                  <w:vAlign w:val="center"/>
                </w:tcPr>
                <w:p w14:paraId="704C1CBF">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12140A5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r w14:paraId="55070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33C46A85">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68</w:t>
                  </w:r>
                </w:p>
              </w:tc>
              <w:tc>
                <w:tcPr>
                  <w:tcW w:w="1595" w:type="pct"/>
                  <w:tcBorders>
                    <w:tl2br w:val="nil"/>
                    <w:tr2bl w:val="nil"/>
                  </w:tcBorders>
                  <w:shd w:val="clear" w:color="auto" w:fill="auto"/>
                  <w:vAlign w:val="top"/>
                </w:tcPr>
                <w:p w14:paraId="656418D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麦考特自动测厚仪</w:t>
                  </w:r>
                </w:p>
              </w:tc>
              <w:tc>
                <w:tcPr>
                  <w:tcW w:w="1190" w:type="pct"/>
                  <w:tcBorders>
                    <w:tl2br w:val="nil"/>
                    <w:tr2bl w:val="nil"/>
                  </w:tcBorders>
                  <w:shd w:val="clear" w:color="auto" w:fill="auto"/>
                  <w:vAlign w:val="top"/>
                </w:tcPr>
                <w:p w14:paraId="0936A5D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TT220</w:t>
                  </w:r>
                </w:p>
              </w:tc>
              <w:tc>
                <w:tcPr>
                  <w:tcW w:w="629" w:type="pct"/>
                  <w:tcBorders>
                    <w:tl2br w:val="nil"/>
                    <w:tr2bl w:val="nil"/>
                  </w:tcBorders>
                  <w:shd w:val="clear" w:color="auto" w:fill="auto"/>
                  <w:vAlign w:val="center"/>
                </w:tcPr>
                <w:p w14:paraId="336E5908">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747B9B04">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6F8CC9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4BDE0689">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69</w:t>
                  </w:r>
                </w:p>
              </w:tc>
              <w:tc>
                <w:tcPr>
                  <w:tcW w:w="1595" w:type="pct"/>
                  <w:tcBorders>
                    <w:tl2br w:val="nil"/>
                    <w:tr2bl w:val="nil"/>
                  </w:tcBorders>
                  <w:shd w:val="clear" w:color="auto" w:fill="auto"/>
                  <w:vAlign w:val="top"/>
                </w:tcPr>
                <w:p w14:paraId="186B638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5"/>
                      <w:sz w:val="21"/>
                      <w:szCs w:val="21"/>
                    </w:rPr>
                  </w:pPr>
                  <w:r>
                    <w:rPr>
                      <w:rFonts w:hint="default" w:ascii="Times New Roman" w:hAnsi="Times New Roman" w:eastAsia="宋体" w:cs="Times New Roman"/>
                      <w:color w:val="auto"/>
                      <w:spacing w:val="-1"/>
                      <w:sz w:val="21"/>
                      <w:szCs w:val="21"/>
                    </w:rPr>
                    <w:t>干膜测厚仪</w:t>
                  </w:r>
                </w:p>
              </w:tc>
              <w:tc>
                <w:tcPr>
                  <w:tcW w:w="1190" w:type="pct"/>
                  <w:tcBorders>
                    <w:tl2br w:val="nil"/>
                    <w:tr2bl w:val="nil"/>
                  </w:tcBorders>
                  <w:shd w:val="clear" w:color="auto" w:fill="auto"/>
                  <w:vAlign w:val="top"/>
                </w:tcPr>
                <w:p w14:paraId="32AB30F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pacing w:val="-1"/>
                      <w:sz w:val="21"/>
                      <w:szCs w:val="21"/>
                    </w:rPr>
                    <w:t>HVV-24A</w:t>
                  </w:r>
                </w:p>
              </w:tc>
              <w:tc>
                <w:tcPr>
                  <w:tcW w:w="629" w:type="pct"/>
                  <w:tcBorders>
                    <w:tl2br w:val="nil"/>
                    <w:tr2bl w:val="nil"/>
                  </w:tcBorders>
                  <w:shd w:val="clear" w:color="auto" w:fill="auto"/>
                  <w:vAlign w:val="center"/>
                </w:tcPr>
                <w:p w14:paraId="0446B701">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647C1C6E">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558D5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00" w:type="pct"/>
                  <w:gridSpan w:val="5"/>
                  <w:tcBorders>
                    <w:tl2br w:val="nil"/>
                    <w:tr2bl w:val="nil"/>
                  </w:tcBorders>
                  <w:shd w:val="clear" w:color="auto" w:fill="auto"/>
                  <w:vAlign w:val="center"/>
                </w:tcPr>
                <w:p w14:paraId="6DD9A50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八、其他设备</w:t>
                  </w:r>
                </w:p>
              </w:tc>
            </w:tr>
            <w:tr w14:paraId="45CBA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0EE71B12">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70</w:t>
                  </w:r>
                </w:p>
              </w:tc>
              <w:tc>
                <w:tcPr>
                  <w:tcW w:w="1595" w:type="pct"/>
                  <w:tcBorders>
                    <w:tl2br w:val="nil"/>
                    <w:tr2bl w:val="nil"/>
                  </w:tcBorders>
                  <w:shd w:val="clear" w:color="auto" w:fill="auto"/>
                  <w:vAlign w:val="top"/>
                </w:tcPr>
                <w:p w14:paraId="4C8209B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2"/>
                      <w:sz w:val="21"/>
                      <w:szCs w:val="21"/>
                    </w:rPr>
                    <w:t>箱式变压器</w:t>
                  </w:r>
                </w:p>
              </w:tc>
              <w:tc>
                <w:tcPr>
                  <w:tcW w:w="1190" w:type="pct"/>
                  <w:tcBorders>
                    <w:tl2br w:val="nil"/>
                    <w:tr2bl w:val="nil"/>
                  </w:tcBorders>
                  <w:shd w:val="clear" w:color="auto" w:fill="auto"/>
                  <w:vAlign w:val="top"/>
                </w:tcPr>
                <w:p w14:paraId="0F2FF330">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4"/>
                      <w:sz w:val="21"/>
                      <w:szCs w:val="21"/>
                    </w:rPr>
                    <w:t>1000KVA</w:t>
                  </w:r>
                </w:p>
              </w:tc>
              <w:tc>
                <w:tcPr>
                  <w:tcW w:w="629" w:type="pct"/>
                  <w:tcBorders>
                    <w:tl2br w:val="nil"/>
                    <w:tr2bl w:val="nil"/>
                  </w:tcBorders>
                  <w:shd w:val="clear" w:color="auto" w:fill="auto"/>
                  <w:vAlign w:val="center"/>
                </w:tcPr>
                <w:p w14:paraId="38AAD78C">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64BA85C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r w14:paraId="5C4B67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7D372DEE">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71</w:t>
                  </w:r>
                </w:p>
              </w:tc>
              <w:tc>
                <w:tcPr>
                  <w:tcW w:w="1595" w:type="pct"/>
                  <w:tcBorders>
                    <w:tl2br w:val="nil"/>
                    <w:tr2bl w:val="nil"/>
                  </w:tcBorders>
                  <w:shd w:val="clear" w:color="auto" w:fill="auto"/>
                  <w:vAlign w:val="top"/>
                </w:tcPr>
                <w:p w14:paraId="6913B90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2"/>
                      <w:sz w:val="21"/>
                      <w:szCs w:val="21"/>
                    </w:rPr>
                    <w:t>螺杆空压机</w:t>
                  </w:r>
                </w:p>
              </w:tc>
              <w:tc>
                <w:tcPr>
                  <w:tcW w:w="1190" w:type="pct"/>
                  <w:tcBorders>
                    <w:tl2br w:val="nil"/>
                    <w:tr2bl w:val="nil"/>
                  </w:tcBorders>
                  <w:shd w:val="clear" w:color="auto" w:fill="auto"/>
                  <w:vAlign w:val="top"/>
                </w:tcPr>
                <w:p w14:paraId="0808954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24"/>
                      <w:sz w:val="21"/>
                      <w:szCs w:val="21"/>
                    </w:rPr>
                    <w:t>20m³</w:t>
                  </w:r>
                </w:p>
              </w:tc>
              <w:tc>
                <w:tcPr>
                  <w:tcW w:w="629" w:type="pct"/>
                  <w:tcBorders>
                    <w:tl2br w:val="nil"/>
                    <w:tr2bl w:val="nil"/>
                  </w:tcBorders>
                  <w:shd w:val="clear" w:color="auto" w:fill="auto"/>
                  <w:vAlign w:val="center"/>
                </w:tcPr>
                <w:p w14:paraId="61EE0C95">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1D85A33B">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1544B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25FE78ED">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72</w:t>
                  </w:r>
                </w:p>
              </w:tc>
              <w:tc>
                <w:tcPr>
                  <w:tcW w:w="1595" w:type="pct"/>
                  <w:tcBorders>
                    <w:tl2br w:val="nil"/>
                    <w:tr2bl w:val="nil"/>
                  </w:tcBorders>
                  <w:shd w:val="clear" w:color="auto" w:fill="auto"/>
                  <w:vAlign w:val="top"/>
                </w:tcPr>
                <w:p w14:paraId="4F180AD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1"/>
                      <w:sz w:val="21"/>
                      <w:szCs w:val="21"/>
                    </w:rPr>
                  </w:pPr>
                  <w:r>
                    <w:rPr>
                      <w:rFonts w:hint="eastAsia" w:cs="Times New Roman"/>
                      <w:color w:val="auto"/>
                      <w:spacing w:val="-3"/>
                      <w:sz w:val="21"/>
                      <w:szCs w:val="21"/>
                      <w:lang w:val="en-US" w:eastAsia="zh-CN"/>
                    </w:rPr>
                    <w:t>燃气</w:t>
                  </w:r>
                  <w:r>
                    <w:rPr>
                      <w:rFonts w:hint="default" w:ascii="Times New Roman" w:hAnsi="Times New Roman" w:eastAsia="宋体" w:cs="Times New Roman"/>
                      <w:color w:val="auto"/>
                      <w:spacing w:val="-3"/>
                      <w:sz w:val="21"/>
                      <w:szCs w:val="21"/>
                    </w:rPr>
                    <w:t>锅炉</w:t>
                  </w:r>
                </w:p>
              </w:tc>
              <w:tc>
                <w:tcPr>
                  <w:tcW w:w="1190" w:type="pct"/>
                  <w:tcBorders>
                    <w:tl2br w:val="nil"/>
                    <w:tr2bl w:val="nil"/>
                  </w:tcBorders>
                  <w:shd w:val="clear" w:color="auto" w:fill="auto"/>
                  <w:vAlign w:val="top"/>
                </w:tcPr>
                <w:p w14:paraId="6AC7E69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eastAsia" w:ascii="Times New Roman" w:hAnsi="Times New Roman" w:cs="Times New Roman"/>
                      <w:color w:val="auto"/>
                      <w:spacing w:val="-2"/>
                      <w:sz w:val="21"/>
                      <w:szCs w:val="21"/>
                      <w:lang w:val="en-US" w:eastAsia="zh-CN"/>
                    </w:rPr>
                    <w:t>3</w:t>
                  </w:r>
                  <w:r>
                    <w:rPr>
                      <w:rFonts w:hint="default" w:ascii="Times New Roman" w:hAnsi="Times New Roman" w:cs="Times New Roman"/>
                      <w:color w:val="auto"/>
                      <w:spacing w:val="-2"/>
                      <w:sz w:val="21"/>
                      <w:szCs w:val="21"/>
                    </w:rPr>
                    <w:t>t</w:t>
                  </w:r>
                </w:p>
              </w:tc>
              <w:tc>
                <w:tcPr>
                  <w:tcW w:w="629" w:type="pct"/>
                  <w:tcBorders>
                    <w:tl2br w:val="nil"/>
                    <w:tr2bl w:val="nil"/>
                  </w:tcBorders>
                  <w:shd w:val="clear" w:color="auto" w:fill="auto"/>
                  <w:vAlign w:val="center"/>
                </w:tcPr>
                <w:p w14:paraId="78C40EA0">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4ACF27D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61774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26" w:type="pct"/>
                  <w:tcBorders>
                    <w:tl2br w:val="nil"/>
                    <w:tr2bl w:val="nil"/>
                  </w:tcBorders>
                  <w:shd w:val="clear" w:color="auto" w:fill="auto"/>
                  <w:vAlign w:val="center"/>
                </w:tcPr>
                <w:p w14:paraId="5A9C2515">
                  <w:pPr>
                    <w:pStyle w:val="29"/>
                    <w:autoSpaceDE w:val="0"/>
                    <w:autoSpaceDN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73</w:t>
                  </w:r>
                </w:p>
              </w:tc>
              <w:tc>
                <w:tcPr>
                  <w:tcW w:w="1595" w:type="pct"/>
                  <w:tcBorders>
                    <w:tl2br w:val="nil"/>
                    <w:tr2bl w:val="nil"/>
                  </w:tcBorders>
                  <w:shd w:val="clear" w:color="auto" w:fill="auto"/>
                  <w:vAlign w:val="top"/>
                </w:tcPr>
                <w:p w14:paraId="483337C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2"/>
                      <w:sz w:val="21"/>
                      <w:szCs w:val="21"/>
                    </w:rPr>
                    <w:t>地中衡</w:t>
                  </w:r>
                </w:p>
              </w:tc>
              <w:tc>
                <w:tcPr>
                  <w:tcW w:w="1190" w:type="pct"/>
                  <w:tcBorders>
                    <w:tl2br w:val="nil"/>
                    <w:tr2bl w:val="nil"/>
                  </w:tcBorders>
                  <w:shd w:val="clear" w:color="auto" w:fill="auto"/>
                  <w:vAlign w:val="top"/>
                </w:tcPr>
                <w:p w14:paraId="101A18E7">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pacing w:val="-1"/>
                      <w:sz w:val="21"/>
                      <w:szCs w:val="21"/>
                    </w:rPr>
                  </w:pPr>
                  <w:r>
                    <w:rPr>
                      <w:rFonts w:hint="default" w:ascii="Times New Roman" w:hAnsi="Times New Roman" w:cs="Times New Roman"/>
                      <w:color w:val="auto"/>
                      <w:spacing w:val="-5"/>
                      <w:sz w:val="21"/>
                      <w:szCs w:val="21"/>
                    </w:rPr>
                    <w:t>150t</w:t>
                  </w:r>
                </w:p>
              </w:tc>
              <w:tc>
                <w:tcPr>
                  <w:tcW w:w="629" w:type="pct"/>
                  <w:tcBorders>
                    <w:tl2br w:val="nil"/>
                    <w:tr2bl w:val="nil"/>
                  </w:tcBorders>
                  <w:shd w:val="clear" w:color="auto" w:fill="auto"/>
                  <w:vAlign w:val="center"/>
                </w:tcPr>
                <w:p w14:paraId="00CA7EE3">
                  <w:pPr>
                    <w:pStyle w:val="29"/>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台</w:t>
                  </w:r>
                </w:p>
              </w:tc>
              <w:tc>
                <w:tcPr>
                  <w:tcW w:w="1057" w:type="pct"/>
                  <w:tcBorders>
                    <w:tl2br w:val="nil"/>
                    <w:tr2bl w:val="nil"/>
                  </w:tcBorders>
                  <w:shd w:val="clear" w:color="auto" w:fill="auto"/>
                  <w:vAlign w:val="top"/>
                </w:tcPr>
                <w:p w14:paraId="662C2435">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bl>
          <w:p w14:paraId="6307D03F">
            <w:pPr>
              <w:adjustRightInd w:val="0"/>
              <w:snapToGrid w:val="0"/>
              <w:spacing w:line="360" w:lineRule="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4.主要原辅材料消耗</w:t>
            </w:r>
          </w:p>
          <w:p w14:paraId="39F0A93C">
            <w:pPr>
              <w:spacing w:line="360" w:lineRule="auto"/>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本项目主要原辅材料名称及用量见下表2-4。</w:t>
            </w:r>
          </w:p>
          <w:p w14:paraId="03379613">
            <w:pPr>
              <w:ind w:left="3353"/>
              <w:jc w:val="left"/>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表2-4    主要原辅材料</w:t>
            </w:r>
          </w:p>
          <w:tbl>
            <w:tblPr>
              <w:tblStyle w:val="23"/>
              <w:tblW w:w="4997" w:type="pct"/>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8"/>
              <w:gridCol w:w="2419"/>
              <w:gridCol w:w="1837"/>
              <w:gridCol w:w="2340"/>
            </w:tblGrid>
            <w:tr w14:paraId="2B6AF6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trPr>
              <w:tc>
                <w:tcPr>
                  <w:tcW w:w="575" w:type="pct"/>
                  <w:tcBorders>
                    <w:bottom w:val="single" w:color="auto" w:sz="12" w:space="0"/>
                  </w:tcBorders>
                  <w:shd w:val="clear" w:color="auto" w:fill="auto"/>
                  <w:vAlign w:val="center"/>
                </w:tcPr>
                <w:p w14:paraId="17830F1A">
                  <w:pPr>
                    <w:pStyle w:val="29"/>
                    <w:autoSpaceDE w:val="0"/>
                    <w:autoSpaceDN w:val="0"/>
                    <w:jc w:val="center"/>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序号</w:t>
                  </w:r>
                </w:p>
              </w:tc>
              <w:tc>
                <w:tcPr>
                  <w:tcW w:w="1622" w:type="pct"/>
                  <w:tcBorders>
                    <w:bottom w:val="single" w:color="auto" w:sz="12" w:space="0"/>
                  </w:tcBorders>
                  <w:shd w:val="clear" w:color="auto" w:fill="auto"/>
                  <w:vAlign w:val="center"/>
                </w:tcPr>
                <w:p w14:paraId="1D5056B7">
                  <w:pPr>
                    <w:pStyle w:val="29"/>
                    <w:autoSpaceDE w:val="0"/>
                    <w:autoSpaceDN w:val="0"/>
                    <w:jc w:val="center"/>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名</w:t>
                  </w:r>
                  <w:r>
                    <w:rPr>
                      <w:rFonts w:hint="default" w:ascii="Times New Roman" w:hAnsi="Times New Roman" w:cs="Times New Roman"/>
                      <w:b/>
                      <w:bCs/>
                      <w:color w:val="auto"/>
                      <w:szCs w:val="21"/>
                      <w:highlight w:val="none"/>
                      <w:lang w:val="en-US"/>
                    </w:rPr>
                    <w:t xml:space="preserve">  </w:t>
                  </w:r>
                  <w:r>
                    <w:rPr>
                      <w:rFonts w:hint="default" w:ascii="Times New Roman" w:hAnsi="Times New Roman" w:cs="Times New Roman"/>
                      <w:b/>
                      <w:bCs/>
                      <w:color w:val="auto"/>
                      <w:szCs w:val="21"/>
                      <w:highlight w:val="none"/>
                    </w:rPr>
                    <w:t>称</w:t>
                  </w:r>
                </w:p>
              </w:tc>
              <w:tc>
                <w:tcPr>
                  <w:tcW w:w="1232" w:type="pct"/>
                  <w:tcBorders>
                    <w:bottom w:val="single" w:color="auto" w:sz="12" w:space="0"/>
                  </w:tcBorders>
                  <w:shd w:val="clear" w:color="auto" w:fill="auto"/>
                  <w:vAlign w:val="center"/>
                </w:tcPr>
                <w:p w14:paraId="35648FF0">
                  <w:pPr>
                    <w:pStyle w:val="29"/>
                    <w:autoSpaceDE w:val="0"/>
                    <w:autoSpaceDN w:val="0"/>
                    <w:jc w:val="center"/>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rPr>
                    <w:t>来源地</w:t>
                  </w:r>
                </w:p>
              </w:tc>
              <w:tc>
                <w:tcPr>
                  <w:tcW w:w="1569" w:type="pct"/>
                  <w:tcBorders>
                    <w:bottom w:val="single" w:color="auto" w:sz="12" w:space="0"/>
                  </w:tcBorders>
                  <w:shd w:val="clear" w:color="auto" w:fill="auto"/>
                  <w:vAlign w:val="center"/>
                </w:tcPr>
                <w:p w14:paraId="000DC7AB">
                  <w:pPr>
                    <w:pStyle w:val="29"/>
                    <w:autoSpaceDE w:val="0"/>
                    <w:autoSpaceDN w:val="0"/>
                    <w:jc w:val="center"/>
                    <w:rPr>
                      <w:rFonts w:hint="default" w:ascii="Times New Roman" w:hAnsi="Times New Roman" w:cs="Times New Roman"/>
                      <w:b/>
                      <w:bCs/>
                      <w:color w:val="auto"/>
                      <w:szCs w:val="21"/>
                      <w:highlight w:val="none"/>
                      <w:lang w:val="en-US"/>
                    </w:rPr>
                  </w:pPr>
                  <w:r>
                    <w:rPr>
                      <w:rFonts w:hint="default" w:ascii="Times New Roman" w:hAnsi="Times New Roman" w:cs="Times New Roman"/>
                      <w:b/>
                      <w:bCs/>
                      <w:color w:val="auto"/>
                      <w:szCs w:val="21"/>
                      <w:highlight w:val="none"/>
                      <w:lang w:val="en-US"/>
                    </w:rPr>
                    <w:t>年消耗量</w:t>
                  </w:r>
                  <w:r>
                    <w:rPr>
                      <w:rFonts w:hint="eastAsia" w:ascii="Times New Roman" w:hAnsi="Times New Roman" w:cs="Times New Roman"/>
                      <w:b/>
                      <w:bCs/>
                      <w:color w:val="auto"/>
                      <w:szCs w:val="21"/>
                      <w:highlight w:val="none"/>
                      <w:lang w:val="en-US" w:eastAsia="zh-CN"/>
                    </w:rPr>
                    <w:t>（t/a）</w:t>
                  </w:r>
                </w:p>
              </w:tc>
            </w:tr>
            <w:tr w14:paraId="6E6CFD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75" w:type="pct"/>
                  <w:tcBorders>
                    <w:top w:val="single" w:color="auto" w:sz="12" w:space="0"/>
                    <w:tl2br w:val="nil"/>
                    <w:tr2bl w:val="nil"/>
                  </w:tcBorders>
                  <w:shd w:val="clear" w:color="auto" w:fill="auto"/>
                  <w:vAlign w:val="center"/>
                </w:tcPr>
                <w:p w14:paraId="564A3CDC">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1</w:t>
                  </w:r>
                </w:p>
              </w:tc>
              <w:tc>
                <w:tcPr>
                  <w:tcW w:w="1622" w:type="pct"/>
                  <w:tcBorders>
                    <w:top w:val="single" w:color="auto" w:sz="12" w:space="0"/>
                    <w:tl2br w:val="nil"/>
                    <w:tr2bl w:val="nil"/>
                  </w:tcBorders>
                  <w:shd w:val="clear" w:color="auto" w:fill="auto"/>
                  <w:vAlign w:val="center"/>
                </w:tcPr>
                <w:p w14:paraId="6137CDC3">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3"/>
                      <w:sz w:val="21"/>
                      <w:szCs w:val="21"/>
                    </w:rPr>
                    <w:t>水泥</w:t>
                  </w:r>
                </w:p>
              </w:tc>
              <w:tc>
                <w:tcPr>
                  <w:tcW w:w="1232" w:type="pct"/>
                  <w:tcBorders>
                    <w:top w:val="single" w:color="auto" w:sz="12" w:space="0"/>
                    <w:tl2br w:val="nil"/>
                    <w:tr2bl w:val="nil"/>
                  </w:tcBorders>
                  <w:shd w:val="clear" w:color="auto" w:fill="auto"/>
                  <w:vAlign w:val="center"/>
                </w:tcPr>
                <w:p w14:paraId="1A37F015">
                  <w:pPr>
                    <w:pStyle w:val="29"/>
                    <w:autoSpaceDE w:val="0"/>
                    <w:autoSpaceDN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外购</w:t>
                  </w:r>
                </w:p>
              </w:tc>
              <w:tc>
                <w:tcPr>
                  <w:tcW w:w="1569" w:type="pct"/>
                  <w:tcBorders>
                    <w:top w:val="single" w:color="auto" w:sz="12" w:space="0"/>
                    <w:tl2br w:val="nil"/>
                    <w:tr2bl w:val="nil"/>
                  </w:tcBorders>
                  <w:shd w:val="clear" w:color="auto" w:fill="auto"/>
                  <w:vAlign w:val="center"/>
                </w:tcPr>
                <w:p w14:paraId="43E9FAAB">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z w:val="21"/>
                      <w:szCs w:val="21"/>
                    </w:rPr>
                    <w:t>18700</w:t>
                  </w:r>
                </w:p>
              </w:tc>
            </w:tr>
            <w:tr w14:paraId="52E5A2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190444B6">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2</w:t>
                  </w:r>
                </w:p>
              </w:tc>
              <w:tc>
                <w:tcPr>
                  <w:tcW w:w="1622" w:type="pct"/>
                  <w:tcBorders>
                    <w:tl2br w:val="nil"/>
                    <w:tr2bl w:val="nil"/>
                  </w:tcBorders>
                  <w:shd w:val="clear" w:color="auto" w:fill="auto"/>
                  <w:vAlign w:val="center"/>
                </w:tcPr>
                <w:p w14:paraId="68EB52A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3"/>
                      <w:sz w:val="21"/>
                      <w:szCs w:val="21"/>
                    </w:rPr>
                    <w:t>细骨料（砂子）</w:t>
                  </w:r>
                </w:p>
              </w:tc>
              <w:tc>
                <w:tcPr>
                  <w:tcW w:w="1232" w:type="pct"/>
                  <w:tcBorders>
                    <w:tl2br w:val="nil"/>
                    <w:tr2bl w:val="nil"/>
                  </w:tcBorders>
                  <w:shd w:val="clear" w:color="auto" w:fill="auto"/>
                  <w:vAlign w:val="center"/>
                </w:tcPr>
                <w:p w14:paraId="3AB070F2">
                  <w:pPr>
                    <w:autoSpaceDE w:val="0"/>
                    <w:autoSpaceDN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外购</w:t>
                  </w:r>
                </w:p>
              </w:tc>
              <w:tc>
                <w:tcPr>
                  <w:tcW w:w="1569" w:type="pct"/>
                  <w:tcBorders>
                    <w:tl2br w:val="nil"/>
                    <w:tr2bl w:val="nil"/>
                  </w:tcBorders>
                  <w:shd w:val="clear" w:color="auto" w:fill="auto"/>
                  <w:vAlign w:val="center"/>
                </w:tcPr>
                <w:p w14:paraId="5150C9EA">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3"/>
                      <w:sz w:val="21"/>
                      <w:szCs w:val="21"/>
                      <w:lang w:eastAsia="zh-CN"/>
                    </w:rPr>
                    <w:t>30600</w:t>
                  </w:r>
                </w:p>
              </w:tc>
            </w:tr>
            <w:tr w14:paraId="766896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306552A6">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3</w:t>
                  </w:r>
                </w:p>
              </w:tc>
              <w:tc>
                <w:tcPr>
                  <w:tcW w:w="1622" w:type="pct"/>
                  <w:tcBorders>
                    <w:tl2br w:val="nil"/>
                    <w:tr2bl w:val="nil"/>
                  </w:tcBorders>
                  <w:shd w:val="clear" w:color="auto" w:fill="auto"/>
                  <w:vAlign w:val="center"/>
                </w:tcPr>
                <w:p w14:paraId="0661936C">
                  <w:pPr>
                    <w:pStyle w:val="36"/>
                    <w:keepNext w:val="0"/>
                    <w:keepLines w:val="0"/>
                    <w:pageBreakBefore w:val="0"/>
                    <w:widowControl w:val="0"/>
                    <w:kinsoku/>
                    <w:wordWrap/>
                    <w:overflowPunct/>
                    <w:topLinePunct w:val="0"/>
                    <w:bidi w:val="0"/>
                    <w:adjustRightInd/>
                    <w:snapToGrid/>
                    <w:spacing w:line="240" w:lineRule="auto"/>
                    <w:ind w:right="131" w:right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3"/>
                      <w:sz w:val="21"/>
                      <w:szCs w:val="21"/>
                    </w:rPr>
                    <w:t>粗骨料(Ⅱ</w:t>
                  </w:r>
                  <w:r>
                    <w:rPr>
                      <w:rFonts w:hint="default" w:ascii="Times New Roman" w:hAnsi="Times New Roman" w:cs="Times New Roman" w:eastAsiaTheme="minorEastAsia"/>
                      <w:color w:val="auto"/>
                      <w:spacing w:val="4"/>
                      <w:sz w:val="21"/>
                      <w:szCs w:val="21"/>
                    </w:rPr>
                    <w:t>类、石子）</w:t>
                  </w:r>
                </w:p>
              </w:tc>
              <w:tc>
                <w:tcPr>
                  <w:tcW w:w="1232" w:type="pct"/>
                  <w:tcBorders>
                    <w:tl2br w:val="nil"/>
                    <w:tr2bl w:val="nil"/>
                  </w:tcBorders>
                  <w:shd w:val="clear" w:color="auto" w:fill="auto"/>
                  <w:vAlign w:val="center"/>
                </w:tcPr>
                <w:p w14:paraId="165A59FF">
                  <w:pPr>
                    <w:autoSpaceDE w:val="0"/>
                    <w:autoSpaceDN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289C1643">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z w:val="21"/>
                      <w:szCs w:val="21"/>
                    </w:rPr>
                    <w:t>51000</w:t>
                  </w:r>
                </w:p>
              </w:tc>
            </w:tr>
            <w:tr w14:paraId="34FCCC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678E2471">
                  <w:pPr>
                    <w:pStyle w:val="29"/>
                    <w:autoSpaceDE w:val="0"/>
                    <w:autoSpaceDN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w:t>
                  </w:r>
                </w:p>
              </w:tc>
              <w:tc>
                <w:tcPr>
                  <w:tcW w:w="1622" w:type="pct"/>
                  <w:tcBorders>
                    <w:tl2br w:val="nil"/>
                    <w:tr2bl w:val="nil"/>
                  </w:tcBorders>
                  <w:shd w:val="clear" w:color="auto" w:fill="auto"/>
                  <w:vAlign w:val="center"/>
                </w:tcPr>
                <w:p w14:paraId="4D517AFA">
                  <w:pPr>
                    <w:pStyle w:val="36"/>
                    <w:keepNext w:val="0"/>
                    <w:keepLines w:val="0"/>
                    <w:pageBreakBefore w:val="0"/>
                    <w:widowControl w:val="0"/>
                    <w:kinsoku/>
                    <w:wordWrap/>
                    <w:overflowPunct/>
                    <w:topLinePunct w:val="0"/>
                    <w:bidi w:val="0"/>
                    <w:adjustRightInd/>
                    <w:snapToGrid/>
                    <w:spacing w:line="240" w:lineRule="auto"/>
                    <w:ind w:right="111" w:right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7"/>
                      <w:sz w:val="21"/>
                      <w:szCs w:val="21"/>
                    </w:rPr>
                    <w:t>混凝土掺用</w:t>
                  </w:r>
                  <w:r>
                    <w:rPr>
                      <w:rFonts w:hint="default" w:ascii="Times New Roman" w:hAnsi="Times New Roman" w:cs="Times New Roman" w:eastAsiaTheme="minorEastAsia"/>
                      <w:color w:val="auto"/>
                      <w:spacing w:val="6"/>
                      <w:sz w:val="21"/>
                      <w:szCs w:val="21"/>
                    </w:rPr>
                    <w:t>粉煤灰Ⅰ级</w:t>
                  </w:r>
                </w:p>
              </w:tc>
              <w:tc>
                <w:tcPr>
                  <w:tcW w:w="1232" w:type="pct"/>
                  <w:tcBorders>
                    <w:tl2br w:val="nil"/>
                    <w:tr2bl w:val="nil"/>
                  </w:tcBorders>
                  <w:shd w:val="clear" w:color="auto" w:fill="auto"/>
                  <w:vAlign w:val="center"/>
                </w:tcPr>
                <w:p w14:paraId="31A2D3D9">
                  <w:pPr>
                    <w:pStyle w:val="29"/>
                    <w:autoSpaceDE w:val="0"/>
                    <w:autoSpaceDN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154B297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6205</w:t>
                  </w:r>
                </w:p>
              </w:tc>
            </w:tr>
            <w:tr w14:paraId="312FCC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15979288">
                  <w:pPr>
                    <w:pStyle w:val="29"/>
                    <w:autoSpaceDE w:val="0"/>
                    <w:autoSpaceDN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5</w:t>
                  </w:r>
                </w:p>
              </w:tc>
              <w:tc>
                <w:tcPr>
                  <w:tcW w:w="1622" w:type="pct"/>
                  <w:tcBorders>
                    <w:tl2br w:val="nil"/>
                    <w:tr2bl w:val="nil"/>
                  </w:tcBorders>
                  <w:shd w:val="clear" w:color="auto" w:fill="auto"/>
                  <w:vAlign w:val="center"/>
                </w:tcPr>
                <w:p w14:paraId="25B17672">
                  <w:pPr>
                    <w:pStyle w:val="36"/>
                    <w:keepNext w:val="0"/>
                    <w:keepLines w:val="0"/>
                    <w:pageBreakBefore w:val="0"/>
                    <w:widowControl w:val="0"/>
                    <w:kinsoku/>
                    <w:wordWrap/>
                    <w:overflowPunct/>
                    <w:topLinePunct w:val="0"/>
                    <w:bidi w:val="0"/>
                    <w:adjustRightInd/>
                    <w:snapToGrid/>
                    <w:spacing w:line="240" w:lineRule="auto"/>
                    <w:ind w:right="111" w:right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6"/>
                      <w:sz w:val="21"/>
                      <w:szCs w:val="21"/>
                    </w:rPr>
                    <w:t>聚羧酸高性</w:t>
                  </w:r>
                  <w:r>
                    <w:rPr>
                      <w:rFonts w:hint="default" w:ascii="Times New Roman" w:hAnsi="Times New Roman" w:cs="Times New Roman" w:eastAsiaTheme="minorEastAsia"/>
                      <w:color w:val="auto"/>
                      <w:spacing w:val="5"/>
                      <w:sz w:val="21"/>
                      <w:szCs w:val="21"/>
                    </w:rPr>
                    <w:t>能减水剂</w:t>
                  </w:r>
                </w:p>
              </w:tc>
              <w:tc>
                <w:tcPr>
                  <w:tcW w:w="1232" w:type="pct"/>
                  <w:tcBorders>
                    <w:tl2br w:val="nil"/>
                    <w:tr2bl w:val="nil"/>
                  </w:tcBorders>
                  <w:shd w:val="clear" w:color="auto" w:fill="auto"/>
                  <w:vAlign w:val="center"/>
                </w:tcPr>
                <w:p w14:paraId="53597010">
                  <w:pPr>
                    <w:pStyle w:val="29"/>
                    <w:autoSpaceDE w:val="0"/>
                    <w:autoSpaceDN w:val="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39EA781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lang w:val="en-US" w:eastAsia="zh-CN"/>
                    </w:rPr>
                    <w:t>227.8</w:t>
                  </w:r>
                </w:p>
              </w:tc>
            </w:tr>
            <w:tr w14:paraId="7163DB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2FDF30A0">
                  <w:pPr>
                    <w:pStyle w:val="29"/>
                    <w:autoSpaceDE w:val="0"/>
                    <w:autoSpaceDN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6</w:t>
                  </w:r>
                </w:p>
              </w:tc>
              <w:tc>
                <w:tcPr>
                  <w:tcW w:w="1622" w:type="pct"/>
                  <w:tcBorders>
                    <w:tl2br w:val="nil"/>
                    <w:tr2bl w:val="nil"/>
                  </w:tcBorders>
                  <w:shd w:val="clear" w:color="auto" w:fill="auto"/>
                  <w:vAlign w:val="center"/>
                </w:tcPr>
                <w:p w14:paraId="3C5933E4">
                  <w:pPr>
                    <w:pStyle w:val="36"/>
                    <w:keepNext w:val="0"/>
                    <w:keepLines w:val="0"/>
                    <w:pageBreakBefore w:val="0"/>
                    <w:widowControl w:val="0"/>
                    <w:kinsoku/>
                    <w:wordWrap/>
                    <w:overflowPunct/>
                    <w:topLinePunct w:val="0"/>
                    <w:bidi w:val="0"/>
                    <w:adjustRightInd/>
                    <w:snapToGrid/>
                    <w:spacing w:line="240" w:lineRule="auto"/>
                    <w:ind w:right="111" w:right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7"/>
                      <w:sz w:val="21"/>
                      <w:szCs w:val="21"/>
                    </w:rPr>
                    <w:t>预应力混凝土用钢丝</w:t>
                  </w:r>
                </w:p>
              </w:tc>
              <w:tc>
                <w:tcPr>
                  <w:tcW w:w="1232" w:type="pct"/>
                  <w:tcBorders>
                    <w:tl2br w:val="nil"/>
                    <w:tr2bl w:val="nil"/>
                  </w:tcBorders>
                  <w:shd w:val="clear" w:color="auto" w:fill="auto"/>
                  <w:vAlign w:val="center"/>
                </w:tcPr>
                <w:p w14:paraId="00BC684E">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27B04A9F">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lang w:val="en-US" w:eastAsia="zh-CN"/>
                    </w:rPr>
                    <w:t>2386.8</w:t>
                  </w:r>
                </w:p>
              </w:tc>
            </w:tr>
            <w:tr w14:paraId="468A93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4A60E907">
                  <w:pPr>
                    <w:pStyle w:val="29"/>
                    <w:autoSpaceDE w:val="0"/>
                    <w:autoSpaceDN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w:t>
                  </w:r>
                </w:p>
              </w:tc>
              <w:tc>
                <w:tcPr>
                  <w:tcW w:w="1622" w:type="pct"/>
                  <w:tcBorders>
                    <w:tl2br w:val="nil"/>
                    <w:tr2bl w:val="nil"/>
                  </w:tcBorders>
                  <w:shd w:val="clear" w:color="auto" w:fill="auto"/>
                  <w:vAlign w:val="center"/>
                </w:tcPr>
                <w:p w14:paraId="77E00C6A">
                  <w:pPr>
                    <w:pStyle w:val="36"/>
                    <w:keepNext w:val="0"/>
                    <w:keepLines w:val="0"/>
                    <w:pageBreakBefore w:val="0"/>
                    <w:widowControl w:val="0"/>
                    <w:kinsoku/>
                    <w:wordWrap/>
                    <w:overflowPunct/>
                    <w:topLinePunct w:val="0"/>
                    <w:bidi w:val="0"/>
                    <w:adjustRightInd/>
                    <w:snapToGrid/>
                    <w:spacing w:line="240" w:lineRule="auto"/>
                    <w:ind w:right="111" w:rightChars="0"/>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8"/>
                      <w:sz w:val="21"/>
                      <w:szCs w:val="21"/>
                    </w:rPr>
                    <w:t>钢筒用薄钢</w:t>
                  </w:r>
                  <w:r>
                    <w:rPr>
                      <w:rFonts w:hint="default" w:ascii="Times New Roman" w:hAnsi="Times New Roman" w:cs="Times New Roman" w:eastAsiaTheme="minorEastAsia"/>
                      <w:color w:val="auto"/>
                      <w:sz w:val="21"/>
                      <w:szCs w:val="21"/>
                    </w:rPr>
                    <w:t>板</w:t>
                  </w:r>
                </w:p>
              </w:tc>
              <w:tc>
                <w:tcPr>
                  <w:tcW w:w="1232" w:type="pct"/>
                  <w:tcBorders>
                    <w:tl2br w:val="nil"/>
                    <w:tr2bl w:val="nil"/>
                  </w:tcBorders>
                  <w:shd w:val="clear" w:color="auto" w:fill="auto"/>
                  <w:vAlign w:val="center"/>
                </w:tcPr>
                <w:p w14:paraId="54A87473">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675D0CC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lang w:val="en-US" w:eastAsia="zh-CN"/>
                    </w:rPr>
                    <w:t>1805.4</w:t>
                  </w:r>
                </w:p>
              </w:tc>
            </w:tr>
            <w:tr w14:paraId="52D6FD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4B23AFDC">
                  <w:pPr>
                    <w:pStyle w:val="29"/>
                    <w:autoSpaceDE w:val="0"/>
                    <w:autoSpaceDN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w:t>
                  </w:r>
                </w:p>
              </w:tc>
              <w:tc>
                <w:tcPr>
                  <w:tcW w:w="1622" w:type="pct"/>
                  <w:tcBorders>
                    <w:tl2br w:val="nil"/>
                    <w:tr2bl w:val="nil"/>
                  </w:tcBorders>
                  <w:shd w:val="clear" w:color="auto" w:fill="auto"/>
                  <w:vAlign w:val="center"/>
                </w:tcPr>
                <w:p w14:paraId="597D25B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8"/>
                      <w:sz w:val="21"/>
                      <w:szCs w:val="21"/>
                      <w:lang w:val="en-US" w:eastAsia="zh-CN"/>
                    </w:rPr>
                    <w:t>弹性聚氨酯</w:t>
                  </w:r>
                </w:p>
              </w:tc>
              <w:tc>
                <w:tcPr>
                  <w:tcW w:w="1232" w:type="pct"/>
                  <w:tcBorders>
                    <w:tl2br w:val="nil"/>
                    <w:tr2bl w:val="nil"/>
                  </w:tcBorders>
                  <w:shd w:val="clear" w:color="auto" w:fill="auto"/>
                  <w:vAlign w:val="center"/>
                </w:tcPr>
                <w:p w14:paraId="56550151">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24646335">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lang w:val="en-US" w:eastAsia="zh-CN"/>
                    </w:rPr>
                    <w:t>9</w:t>
                  </w:r>
                </w:p>
              </w:tc>
            </w:tr>
            <w:tr w14:paraId="60C6F7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4B108AC3">
                  <w:pPr>
                    <w:pStyle w:val="29"/>
                    <w:autoSpaceDE w:val="0"/>
                    <w:autoSpaceDN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9</w:t>
                  </w:r>
                </w:p>
              </w:tc>
              <w:tc>
                <w:tcPr>
                  <w:tcW w:w="1622" w:type="pct"/>
                  <w:tcBorders>
                    <w:tl2br w:val="nil"/>
                    <w:tr2bl w:val="nil"/>
                  </w:tcBorders>
                  <w:shd w:val="clear" w:color="auto" w:fill="auto"/>
                  <w:vAlign w:val="center"/>
                </w:tcPr>
                <w:p w14:paraId="4AA49C7D">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6"/>
                      <w:sz w:val="21"/>
                      <w:szCs w:val="21"/>
                    </w:rPr>
                    <w:t>脱模剂</w:t>
                  </w:r>
                </w:p>
              </w:tc>
              <w:tc>
                <w:tcPr>
                  <w:tcW w:w="1232" w:type="pct"/>
                  <w:tcBorders>
                    <w:tl2br w:val="nil"/>
                    <w:tr2bl w:val="nil"/>
                  </w:tcBorders>
                  <w:shd w:val="clear" w:color="auto" w:fill="auto"/>
                  <w:vAlign w:val="center"/>
                </w:tcPr>
                <w:p w14:paraId="6F2B76CD">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4FEDEE99">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lang w:val="en-US" w:eastAsia="zh-CN"/>
                    </w:rPr>
                    <w:t>14.49</w:t>
                  </w:r>
                </w:p>
              </w:tc>
            </w:tr>
            <w:tr w14:paraId="633364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038F3E9B">
                  <w:pPr>
                    <w:pStyle w:val="29"/>
                    <w:autoSpaceDE w:val="0"/>
                    <w:autoSpaceDN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10</w:t>
                  </w:r>
                </w:p>
              </w:tc>
              <w:tc>
                <w:tcPr>
                  <w:tcW w:w="1622" w:type="pct"/>
                  <w:tcBorders>
                    <w:tl2br w:val="nil"/>
                    <w:tr2bl w:val="nil"/>
                  </w:tcBorders>
                  <w:shd w:val="clear" w:color="auto" w:fill="auto"/>
                  <w:vAlign w:val="center"/>
                </w:tcPr>
                <w:p w14:paraId="4867F792">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4"/>
                      <w:sz w:val="21"/>
                      <w:szCs w:val="21"/>
                    </w:rPr>
                    <w:t>承口</w:t>
                  </w:r>
                </w:p>
              </w:tc>
              <w:tc>
                <w:tcPr>
                  <w:tcW w:w="1232" w:type="pct"/>
                  <w:tcBorders>
                    <w:tl2br w:val="nil"/>
                    <w:tr2bl w:val="nil"/>
                  </w:tcBorders>
                  <w:shd w:val="clear" w:color="auto" w:fill="auto"/>
                  <w:vAlign w:val="center"/>
                </w:tcPr>
                <w:p w14:paraId="70ED53AF">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5C7E4CF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lang w:val="en-US" w:eastAsia="zh-CN"/>
                    </w:rPr>
                    <w:t>439.12</w:t>
                  </w:r>
                </w:p>
              </w:tc>
            </w:tr>
            <w:tr w14:paraId="420CA9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3DD4E7F4">
                  <w:pPr>
                    <w:pStyle w:val="29"/>
                    <w:autoSpaceDE w:val="0"/>
                    <w:autoSpaceDN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11</w:t>
                  </w:r>
                </w:p>
              </w:tc>
              <w:tc>
                <w:tcPr>
                  <w:tcW w:w="1622" w:type="pct"/>
                  <w:tcBorders>
                    <w:tl2br w:val="nil"/>
                    <w:tr2bl w:val="nil"/>
                  </w:tcBorders>
                  <w:shd w:val="clear" w:color="auto" w:fill="auto"/>
                  <w:vAlign w:val="center"/>
                </w:tcPr>
                <w:p w14:paraId="2781C65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5"/>
                      <w:sz w:val="21"/>
                      <w:szCs w:val="21"/>
                    </w:rPr>
                    <w:t>插口</w:t>
                  </w:r>
                </w:p>
              </w:tc>
              <w:tc>
                <w:tcPr>
                  <w:tcW w:w="1232" w:type="pct"/>
                  <w:tcBorders>
                    <w:tl2br w:val="nil"/>
                    <w:tr2bl w:val="nil"/>
                  </w:tcBorders>
                  <w:shd w:val="clear" w:color="auto" w:fill="auto"/>
                  <w:vAlign w:val="center"/>
                </w:tcPr>
                <w:p w14:paraId="02F40B51">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29FFC6D1">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lang w:val="en-US" w:eastAsia="zh-CN"/>
                    </w:rPr>
                    <w:t>467.45</w:t>
                  </w:r>
                </w:p>
              </w:tc>
            </w:tr>
            <w:tr w14:paraId="772D14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647BC580">
                  <w:pPr>
                    <w:pStyle w:val="29"/>
                    <w:autoSpaceDE w:val="0"/>
                    <w:autoSpaceDN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12</w:t>
                  </w:r>
                </w:p>
              </w:tc>
              <w:tc>
                <w:tcPr>
                  <w:tcW w:w="1622" w:type="pct"/>
                  <w:tcBorders>
                    <w:tl2br w:val="nil"/>
                    <w:tr2bl w:val="nil"/>
                  </w:tcBorders>
                  <w:shd w:val="clear" w:color="auto" w:fill="auto"/>
                  <w:vAlign w:val="center"/>
                </w:tcPr>
                <w:p w14:paraId="014307D8">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eastAsiaTheme="minorEastAsia"/>
                      <w:color w:val="auto"/>
                      <w:spacing w:val="4"/>
                      <w:sz w:val="21"/>
                      <w:szCs w:val="21"/>
                    </w:rPr>
                    <w:t>焊丝</w:t>
                  </w:r>
                </w:p>
              </w:tc>
              <w:tc>
                <w:tcPr>
                  <w:tcW w:w="1232" w:type="pct"/>
                  <w:tcBorders>
                    <w:tl2br w:val="nil"/>
                    <w:tr2bl w:val="nil"/>
                  </w:tcBorders>
                  <w:shd w:val="clear" w:color="auto" w:fill="auto"/>
                  <w:vAlign w:val="center"/>
                </w:tcPr>
                <w:p w14:paraId="638FA6C8">
                  <w:pPr>
                    <w:pStyle w:val="29"/>
                    <w:autoSpaceDE w:val="0"/>
                    <w:autoSpaceDN w:val="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rPr>
                    <w:t>外购</w:t>
                  </w:r>
                </w:p>
              </w:tc>
              <w:tc>
                <w:tcPr>
                  <w:tcW w:w="1569" w:type="pct"/>
                  <w:tcBorders>
                    <w:tl2br w:val="nil"/>
                    <w:tr2bl w:val="nil"/>
                  </w:tcBorders>
                  <w:shd w:val="clear" w:color="auto" w:fill="auto"/>
                  <w:vAlign w:val="center"/>
                </w:tcPr>
                <w:p w14:paraId="2AD68408">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lang w:val="en-US" w:eastAsia="zh-CN"/>
                    </w:rPr>
                    <w:t>0.8</w:t>
                  </w:r>
                </w:p>
              </w:tc>
            </w:tr>
            <w:tr w14:paraId="192CF2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75" w:type="pct"/>
                  <w:tcBorders>
                    <w:tl2br w:val="nil"/>
                    <w:tr2bl w:val="nil"/>
                  </w:tcBorders>
                  <w:shd w:val="clear" w:color="auto" w:fill="auto"/>
                  <w:vAlign w:val="center"/>
                </w:tcPr>
                <w:p w14:paraId="4F9DA043">
                  <w:pPr>
                    <w:pStyle w:val="29"/>
                    <w:autoSpaceDE w:val="0"/>
                    <w:autoSpaceDN w:val="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13</w:t>
                  </w:r>
                </w:p>
              </w:tc>
              <w:tc>
                <w:tcPr>
                  <w:tcW w:w="1622" w:type="pct"/>
                  <w:tcBorders>
                    <w:tl2br w:val="nil"/>
                    <w:tr2bl w:val="nil"/>
                  </w:tcBorders>
                  <w:shd w:val="clear" w:color="auto" w:fill="auto"/>
                  <w:vAlign w:val="center"/>
                </w:tcPr>
                <w:p w14:paraId="2F33E269">
                  <w:pPr>
                    <w:pStyle w:val="36"/>
                    <w:keepNext w:val="0"/>
                    <w:keepLines w:val="0"/>
                    <w:pageBreakBefore w:val="0"/>
                    <w:widowControl w:val="0"/>
                    <w:kinsoku/>
                    <w:wordWrap/>
                    <w:overflowPunct/>
                    <w:topLinePunct w:val="0"/>
                    <w:bidi w:val="0"/>
                    <w:adjustRightInd/>
                    <w:snapToGrid/>
                    <w:spacing w:line="240" w:lineRule="auto"/>
                    <w:jc w:val="center"/>
                    <w:textAlignment w:val="auto"/>
                    <w:rPr>
                      <w:rFonts w:hint="eastAsia" w:ascii="Times New Roman" w:hAnsi="Times New Roman" w:cs="Times New Roman" w:eastAsiaTheme="minorEastAsia"/>
                      <w:color w:val="auto"/>
                      <w:spacing w:val="4"/>
                      <w:sz w:val="21"/>
                      <w:szCs w:val="21"/>
                      <w:lang w:val="en-US" w:eastAsia="zh-CN"/>
                    </w:rPr>
                  </w:pPr>
                  <w:r>
                    <w:rPr>
                      <w:rFonts w:hint="eastAsia" w:ascii="Times New Roman" w:hAnsi="Times New Roman" w:cs="Times New Roman" w:eastAsiaTheme="minorEastAsia"/>
                      <w:color w:val="auto"/>
                      <w:spacing w:val="4"/>
                      <w:sz w:val="21"/>
                      <w:szCs w:val="21"/>
                      <w:lang w:val="en-US" w:eastAsia="zh-CN"/>
                    </w:rPr>
                    <w:t>天然气</w:t>
                  </w:r>
                </w:p>
              </w:tc>
              <w:tc>
                <w:tcPr>
                  <w:tcW w:w="1232" w:type="pct"/>
                  <w:tcBorders>
                    <w:tl2br w:val="nil"/>
                    <w:tr2bl w:val="nil"/>
                  </w:tcBorders>
                  <w:shd w:val="clear" w:color="auto" w:fill="auto"/>
                  <w:vAlign w:val="center"/>
                </w:tcPr>
                <w:p w14:paraId="53FCB2EC">
                  <w:pPr>
                    <w:pStyle w:val="29"/>
                    <w:autoSpaceDE w:val="0"/>
                    <w:autoSpaceDN w:val="0"/>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外购（槽车拉运）</w:t>
                  </w:r>
                </w:p>
              </w:tc>
              <w:tc>
                <w:tcPr>
                  <w:tcW w:w="1569" w:type="pct"/>
                  <w:tcBorders>
                    <w:tl2br w:val="nil"/>
                    <w:tr2bl w:val="nil"/>
                  </w:tcBorders>
                  <w:shd w:val="clear" w:color="auto" w:fill="auto"/>
                  <w:vAlign w:val="center"/>
                </w:tcPr>
                <w:p w14:paraId="6D0C5446">
                  <w:pPr>
                    <w:keepNext w:val="0"/>
                    <w:keepLines w:val="0"/>
                    <w:pageBreakBefore w:val="0"/>
                    <w:widowControl w:val="0"/>
                    <w:kinsoku/>
                    <w:wordWrap/>
                    <w:overflowPunct/>
                    <w:topLinePunct w:val="0"/>
                    <w:bidi w:val="0"/>
                    <w:adjustRightInd/>
                    <w:snapToGrid/>
                    <w:spacing w:line="240" w:lineRule="auto"/>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20万m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/a</w:t>
                  </w:r>
                </w:p>
              </w:tc>
            </w:tr>
          </w:tbl>
          <w:p w14:paraId="61192E2C">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360" w:lineRule="auto"/>
              <w:ind w:left="0" w:firstLine="482" w:firstLineChars="200"/>
              <w:jc w:val="both"/>
              <w:textAlignment w:val="auto"/>
              <w:rPr>
                <w:rFonts w:hint="default"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粉煤灰：</w:t>
            </w:r>
            <w:r>
              <w:rPr>
                <w:rFonts w:hint="eastAsia" w:cs="Times New Roman"/>
                <w:b w:val="0"/>
                <w:bCs w:val="0"/>
                <w:color w:val="auto"/>
                <w:sz w:val="24"/>
                <w:szCs w:val="24"/>
                <w:highlight w:val="none"/>
                <w:lang w:val="en-US" w:eastAsia="zh-CN"/>
              </w:rPr>
              <w:t>粉煤灰是有煤粉炉排除的烟气中收集的细颗粒白色粉末，是由矿化程度较低的褐煤燃烧后形成的残灰，它的氧化钙含量较高，具有胶凝性质。粉煤灰一般多呈球形，且富含玻璃体，含量在50~70%之间。晶体部分主要是莫来石和石英，还有一定量的未燃尽炭，含量约为1~24%.从化学成分看,粉煤灰主要含有Si0</w:t>
            </w:r>
            <w:r>
              <w:rPr>
                <w:rFonts w:hint="eastAsia" w:cs="Times New Roman"/>
                <w:b w:val="0"/>
                <w:bCs w:val="0"/>
                <w:color w:val="auto"/>
                <w:sz w:val="24"/>
                <w:szCs w:val="24"/>
                <w:highlight w:val="none"/>
                <w:vertAlign w:val="subscript"/>
                <w:lang w:val="en-US" w:eastAsia="zh-CN"/>
              </w:rPr>
              <w:t>2</w:t>
            </w:r>
            <w:r>
              <w:rPr>
                <w:rFonts w:hint="eastAsia" w:cs="Times New Roman"/>
                <w:b w:val="0"/>
                <w:bCs w:val="0"/>
                <w:color w:val="auto"/>
                <w:sz w:val="24"/>
                <w:szCs w:val="24"/>
                <w:highlight w:val="none"/>
                <w:lang w:val="en-US" w:eastAsia="zh-CN"/>
              </w:rPr>
              <w:t>(35~60%),Al</w:t>
            </w:r>
            <w:r>
              <w:rPr>
                <w:rFonts w:hint="eastAsia" w:cs="Times New Roman"/>
                <w:b w:val="0"/>
                <w:bCs w:val="0"/>
                <w:color w:val="auto"/>
                <w:sz w:val="24"/>
                <w:szCs w:val="24"/>
                <w:highlight w:val="none"/>
                <w:vertAlign w:val="subscript"/>
                <w:lang w:val="en-US" w:eastAsia="zh-CN"/>
              </w:rPr>
              <w:t>2</w:t>
            </w:r>
            <w:r>
              <w:rPr>
                <w:rFonts w:hint="eastAsia" w:cs="Times New Roman"/>
                <w:b w:val="0"/>
                <w:bCs w:val="0"/>
                <w:color w:val="auto"/>
                <w:sz w:val="24"/>
                <w:szCs w:val="24"/>
                <w:highlight w:val="none"/>
                <w:lang w:val="en-US" w:eastAsia="zh-CN"/>
              </w:rPr>
              <w:t>O</w:t>
            </w:r>
            <w:r>
              <w:rPr>
                <w:rFonts w:hint="eastAsia" w:cs="Times New Roman"/>
                <w:b w:val="0"/>
                <w:bCs w:val="0"/>
                <w:color w:val="auto"/>
                <w:sz w:val="24"/>
                <w:szCs w:val="24"/>
                <w:highlight w:val="none"/>
                <w:vertAlign w:val="subscript"/>
                <w:lang w:val="en-US" w:eastAsia="zh-CN"/>
              </w:rPr>
              <w:t>3</w:t>
            </w:r>
            <w:r>
              <w:rPr>
                <w:rFonts w:hint="eastAsia" w:cs="Times New Roman"/>
                <w:b w:val="0"/>
                <w:bCs w:val="0"/>
                <w:color w:val="auto"/>
                <w:sz w:val="24"/>
                <w:szCs w:val="24"/>
                <w:highlight w:val="none"/>
                <w:lang w:val="en-US" w:eastAsia="zh-CN"/>
              </w:rPr>
              <w:t>(13~40%)，CaO(2~5%)，Fe</w:t>
            </w:r>
            <w:r>
              <w:rPr>
                <w:rFonts w:hint="eastAsia" w:cs="Times New Roman"/>
                <w:b w:val="0"/>
                <w:bCs w:val="0"/>
                <w:color w:val="auto"/>
                <w:sz w:val="24"/>
                <w:szCs w:val="24"/>
                <w:highlight w:val="none"/>
                <w:vertAlign w:val="subscript"/>
                <w:lang w:val="en-US" w:eastAsia="zh-CN"/>
              </w:rPr>
              <w:t>2</w:t>
            </w:r>
            <w:r>
              <w:rPr>
                <w:rFonts w:hint="eastAsia" w:cs="Times New Roman"/>
                <w:b w:val="0"/>
                <w:bCs w:val="0"/>
                <w:color w:val="auto"/>
                <w:sz w:val="24"/>
                <w:szCs w:val="24"/>
                <w:highlight w:val="none"/>
                <w:lang w:val="en-US" w:eastAsia="zh-CN"/>
              </w:rPr>
              <w:t>0</w:t>
            </w:r>
            <w:r>
              <w:rPr>
                <w:rFonts w:hint="eastAsia" w:cs="Times New Roman"/>
                <w:b w:val="0"/>
                <w:bCs w:val="0"/>
                <w:color w:val="auto"/>
                <w:sz w:val="24"/>
                <w:szCs w:val="24"/>
                <w:highlight w:val="none"/>
                <w:vertAlign w:val="subscript"/>
                <w:lang w:val="en-US" w:eastAsia="zh-CN"/>
              </w:rPr>
              <w:t>3</w:t>
            </w:r>
            <w:r>
              <w:rPr>
                <w:rFonts w:hint="eastAsia" w:cs="Times New Roman"/>
                <w:b w:val="0"/>
                <w:bCs w:val="0"/>
                <w:color w:val="auto"/>
                <w:sz w:val="24"/>
                <w:szCs w:val="24"/>
                <w:highlight w:val="none"/>
                <w:lang w:val="en-US" w:eastAsia="zh-CN"/>
              </w:rPr>
              <w:t>(3~10%)等。由于粉煤灰经高温熔融，所以其结构非常致密。</w:t>
            </w:r>
          </w:p>
          <w:p w14:paraId="75C70F94">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360" w:lineRule="auto"/>
              <w:ind w:left="0" w:firstLine="482" w:firstLineChars="200"/>
              <w:jc w:val="both"/>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水泥：</w:t>
            </w:r>
            <w:r>
              <w:rPr>
                <w:rFonts w:hint="eastAsia" w:cs="Times New Roman"/>
                <w:b w:val="0"/>
                <w:bCs w:val="0"/>
                <w:color w:val="auto"/>
                <w:sz w:val="24"/>
                <w:szCs w:val="24"/>
                <w:highlight w:val="none"/>
                <w:lang w:val="en-US" w:eastAsia="zh-CN"/>
              </w:rPr>
              <w:t>水泥品种是以水泥的性能为依据划分的。我国常用的水泥都是硅酸盐系列水泥，主要是通过调整硅酸盐水泥熟料，合理掺入不同品种、不同数量的混合材料而划分的。硅酸盐水泥熟料中主要矿物有硅酸三钙、硅酸二钙、铝酸三钙和铁铝酸四钙四种。水泥的性质主要由熟料的矿物组成和矿物结构、混合材料的质量和数量、石膏掺量、粉磨细度等决定的。所以不用生产厂和不同生产方式的水泥，其性质是不同的。</w:t>
            </w:r>
          </w:p>
          <w:p w14:paraId="76EEF206">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360" w:lineRule="auto"/>
              <w:ind w:left="0" w:firstLine="482" w:firstLineChars="200"/>
              <w:jc w:val="both"/>
              <w:textAlignment w:val="auto"/>
              <w:rPr>
                <w:rFonts w:hint="default" w:ascii="Times New Roman" w:hAnsi="Times New Roman"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减水剂：</w:t>
            </w:r>
            <w:r>
              <w:rPr>
                <w:rFonts w:hint="eastAsia" w:cs="Times New Roman"/>
                <w:b w:val="0"/>
                <w:bCs w:val="0"/>
                <w:color w:val="auto"/>
                <w:sz w:val="24"/>
                <w:szCs w:val="24"/>
                <w:highlight w:val="none"/>
                <w:lang w:val="en-US" w:eastAsia="zh-CN"/>
              </w:rPr>
              <w:t>减水剂是一种在维持混凝土坍落度不变的条件下，能减少拌合用水量的混凝土外加剂。大多属于阴离子表面活性剂，有木质素磺酸盐，萘磺酸盐甲醛聚合物等。加入混凝土拌合物后对水泥颗粒有分散作用，能改善其工作性，减少单位用水量，改善混凝土拌合物的流动性:或减少单位水泥用量，节约水泥。外观形态分为水剂和粉剂，本项目使用水剂。水剂含固量一般有20%，40%(又称母液)，60%粉剂含固量一般为98%。本项目所用减水剂为聚羧酸减水剂，是一种高性能减水剂，是水泥混凝土运用中的一种水泥分散剂，化学上可以分为两类，以主链为甲基丙烯酸，侧链为羧酸基团和MPEG(Methoxy polyethylene glycol),聚酯型结构：另外一种为主链为聚丙烯酸，侧链为Viny alcoholpolyethylene glycol，聚醚型结构；该品绿色环保，不易燃，不易可以安全使用火车和汽车运输，储存于减水剂罐内。</w:t>
            </w:r>
          </w:p>
          <w:p w14:paraId="174E4945">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360" w:lineRule="auto"/>
              <w:ind w:left="0" w:firstLine="482" w:firstLineChars="200"/>
              <w:jc w:val="both"/>
              <w:textAlignment w:val="auto"/>
              <w:rPr>
                <w:rFonts w:hint="default" w:ascii="Times New Roman" w:hAnsi="Times New Roman" w:eastAsia="宋体" w:cs="Times New Roman"/>
                <w:i w:val="0"/>
                <w:iCs w:val="0"/>
                <w:caps w:val="0"/>
                <w:color w:val="auto"/>
                <w:spacing w:val="0"/>
                <w:sz w:val="24"/>
                <w:szCs w:val="24"/>
                <w:highlight w:val="none"/>
                <w:shd w:val="clear" w:fill="FFFFFF"/>
                <w:lang w:val="en-US" w:eastAsia="zh-CN"/>
              </w:rPr>
            </w:pPr>
            <w:r>
              <w:rPr>
                <w:rFonts w:hint="default" w:ascii="Times New Roman" w:hAnsi="Times New Roman" w:cs="Times New Roman"/>
                <w:b/>
                <w:bCs/>
                <w:color w:val="auto"/>
                <w:sz w:val="24"/>
                <w:szCs w:val="24"/>
                <w:highlight w:val="none"/>
                <w:lang w:val="en-US" w:eastAsia="zh-CN"/>
              </w:rPr>
              <w:t>脱模剂：</w:t>
            </w:r>
            <w:r>
              <w:rPr>
                <w:rFonts w:hint="default" w:ascii="Times New Roman" w:hAnsi="Times New Roman" w:eastAsia="宋体" w:cs="Times New Roman"/>
                <w:i w:val="0"/>
                <w:iCs w:val="0"/>
                <w:caps w:val="0"/>
                <w:color w:val="auto"/>
                <w:spacing w:val="0"/>
                <w:sz w:val="24"/>
                <w:szCs w:val="24"/>
                <w:highlight w:val="none"/>
                <w:shd w:val="clear" w:fill="FFFFFF"/>
              </w:rPr>
              <w:t>脱模剂的作用就是将固化成型的制品顺利地从模具上分离开来，从而得到光滑平整的制品，并保证模具多次使用，具体性能保护模板，延长模板的使用寿命。</w: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t>脱模剂具有保护模板，延长模板的使用寿命。防腐、防锈功能，可确保模板置于室外或阴雨天而不生锈。有利于提高混凝土外观质量。漆膜</w: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fldChar w:fldCharType="begin"/>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instrText xml:space="preserve"> HYPERLINK "https://baike.baidu.com/item/%E8%A1%A8%E9%9D%A2%E5%85%89%E6%B4%81%E5%BA%A6/3829007?fromModule=lemma_inlink" \t "https://baike.baidu.com/item/%E6%B7%B7%E5%87%9D%E5%9C%9F%E8%84%B1%E6%A8%A1%E5%89%82/_blank" </w:instrTex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fldChar w:fldCharType="separate"/>
            </w:r>
            <w:r>
              <w:rPr>
                <w:rFonts w:hint="default" w:ascii="Times New Roman" w:hAnsi="Times New Roman" w:eastAsia="宋体" w:cs="Times New Roman"/>
                <w:i w:val="0"/>
                <w:iCs w:val="0"/>
                <w:caps w:val="0"/>
                <w:color w:val="auto"/>
                <w:spacing w:val="0"/>
                <w:sz w:val="24"/>
                <w:szCs w:val="24"/>
                <w:highlight w:val="none"/>
                <w:shd w:val="clear" w:fill="FFFFFF"/>
              </w:rPr>
              <w:t>表面光洁度</w: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fldChar w:fldCharType="end"/>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t>好，自然形成瓷釉，易于脱膜和清理，提高工效。耐磨，</w: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fldChar w:fldCharType="begin"/>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instrText xml:space="preserve"> HYPERLINK "https://baike.baidu.com/item/%E9%99%84%E7%9D%80%E5%8A%9B/8708665?fromModule=lemma_inlink" \t "https://baike.baidu.com/item/%E6%B7%B7%E5%87%9D%E5%9C%9F%E8%84%B1%E6%A8%A1%E5%89%82/_blank" </w:instrTex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fldChar w:fldCharType="separate"/>
            </w:r>
            <w:r>
              <w:rPr>
                <w:rFonts w:hint="default" w:ascii="Times New Roman" w:hAnsi="Times New Roman" w:eastAsia="宋体" w:cs="Times New Roman"/>
                <w:i w:val="0"/>
                <w:iCs w:val="0"/>
                <w:caps w:val="0"/>
                <w:color w:val="auto"/>
                <w:spacing w:val="0"/>
                <w:sz w:val="24"/>
                <w:szCs w:val="24"/>
                <w:highlight w:val="none"/>
                <w:shd w:val="clear" w:fill="FFFFFF"/>
              </w:rPr>
              <w:t>附着力</w:t>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fldChar w:fldCharType="end"/>
            </w:r>
            <w:r>
              <w:rPr>
                <w:rFonts w:hint="default" w:ascii="Times New Roman" w:hAnsi="Times New Roman" w:eastAsia="宋体" w:cs="Times New Roman"/>
                <w:i w:val="0"/>
                <w:iCs w:val="0"/>
                <w:caps w:val="0"/>
                <w:color w:val="auto"/>
                <w:spacing w:val="0"/>
                <w:sz w:val="24"/>
                <w:szCs w:val="24"/>
                <w:highlight w:val="none"/>
                <w:shd w:val="clear" w:fill="FFFFFF"/>
                <w:lang w:val="en-US" w:eastAsia="zh-CN"/>
              </w:rPr>
              <w:t>好，可多次重复使用。施工简单，涂刷一道即可；15~20平方米/千克，涂刷一次能脱模3~5次。</w:t>
            </w:r>
          </w:p>
          <w:p w14:paraId="140FF2CE">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360" w:lineRule="auto"/>
              <w:ind w:left="0" w:firstLine="482" w:firstLineChars="200"/>
              <w:jc w:val="both"/>
              <w:textAlignment w:val="auto"/>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弹性聚氨酯：</w:t>
            </w:r>
            <w:r>
              <w:rPr>
                <w:rFonts w:hint="eastAsia" w:cs="Times New Roman"/>
                <w:b w:val="0"/>
                <w:bCs w:val="0"/>
                <w:color w:val="auto"/>
                <w:sz w:val="24"/>
                <w:szCs w:val="24"/>
                <w:highlight w:val="none"/>
                <w:lang w:val="en-US" w:eastAsia="zh-CN"/>
              </w:rPr>
              <w:t>该涂料由无溶剂聚氨酯A组分和无溶剂聚氨酯B组分组成，无溶剂聚氨酯A组分中有聚氨酯预聚物(f-2)、二苯基甲烷二异氰酸酯和多苯基甲烷多异氰酸酯，聚氨酯预聚物(f-2)是由多异氰酸酯和聚醚或聚酯多元醇在一定条件下反应所形成的高分子聚合物；二苯基甲烷二异氰酸酯是一种白色或浅黄色固体。室温下易于生成不溶解的二聚体，颜色变黄，溶于苯、甲苯、氯苯、硝基苯、丙酮、乙醚、乙酸乙酯、二恶烷等，不具有挥发性，多苯基甲烷多异氰酸酯是浅黄色至褐色粘稠液体．有刺激性气味。相对密度</w:t>
            </w:r>
            <w:r>
              <w:rPr>
                <w:rFonts w:hint="eastAsia" w:ascii="Times New Roman" w:hAnsi="Times New Roman" w:eastAsia="宋体" w:cs="Times New Roman"/>
                <w:i w:val="0"/>
                <w:iCs w:val="0"/>
                <w:caps w:val="0"/>
                <w:color w:val="auto"/>
                <w:spacing w:val="0"/>
                <w:sz w:val="24"/>
                <w:szCs w:val="24"/>
                <w:highlight w:val="none"/>
                <w:shd w:val="clear" w:fill="FFFFFF"/>
                <w:lang w:val="en-US" w:eastAsia="zh-CN"/>
              </w:rPr>
              <w:t>(20℃/20℃)1</w:t>
            </w:r>
            <w:r>
              <w:rPr>
                <w:rFonts w:hint="eastAsia" w:cs="Times New Roman"/>
                <w:i w:val="0"/>
                <w:iCs w:val="0"/>
                <w:caps w:val="0"/>
                <w:color w:val="auto"/>
                <w:spacing w:val="0"/>
                <w:sz w:val="24"/>
                <w:szCs w:val="24"/>
                <w:highlight w:val="none"/>
                <w:shd w:val="clear" w:fill="FFFFFF"/>
                <w:lang w:val="en-US" w:eastAsia="zh-CN"/>
              </w:rPr>
              <w:t>.</w:t>
            </w:r>
            <w:r>
              <w:rPr>
                <w:rFonts w:hint="eastAsia" w:ascii="Times New Roman" w:hAnsi="Times New Roman" w:eastAsia="宋体" w:cs="Times New Roman"/>
                <w:i w:val="0"/>
                <w:iCs w:val="0"/>
                <w:caps w:val="0"/>
                <w:color w:val="auto"/>
                <w:spacing w:val="0"/>
                <w:sz w:val="24"/>
                <w:szCs w:val="24"/>
                <w:highlight w:val="none"/>
                <w:shd w:val="clear" w:fill="FFFFFF"/>
                <w:lang w:val="en-US" w:eastAsia="zh-CN"/>
              </w:rPr>
              <w:t>2，燃点218℃。凝固点＜10℃。黏度(25℃)200~1000mPa.s。PAPI实际上是由50%MDI与50%官能度大于2以上的多异氰酸酯组成的混合物。升温时能发生自聚作用。溶于氯苯、邻二氯苯、甲苯等。PAPI的活性低，蒸气压低，只是TDI的百</w:t>
            </w:r>
            <w:r>
              <w:rPr>
                <w:rFonts w:hint="eastAsia" w:cs="Times New Roman"/>
                <w:b w:val="0"/>
                <w:bCs w:val="0"/>
                <w:color w:val="auto"/>
                <w:sz w:val="24"/>
                <w:szCs w:val="24"/>
                <w:highlight w:val="none"/>
                <w:lang w:val="en-US" w:eastAsia="zh-CN"/>
              </w:rPr>
              <w:t>分之一，故毒性很低，不具有挥发性；无溶剂聚氨酯B组分中有聚醚二元醇、聚醚三元醇和炭黑，聚醚二元醇也称为二羟基聚醚，俗称丙二醇聚醚，平均分子量1000~4000。无色或淡黄色透明油状液体，稍有苦味。难溶于水，溶于乙二醇、甲苯等有机溶剂。可燃，无毒，不具有挥发性；聚醚三元醇又称为三羟基聚醚、聚氧化丙烯三醇，俗称甘油聚醚，平均分子量3000~7000。无色或淡黄色透明黏稠液体，稍有苦味，相对密度1.04～1.05。黏度(25℃)400~1800mPa·S。闪点268℃。难溶于水，易溶于乙醇、甲苯等有机溶剂。可燃，无毒，不具有挥发性；炭黑其成分主要是碳单质，并含有少量氧、氢和硫等元素。炭黑粒子近似球形，粒径介于10～500μm间。许多粒子常熔结或聚结成三维键枝状或纤维状聚集体。是一种黑色粉末状物质，不具有挥发性。</w:t>
            </w:r>
          </w:p>
          <w:p w14:paraId="4F907CD6">
            <w:pPr>
              <w:pStyle w:val="7"/>
              <w:pageBreakBefore w:val="0"/>
              <w:widowControl/>
              <w:kinsoku/>
              <w:wordWrap/>
              <w:overflowPunct/>
              <w:topLinePunct w:val="0"/>
              <w:autoSpaceDE/>
              <w:autoSpaceDN/>
              <w:bidi w:val="0"/>
              <w:adjustRightInd/>
              <w:snapToGrid/>
              <w:spacing w:before="0" w:beforeLines="0" w:line="360" w:lineRule="auto"/>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5.公用工程</w:t>
            </w:r>
          </w:p>
          <w:p w14:paraId="5E4CE811">
            <w:pPr>
              <w:pStyle w:val="8"/>
              <w:pageBreakBefore w:val="0"/>
              <w:kinsoku/>
              <w:wordWrap/>
              <w:overflowPunct/>
              <w:topLinePunct w:val="0"/>
              <w:autoSpaceDE/>
              <w:autoSpaceDN/>
              <w:bidi w:val="0"/>
              <w:adjustRightInd/>
              <w:snapToGrid/>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5.1供电</w:t>
            </w:r>
          </w:p>
          <w:p w14:paraId="24C492A5">
            <w:pPr>
              <w:pStyle w:val="20"/>
              <w:pageBreakBefore w:val="0"/>
              <w:kinsoku/>
              <w:wordWrap/>
              <w:overflowPunct/>
              <w:topLinePunct w:val="0"/>
              <w:autoSpaceDE/>
              <w:autoSpaceDN/>
              <w:bidi w:val="0"/>
              <w:adjustRightInd/>
              <w:snapToGrid/>
              <w:ind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本项目供电依托</w:t>
            </w:r>
            <w:r>
              <w:rPr>
                <w:rFonts w:hint="eastAsia" w:cs="Times New Roman"/>
                <w:color w:val="auto"/>
                <w:highlight w:val="none"/>
                <w:lang w:val="en-US" w:eastAsia="zh-CN"/>
              </w:rPr>
              <w:t>北庭</w:t>
            </w:r>
            <w:r>
              <w:rPr>
                <w:rFonts w:hint="eastAsia" w:cs="Times New Roman"/>
                <w:color w:val="auto"/>
                <w:highlight w:val="none"/>
                <w:lang w:eastAsia="zh-CN"/>
              </w:rPr>
              <w:t>工业园区</w:t>
            </w:r>
            <w:r>
              <w:rPr>
                <w:rFonts w:hint="default" w:ascii="Times New Roman" w:hAnsi="Times New Roman" w:cs="Times New Roman"/>
                <w:color w:val="auto"/>
                <w:highlight w:val="none"/>
              </w:rPr>
              <w:t>供给，电力设施基础完好，能满足项目用电需求；</w:t>
            </w:r>
          </w:p>
          <w:p w14:paraId="234DD970">
            <w:pPr>
              <w:pStyle w:val="8"/>
              <w:jc w:val="both"/>
              <w:rPr>
                <w:rFonts w:hint="eastAsia"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rPr>
              <w:t>5.2.水</w:t>
            </w:r>
            <w:r>
              <w:rPr>
                <w:rFonts w:hint="eastAsia" w:cs="Times New Roman"/>
                <w:b/>
                <w:bCs/>
                <w:color w:val="auto"/>
                <w:sz w:val="24"/>
                <w:highlight w:val="none"/>
                <w:lang w:val="en-US" w:eastAsia="zh-CN"/>
              </w:rPr>
              <w:t>平衡</w:t>
            </w:r>
          </w:p>
          <w:p w14:paraId="5157572E">
            <w:pPr>
              <w:widowControl/>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项目用水依托</w:t>
            </w:r>
            <w:r>
              <w:rPr>
                <w:rFonts w:hint="eastAsia"/>
                <w:color w:val="auto"/>
                <w:lang w:val="en-US" w:eastAsia="zh-CN"/>
              </w:rPr>
              <w:t>园区管网</w:t>
            </w:r>
            <w:r>
              <w:rPr>
                <w:rFonts w:hint="default" w:ascii="Times New Roman" w:hAnsi="Times New Roman" w:cs="Times New Roman"/>
                <w:color w:val="auto"/>
                <w:sz w:val="24"/>
                <w:highlight w:val="none"/>
              </w:rPr>
              <w:t>供给。主要废水有搅拌机清洗废水、车辆冲洗废水</w:t>
            </w:r>
            <w:r>
              <w:rPr>
                <w:rFonts w:hint="eastAsia" w:cs="Times New Roman"/>
                <w:color w:val="auto"/>
                <w:sz w:val="24"/>
                <w:highlight w:val="none"/>
                <w:lang w:eastAsia="zh-CN"/>
              </w:rPr>
              <w:t>、</w:t>
            </w:r>
            <w:r>
              <w:rPr>
                <w:rFonts w:hint="eastAsia" w:cs="Times New Roman"/>
                <w:color w:val="auto"/>
                <w:sz w:val="24"/>
                <w:highlight w:val="none"/>
                <w:lang w:val="en-US" w:eastAsia="zh-CN"/>
              </w:rPr>
              <w:t>蒸汽用水</w:t>
            </w:r>
            <w:r>
              <w:rPr>
                <w:rFonts w:hint="default" w:ascii="Times New Roman" w:hAnsi="Times New Roman" w:cs="Times New Roman"/>
                <w:color w:val="auto"/>
                <w:sz w:val="24"/>
                <w:highlight w:val="none"/>
              </w:rPr>
              <w:t>和生活污水。</w:t>
            </w:r>
          </w:p>
          <w:p w14:paraId="080C004C">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（1）生活用水</w:t>
            </w:r>
          </w:p>
          <w:p w14:paraId="57B56F88">
            <w:pPr>
              <w:pStyle w:val="20"/>
              <w:ind w:firstLine="480"/>
              <w:jc w:val="both"/>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本项目劳动定员为10</w:t>
            </w:r>
            <w:r>
              <w:rPr>
                <w:rFonts w:hint="eastAsia" w:cs="Times New Roman"/>
                <w:color w:val="auto"/>
                <w:highlight w:val="none"/>
                <w:lang w:val="en-US" w:eastAsia="zh-CN"/>
              </w:rPr>
              <w:t>0</w:t>
            </w:r>
            <w:r>
              <w:rPr>
                <w:rFonts w:hint="default" w:ascii="Times New Roman" w:hAnsi="Times New Roman" w:cs="Times New Roman"/>
                <w:color w:val="auto"/>
                <w:highlight w:val="none"/>
              </w:rPr>
              <w:t>人，年工作</w:t>
            </w:r>
            <w:r>
              <w:rPr>
                <w:rFonts w:hint="eastAsia" w:cs="Times New Roman"/>
                <w:color w:val="auto"/>
                <w:highlight w:val="none"/>
                <w:lang w:val="en-US" w:eastAsia="zh-CN"/>
              </w:rPr>
              <w:t>180</w:t>
            </w:r>
            <w:r>
              <w:rPr>
                <w:rFonts w:hint="default" w:ascii="Times New Roman" w:hAnsi="Times New Roman" w:cs="Times New Roman"/>
                <w:color w:val="auto"/>
                <w:highlight w:val="none"/>
              </w:rPr>
              <w:t>天，根据《新疆维吾尔自治区生活用水定额》，人均用水量按每人</w:t>
            </w:r>
            <w:r>
              <w:rPr>
                <w:rFonts w:hint="eastAsia" w:cs="Times New Roman"/>
                <w:color w:val="auto"/>
                <w:highlight w:val="none"/>
                <w:lang w:val="en-US" w:eastAsia="zh-CN"/>
              </w:rPr>
              <w:t>8</w:t>
            </w:r>
            <w:r>
              <w:rPr>
                <w:rFonts w:hint="default" w:ascii="Times New Roman" w:hAnsi="Times New Roman" w:cs="Times New Roman"/>
                <w:color w:val="auto"/>
                <w:highlight w:val="none"/>
              </w:rPr>
              <w:t>0L/d计算，则生活用水量为</w:t>
            </w:r>
            <w:r>
              <w:rPr>
                <w:rFonts w:hint="eastAsia" w:cs="Times New Roman"/>
                <w:color w:val="auto"/>
                <w:highlight w:val="none"/>
                <w:lang w:val="en-US" w:eastAsia="zh-CN"/>
              </w:rPr>
              <w:t>8t</w:t>
            </w:r>
            <w:r>
              <w:rPr>
                <w:rFonts w:hint="default" w:ascii="Times New Roman" w:hAnsi="Times New Roman" w:cs="Times New Roman"/>
                <w:color w:val="auto"/>
                <w:highlight w:val="none"/>
              </w:rPr>
              <w:t>/d（14</w:t>
            </w:r>
            <w:r>
              <w:rPr>
                <w:rFonts w:hint="eastAsia" w:cs="Times New Roman"/>
                <w:color w:val="auto"/>
                <w:highlight w:val="none"/>
                <w:lang w:val="en-US" w:eastAsia="zh-CN"/>
              </w:rPr>
              <w:t>40t</w:t>
            </w:r>
            <w:r>
              <w:rPr>
                <w:rFonts w:hint="default" w:ascii="Times New Roman" w:hAnsi="Times New Roman" w:cs="Times New Roman"/>
                <w:color w:val="auto"/>
                <w:highlight w:val="none"/>
              </w:rPr>
              <w:t>/a）。生活污水按生活用水量的80%计，本项目生活用水量为</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t/d（14</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0</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rPr>
              <w:t>/a），则生活污水产生量为</w:t>
            </w:r>
            <w:r>
              <w:rPr>
                <w:rFonts w:hint="eastAsia" w:ascii="Times New Roman" w:hAnsi="Times New Roman" w:cs="Times New Roman"/>
                <w:color w:val="auto"/>
                <w:highlight w:val="none"/>
                <w:lang w:val="en-US" w:eastAsia="zh-CN"/>
              </w:rPr>
              <w:t>6.4t</w:t>
            </w:r>
            <w:r>
              <w:rPr>
                <w:rFonts w:hint="default" w:ascii="Times New Roman" w:hAnsi="Times New Roman" w:cs="Times New Roman"/>
                <w:color w:val="auto"/>
                <w:highlight w:val="none"/>
              </w:rPr>
              <w:t>/d（</w:t>
            </w:r>
            <w:r>
              <w:rPr>
                <w:rFonts w:hint="eastAsia" w:ascii="Times New Roman" w:hAnsi="Times New Roman" w:cs="Times New Roman"/>
                <w:color w:val="auto"/>
                <w:highlight w:val="none"/>
                <w:lang w:val="en-US" w:eastAsia="zh-CN"/>
              </w:rPr>
              <w:t>1152t</w:t>
            </w:r>
            <w:r>
              <w:rPr>
                <w:rFonts w:hint="default" w:ascii="Times New Roman" w:hAnsi="Times New Roman" w:cs="Times New Roman"/>
                <w:color w:val="auto"/>
                <w:highlight w:val="none"/>
              </w:rPr>
              <w:t>/a）生活污水排入园区污水管网</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最终排入</w:t>
            </w:r>
            <w:r>
              <w:rPr>
                <w:rFonts w:hint="eastAsia" w:ascii="Times New Roman" w:hAnsi="Times New Roman" w:cs="Times New Roman"/>
                <w:color w:val="auto"/>
                <w:highlight w:val="none"/>
                <w:lang w:val="en-US" w:eastAsia="zh-CN"/>
              </w:rPr>
              <w:t>吉木萨尔县第二污水处理厂</w:t>
            </w:r>
            <w:r>
              <w:rPr>
                <w:rFonts w:hint="default" w:ascii="Times New Roman" w:hAnsi="Times New Roman" w:cs="Times New Roman"/>
                <w:color w:val="auto"/>
                <w:highlight w:val="none"/>
                <w:lang w:val="en-US" w:eastAsia="zh-CN"/>
              </w:rPr>
              <w:t>进行处理</w:t>
            </w:r>
            <w:r>
              <w:rPr>
                <w:rFonts w:hint="eastAsia" w:cs="Times New Roman"/>
                <w:color w:val="auto"/>
                <w:highlight w:val="none"/>
                <w:lang w:val="en-US" w:eastAsia="zh-CN"/>
              </w:rPr>
              <w:t>。</w:t>
            </w:r>
          </w:p>
          <w:p w14:paraId="5329A8BB">
            <w:pPr>
              <w:pStyle w:val="20"/>
              <w:numPr>
                <w:ilvl w:val="0"/>
                <w:numId w:val="0"/>
              </w:numPr>
              <w:ind w:firstLine="480" w:firstLineChars="200"/>
              <w:jc w:val="both"/>
              <w:rPr>
                <w:rFonts w:hint="default" w:cs="Times New Roman"/>
                <w:color w:val="auto"/>
                <w:highlight w:val="none"/>
                <w:lang w:val="en-US" w:eastAsia="zh-CN"/>
              </w:rPr>
            </w:pPr>
            <w:r>
              <w:rPr>
                <w:rFonts w:hint="eastAsia" w:cs="Times New Roman"/>
                <w:color w:val="auto"/>
                <w:highlight w:val="none"/>
                <w:lang w:val="en-US" w:eastAsia="zh-CN"/>
              </w:rPr>
              <w:t>（2）混凝土配料用水</w:t>
            </w:r>
          </w:p>
          <w:p w14:paraId="6A485BA1">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根据原料配比，混凝土生产过程中，碎石、砂、水泥、粉煤灰等混合搅拌需要用水，根据实验室的配合比进行混凝土、砂浆现场拌合则混凝土制作用水量约</w:t>
            </w:r>
            <w:r>
              <w:rPr>
                <w:rFonts w:hint="default" w:ascii="Times New Roman" w:hAnsi="Times New Roman" w:cs="Times New Roman"/>
                <w:color w:val="auto"/>
                <w:highlight w:val="none"/>
                <w:lang w:val="en-US" w:eastAsia="zh-CN"/>
              </w:rPr>
              <w:t>48.06</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val="en-US" w:eastAsia="zh-CN"/>
              </w:rPr>
              <w:t>8650</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a)，用水全部进入产品混凝土中，混凝土符合质量要求后，混凝土经输送系统送至管芯生产区，物料中的水在养护过程中自然蒸发，无废水产生。</w:t>
            </w:r>
          </w:p>
          <w:p w14:paraId="6AFCF2F0">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）搅拌机清洗用水</w:t>
            </w:r>
          </w:p>
          <w:p w14:paraId="07CB94F7">
            <w:pPr>
              <w:pStyle w:val="20"/>
              <w:ind w:firstLine="48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项目设置搅拌机</w:t>
            </w:r>
            <w:r>
              <w:rPr>
                <w:rFonts w:hint="eastAsia" w:cs="Times New Roman"/>
                <w:color w:val="auto"/>
                <w:highlight w:val="none"/>
                <w:lang w:val="en-US" w:eastAsia="zh-CN"/>
              </w:rPr>
              <w:t>1</w:t>
            </w:r>
            <w:r>
              <w:rPr>
                <w:rFonts w:hint="default" w:ascii="Times New Roman" w:hAnsi="Times New Roman" w:cs="Times New Roman"/>
                <w:color w:val="auto"/>
                <w:highlight w:val="none"/>
              </w:rPr>
              <w:t>台，在暂停生产时须冲洗干净。根据建设单位生产实际，搅拌机平均每天冲洗一次，冲洗水约1</w:t>
            </w:r>
            <w:r>
              <w:rPr>
                <w:rFonts w:hint="eastAsia" w:cs="Times New Roman"/>
                <w:color w:val="auto"/>
                <w:highlight w:val="none"/>
                <w:lang w:val="en-US" w:eastAsia="zh-CN"/>
              </w:rPr>
              <w:t>t</w:t>
            </w:r>
            <w:r>
              <w:rPr>
                <w:rFonts w:hint="default" w:ascii="Times New Roman" w:hAnsi="Times New Roman" w:cs="Times New Roman"/>
                <w:color w:val="auto"/>
                <w:highlight w:val="none"/>
              </w:rPr>
              <w:t>/台·次，则冲洗水用量约</w:t>
            </w:r>
            <w:r>
              <w:rPr>
                <w:rFonts w:hint="eastAsia" w:cs="Times New Roman"/>
                <w:color w:val="auto"/>
                <w:highlight w:val="none"/>
                <w:lang w:val="en-US" w:eastAsia="zh-CN"/>
              </w:rPr>
              <w:t>1t</w:t>
            </w:r>
            <w:r>
              <w:rPr>
                <w:rFonts w:hint="default" w:ascii="Times New Roman" w:hAnsi="Times New Roman" w:cs="Times New Roman"/>
                <w:color w:val="auto"/>
                <w:highlight w:val="none"/>
              </w:rPr>
              <w:t>/d（</w:t>
            </w:r>
            <w:r>
              <w:rPr>
                <w:rFonts w:hint="eastAsia" w:cs="Times New Roman"/>
                <w:color w:val="auto"/>
                <w:highlight w:val="none"/>
                <w:lang w:val="en-US" w:eastAsia="zh-CN"/>
              </w:rPr>
              <w:t>180t</w:t>
            </w:r>
            <w:r>
              <w:rPr>
                <w:rFonts w:hint="default" w:ascii="Times New Roman" w:hAnsi="Times New Roman" w:cs="Times New Roman"/>
                <w:color w:val="auto"/>
                <w:highlight w:val="none"/>
              </w:rPr>
              <w:t>/a）。</w:t>
            </w:r>
            <w:r>
              <w:rPr>
                <w:rFonts w:hint="eastAsia" w:cs="Times New Roman"/>
                <w:color w:val="auto"/>
                <w:highlight w:val="none"/>
                <w:lang w:val="en-US" w:eastAsia="zh-CN"/>
              </w:rPr>
              <w:t>损耗量按20%算，则清洗废水为0.8t/d（144t/a）经过沉淀池沉淀后回用于生产。</w:t>
            </w:r>
          </w:p>
          <w:p w14:paraId="44848B01">
            <w:pPr>
              <w:pStyle w:val="20"/>
              <w:ind w:firstLine="480"/>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w:t>
            </w:r>
            <w:r>
              <w:rPr>
                <w:rFonts w:hint="eastAsia" w:cs="Times New Roman"/>
                <w:color w:val="auto"/>
                <w:highlight w:val="none"/>
                <w:lang w:val="en-US" w:eastAsia="zh-CN"/>
              </w:rPr>
              <w:t>车辆清洗用水</w:t>
            </w:r>
          </w:p>
          <w:p w14:paraId="58C56367">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为防止车辆带泥上路，运输车辆装料或从厂区卸料后出厂均对车辆进行冲洗(清洗车轮为主)，保持外观清洁，</w:t>
            </w:r>
            <w:r>
              <w:rPr>
                <w:rFonts w:hint="eastAsia" w:cs="Times New Roman"/>
                <w:color w:val="auto"/>
                <w:highlight w:val="none"/>
                <w:lang w:val="en-US" w:eastAsia="zh-CN"/>
              </w:rPr>
              <w:t>厂内</w:t>
            </w:r>
            <w:r>
              <w:rPr>
                <w:rFonts w:hint="default" w:ascii="Times New Roman" w:hAnsi="Times New Roman" w:cs="Times New Roman"/>
                <w:color w:val="auto"/>
                <w:highlight w:val="none"/>
              </w:rPr>
              <w:t>设置了车辆冲洗平台，平台下设置</w:t>
            </w:r>
            <w:r>
              <w:rPr>
                <w:rFonts w:hint="eastAsia" w:cs="Times New Roman"/>
                <w:color w:val="auto"/>
                <w:highlight w:val="none"/>
                <w:lang w:val="en-US" w:eastAsia="zh-CN"/>
              </w:rPr>
              <w:t>沉淀池</w:t>
            </w:r>
            <w:r>
              <w:rPr>
                <w:rFonts w:hint="default" w:ascii="Times New Roman" w:hAnsi="Times New Roman" w:cs="Times New Roman"/>
                <w:color w:val="auto"/>
                <w:highlight w:val="none"/>
              </w:rPr>
              <w:t>用于处理冲洗废水，每日平均进出厂车辆约30车次，根据类比同类型企业，每次出厂冲洗用水0.1t，用水量3t/d(</w:t>
            </w:r>
            <w:r>
              <w:rPr>
                <w:rFonts w:hint="eastAsia" w:cs="Times New Roman"/>
                <w:color w:val="auto"/>
                <w:highlight w:val="none"/>
                <w:lang w:val="en-US" w:eastAsia="zh-CN"/>
              </w:rPr>
              <w:t>540</w:t>
            </w:r>
            <w:r>
              <w:rPr>
                <w:rFonts w:hint="default" w:ascii="Times New Roman" w:hAnsi="Times New Roman" w:cs="Times New Roman"/>
                <w:color w:val="auto"/>
                <w:highlight w:val="none"/>
              </w:rPr>
              <w:t>t</w:t>
            </w:r>
            <w:r>
              <w:rPr>
                <w:rFonts w:hint="eastAsia" w:cs="Times New Roman"/>
                <w:color w:val="auto"/>
                <w:highlight w:val="none"/>
                <w:lang w:val="en-US" w:eastAsia="zh-CN"/>
              </w:rPr>
              <w:t>/</w:t>
            </w:r>
            <w:r>
              <w:rPr>
                <w:rFonts w:hint="default" w:ascii="Times New Roman" w:hAnsi="Times New Roman" w:cs="Times New Roman"/>
                <w:color w:val="auto"/>
                <w:highlight w:val="none"/>
              </w:rPr>
              <w:t>a)，耗损量按20%计，则废水产生量为2.4t</w:t>
            </w:r>
            <w:r>
              <w:rPr>
                <w:rFonts w:hint="eastAsia" w:cs="Times New Roman"/>
                <w:color w:val="auto"/>
                <w:highlight w:val="none"/>
                <w:lang w:val="en-US" w:eastAsia="zh-CN"/>
              </w:rPr>
              <w:t>/</w:t>
            </w:r>
            <w:r>
              <w:rPr>
                <w:rFonts w:hint="default" w:ascii="Times New Roman" w:hAnsi="Times New Roman" w:cs="Times New Roman"/>
                <w:color w:val="auto"/>
                <w:highlight w:val="none"/>
              </w:rPr>
              <w:t>d(</w:t>
            </w:r>
            <w:r>
              <w:rPr>
                <w:rFonts w:hint="eastAsia" w:cs="Times New Roman"/>
                <w:color w:val="auto"/>
                <w:highlight w:val="none"/>
                <w:lang w:val="en-US" w:eastAsia="zh-CN"/>
              </w:rPr>
              <w:t>432</w:t>
            </w:r>
            <w:r>
              <w:rPr>
                <w:rFonts w:hint="default" w:ascii="Times New Roman" w:hAnsi="Times New Roman" w:cs="Times New Roman"/>
                <w:color w:val="auto"/>
                <w:highlight w:val="none"/>
              </w:rPr>
              <w:t>t</w:t>
            </w:r>
            <w:r>
              <w:rPr>
                <w:rFonts w:hint="eastAsia" w:cs="Times New Roman"/>
                <w:color w:val="auto"/>
                <w:highlight w:val="none"/>
                <w:lang w:val="en-US" w:eastAsia="zh-CN"/>
              </w:rPr>
              <w:t>/</w:t>
            </w:r>
            <w:r>
              <w:rPr>
                <w:rFonts w:hint="default" w:ascii="Times New Roman" w:hAnsi="Times New Roman" w:cs="Times New Roman"/>
                <w:color w:val="auto"/>
                <w:highlight w:val="none"/>
              </w:rPr>
              <w:t>a)。清洗出的砂石泥浆水进入沉淀池回用于生产不外排。</w:t>
            </w:r>
          </w:p>
          <w:p w14:paraId="0EAA38A9">
            <w:pPr>
              <w:pStyle w:val="20"/>
              <w:ind w:firstLine="480"/>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5</w:t>
            </w:r>
            <w:r>
              <w:rPr>
                <w:rFonts w:hint="eastAsia" w:cs="Times New Roman"/>
                <w:color w:val="auto"/>
                <w:highlight w:val="none"/>
                <w:lang w:eastAsia="zh-CN"/>
              </w:rPr>
              <w:t>）</w:t>
            </w:r>
            <w:r>
              <w:rPr>
                <w:rFonts w:hint="eastAsia" w:cs="Times New Roman"/>
                <w:color w:val="auto"/>
                <w:highlight w:val="none"/>
                <w:lang w:val="en-US" w:eastAsia="zh-CN"/>
              </w:rPr>
              <w:t>地面清洗用水</w:t>
            </w:r>
          </w:p>
          <w:p w14:paraId="6906FAC8">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地面冲洗水按1.0t/100</w:t>
            </w:r>
            <w:r>
              <w:rPr>
                <w:rFonts w:hint="eastAsia" w:cs="Times New Roman"/>
                <w:color w:val="auto"/>
                <w:highlight w:val="none"/>
                <w:lang w:val="en-US" w:eastAsia="zh-CN"/>
              </w:rPr>
              <w:t>0</w:t>
            </w:r>
            <w:r>
              <w:rPr>
                <w:rFonts w:hint="default" w:ascii="Times New Roman" w:hAnsi="Times New Roman" w:cs="Times New Roman"/>
                <w:color w:val="auto"/>
                <w:highlight w:val="none"/>
              </w:rPr>
              <w:t>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次计算，需要冲洗的地面为露天生产场地混凝土和砂浆搅拌站、管芯生产区，面积约为</w:t>
            </w:r>
            <w:r>
              <w:rPr>
                <w:rFonts w:hint="eastAsia" w:cs="Times New Roman"/>
                <w:color w:val="auto"/>
                <w:highlight w:val="none"/>
                <w:lang w:val="en-US" w:eastAsia="zh-CN"/>
              </w:rPr>
              <w:t>3000</w:t>
            </w:r>
            <w:r>
              <w:rPr>
                <w:rFonts w:hint="default" w:ascii="Times New Roman" w:hAnsi="Times New Roman" w:cs="Times New Roman"/>
                <w:color w:val="auto"/>
                <w:highlight w:val="none"/>
              </w:rPr>
              <w:t>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，平均2天冲洗一次，</w:t>
            </w:r>
            <w:r>
              <w:rPr>
                <w:rFonts w:hint="eastAsia" w:cs="Times New Roman"/>
                <w:color w:val="auto"/>
                <w:highlight w:val="none"/>
                <w:lang w:val="en-US" w:eastAsia="zh-CN"/>
              </w:rPr>
              <w:t>清洗用水为3t/次，</w:t>
            </w:r>
            <w:r>
              <w:rPr>
                <w:rFonts w:hint="default" w:ascii="Times New Roman" w:hAnsi="Times New Roman" w:cs="Times New Roman"/>
                <w:color w:val="auto"/>
                <w:highlight w:val="none"/>
              </w:rPr>
              <w:t>则用水量约为</w:t>
            </w:r>
            <w:r>
              <w:rPr>
                <w:rFonts w:hint="eastAsia" w:cs="Times New Roman"/>
                <w:color w:val="auto"/>
                <w:highlight w:val="none"/>
                <w:lang w:val="en-US" w:eastAsia="zh-CN"/>
              </w:rPr>
              <w:t>1.5</w:t>
            </w:r>
            <w:r>
              <w:rPr>
                <w:rFonts w:hint="default" w:ascii="Times New Roman" w:hAnsi="Times New Roman" w:cs="Times New Roman"/>
                <w:color w:val="auto"/>
                <w:highlight w:val="none"/>
              </w:rPr>
              <w:t>t</w:t>
            </w:r>
            <w:r>
              <w:rPr>
                <w:rFonts w:hint="eastAsia" w:cs="Times New Roman"/>
                <w:color w:val="auto"/>
                <w:highlight w:val="none"/>
                <w:lang w:val="en-US" w:eastAsia="zh-CN"/>
              </w:rPr>
              <w:t>/天</w:t>
            </w:r>
            <w:r>
              <w:rPr>
                <w:rFonts w:hint="default" w:ascii="Times New Roman" w:hAnsi="Times New Roman" w:cs="Times New Roman"/>
                <w:color w:val="auto"/>
                <w:highlight w:val="none"/>
              </w:rPr>
              <w:t>，</w:t>
            </w:r>
            <w:r>
              <w:rPr>
                <w:rFonts w:hint="eastAsia" w:cs="Times New Roman"/>
                <w:color w:val="auto"/>
                <w:highlight w:val="none"/>
                <w:lang w:val="en-US" w:eastAsia="zh-CN"/>
              </w:rPr>
              <w:t>270</w:t>
            </w:r>
            <w:r>
              <w:rPr>
                <w:rFonts w:hint="default" w:ascii="Times New Roman" w:hAnsi="Times New Roman" w:cs="Times New Roman"/>
                <w:color w:val="auto"/>
                <w:highlight w:val="none"/>
              </w:rPr>
              <w:t>t</w:t>
            </w:r>
            <w:r>
              <w:rPr>
                <w:rFonts w:hint="eastAsia" w:cs="Times New Roman"/>
                <w:color w:val="auto"/>
                <w:highlight w:val="none"/>
                <w:lang w:val="en-US" w:eastAsia="zh-CN"/>
              </w:rPr>
              <w:t>/</w:t>
            </w:r>
            <w:r>
              <w:rPr>
                <w:rFonts w:hint="default" w:ascii="Times New Roman" w:hAnsi="Times New Roman" w:cs="Times New Roman"/>
                <w:color w:val="auto"/>
                <w:highlight w:val="none"/>
              </w:rPr>
              <w:t>a，</w:t>
            </w:r>
            <w:r>
              <w:rPr>
                <w:rFonts w:hint="eastAsia" w:ascii="Times New Roman" w:hAnsi="Times New Roman" w:eastAsia="宋体" w:cs="Times New Roman"/>
                <w:color w:val="auto"/>
                <w:kern w:val="0"/>
                <w:sz w:val="24"/>
              </w:rPr>
              <w:t>由于</w:t>
            </w:r>
            <w:r>
              <w:rPr>
                <w:rFonts w:hint="eastAsia" w:ascii="Times New Roman" w:hAnsi="Times New Roman" w:eastAsia="宋体" w:cs="Times New Roman"/>
                <w:color w:val="auto"/>
                <w:kern w:val="0"/>
                <w:sz w:val="24"/>
                <w:lang w:val="en-US" w:eastAsia="zh-CN"/>
              </w:rPr>
              <w:t>厂</w:t>
            </w:r>
            <w:r>
              <w:rPr>
                <w:rFonts w:hint="eastAsia" w:ascii="Times New Roman" w:hAnsi="Times New Roman" w:eastAsia="宋体" w:cs="Times New Roman"/>
                <w:color w:val="auto"/>
                <w:kern w:val="0"/>
                <w:sz w:val="24"/>
              </w:rPr>
              <w:t>区地面清洗水无法回用，均蒸发消耗</w:t>
            </w:r>
            <w:r>
              <w:rPr>
                <w:rFonts w:hint="default" w:ascii="Times New Roman" w:hAnsi="Times New Roman" w:cs="Times New Roman"/>
                <w:color w:val="auto"/>
                <w:highlight w:val="none"/>
              </w:rPr>
              <w:t>。</w:t>
            </w:r>
          </w:p>
          <w:p w14:paraId="3F22BCDD">
            <w:pPr>
              <w:pStyle w:val="20"/>
              <w:ind w:firstLine="480"/>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6</w:t>
            </w:r>
            <w:r>
              <w:rPr>
                <w:rFonts w:hint="eastAsia" w:cs="Times New Roman"/>
                <w:color w:val="auto"/>
                <w:highlight w:val="none"/>
                <w:lang w:eastAsia="zh-CN"/>
              </w:rPr>
              <w:t>）</w:t>
            </w:r>
            <w:r>
              <w:rPr>
                <w:rFonts w:hint="eastAsia" w:cs="Times New Roman"/>
                <w:color w:val="auto"/>
                <w:highlight w:val="none"/>
                <w:lang w:val="en-US" w:eastAsia="zh-CN"/>
              </w:rPr>
              <w:t>钢筒试压用水</w:t>
            </w:r>
          </w:p>
          <w:p w14:paraId="57856CE5">
            <w:pPr>
              <w:pStyle w:val="20"/>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项目自制钢筒成型后需进行试压，通过水压试验检测焊接点位是否焊接牢固，若有漏水情况发生，则将钢筒返回至焊接工序进行补焊。根据建设单位提供资料，钢筒试压用水量约6t</w:t>
            </w:r>
            <w:r>
              <w:rPr>
                <w:rFonts w:hint="eastAsia" w:cs="Times New Roman"/>
                <w:color w:val="auto"/>
                <w:highlight w:val="none"/>
                <w:lang w:val="en-US" w:eastAsia="zh-CN"/>
              </w:rPr>
              <w:t>/</w:t>
            </w:r>
            <w:r>
              <w:rPr>
                <w:rFonts w:hint="default" w:ascii="Times New Roman" w:hAnsi="Times New Roman" w:cs="Times New Roman"/>
                <w:color w:val="auto"/>
                <w:highlight w:val="none"/>
              </w:rPr>
              <w:t>d，其中循环用水量为5.7t/d，损耗0.3t/d。钢筒试压用水循环使用，不外排，由于钢筒带走、部分水蒸发等损耗因素，需定期补充损耗钢筒试压用水，新鲜水补充量为0.3t</w:t>
            </w:r>
            <w:r>
              <w:rPr>
                <w:rFonts w:hint="eastAsia" w:cs="Times New Roman"/>
                <w:color w:val="auto"/>
                <w:highlight w:val="none"/>
                <w:lang w:val="en-US" w:eastAsia="zh-CN"/>
              </w:rPr>
              <w:t>/</w:t>
            </w:r>
            <w:r>
              <w:rPr>
                <w:rFonts w:hint="default" w:ascii="Times New Roman" w:hAnsi="Times New Roman" w:cs="Times New Roman"/>
                <w:color w:val="auto"/>
                <w:highlight w:val="none"/>
              </w:rPr>
              <w:t>d(90t</w:t>
            </w:r>
            <w:r>
              <w:rPr>
                <w:rFonts w:hint="eastAsia" w:cs="Times New Roman"/>
                <w:color w:val="auto"/>
                <w:highlight w:val="none"/>
                <w:lang w:val="en-US" w:eastAsia="zh-CN"/>
              </w:rPr>
              <w:t>/</w:t>
            </w:r>
            <w:r>
              <w:rPr>
                <w:rFonts w:hint="default" w:ascii="Times New Roman" w:hAnsi="Times New Roman" w:cs="Times New Roman"/>
                <w:color w:val="auto"/>
                <w:highlight w:val="none"/>
              </w:rPr>
              <w:t>a)。</w:t>
            </w:r>
          </w:p>
          <w:p w14:paraId="7DD79B78">
            <w:pPr>
              <w:pStyle w:val="20"/>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（3）</w:t>
            </w:r>
            <w:r>
              <w:rPr>
                <w:rFonts w:hint="eastAsia" w:cs="Times New Roman"/>
                <w:color w:val="auto"/>
                <w:highlight w:val="none"/>
                <w:lang w:val="en-US" w:eastAsia="zh-CN"/>
              </w:rPr>
              <w:t>燃气锅炉</w:t>
            </w:r>
            <w:r>
              <w:rPr>
                <w:rFonts w:hint="default" w:ascii="Times New Roman" w:hAnsi="Times New Roman" w:cs="Times New Roman"/>
                <w:color w:val="auto"/>
                <w:highlight w:val="none"/>
              </w:rPr>
              <w:t>用水</w:t>
            </w:r>
          </w:p>
          <w:p w14:paraId="69CB8BC6">
            <w:pPr>
              <w:pStyle w:val="36"/>
              <w:keepNext w:val="0"/>
              <w:keepLines w:val="0"/>
              <w:pageBreakBefore w:val="0"/>
              <w:widowControl w:val="0"/>
              <w:kinsoku/>
              <w:wordWrap/>
              <w:overflowPunct/>
              <w:topLinePunct w:val="0"/>
              <w:autoSpaceDE/>
              <w:autoSpaceDN/>
              <w:bidi w:val="0"/>
              <w:adjustRightInd/>
              <w:snapToGrid/>
              <w:spacing w:line="360" w:lineRule="auto"/>
              <w:ind w:left="107" w:right="102" w:firstLine="465"/>
              <w:jc w:val="both"/>
              <w:textAlignment w:val="auto"/>
              <w:rPr>
                <w:color w:val="auto"/>
              </w:rPr>
            </w:pPr>
            <w:r>
              <w:rPr>
                <w:color w:val="auto"/>
                <w:spacing w:val="-6"/>
              </w:rPr>
              <w:t>本项目常用锅炉为</w:t>
            </w:r>
            <w:r>
              <w:rPr>
                <w:rFonts w:hint="eastAsia" w:ascii="Times New Roman" w:hAnsi="Times New Roman" w:eastAsia="宋体" w:cs="Times New Roman"/>
                <w:color w:val="auto"/>
                <w:spacing w:val="-6"/>
                <w:lang w:val="en-US" w:eastAsia="zh-CN"/>
              </w:rPr>
              <w:t>3</w:t>
            </w:r>
            <w:r>
              <w:rPr>
                <w:rFonts w:ascii="Times New Roman" w:hAnsi="Times New Roman" w:eastAsia="Times New Roman" w:cs="Times New Roman"/>
                <w:color w:val="auto"/>
                <w:spacing w:val="-6"/>
              </w:rPr>
              <w:t>t/h</w:t>
            </w:r>
            <w:r>
              <w:rPr>
                <w:rFonts w:hint="eastAsia" w:eastAsia="宋体"/>
                <w:color w:val="auto"/>
                <w:spacing w:val="-6"/>
                <w:lang w:val="en-US" w:eastAsia="zh-CN"/>
              </w:rPr>
              <w:t>燃气</w:t>
            </w:r>
            <w:r>
              <w:rPr>
                <w:color w:val="auto"/>
                <w:spacing w:val="-6"/>
              </w:rPr>
              <w:t>锅炉，用水量约为</w:t>
            </w:r>
            <w:r>
              <w:rPr>
                <w:rFonts w:hint="eastAsia" w:ascii="Times New Roman" w:hAnsi="Times New Roman" w:eastAsia="宋体" w:cs="Times New Roman"/>
                <w:color w:val="auto"/>
                <w:spacing w:val="-6"/>
                <w:lang w:val="en-US" w:eastAsia="zh-CN"/>
              </w:rPr>
              <w:t>16.67t</w:t>
            </w:r>
            <w:r>
              <w:rPr>
                <w:rFonts w:ascii="Times New Roman" w:hAnsi="Times New Roman" w:eastAsia="Times New Roman" w:cs="Times New Roman"/>
                <w:color w:val="auto"/>
                <w:spacing w:val="-6"/>
              </w:rPr>
              <w:t>/d</w:t>
            </w:r>
            <w:r>
              <w:rPr>
                <w:color w:val="auto"/>
                <w:spacing w:val="-6"/>
              </w:rPr>
              <w:t>，</w:t>
            </w:r>
            <w:r>
              <w:rPr>
                <w:rFonts w:hint="eastAsia" w:ascii="Times New Roman" w:hAnsi="Times New Roman" w:eastAsia="宋体" w:cs="Times New Roman"/>
                <w:color w:val="auto"/>
                <w:spacing w:val="-6"/>
                <w:lang w:val="en-US" w:eastAsia="zh-CN"/>
              </w:rPr>
              <w:t>3000</w:t>
            </w:r>
            <w:r>
              <w:rPr>
                <w:rFonts w:hint="eastAsia" w:ascii="Times New Roman" w:hAnsi="Times New Roman" w:eastAsia="宋体" w:cs="Times New Roman"/>
                <w:color w:val="auto"/>
                <w:spacing w:val="-7"/>
                <w:lang w:val="en-US" w:eastAsia="zh-CN"/>
              </w:rPr>
              <w:t>t</w:t>
            </w:r>
            <w:r>
              <w:rPr>
                <w:rFonts w:ascii="Times New Roman" w:hAnsi="Times New Roman" w:eastAsia="Times New Roman" w:cs="Times New Roman"/>
                <w:color w:val="auto"/>
                <w:spacing w:val="-7"/>
              </w:rPr>
              <w:t>/a</w:t>
            </w:r>
            <w:r>
              <w:rPr>
                <w:color w:val="auto"/>
                <w:spacing w:val="-7"/>
              </w:rPr>
              <w:t>，根</w:t>
            </w:r>
            <w:r>
              <w:rPr>
                <w:color w:val="auto"/>
                <w:spacing w:val="-3"/>
              </w:rPr>
              <w:t>据《</w:t>
            </w:r>
            <w:r>
              <w:rPr>
                <w:rFonts w:ascii="Times New Roman" w:hAnsi="Times New Roman" w:eastAsia="Times New Roman" w:cs="Times New Roman"/>
                <w:color w:val="auto"/>
                <w:spacing w:val="-3"/>
              </w:rPr>
              <w:t>4430</w:t>
            </w:r>
            <w:r>
              <w:rPr>
                <w:color w:val="auto"/>
                <w:spacing w:val="-3"/>
              </w:rPr>
              <w:t>工业锅炉（热力生产和供应行业）产污系数表－工业废</w:t>
            </w:r>
            <w:r>
              <w:rPr>
                <w:color w:val="auto"/>
                <w:spacing w:val="-4"/>
              </w:rPr>
              <w:t>水量和“化</w:t>
            </w:r>
            <w:r>
              <w:rPr>
                <w:color w:val="auto"/>
                <w:spacing w:val="-3"/>
              </w:rPr>
              <w:t>学需氧量”》，产排污系数见表</w:t>
            </w:r>
            <w:r>
              <w:rPr>
                <w:rFonts w:ascii="Times New Roman" w:hAnsi="Times New Roman" w:eastAsia="Times New Roman" w:cs="Times New Roman"/>
                <w:color w:val="auto"/>
                <w:spacing w:val="-3"/>
              </w:rPr>
              <w:t>2-</w:t>
            </w:r>
            <w:r>
              <w:rPr>
                <w:rFonts w:hint="eastAsia" w:ascii="Times New Roman" w:hAnsi="Times New Roman" w:eastAsia="宋体" w:cs="Times New Roman"/>
                <w:color w:val="auto"/>
                <w:spacing w:val="-3"/>
                <w:lang w:val="en-US" w:eastAsia="zh-CN"/>
              </w:rPr>
              <w:t>5</w:t>
            </w:r>
            <w:r>
              <w:rPr>
                <w:color w:val="auto"/>
                <w:spacing w:val="-3"/>
              </w:rPr>
              <w:t>。</w:t>
            </w:r>
          </w:p>
          <w:p w14:paraId="3B771793">
            <w:pPr>
              <w:pStyle w:val="36"/>
              <w:spacing w:before="197" w:line="228" w:lineRule="auto"/>
              <w:jc w:val="center"/>
              <w:rPr>
                <w:color w:val="auto"/>
                <w:sz w:val="20"/>
                <w:szCs w:val="20"/>
              </w:rPr>
            </w:pPr>
            <w:r>
              <w:rPr>
                <w:b/>
                <w:bCs/>
                <w:color w:val="auto"/>
                <w:spacing w:val="8"/>
                <w:sz w:val="20"/>
                <w:szCs w:val="20"/>
                <w14:textOutline w14:w="3795" w14:cap="sq" w14:cmpd="sng">
                  <w14:solidFill>
                    <w14:srgbClr w14:val="000000"/>
                  </w14:solidFill>
                  <w14:prstDash w14:val="solid"/>
                  <w14:bevel/>
                </w14:textOutline>
              </w:rPr>
              <w:t>表</w:t>
            </w:r>
            <w:r>
              <w:rPr>
                <w:rFonts w:ascii="Times New Roman" w:hAnsi="Times New Roman" w:eastAsia="Times New Roman" w:cs="Times New Roman"/>
                <w:b/>
                <w:bCs/>
                <w:color w:val="auto"/>
                <w:spacing w:val="8"/>
                <w:sz w:val="20"/>
                <w:szCs w:val="20"/>
              </w:rPr>
              <w:t>2-</w:t>
            </w:r>
            <w:r>
              <w:rPr>
                <w:rFonts w:hint="eastAsia" w:ascii="Times New Roman" w:hAnsi="Times New Roman" w:eastAsia="宋体" w:cs="Times New Roman"/>
                <w:b/>
                <w:bCs/>
                <w:color w:val="auto"/>
                <w:spacing w:val="8"/>
                <w:sz w:val="20"/>
                <w:szCs w:val="20"/>
                <w:lang w:val="en-US" w:eastAsia="zh-CN"/>
              </w:rPr>
              <w:t>5</w:t>
            </w:r>
            <w:r>
              <w:rPr>
                <w:rFonts w:ascii="Times New Roman" w:hAnsi="Times New Roman" w:eastAsia="Times New Roman" w:cs="Times New Roman"/>
                <w:b/>
                <w:bCs/>
                <w:color w:val="auto"/>
                <w:spacing w:val="8"/>
                <w:sz w:val="20"/>
                <w:szCs w:val="20"/>
              </w:rPr>
              <w:t xml:space="preserve"> 4430 </w:t>
            </w:r>
            <w:r>
              <w:rPr>
                <w:b/>
                <w:bCs/>
                <w:color w:val="auto"/>
                <w:spacing w:val="8"/>
                <w:sz w:val="20"/>
                <w:szCs w:val="20"/>
                <w14:textOutline w14:w="3795" w14:cap="sq" w14:cmpd="sng">
                  <w14:solidFill>
                    <w14:srgbClr w14:val="000000"/>
                  </w14:solidFill>
                  <w14:prstDash w14:val="solid"/>
                  <w14:bevel/>
                </w14:textOutline>
              </w:rPr>
              <w:t>工业锅炉（热力生产和供应</w:t>
            </w:r>
            <w:r>
              <w:rPr>
                <w:color w:val="auto"/>
                <w:spacing w:val="8"/>
                <w:sz w:val="20"/>
                <w:szCs w:val="20"/>
                <w14:textOutline w14:w="3795" w14:cap="sq" w14:cmpd="sng">
                  <w14:solidFill>
                    <w14:srgbClr w14:val="000000"/>
                  </w14:solidFill>
                  <w14:prstDash w14:val="solid"/>
                  <w14:bevel/>
                </w14:textOutline>
              </w:rPr>
              <w:t>行业）产污系数表－工业废水量</w:t>
            </w:r>
          </w:p>
          <w:tbl>
            <w:tblPr>
              <w:tblStyle w:val="37"/>
              <w:tblpPr w:leftFromText="180" w:rightFromText="180" w:vertAnchor="text" w:horzAnchor="page" w:tblpX="94" w:tblpY="80"/>
              <w:tblOverlap w:val="never"/>
              <w:tblW w:w="7266"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721"/>
              <w:gridCol w:w="1080"/>
              <w:gridCol w:w="1364"/>
              <w:gridCol w:w="735"/>
              <w:gridCol w:w="1320"/>
              <w:gridCol w:w="1167"/>
              <w:gridCol w:w="879"/>
            </w:tblGrid>
            <w:tr w14:paraId="5658881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5" w:hRule="atLeast"/>
              </w:trPr>
              <w:tc>
                <w:tcPr>
                  <w:tcW w:w="721" w:type="dxa"/>
                  <w:tcBorders>
                    <w:top w:val="single" w:color="000000" w:sz="10" w:space="0"/>
                    <w:left w:val="nil"/>
                    <w:bottom w:val="single" w:color="000000" w:sz="10" w:space="0"/>
                  </w:tcBorders>
                  <w:vAlign w:val="top"/>
                </w:tcPr>
                <w:p w14:paraId="6ED2F52A">
                  <w:pPr>
                    <w:pStyle w:val="36"/>
                    <w:spacing w:before="57" w:line="312" w:lineRule="exact"/>
                    <w:ind w:left="156"/>
                    <w:rPr>
                      <w:color w:val="auto"/>
                      <w:sz w:val="20"/>
                      <w:szCs w:val="20"/>
                    </w:rPr>
                  </w:pPr>
                  <w:r>
                    <w:rPr>
                      <w:color w:val="auto"/>
                      <w:spacing w:val="6"/>
                      <w:position w:val="7"/>
                      <w:sz w:val="20"/>
                      <w:szCs w:val="20"/>
                      <w14:textOutline w14:w="3795" w14:cap="sq" w14:cmpd="sng">
                        <w14:solidFill>
                          <w14:srgbClr w14:val="000000"/>
                        </w14:solidFill>
                        <w14:prstDash w14:val="solid"/>
                        <w14:bevel/>
                      </w14:textOutline>
                    </w:rPr>
                    <w:t>产品</w:t>
                  </w:r>
                </w:p>
                <w:p w14:paraId="5BFE549D">
                  <w:pPr>
                    <w:pStyle w:val="36"/>
                    <w:spacing w:line="230" w:lineRule="auto"/>
                    <w:ind w:left="159"/>
                    <w:rPr>
                      <w:color w:val="auto"/>
                      <w:sz w:val="20"/>
                      <w:szCs w:val="20"/>
                    </w:rPr>
                  </w:pPr>
                  <w:r>
                    <w:rPr>
                      <w:color w:val="auto"/>
                      <w:spacing w:val="4"/>
                      <w:sz w:val="20"/>
                      <w:szCs w:val="20"/>
                      <w14:textOutline w14:w="3795" w14:cap="sq" w14:cmpd="sng">
                        <w14:solidFill>
                          <w14:srgbClr w14:val="000000"/>
                        </w14:solidFill>
                        <w14:prstDash w14:val="solid"/>
                        <w14:bevel/>
                      </w14:textOutline>
                    </w:rPr>
                    <w:t>名称</w:t>
                  </w:r>
                </w:p>
              </w:tc>
              <w:tc>
                <w:tcPr>
                  <w:tcW w:w="1080" w:type="dxa"/>
                  <w:tcBorders>
                    <w:top w:val="single" w:color="000000" w:sz="10" w:space="0"/>
                    <w:bottom w:val="single" w:color="000000" w:sz="10" w:space="0"/>
                  </w:tcBorders>
                  <w:vAlign w:val="top"/>
                </w:tcPr>
                <w:p w14:paraId="09A237EE">
                  <w:pPr>
                    <w:pStyle w:val="36"/>
                    <w:spacing w:before="213" w:line="229" w:lineRule="auto"/>
                    <w:ind w:left="124"/>
                    <w:rPr>
                      <w:color w:val="auto"/>
                      <w:sz w:val="20"/>
                      <w:szCs w:val="20"/>
                    </w:rPr>
                  </w:pPr>
                  <w:r>
                    <w:rPr>
                      <w:color w:val="auto"/>
                      <w:spacing w:val="7"/>
                      <w:sz w:val="20"/>
                      <w:szCs w:val="20"/>
                      <w14:textOutline w14:w="3795" w14:cap="sq" w14:cmpd="sng">
                        <w14:solidFill>
                          <w14:srgbClr w14:val="000000"/>
                        </w14:solidFill>
                        <w14:prstDash w14:val="solid"/>
                        <w14:bevel/>
                      </w14:textOutline>
                    </w:rPr>
                    <w:t>原料名称</w:t>
                  </w:r>
                </w:p>
              </w:tc>
              <w:tc>
                <w:tcPr>
                  <w:tcW w:w="1364" w:type="dxa"/>
                  <w:tcBorders>
                    <w:top w:val="single" w:color="000000" w:sz="10" w:space="0"/>
                    <w:bottom w:val="single" w:color="000000" w:sz="10" w:space="0"/>
                  </w:tcBorders>
                  <w:vAlign w:val="center"/>
                </w:tcPr>
                <w:p w14:paraId="14B8251B">
                  <w:pPr>
                    <w:pStyle w:val="36"/>
                    <w:spacing w:before="56" w:line="231" w:lineRule="auto"/>
                    <w:jc w:val="center"/>
                    <w:rPr>
                      <w:color w:val="auto"/>
                      <w:sz w:val="20"/>
                      <w:szCs w:val="20"/>
                    </w:rPr>
                  </w:pPr>
                  <w:r>
                    <w:rPr>
                      <w:color w:val="auto"/>
                      <w:spacing w:val="7"/>
                      <w:sz w:val="20"/>
                      <w:szCs w:val="20"/>
                      <w14:textOutline w14:w="3795" w14:cap="sq" w14:cmpd="sng">
                        <w14:solidFill>
                          <w14:srgbClr w14:val="000000"/>
                        </w14:solidFill>
                        <w14:prstDash w14:val="solid"/>
                        <w14:bevel/>
                      </w14:textOutline>
                    </w:rPr>
                    <w:t>工艺名称</w:t>
                  </w:r>
                </w:p>
              </w:tc>
              <w:tc>
                <w:tcPr>
                  <w:tcW w:w="735" w:type="dxa"/>
                  <w:tcBorders>
                    <w:top w:val="single" w:color="000000" w:sz="10" w:space="0"/>
                    <w:bottom w:val="single" w:color="000000" w:sz="10" w:space="0"/>
                  </w:tcBorders>
                  <w:vAlign w:val="top"/>
                </w:tcPr>
                <w:p w14:paraId="238243D1">
                  <w:pPr>
                    <w:pStyle w:val="36"/>
                    <w:spacing w:before="57" w:line="312" w:lineRule="exact"/>
                    <w:ind w:left="157"/>
                    <w:rPr>
                      <w:color w:val="auto"/>
                      <w:sz w:val="20"/>
                      <w:szCs w:val="20"/>
                    </w:rPr>
                  </w:pPr>
                  <w:r>
                    <w:rPr>
                      <w:color w:val="auto"/>
                      <w:spacing w:val="5"/>
                      <w:position w:val="7"/>
                      <w:sz w:val="20"/>
                      <w:szCs w:val="20"/>
                      <w14:textOutline w14:w="3795" w14:cap="sq" w14:cmpd="sng">
                        <w14:solidFill>
                          <w14:srgbClr w14:val="000000"/>
                        </w14:solidFill>
                        <w14:prstDash w14:val="solid"/>
                        <w14:bevel/>
                      </w14:textOutline>
                    </w:rPr>
                    <w:t>规模</w:t>
                  </w:r>
                </w:p>
                <w:p w14:paraId="01D09366">
                  <w:pPr>
                    <w:pStyle w:val="36"/>
                    <w:spacing w:line="228" w:lineRule="auto"/>
                    <w:ind w:left="158"/>
                    <w:rPr>
                      <w:color w:val="auto"/>
                      <w:sz w:val="20"/>
                      <w:szCs w:val="20"/>
                    </w:rPr>
                  </w:pPr>
                  <w:r>
                    <w:rPr>
                      <w:color w:val="auto"/>
                      <w:spacing w:val="5"/>
                      <w:sz w:val="20"/>
                      <w:szCs w:val="20"/>
                      <w14:textOutline w14:w="3795" w14:cap="sq" w14:cmpd="sng">
                        <w14:solidFill>
                          <w14:srgbClr w14:val="000000"/>
                        </w14:solidFill>
                        <w14:prstDash w14:val="solid"/>
                        <w14:bevel/>
                      </w14:textOutline>
                    </w:rPr>
                    <w:t>等级</w:t>
                  </w:r>
                </w:p>
              </w:tc>
              <w:tc>
                <w:tcPr>
                  <w:tcW w:w="1320" w:type="dxa"/>
                  <w:tcBorders>
                    <w:top w:val="single" w:color="000000" w:sz="10" w:space="0"/>
                    <w:bottom w:val="single" w:color="000000" w:sz="10" w:space="0"/>
                  </w:tcBorders>
                  <w:vAlign w:val="center"/>
                </w:tcPr>
                <w:p w14:paraId="663F4A67">
                  <w:pPr>
                    <w:pStyle w:val="36"/>
                    <w:spacing w:before="57" w:line="229" w:lineRule="auto"/>
                    <w:jc w:val="center"/>
                    <w:rPr>
                      <w:color w:val="auto"/>
                      <w:sz w:val="20"/>
                      <w:szCs w:val="20"/>
                    </w:rPr>
                  </w:pPr>
                  <w:r>
                    <w:rPr>
                      <w:color w:val="auto"/>
                      <w:spacing w:val="8"/>
                      <w:sz w:val="20"/>
                      <w:szCs w:val="20"/>
                      <w14:textOutline w14:w="3795" w14:cap="sq" w14:cmpd="sng">
                        <w14:solidFill>
                          <w14:srgbClr w14:val="000000"/>
                        </w14:solidFill>
                        <w14:prstDash w14:val="solid"/>
                        <w14:bevel/>
                      </w14:textOutline>
                    </w:rPr>
                    <w:t>污染物指标</w:t>
                  </w:r>
                </w:p>
              </w:tc>
              <w:tc>
                <w:tcPr>
                  <w:tcW w:w="1167" w:type="dxa"/>
                  <w:tcBorders>
                    <w:top w:val="single" w:color="000000" w:sz="10" w:space="0"/>
                    <w:bottom w:val="single" w:color="000000" w:sz="10" w:space="0"/>
                  </w:tcBorders>
                  <w:vAlign w:val="center"/>
                </w:tcPr>
                <w:p w14:paraId="4D7B3546">
                  <w:pPr>
                    <w:pStyle w:val="36"/>
                    <w:spacing w:before="57" w:line="229" w:lineRule="auto"/>
                    <w:jc w:val="center"/>
                    <w:rPr>
                      <w:color w:val="auto"/>
                      <w:sz w:val="20"/>
                      <w:szCs w:val="20"/>
                    </w:rPr>
                  </w:pPr>
                  <w:r>
                    <w:rPr>
                      <w:color w:val="auto"/>
                      <w:spacing w:val="5"/>
                      <w:sz w:val="20"/>
                      <w:szCs w:val="20"/>
                      <w14:textOutline w14:w="3795" w14:cap="sq" w14:cmpd="sng">
                        <w14:solidFill>
                          <w14:srgbClr w14:val="000000"/>
                        </w14:solidFill>
                        <w14:prstDash w14:val="solid"/>
                        <w14:bevel/>
                      </w14:textOutline>
                    </w:rPr>
                    <w:t>单位</w:t>
                  </w:r>
                </w:p>
              </w:tc>
              <w:tc>
                <w:tcPr>
                  <w:tcW w:w="879" w:type="dxa"/>
                  <w:tcBorders>
                    <w:top w:val="single" w:color="000000" w:sz="10" w:space="0"/>
                    <w:bottom w:val="single" w:color="000000" w:sz="10" w:space="0"/>
                    <w:right w:val="nil"/>
                  </w:tcBorders>
                  <w:vAlign w:val="center"/>
                </w:tcPr>
                <w:p w14:paraId="3BA5A665">
                  <w:pPr>
                    <w:pStyle w:val="36"/>
                    <w:spacing w:before="57" w:line="228" w:lineRule="auto"/>
                    <w:jc w:val="center"/>
                    <w:rPr>
                      <w:color w:val="auto"/>
                      <w:sz w:val="20"/>
                      <w:szCs w:val="20"/>
                    </w:rPr>
                  </w:pPr>
                  <w:r>
                    <w:rPr>
                      <w:color w:val="auto"/>
                      <w:spacing w:val="8"/>
                      <w:sz w:val="20"/>
                      <w:szCs w:val="20"/>
                      <w14:textOutline w14:w="3795" w14:cap="sq" w14:cmpd="sng">
                        <w14:solidFill>
                          <w14:srgbClr w14:val="000000"/>
                        </w14:solidFill>
                        <w14:prstDash w14:val="solid"/>
                        <w14:bevel/>
                      </w14:textOutline>
                    </w:rPr>
                    <w:t>产污系数</w:t>
                  </w:r>
                </w:p>
              </w:tc>
            </w:tr>
            <w:tr w14:paraId="60ADEF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37" w:hRule="atLeast"/>
              </w:trPr>
              <w:tc>
                <w:tcPr>
                  <w:tcW w:w="721" w:type="dxa"/>
                  <w:tcBorders>
                    <w:top w:val="single" w:color="000000" w:sz="10" w:space="0"/>
                    <w:left w:val="nil"/>
                  </w:tcBorders>
                  <w:vAlign w:val="center"/>
                </w:tcPr>
                <w:p w14:paraId="58711709">
                  <w:pPr>
                    <w:pStyle w:val="3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4"/>
                      <w:sz w:val="21"/>
                      <w:szCs w:val="21"/>
                    </w:rPr>
                    <w:t>蒸汽/</w:t>
                  </w:r>
                  <w:r>
                    <w:rPr>
                      <w:rFonts w:hint="eastAsia" w:ascii="宋体" w:hAnsi="宋体" w:eastAsia="宋体" w:cs="宋体"/>
                      <w:color w:val="auto"/>
                      <w:spacing w:val="3"/>
                      <w:sz w:val="21"/>
                      <w:szCs w:val="21"/>
                    </w:rPr>
                    <w:t>热水/</w:t>
                  </w:r>
                  <w:r>
                    <w:rPr>
                      <w:rFonts w:hint="eastAsia" w:ascii="宋体" w:hAnsi="宋体" w:eastAsia="宋体" w:cs="宋体"/>
                      <w:color w:val="auto"/>
                      <w:spacing w:val="18"/>
                      <w:sz w:val="21"/>
                      <w:szCs w:val="21"/>
                    </w:rPr>
                    <w:t>其他</w:t>
                  </w:r>
                </w:p>
              </w:tc>
              <w:tc>
                <w:tcPr>
                  <w:tcW w:w="1080" w:type="dxa"/>
                  <w:tcBorders>
                    <w:top w:val="single" w:color="000000" w:sz="10" w:space="0"/>
                  </w:tcBorders>
                  <w:vAlign w:val="center"/>
                </w:tcPr>
                <w:p w14:paraId="306CFCBF">
                  <w:pPr>
                    <w:pStyle w:val="3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5"/>
                      <w:sz w:val="21"/>
                      <w:szCs w:val="21"/>
                    </w:rPr>
                    <w:t>天然气</w:t>
                  </w:r>
                </w:p>
              </w:tc>
              <w:tc>
                <w:tcPr>
                  <w:tcW w:w="1364" w:type="dxa"/>
                  <w:tcBorders>
                    <w:top w:val="single" w:color="000000" w:sz="10" w:space="0"/>
                  </w:tcBorders>
                  <w:vAlign w:val="center"/>
                </w:tcPr>
                <w:p w14:paraId="3B5360E4">
                  <w:pPr>
                    <w:pStyle w:val="36"/>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rFonts w:hint="eastAsia" w:ascii="宋体" w:hAnsi="宋体" w:eastAsia="宋体" w:cs="宋体"/>
                      <w:color w:val="auto"/>
                      <w:sz w:val="21"/>
                      <w:szCs w:val="21"/>
                    </w:rPr>
                  </w:pPr>
                  <w:r>
                    <w:rPr>
                      <w:rFonts w:hint="eastAsia" w:ascii="宋体" w:hAnsi="宋体" w:eastAsia="宋体" w:cs="宋体"/>
                      <w:color w:val="auto"/>
                      <w:spacing w:val="8"/>
                      <w:sz w:val="21"/>
                      <w:szCs w:val="21"/>
                    </w:rPr>
                    <w:t>全部类型锅</w:t>
                  </w:r>
                  <w:r>
                    <w:rPr>
                      <w:rFonts w:hint="eastAsia" w:ascii="宋体" w:hAnsi="宋体" w:eastAsia="宋体" w:cs="宋体"/>
                      <w:color w:val="auto"/>
                      <w:spacing w:val="7"/>
                      <w:sz w:val="21"/>
                      <w:szCs w:val="21"/>
                    </w:rPr>
                    <w:t>炉（炉外水</w:t>
                  </w:r>
                  <w:r>
                    <w:rPr>
                      <w:rFonts w:hint="eastAsia" w:ascii="宋体" w:hAnsi="宋体" w:eastAsia="宋体" w:cs="宋体"/>
                      <w:color w:val="auto"/>
                      <w:spacing w:val="1"/>
                      <w:sz w:val="21"/>
                      <w:szCs w:val="21"/>
                    </w:rPr>
                    <w:t>处理）</w:t>
                  </w:r>
                </w:p>
              </w:tc>
              <w:tc>
                <w:tcPr>
                  <w:tcW w:w="735" w:type="dxa"/>
                  <w:tcBorders>
                    <w:top w:val="single" w:color="000000" w:sz="10" w:space="0"/>
                  </w:tcBorders>
                  <w:vAlign w:val="center"/>
                </w:tcPr>
                <w:p w14:paraId="6AA745F7">
                  <w:pPr>
                    <w:pStyle w:val="36"/>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rFonts w:hint="eastAsia" w:ascii="宋体" w:hAnsi="宋体" w:eastAsia="宋体" w:cs="宋体"/>
                      <w:color w:val="auto"/>
                      <w:sz w:val="21"/>
                      <w:szCs w:val="21"/>
                    </w:rPr>
                  </w:pPr>
                  <w:r>
                    <w:rPr>
                      <w:rFonts w:hint="eastAsia" w:ascii="宋体" w:hAnsi="宋体" w:eastAsia="宋体" w:cs="宋体"/>
                      <w:color w:val="auto"/>
                      <w:spacing w:val="7"/>
                      <w:sz w:val="21"/>
                      <w:szCs w:val="21"/>
                    </w:rPr>
                    <w:t>所有规模</w:t>
                  </w:r>
                </w:p>
              </w:tc>
              <w:tc>
                <w:tcPr>
                  <w:tcW w:w="1320" w:type="dxa"/>
                  <w:tcBorders>
                    <w:top w:val="single" w:color="000000" w:sz="10" w:space="0"/>
                  </w:tcBorders>
                  <w:vAlign w:val="center"/>
                </w:tcPr>
                <w:p w14:paraId="48360E08">
                  <w:pPr>
                    <w:pStyle w:val="3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7"/>
                      <w:sz w:val="21"/>
                      <w:szCs w:val="21"/>
                    </w:rPr>
                    <w:t>工业废水量</w:t>
                  </w:r>
                </w:p>
              </w:tc>
              <w:tc>
                <w:tcPr>
                  <w:tcW w:w="1167" w:type="dxa"/>
                  <w:tcBorders>
                    <w:top w:val="single" w:color="000000" w:sz="10" w:space="0"/>
                  </w:tcBorders>
                  <w:vAlign w:val="center"/>
                </w:tcPr>
                <w:p w14:paraId="32088F14">
                  <w:pPr>
                    <w:pStyle w:val="3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4"/>
                      <w:sz w:val="21"/>
                      <w:szCs w:val="21"/>
                    </w:rPr>
                    <w:t>吨/万立方</w:t>
                  </w:r>
                  <w:r>
                    <w:rPr>
                      <w:rFonts w:hint="eastAsia" w:ascii="宋体" w:hAnsi="宋体" w:eastAsia="宋体" w:cs="宋体"/>
                      <w:color w:val="auto"/>
                      <w:spacing w:val="7"/>
                      <w:sz w:val="21"/>
                      <w:szCs w:val="21"/>
                    </w:rPr>
                    <w:t>米－原料</w:t>
                  </w:r>
                </w:p>
              </w:tc>
              <w:tc>
                <w:tcPr>
                  <w:tcW w:w="879" w:type="dxa"/>
                  <w:tcBorders>
                    <w:top w:val="single" w:color="000000" w:sz="10" w:space="0"/>
                    <w:right w:val="nil"/>
                  </w:tcBorders>
                  <w:vAlign w:val="center"/>
                </w:tcPr>
                <w:p w14:paraId="6DFC2FF1">
                  <w:pPr>
                    <w:pStyle w:val="36"/>
                    <w:keepNext w:val="0"/>
                    <w:keepLines w:val="0"/>
                    <w:pageBreakBefore w:val="0"/>
                    <w:widowControl w:val="0"/>
                    <w:kinsoku/>
                    <w:wordWrap/>
                    <w:overflowPunct/>
                    <w:topLinePunct w:val="0"/>
                    <w:autoSpaceDE/>
                    <w:autoSpaceDN/>
                    <w:bidi w:val="0"/>
                    <w:adjustRightInd/>
                    <w:snapToGrid/>
                    <w:spacing w:line="240" w:lineRule="auto"/>
                    <w:ind w:left="0" w:right="0" w:firstLine="44"/>
                    <w:jc w:val="center"/>
                    <w:textAlignment w:val="auto"/>
                    <w:rPr>
                      <w:rFonts w:hint="eastAsia" w:ascii="宋体" w:hAnsi="宋体" w:eastAsia="宋体" w:cs="宋体"/>
                      <w:color w:val="auto"/>
                      <w:sz w:val="21"/>
                      <w:szCs w:val="21"/>
                    </w:rPr>
                  </w:pPr>
                  <w:r>
                    <w:rPr>
                      <w:rFonts w:hint="eastAsia" w:ascii="宋体" w:hAnsi="宋体" w:eastAsia="宋体" w:cs="宋体"/>
                      <w:color w:val="auto"/>
                      <w:spacing w:val="3"/>
                      <w:sz w:val="21"/>
                      <w:szCs w:val="21"/>
                    </w:rPr>
                    <w:t>13.56（锅炉</w:t>
                  </w:r>
                  <w:r>
                    <w:rPr>
                      <w:rFonts w:hint="eastAsia" w:ascii="宋体" w:hAnsi="宋体" w:eastAsia="宋体" w:cs="宋体"/>
                      <w:color w:val="auto"/>
                      <w:spacing w:val="26"/>
                      <w:sz w:val="21"/>
                      <w:szCs w:val="21"/>
                    </w:rPr>
                    <w:t>排污水+软</w:t>
                  </w:r>
                  <w:r>
                    <w:rPr>
                      <w:rFonts w:hint="eastAsia" w:ascii="宋体" w:hAnsi="宋体" w:eastAsia="宋体" w:cs="宋体"/>
                      <w:color w:val="auto"/>
                      <w:spacing w:val="5"/>
                      <w:sz w:val="21"/>
                      <w:szCs w:val="21"/>
                    </w:rPr>
                    <w:t>化处理废水）</w:t>
                  </w:r>
                </w:p>
              </w:tc>
            </w:tr>
          </w:tbl>
          <w:p w14:paraId="4213F335">
            <w:pPr>
              <w:spacing w:line="91" w:lineRule="exact"/>
              <w:rPr>
                <w:color w:val="auto"/>
              </w:rPr>
            </w:pPr>
          </w:p>
          <w:p w14:paraId="2A7ED3CA">
            <w:pPr>
              <w:pStyle w:val="36"/>
              <w:keepNext w:val="0"/>
              <w:keepLines w:val="0"/>
              <w:pageBreakBefore w:val="0"/>
              <w:widowControl w:val="0"/>
              <w:kinsoku/>
              <w:wordWrap/>
              <w:overflowPunct/>
              <w:topLinePunct w:val="0"/>
              <w:autoSpaceDE/>
              <w:autoSpaceDN/>
              <w:bidi w:val="0"/>
              <w:adjustRightInd/>
              <w:snapToGrid/>
              <w:spacing w:line="320" w:lineRule="auto"/>
              <w:ind w:left="125" w:right="125" w:firstLine="442"/>
              <w:textAlignment w:val="auto"/>
              <w:rPr>
                <w:color w:val="auto"/>
              </w:rPr>
            </w:pPr>
            <w:r>
              <w:rPr>
                <w:color w:val="auto"/>
                <w:spacing w:val="-8"/>
              </w:rPr>
              <w:t>本项目天然气用量为</w:t>
            </w:r>
            <w:r>
              <w:rPr>
                <w:rFonts w:hint="eastAsia" w:ascii="Times New Roman" w:hAnsi="Times New Roman" w:eastAsia="宋体" w:cs="Times New Roman"/>
                <w:color w:val="auto"/>
                <w:spacing w:val="-8"/>
                <w:lang w:val="en-US" w:eastAsia="zh-CN"/>
              </w:rPr>
              <w:t>20</w:t>
            </w:r>
            <w:r>
              <w:rPr>
                <w:color w:val="auto"/>
                <w:spacing w:val="-8"/>
              </w:rPr>
              <w:t>万</w:t>
            </w:r>
            <w:r>
              <w:rPr>
                <w:rFonts w:ascii="Times New Roman" w:hAnsi="Times New Roman" w:eastAsia="Times New Roman" w:cs="Times New Roman"/>
                <w:color w:val="auto"/>
                <w:spacing w:val="-8"/>
              </w:rPr>
              <w:t>m</w:t>
            </w:r>
            <w:r>
              <w:rPr>
                <w:rFonts w:ascii="Times New Roman" w:hAnsi="Times New Roman" w:eastAsia="Times New Roman" w:cs="Times New Roman"/>
                <w:color w:val="auto"/>
                <w:spacing w:val="-8"/>
                <w:position w:val="8"/>
                <w:sz w:val="15"/>
                <w:szCs w:val="15"/>
              </w:rPr>
              <w:t>3</w:t>
            </w:r>
            <w:r>
              <w:rPr>
                <w:rFonts w:ascii="Times New Roman" w:hAnsi="Times New Roman" w:eastAsia="Times New Roman" w:cs="Times New Roman"/>
                <w:color w:val="auto"/>
                <w:spacing w:val="-8"/>
              </w:rPr>
              <w:t>/a</w:t>
            </w:r>
            <w:r>
              <w:rPr>
                <w:color w:val="auto"/>
                <w:spacing w:val="-8"/>
              </w:rPr>
              <w:t>，故锅炉排污水及软化制备废水产生量为</w:t>
            </w:r>
            <w:r>
              <w:rPr>
                <w:rFonts w:hint="eastAsia" w:ascii="Times New Roman" w:hAnsi="Times New Roman" w:eastAsia="宋体" w:cs="Times New Roman"/>
                <w:color w:val="auto"/>
                <w:spacing w:val="-7"/>
                <w:lang w:val="en-US" w:eastAsia="zh-CN"/>
              </w:rPr>
              <w:t>271.2</w:t>
            </w:r>
            <w:r>
              <w:rPr>
                <w:rFonts w:ascii="Times New Roman" w:hAnsi="Times New Roman" w:eastAsia="Times New Roman" w:cs="Times New Roman"/>
                <w:color w:val="auto"/>
                <w:spacing w:val="-7"/>
              </w:rPr>
              <w:t>t/a</w:t>
            </w:r>
            <w:r>
              <w:rPr>
                <w:color w:val="auto"/>
                <w:spacing w:val="-7"/>
              </w:rPr>
              <w:t>，循环使用不外排。</w:t>
            </w:r>
          </w:p>
          <w:p w14:paraId="4E881C2E">
            <w:pPr>
              <w:pStyle w:val="20"/>
              <w:spacing w:line="240" w:lineRule="auto"/>
              <w:ind w:firstLine="0" w:firstLineChars="0"/>
              <w:jc w:val="both"/>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3951605" cy="3506470"/>
                  <wp:effectExtent l="0" t="0" r="0" b="0"/>
                  <wp:docPr id="1" name="ECB019B1-382A-4266-B25C-5B523AA43C14-1" descr="C:/Users/a's/AppData/Local/Temp/wps.oTHnI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CB019B1-382A-4266-B25C-5B523AA43C14-1" descr="C:/Users/a's/AppData/Local/Temp/wps.oTHnIKwps"/>
                          <pic:cNvPicPr>
                            <a:picLocks noChangeAspect="1"/>
                          </pic:cNvPicPr>
                        </pic:nvPicPr>
                        <pic:blipFill>
                          <a:blip r:embed="rId11"/>
                          <a:stretch>
                            <a:fillRect/>
                          </a:stretch>
                        </pic:blipFill>
                        <pic:spPr>
                          <a:xfrm>
                            <a:off x="0" y="0"/>
                            <a:ext cx="3951605" cy="3506470"/>
                          </a:xfrm>
                          <a:prstGeom prst="rect">
                            <a:avLst/>
                          </a:prstGeom>
                        </pic:spPr>
                      </pic:pic>
                    </a:graphicData>
                  </a:graphic>
                </wp:inline>
              </w:drawing>
            </w:r>
          </w:p>
          <w:p w14:paraId="73276087">
            <w:pPr>
              <w:pStyle w:val="2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sz w:val="21"/>
                <w:szCs w:val="21"/>
                <w:highlight w:val="none"/>
              </w:rPr>
              <w:t>图1    项目水平衡图（单位：</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b/>
                <w:bCs/>
                <w:color w:val="auto"/>
                <w:sz w:val="21"/>
                <w:szCs w:val="21"/>
                <w:highlight w:val="none"/>
              </w:rPr>
              <w:t>/a）</w:t>
            </w:r>
          </w:p>
          <w:p w14:paraId="4D054772">
            <w:pPr>
              <w:pStyle w:val="8"/>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rPr>
              <w:t>5.4供</w:t>
            </w:r>
            <w:r>
              <w:rPr>
                <w:rFonts w:hint="default" w:ascii="Times New Roman" w:hAnsi="Times New Roman" w:cs="Times New Roman"/>
                <w:b/>
                <w:bCs/>
                <w:color w:val="auto"/>
                <w:sz w:val="24"/>
                <w:highlight w:val="none"/>
                <w:lang w:val="en-US" w:eastAsia="zh-CN"/>
              </w:rPr>
              <w:t>热</w:t>
            </w:r>
          </w:p>
          <w:p w14:paraId="7B7CFDF4">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项目养护工段供热，有燃气蒸汽发生器供给；冬季不生产，值班人员采用电暖器采暖。</w:t>
            </w:r>
          </w:p>
          <w:p w14:paraId="7788700E">
            <w:pPr>
              <w:pStyle w:val="8"/>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5.5工作制度及劳动定员</w:t>
            </w:r>
          </w:p>
          <w:p w14:paraId="09100547">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根据本项目生产规模需求，劳动定员10</w:t>
            </w:r>
            <w:r>
              <w:rPr>
                <w:rFonts w:hint="eastAsia" w:cs="Times New Roman"/>
                <w:color w:val="auto"/>
                <w:highlight w:val="none"/>
                <w:lang w:val="en-US" w:eastAsia="zh-CN"/>
              </w:rPr>
              <w:t>0</w:t>
            </w:r>
            <w:r>
              <w:rPr>
                <w:rFonts w:hint="default" w:ascii="Times New Roman" w:hAnsi="Times New Roman" w:cs="Times New Roman"/>
                <w:color w:val="auto"/>
                <w:highlight w:val="none"/>
              </w:rPr>
              <w:t>人。全年生产约为</w:t>
            </w:r>
            <w:r>
              <w:rPr>
                <w:rFonts w:hint="eastAsia" w:cs="Times New Roman"/>
                <w:color w:val="auto"/>
                <w:highlight w:val="none"/>
                <w:lang w:val="en-US" w:eastAsia="zh-CN"/>
              </w:rPr>
              <w:t>18</w:t>
            </w:r>
            <w:r>
              <w:rPr>
                <w:rFonts w:hint="default" w:ascii="Times New Roman" w:hAnsi="Times New Roman" w:cs="Times New Roman"/>
                <w:color w:val="auto"/>
                <w:highlight w:val="none"/>
              </w:rPr>
              <w:t>0天。一班制，每班8h。年生产时间</w:t>
            </w:r>
            <w:r>
              <w:rPr>
                <w:rFonts w:hint="eastAsia" w:cs="Times New Roman"/>
                <w:color w:val="auto"/>
                <w:highlight w:val="none"/>
                <w:lang w:val="en-US" w:eastAsia="zh-CN"/>
              </w:rPr>
              <w:t>14</w:t>
            </w:r>
            <w:r>
              <w:rPr>
                <w:rFonts w:hint="default" w:ascii="Times New Roman" w:hAnsi="Times New Roman" w:cs="Times New Roman"/>
                <w:color w:val="auto"/>
                <w:highlight w:val="none"/>
              </w:rPr>
              <w:t>40h。</w:t>
            </w:r>
          </w:p>
          <w:p w14:paraId="43241486">
            <w:pPr>
              <w:pStyle w:val="7"/>
              <w:keepNext/>
              <w:keepLines/>
              <w:pageBreakBefore w:val="0"/>
              <w:widowControl/>
              <w:kinsoku/>
              <w:wordWrap/>
              <w:overflowPunct/>
              <w:topLinePunct w:val="0"/>
              <w:autoSpaceDE/>
              <w:autoSpaceDN/>
              <w:bidi w:val="0"/>
              <w:adjustRightInd/>
              <w:snapToGrid/>
              <w:spacing w:before="0" w:beforeLines="0" w:line="360" w:lineRule="auto"/>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6.总平面布置</w:t>
            </w:r>
          </w:p>
          <w:p w14:paraId="773CDA16">
            <w:pPr>
              <w:pStyle w:val="1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本项目厂区</w:t>
            </w:r>
            <w:r>
              <w:rPr>
                <w:rFonts w:hint="default" w:ascii="Times New Roman" w:hAnsi="Times New Roman" w:cs="Times New Roman"/>
                <w:color w:val="auto"/>
                <w:spacing w:val="-1"/>
                <w:highlight w:val="none"/>
              </w:rPr>
              <w:t>平面布局：</w:t>
            </w:r>
            <w:r>
              <w:rPr>
                <w:rFonts w:hint="eastAsia" w:ascii="Times New Roman" w:hAnsi="Times New Roman" w:cs="Times New Roman"/>
                <w:color w:val="auto"/>
                <w:spacing w:val="-1"/>
                <w:highlight w:val="none"/>
                <w:lang w:val="en-US" w:eastAsia="zh-CN"/>
              </w:rPr>
              <w:t>生产车间租用善成工业设备有限公司现有场地、厂房进行建设</w:t>
            </w:r>
            <w:r>
              <w:rPr>
                <w:rFonts w:hint="default" w:ascii="Times New Roman" w:hAnsi="Times New Roman" w:cs="Times New Roman"/>
                <w:color w:val="auto"/>
                <w:spacing w:val="-4"/>
                <w:highlight w:val="none"/>
              </w:rPr>
              <w:t>。生产区域功能齐全，整个厂房在满足生产、操作、安全和环保的要求许可时，联合集中布置，集中控制；厂区平面布置功能区分明确，根据工业企业的性质、规模、生产流程、交通运输、环境保护及场地自然条件合理布局；厂区通道</w:t>
            </w:r>
            <w:r>
              <w:rPr>
                <w:rFonts w:hint="default" w:ascii="Times New Roman" w:hAnsi="Times New Roman" w:cs="Times New Roman"/>
                <w:color w:val="auto"/>
                <w:spacing w:val="-3"/>
                <w:highlight w:val="none"/>
              </w:rPr>
              <w:t>宽度满足各种运输线路布局。</w:t>
            </w:r>
          </w:p>
          <w:p w14:paraId="6F15C8AE">
            <w:pPr>
              <w:pStyle w:val="20"/>
              <w:ind w:firstLine="480"/>
              <w:jc w:val="both"/>
              <w:rPr>
                <w:color w:val="auto"/>
              </w:rPr>
            </w:pPr>
            <w:r>
              <w:rPr>
                <w:rFonts w:hint="default" w:ascii="Times New Roman" w:hAnsi="Times New Roman" w:cs="Times New Roman"/>
                <w:color w:val="auto"/>
                <w:highlight w:val="none"/>
              </w:rPr>
              <w:t>生产车间内设备根据产品生产工艺流程形成流水线式布置，避免各工序生产线路反复，节约了人力和物力。</w:t>
            </w:r>
            <w:r>
              <w:rPr>
                <w:rFonts w:hint="eastAsia" w:cs="Times New Roman"/>
                <w:color w:val="auto"/>
                <w:highlight w:val="none"/>
                <w:lang w:val="en-US" w:eastAsia="zh-CN"/>
              </w:rPr>
              <w:t>厂区中钢筒生产线在车间内，在厂区南面空地新建一条pccp管生产线，员工办公室、食堂和宿舍在厂区中央，</w:t>
            </w:r>
            <w:r>
              <w:rPr>
                <w:rFonts w:hint="default" w:ascii="Times New Roman" w:hAnsi="Times New Roman" w:cs="Times New Roman"/>
                <w:color w:val="auto"/>
                <w:highlight w:val="none"/>
              </w:rPr>
              <w:t>整个厂区布置紧凑便捷、节省空间、有利生产、方便管理。综上所述，本项目平面布置合理。</w:t>
            </w:r>
          </w:p>
        </w:tc>
      </w:tr>
    </w:tbl>
    <w:p w14:paraId="6DC22725">
      <w:pPr>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37"/>
        <w:tblW w:w="8375" w:type="dxa"/>
        <w:tblInd w:w="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918"/>
        <w:gridCol w:w="7457"/>
      </w:tblGrid>
      <w:tr w14:paraId="7E7578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866" w:hRule="atLeast"/>
        </w:trPr>
        <w:tc>
          <w:tcPr>
            <w:tcW w:w="918" w:type="dxa"/>
            <w:tcBorders>
              <w:top w:val="single" w:color="000000" w:sz="2" w:space="0"/>
              <w:right w:val="single" w:color="000000" w:sz="2" w:space="0"/>
            </w:tcBorders>
            <w:vAlign w:val="top"/>
          </w:tcPr>
          <w:p w14:paraId="2897F135">
            <w:pPr>
              <w:spacing w:line="247" w:lineRule="auto"/>
              <w:rPr>
                <w:rFonts w:ascii="Arial"/>
                <w:color w:val="auto"/>
                <w:sz w:val="21"/>
                <w:highlight w:val="none"/>
              </w:rPr>
            </w:pPr>
          </w:p>
          <w:p w14:paraId="1C4302E5">
            <w:pPr>
              <w:spacing w:line="247" w:lineRule="auto"/>
              <w:rPr>
                <w:rFonts w:ascii="Arial"/>
                <w:color w:val="auto"/>
                <w:sz w:val="21"/>
                <w:highlight w:val="none"/>
              </w:rPr>
            </w:pPr>
          </w:p>
          <w:p w14:paraId="2D3772AB">
            <w:pPr>
              <w:spacing w:line="248" w:lineRule="auto"/>
              <w:rPr>
                <w:rFonts w:ascii="Arial"/>
                <w:color w:val="auto"/>
                <w:sz w:val="21"/>
                <w:highlight w:val="none"/>
              </w:rPr>
            </w:pPr>
          </w:p>
          <w:p w14:paraId="2887DF33">
            <w:pPr>
              <w:spacing w:line="248" w:lineRule="auto"/>
              <w:rPr>
                <w:rFonts w:ascii="Arial"/>
                <w:color w:val="auto"/>
                <w:sz w:val="21"/>
                <w:highlight w:val="none"/>
              </w:rPr>
            </w:pPr>
          </w:p>
          <w:p w14:paraId="30AE2959">
            <w:pPr>
              <w:spacing w:line="248" w:lineRule="auto"/>
              <w:rPr>
                <w:rFonts w:ascii="Arial"/>
                <w:color w:val="auto"/>
                <w:sz w:val="21"/>
                <w:highlight w:val="none"/>
              </w:rPr>
            </w:pPr>
          </w:p>
          <w:p w14:paraId="2CA6BB17">
            <w:pPr>
              <w:spacing w:line="248" w:lineRule="auto"/>
              <w:rPr>
                <w:rFonts w:ascii="Arial"/>
                <w:color w:val="auto"/>
                <w:sz w:val="21"/>
                <w:highlight w:val="none"/>
              </w:rPr>
            </w:pPr>
          </w:p>
          <w:p w14:paraId="1F589B25">
            <w:pPr>
              <w:spacing w:line="248" w:lineRule="auto"/>
              <w:rPr>
                <w:rFonts w:ascii="Arial"/>
                <w:color w:val="auto"/>
                <w:sz w:val="21"/>
                <w:highlight w:val="none"/>
              </w:rPr>
            </w:pPr>
          </w:p>
          <w:p w14:paraId="03018975">
            <w:pPr>
              <w:spacing w:line="248" w:lineRule="auto"/>
              <w:rPr>
                <w:rFonts w:ascii="Arial"/>
                <w:color w:val="auto"/>
                <w:sz w:val="21"/>
                <w:highlight w:val="none"/>
              </w:rPr>
            </w:pPr>
          </w:p>
          <w:p w14:paraId="69DBF929">
            <w:pPr>
              <w:spacing w:line="248" w:lineRule="auto"/>
              <w:rPr>
                <w:rFonts w:ascii="Arial"/>
                <w:color w:val="auto"/>
                <w:sz w:val="21"/>
                <w:highlight w:val="none"/>
              </w:rPr>
            </w:pPr>
          </w:p>
          <w:p w14:paraId="76602B01">
            <w:pPr>
              <w:spacing w:line="248" w:lineRule="auto"/>
              <w:rPr>
                <w:rFonts w:ascii="Arial"/>
                <w:color w:val="auto"/>
                <w:sz w:val="21"/>
                <w:highlight w:val="none"/>
              </w:rPr>
            </w:pPr>
          </w:p>
          <w:p w14:paraId="60634AF8">
            <w:pPr>
              <w:spacing w:line="248" w:lineRule="auto"/>
              <w:rPr>
                <w:rFonts w:ascii="Arial"/>
                <w:color w:val="auto"/>
                <w:sz w:val="21"/>
                <w:highlight w:val="none"/>
              </w:rPr>
            </w:pPr>
          </w:p>
          <w:p w14:paraId="74F45DD0">
            <w:pPr>
              <w:spacing w:line="248" w:lineRule="auto"/>
              <w:rPr>
                <w:rFonts w:ascii="Arial"/>
                <w:color w:val="auto"/>
                <w:sz w:val="21"/>
                <w:highlight w:val="none"/>
              </w:rPr>
            </w:pPr>
          </w:p>
          <w:p w14:paraId="233FC724">
            <w:pPr>
              <w:spacing w:line="248" w:lineRule="auto"/>
              <w:rPr>
                <w:rFonts w:ascii="Arial"/>
                <w:color w:val="auto"/>
                <w:sz w:val="21"/>
                <w:highlight w:val="none"/>
              </w:rPr>
            </w:pPr>
          </w:p>
          <w:p w14:paraId="087B020B">
            <w:pPr>
              <w:spacing w:line="248" w:lineRule="auto"/>
              <w:rPr>
                <w:rFonts w:ascii="Arial"/>
                <w:color w:val="auto"/>
                <w:sz w:val="21"/>
                <w:highlight w:val="none"/>
              </w:rPr>
            </w:pPr>
          </w:p>
          <w:p w14:paraId="4E426318">
            <w:pPr>
              <w:spacing w:line="248" w:lineRule="auto"/>
              <w:rPr>
                <w:rFonts w:ascii="Arial"/>
                <w:color w:val="auto"/>
                <w:sz w:val="21"/>
                <w:highlight w:val="none"/>
              </w:rPr>
            </w:pPr>
          </w:p>
          <w:p w14:paraId="655B6329">
            <w:pPr>
              <w:spacing w:line="248" w:lineRule="auto"/>
              <w:rPr>
                <w:rFonts w:ascii="Arial"/>
                <w:color w:val="auto"/>
                <w:sz w:val="21"/>
                <w:highlight w:val="none"/>
              </w:rPr>
            </w:pPr>
          </w:p>
          <w:p w14:paraId="4819F7C1">
            <w:pPr>
              <w:spacing w:line="248" w:lineRule="auto"/>
              <w:rPr>
                <w:rFonts w:ascii="Arial"/>
                <w:color w:val="auto"/>
                <w:sz w:val="21"/>
                <w:highlight w:val="none"/>
              </w:rPr>
            </w:pPr>
          </w:p>
          <w:p w14:paraId="2F0BBE09">
            <w:pPr>
              <w:spacing w:line="248" w:lineRule="auto"/>
              <w:rPr>
                <w:rFonts w:ascii="Arial"/>
                <w:color w:val="auto"/>
                <w:sz w:val="21"/>
                <w:highlight w:val="none"/>
              </w:rPr>
            </w:pPr>
          </w:p>
          <w:p w14:paraId="003DE74D">
            <w:pPr>
              <w:spacing w:line="248" w:lineRule="auto"/>
              <w:rPr>
                <w:rFonts w:ascii="Arial"/>
                <w:color w:val="auto"/>
                <w:sz w:val="21"/>
                <w:highlight w:val="none"/>
              </w:rPr>
            </w:pPr>
          </w:p>
          <w:p w14:paraId="35014CC8">
            <w:pPr>
              <w:spacing w:line="248" w:lineRule="auto"/>
              <w:rPr>
                <w:rFonts w:ascii="Arial"/>
                <w:color w:val="auto"/>
                <w:sz w:val="21"/>
                <w:highlight w:val="none"/>
              </w:rPr>
            </w:pPr>
          </w:p>
          <w:p w14:paraId="66EB8A88">
            <w:pPr>
              <w:spacing w:line="248" w:lineRule="auto"/>
              <w:rPr>
                <w:rFonts w:ascii="Arial"/>
                <w:color w:val="auto"/>
                <w:sz w:val="21"/>
                <w:highlight w:val="none"/>
              </w:rPr>
            </w:pPr>
          </w:p>
          <w:p w14:paraId="3B456E3F">
            <w:pPr>
              <w:spacing w:line="248" w:lineRule="auto"/>
              <w:rPr>
                <w:rFonts w:ascii="Arial"/>
                <w:color w:val="auto"/>
                <w:sz w:val="21"/>
                <w:highlight w:val="none"/>
              </w:rPr>
            </w:pPr>
          </w:p>
          <w:p w14:paraId="2FFE0DCB">
            <w:pPr>
              <w:pStyle w:val="36"/>
              <w:spacing w:before="65" w:line="232" w:lineRule="auto"/>
              <w:ind w:left="144"/>
              <w:rPr>
                <w:color w:val="auto"/>
                <w:sz w:val="20"/>
                <w:szCs w:val="20"/>
                <w:highlight w:val="none"/>
              </w:rPr>
            </w:pPr>
            <w:r>
              <w:rPr>
                <w:color w:val="auto"/>
                <w:spacing w:val="6"/>
                <w:sz w:val="20"/>
                <w:szCs w:val="20"/>
                <w:highlight w:val="none"/>
              </w:rPr>
              <w:t>工艺流</w:t>
            </w:r>
          </w:p>
          <w:p w14:paraId="11760F6A">
            <w:pPr>
              <w:pStyle w:val="36"/>
              <w:spacing w:before="20" w:line="228" w:lineRule="auto"/>
              <w:ind w:left="141"/>
              <w:rPr>
                <w:color w:val="auto"/>
                <w:sz w:val="20"/>
                <w:szCs w:val="20"/>
                <w:highlight w:val="none"/>
              </w:rPr>
            </w:pPr>
            <w:r>
              <w:rPr>
                <w:color w:val="auto"/>
                <w:spacing w:val="7"/>
                <w:sz w:val="20"/>
                <w:szCs w:val="20"/>
                <w:highlight w:val="none"/>
              </w:rPr>
              <w:t>程和产</w:t>
            </w:r>
          </w:p>
          <w:p w14:paraId="1E78F238">
            <w:pPr>
              <w:pStyle w:val="36"/>
              <w:spacing w:before="25" w:line="231" w:lineRule="auto"/>
              <w:ind w:left="142"/>
              <w:rPr>
                <w:color w:val="auto"/>
                <w:sz w:val="20"/>
                <w:szCs w:val="20"/>
                <w:highlight w:val="none"/>
              </w:rPr>
            </w:pPr>
            <w:r>
              <w:rPr>
                <w:color w:val="auto"/>
                <w:spacing w:val="6"/>
                <w:sz w:val="20"/>
                <w:szCs w:val="20"/>
                <w:highlight w:val="none"/>
              </w:rPr>
              <w:t>排污环</w:t>
            </w:r>
          </w:p>
          <w:p w14:paraId="404F429C">
            <w:pPr>
              <w:pStyle w:val="36"/>
              <w:spacing w:before="21" w:line="229" w:lineRule="auto"/>
              <w:ind w:left="353"/>
              <w:rPr>
                <w:color w:val="auto"/>
                <w:sz w:val="20"/>
                <w:szCs w:val="20"/>
                <w:highlight w:val="none"/>
              </w:rPr>
            </w:pPr>
            <w:r>
              <w:rPr>
                <w:color w:val="auto"/>
                <w:sz w:val="20"/>
                <w:szCs w:val="20"/>
                <w:highlight w:val="none"/>
              </w:rPr>
              <w:t>节</w:t>
            </w:r>
          </w:p>
        </w:tc>
        <w:tc>
          <w:tcPr>
            <w:tcW w:w="7457" w:type="dxa"/>
            <w:tcBorders>
              <w:top w:val="single" w:color="000000" w:sz="2" w:space="0"/>
              <w:left w:val="single" w:color="000000" w:sz="2" w:space="0"/>
            </w:tcBorders>
            <w:vAlign w:val="top"/>
          </w:tcPr>
          <w:p w14:paraId="3C530A98">
            <w:pPr>
              <w:pStyle w:val="36"/>
              <w:spacing w:before="38" w:line="360" w:lineRule="auto"/>
              <w:ind w:left="115"/>
              <w:rPr>
                <w:rFonts w:hint="eastAsia" w:ascii="Times New Roman" w:hAnsi="Times New Roman" w:eastAsia="Times New Roman" w:cs="Times New Roman"/>
                <w:b/>
                <w:bCs/>
                <w:color w:val="auto"/>
                <w:spacing w:val="-1"/>
                <w:highlight w:val="none"/>
              </w:rPr>
            </w:pPr>
            <w:r>
              <w:rPr>
                <w:rFonts w:hint="eastAsia" w:ascii="Times New Roman" w:hAnsi="Times New Roman" w:eastAsia="Times New Roman" w:cs="Times New Roman"/>
                <w:b/>
                <w:bCs/>
                <w:color w:val="auto"/>
                <w:spacing w:val="-1"/>
                <w:highlight w:val="none"/>
              </w:rPr>
              <w:t>1、施工期施工过程及产污节点说明</w:t>
            </w:r>
          </w:p>
          <w:p w14:paraId="500EDAC7">
            <w:pPr>
              <w:pStyle w:val="10"/>
              <w:keepNext w:val="0"/>
              <w:keepLines w:val="0"/>
              <w:pageBreakBefore w:val="0"/>
              <w:widowControl w:val="0"/>
              <w:kinsoku/>
              <w:wordWrap/>
              <w:overflowPunct/>
              <w:topLinePunct w:val="0"/>
              <w:autoSpaceDE/>
              <w:autoSpaceDN/>
              <w:bidi w:val="0"/>
              <w:adjustRightInd/>
              <w:snapToGrid/>
              <w:spacing w:line="360" w:lineRule="auto"/>
              <w:ind w:firstLine="464" w:firstLineChars="200"/>
              <w:jc w:val="both"/>
              <w:textAlignment w:val="auto"/>
              <w:rPr>
                <w:rFonts w:hint="default" w:ascii="Times New Roman" w:hAnsi="Times New Roman" w:eastAsia="宋体" w:cs="Times New Roman"/>
                <w:color w:val="auto"/>
                <w:spacing w:val="-4"/>
                <w:highlight w:val="none"/>
              </w:rPr>
            </w:pPr>
            <w:r>
              <w:rPr>
                <w:rFonts w:hint="eastAsia" w:ascii="Times New Roman" w:hAnsi="Times New Roman" w:eastAsia="宋体" w:cs="Times New Roman"/>
                <w:color w:val="auto"/>
                <w:spacing w:val="-4"/>
                <w:highlight w:val="none"/>
              </w:rPr>
              <w:t>本项目租用已建成厂房进行建设PCCP</w:t>
            </w:r>
            <w:r>
              <w:rPr>
                <w:rFonts w:hint="eastAsia" w:ascii="Times New Roman" w:hAnsi="Times New Roman" w:cs="Times New Roman"/>
                <w:color w:val="auto"/>
                <w:spacing w:val="-4"/>
                <w:highlight w:val="none"/>
                <w:lang w:val="en-US" w:eastAsia="zh-CN"/>
              </w:rPr>
              <w:t>钢筒</w:t>
            </w:r>
            <w:r>
              <w:rPr>
                <w:rFonts w:hint="eastAsia" w:ascii="Times New Roman" w:hAnsi="Times New Roman" w:eastAsia="宋体" w:cs="Times New Roman"/>
                <w:color w:val="auto"/>
                <w:spacing w:val="-4"/>
                <w:highlight w:val="none"/>
              </w:rPr>
              <w:t>制作车间及PCCP管配件制作车间，租用空地布置PCCP管模组装、管芯浇筑、缠丝等工艺设备，在空地内进行全部硬化，在砂石堆场设置一个</w:t>
            </w:r>
            <w:r>
              <w:rPr>
                <w:rFonts w:hint="eastAsia" w:ascii="Times New Roman" w:hAnsi="Times New Roman" w:eastAsia="宋体" w:cs="Times New Roman"/>
                <w:color w:val="auto"/>
                <w:spacing w:val="-4"/>
                <w:highlight w:val="none"/>
                <w:lang w:val="en-US" w:eastAsia="zh-CN"/>
              </w:rPr>
              <w:t>全</w:t>
            </w:r>
            <w:r>
              <w:rPr>
                <w:rFonts w:hint="eastAsia" w:ascii="Times New Roman" w:hAnsi="Times New Roman" w:eastAsia="宋体" w:cs="Times New Roman"/>
                <w:color w:val="auto"/>
                <w:spacing w:val="-4"/>
                <w:highlight w:val="none"/>
              </w:rPr>
              <w:t>密闭</w:t>
            </w:r>
            <w:r>
              <w:rPr>
                <w:rFonts w:hint="eastAsia" w:ascii="Times New Roman" w:hAnsi="Times New Roman" w:eastAsia="宋体" w:cs="Times New Roman"/>
                <w:color w:val="auto"/>
                <w:spacing w:val="-4"/>
                <w:highlight w:val="none"/>
                <w:lang w:val="en-US" w:eastAsia="zh-CN"/>
              </w:rPr>
              <w:t>厂房</w:t>
            </w:r>
            <w:r>
              <w:rPr>
                <w:rFonts w:hint="eastAsia" w:ascii="Times New Roman" w:hAnsi="Times New Roman" w:eastAsia="宋体" w:cs="Times New Roman"/>
                <w:color w:val="auto"/>
                <w:spacing w:val="-4"/>
                <w:highlight w:val="none"/>
              </w:rPr>
              <w:t>、搅拌区设置全密闭</w:t>
            </w:r>
            <w:r>
              <w:rPr>
                <w:rFonts w:hint="eastAsia" w:ascii="Times New Roman" w:hAnsi="Times New Roman" w:eastAsia="宋体" w:cs="Times New Roman"/>
                <w:color w:val="auto"/>
                <w:spacing w:val="-4"/>
                <w:highlight w:val="none"/>
                <w:lang w:val="en-US" w:eastAsia="zh-CN"/>
              </w:rPr>
              <w:t>厂房</w:t>
            </w:r>
            <w:r>
              <w:rPr>
                <w:rFonts w:hint="eastAsia" w:ascii="Times New Roman" w:hAnsi="Times New Roman" w:eastAsia="宋体" w:cs="Times New Roman"/>
                <w:color w:val="auto"/>
                <w:spacing w:val="-4"/>
                <w:highlight w:val="none"/>
              </w:rPr>
              <w:t>。施工期主要进行设备安装，施工期持续时间短，对环境影响较小。</w:t>
            </w:r>
          </w:p>
          <w:p w14:paraId="26E81247">
            <w:pPr>
              <w:pStyle w:val="36"/>
              <w:keepNext w:val="0"/>
              <w:keepLines w:val="0"/>
              <w:pageBreakBefore w:val="0"/>
              <w:widowControl w:val="0"/>
              <w:kinsoku/>
              <w:wordWrap/>
              <w:overflowPunct/>
              <w:topLinePunct w:val="0"/>
              <w:autoSpaceDE/>
              <w:autoSpaceDN/>
              <w:bidi w:val="0"/>
              <w:adjustRightInd/>
              <w:snapToGrid/>
              <w:spacing w:line="360" w:lineRule="auto"/>
              <w:ind w:left="582"/>
              <w:jc w:val="both"/>
              <w:textAlignment w:val="auto"/>
              <w:rPr>
                <w:rFonts w:hint="eastAsia" w:eastAsia="宋体"/>
                <w:color w:val="auto"/>
                <w:spacing w:val="-4"/>
                <w:highlight w:val="none"/>
                <w:lang w:eastAsia="zh-CN"/>
              </w:rPr>
            </w:pPr>
            <w:r>
              <w:rPr>
                <w:color w:val="auto"/>
                <w:spacing w:val="-4"/>
                <w:highlight w:val="none"/>
              </w:rPr>
              <w:t>本项目</w:t>
            </w:r>
            <w:r>
              <w:rPr>
                <w:rFonts w:hint="default" w:ascii="Times New Roman" w:hAnsi="Times New Roman" w:cs="Times New Roman"/>
                <w:color w:val="auto"/>
                <w:spacing w:val="-4"/>
                <w:highlight w:val="none"/>
                <w:lang w:val="en-US" w:eastAsia="zh-CN"/>
              </w:rPr>
              <w:t>PCCP</w:t>
            </w:r>
            <w:r>
              <w:rPr>
                <w:color w:val="auto"/>
                <w:spacing w:val="-4"/>
                <w:highlight w:val="none"/>
              </w:rPr>
              <w:t>管桩生产线工艺流程见图</w:t>
            </w:r>
            <w:r>
              <w:rPr>
                <w:rFonts w:ascii="Times New Roman" w:hAnsi="Times New Roman" w:eastAsia="Times New Roman" w:cs="Times New Roman"/>
                <w:color w:val="auto"/>
                <w:spacing w:val="-4"/>
                <w:highlight w:val="none"/>
              </w:rPr>
              <w:t>2</w:t>
            </w:r>
            <w:r>
              <w:rPr>
                <w:color w:val="auto"/>
                <w:spacing w:val="-4"/>
                <w:highlight w:val="none"/>
              </w:rPr>
              <w:t>。</w:t>
            </w:r>
            <w:r>
              <w:rPr>
                <w:rFonts w:hint="eastAsia" w:eastAsia="宋体"/>
                <w:color w:val="auto"/>
                <w:spacing w:val="-4"/>
                <w:highlight w:val="none"/>
                <w:lang w:eastAsia="zh-CN"/>
              </w:rPr>
              <w:drawing>
                <wp:anchor distT="0" distB="0" distL="114300" distR="114300" simplePos="0" relativeHeight="251666432" behindDoc="0" locked="0" layoutInCell="1" allowOverlap="1">
                  <wp:simplePos x="0" y="0"/>
                  <wp:positionH relativeFrom="column">
                    <wp:posOffset>369570</wp:posOffset>
                  </wp:positionH>
                  <wp:positionV relativeFrom="paragraph">
                    <wp:posOffset>375285</wp:posOffset>
                  </wp:positionV>
                  <wp:extent cx="4170045" cy="2418715"/>
                  <wp:effectExtent l="0" t="0" r="0" b="0"/>
                  <wp:wrapTopAndBottom/>
                  <wp:docPr id="11" name="ECB019B1-382A-4266-B25C-5B523AA43C14-2" descr="C:/Users/a's/AppData/Local/Temp/wps.fENJXy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CB019B1-382A-4266-B25C-5B523AA43C14-2" descr="C:/Users/a's/AppData/Local/Temp/wps.fENJXywps"/>
                          <pic:cNvPicPr>
                            <a:picLocks noChangeAspect="1"/>
                          </pic:cNvPicPr>
                        </pic:nvPicPr>
                        <pic:blipFill>
                          <a:blip r:embed="rId12"/>
                          <a:stretch>
                            <a:fillRect/>
                          </a:stretch>
                        </pic:blipFill>
                        <pic:spPr>
                          <a:xfrm>
                            <a:off x="0" y="0"/>
                            <a:ext cx="4170045" cy="2418715"/>
                          </a:xfrm>
                          <a:prstGeom prst="rect">
                            <a:avLst/>
                          </a:prstGeom>
                        </pic:spPr>
                      </pic:pic>
                    </a:graphicData>
                  </a:graphic>
                </wp:anchor>
              </w:drawing>
            </w:r>
          </w:p>
          <w:p w14:paraId="5273EC51">
            <w:pPr>
              <w:pStyle w:val="36"/>
              <w:keepNext w:val="0"/>
              <w:keepLines w:val="0"/>
              <w:pageBreakBefore w:val="0"/>
              <w:widowControl w:val="0"/>
              <w:kinsoku/>
              <w:wordWrap/>
              <w:overflowPunct/>
              <w:topLinePunct w:val="0"/>
              <w:autoSpaceDE/>
              <w:autoSpaceDN/>
              <w:bidi w:val="0"/>
              <w:adjustRightInd/>
              <w:snapToGrid/>
              <w:spacing w:line="360" w:lineRule="auto"/>
              <w:ind w:left="582"/>
              <w:textAlignment w:val="auto"/>
              <w:rPr>
                <w:color w:val="auto"/>
                <w:spacing w:val="-4"/>
                <w:highlight w:val="none"/>
              </w:rPr>
            </w:pPr>
          </w:p>
          <w:p w14:paraId="2CEB546B">
            <w:pPr>
              <w:pStyle w:val="36"/>
              <w:spacing w:before="236" w:line="220" w:lineRule="auto"/>
              <w:jc w:val="center"/>
              <w:rPr>
                <w:color w:val="auto"/>
                <w:highlight w:val="none"/>
              </w:rPr>
            </w:pPr>
            <w:r>
              <w:rPr>
                <w:color w:val="auto"/>
                <w:spacing w:val="-2"/>
                <w:highlight w:val="none"/>
                <w14:textOutline w14:w="4358" w14:cap="sq" w14:cmpd="sng">
                  <w14:solidFill>
                    <w14:srgbClr w14:val="000000"/>
                  </w14:solidFill>
                  <w14:prstDash w14:val="solid"/>
                  <w14:bevel/>
                </w14:textOutline>
              </w:rPr>
              <w:t>图</w:t>
            </w:r>
            <w:r>
              <w:rPr>
                <w:rFonts w:ascii="Times New Roman" w:hAnsi="Times New Roman" w:eastAsia="Times New Roman" w:cs="Times New Roman"/>
                <w:b/>
                <w:bCs/>
                <w:color w:val="auto"/>
                <w:spacing w:val="-2"/>
                <w:highlight w:val="none"/>
              </w:rPr>
              <w:t xml:space="preserve">2  </w:t>
            </w:r>
            <w:r>
              <w:rPr>
                <w:rFonts w:hint="eastAsia" w:eastAsia="宋体"/>
                <w:color w:val="auto"/>
                <w:spacing w:val="-2"/>
                <w:highlight w:val="none"/>
                <w:lang w:val="en-US" w:eastAsia="zh-CN"/>
                <w14:textOutline w14:w="4358" w14:cap="sq" w14:cmpd="sng">
                  <w14:solidFill>
                    <w14:srgbClr w14:val="000000"/>
                  </w14:solidFill>
                  <w14:prstDash w14:val="solid"/>
                  <w14:bevel/>
                </w14:textOutline>
              </w:rPr>
              <w:t>PCCP管</w:t>
            </w:r>
            <w:r>
              <w:rPr>
                <w:color w:val="auto"/>
                <w:spacing w:val="-2"/>
                <w:highlight w:val="none"/>
                <w14:textOutline w14:w="4358" w14:cap="sq" w14:cmpd="sng">
                  <w14:solidFill>
                    <w14:srgbClr w14:val="000000"/>
                  </w14:solidFill>
                  <w14:prstDash w14:val="solid"/>
                  <w14:bevel/>
                </w14:textOutline>
              </w:rPr>
              <w:t>生产工艺流程</w:t>
            </w:r>
          </w:p>
          <w:p w14:paraId="1A709152">
            <w:pPr>
              <w:pStyle w:val="10"/>
              <w:spacing w:line="360" w:lineRule="auto"/>
              <w:ind w:firstLine="464" w:firstLineChars="200"/>
              <w:rPr>
                <w:rFonts w:hint="eastAsia" w:ascii="Times New Roman" w:hAnsi="Times New Roman" w:eastAsia="宋体" w:cs="Times New Roman"/>
                <w:color w:val="auto"/>
                <w:spacing w:val="-4"/>
                <w:highlight w:val="none"/>
              </w:rPr>
            </w:pPr>
            <w:r>
              <w:rPr>
                <w:rFonts w:hint="eastAsia" w:ascii="Times New Roman" w:hAnsi="Times New Roman" w:eastAsia="宋体" w:cs="Times New Roman"/>
                <w:color w:val="auto"/>
                <w:spacing w:val="-4"/>
                <w:highlight w:val="none"/>
              </w:rPr>
              <w:t>工艺流程简述：</w:t>
            </w:r>
          </w:p>
          <w:p w14:paraId="78D4CF92">
            <w:pPr>
              <w:pStyle w:val="10"/>
              <w:spacing w:line="360" w:lineRule="auto"/>
              <w:ind w:firstLine="464" w:firstLineChars="200"/>
              <w:rPr>
                <w:rFonts w:hint="default" w:ascii="Times New Roman" w:hAnsi="Times New Roman" w:eastAsia="宋体" w:cs="Times New Roman"/>
                <w:color w:val="auto"/>
                <w:spacing w:val="-4"/>
                <w:highlight w:val="none"/>
                <w:lang w:val="en-US" w:eastAsia="zh-CN"/>
              </w:rPr>
            </w:pPr>
            <w:r>
              <w:rPr>
                <w:rFonts w:hint="eastAsia" w:ascii="Times New Roman" w:hAnsi="Times New Roman" w:eastAsia="宋体" w:cs="Times New Roman"/>
                <w:color w:val="auto"/>
                <w:spacing w:val="-4"/>
                <w:highlight w:val="none"/>
              </w:rPr>
              <w:t>（1）</w:t>
            </w:r>
            <w:r>
              <w:rPr>
                <w:rFonts w:hint="eastAsia" w:ascii="Times New Roman" w:hAnsi="Times New Roman" w:eastAsia="宋体" w:cs="Times New Roman"/>
                <w:color w:val="auto"/>
                <w:spacing w:val="-4"/>
                <w:highlight w:val="none"/>
                <w:lang w:val="en-US" w:eastAsia="zh-CN"/>
              </w:rPr>
              <w:t>承插口胀圆：将外购来的承、插型钢先采用磁力钻对承、插型钢进行钻孔，钻孔完成后采用电动磨光机打磨掉切割和钻孔留下的毛边。钻孔、打磨工序会产生金属颗粒物，由于金属颗粒物比重较大，基本都在设备周围快速沉降，作为金属边角料收集，故本次评价不考虑钻孔、打磨工序的粉尘该工序产生的污染物主要为金属边角料。PCCP接头采用承、插口连接方式承口钢环和插口钢环是单体管材连接、止水的重要部件，经定制钢板下料、卷圆焊接、承口和插口钢环胀圆精整，达到承、插口两钢环的高精度配合。</w:t>
            </w:r>
            <w:r>
              <w:rPr>
                <w:rFonts w:hint="eastAsia" w:ascii="Times New Roman" w:hAnsi="Times New Roman" w:cs="Times New Roman"/>
                <w:color w:val="auto"/>
                <w:spacing w:val="-4"/>
                <w:highlight w:val="none"/>
                <w:lang w:val="en-US" w:eastAsia="zh-CN"/>
              </w:rPr>
              <w:t>该过程会有金属边角料及废焊渣产生。</w:t>
            </w:r>
          </w:p>
          <w:p w14:paraId="7409732B">
            <w:pPr>
              <w:pStyle w:val="10"/>
              <w:spacing w:line="360" w:lineRule="auto"/>
              <w:ind w:firstLine="464" w:firstLineChars="200"/>
              <w:rPr>
                <w:rFonts w:hint="eastAsia" w:ascii="Times New Roman" w:hAnsi="Times New Roman" w:cs="Times New Roman"/>
                <w:color w:val="auto"/>
                <w:spacing w:val="-4"/>
                <w:highlight w:val="none"/>
                <w:lang w:val="en-US" w:eastAsia="zh-CN"/>
              </w:rPr>
            </w:pPr>
            <w:r>
              <w:rPr>
                <w:rFonts w:hint="eastAsia" w:ascii="Times New Roman" w:hAnsi="Times New Roman" w:eastAsia="宋体" w:cs="Times New Roman"/>
                <w:color w:val="auto"/>
                <w:spacing w:val="-4"/>
                <w:highlight w:val="none"/>
                <w:lang w:val="en-US" w:eastAsia="zh-CN"/>
              </w:rPr>
              <w:t>（2）钢筒焊接：开动焊机，用手工焊条焊接承口钢圈的两端。焊接时，焊缝要密实均匀，采用双面熔透焊接；</w:t>
            </w:r>
            <w:r>
              <w:rPr>
                <w:rFonts w:hint="eastAsia" w:ascii="Times New Roman" w:hAnsi="Times New Roman" w:cs="Times New Roman"/>
                <w:color w:val="auto"/>
                <w:spacing w:val="-4"/>
                <w:highlight w:val="none"/>
                <w:lang w:val="en-US" w:eastAsia="zh-CN"/>
              </w:rPr>
              <w:t>此过程会有焊渣产生。</w:t>
            </w:r>
          </w:p>
          <w:p w14:paraId="054CA644">
            <w:pPr>
              <w:pStyle w:val="10"/>
              <w:spacing w:line="360" w:lineRule="auto"/>
              <w:ind w:firstLine="464" w:firstLineChars="200"/>
              <w:rPr>
                <w:rFonts w:hint="eastAsia" w:ascii="Times New Roman" w:hAnsi="Times New Roman" w:cs="Times New Roman"/>
                <w:color w:val="auto"/>
                <w:spacing w:val="-4"/>
                <w:highlight w:val="none"/>
                <w:lang w:val="en-US" w:eastAsia="zh-CN"/>
              </w:rPr>
            </w:pPr>
            <w:r>
              <w:rPr>
                <w:rFonts w:hint="eastAsia" w:ascii="Times New Roman" w:hAnsi="Times New Roman" w:eastAsia="宋体" w:cs="Times New Roman"/>
                <w:color w:val="auto"/>
                <w:spacing w:val="-4"/>
                <w:highlight w:val="none"/>
                <w:lang w:val="en-US" w:eastAsia="zh-CN"/>
              </w:rPr>
              <w:t>（3）</w:t>
            </w:r>
            <w:r>
              <w:rPr>
                <w:rFonts w:hint="eastAsia" w:ascii="Times New Roman" w:hAnsi="Times New Roman" w:cs="Times New Roman"/>
                <w:color w:val="auto"/>
                <w:spacing w:val="-4"/>
                <w:highlight w:val="none"/>
                <w:lang w:val="en-US" w:eastAsia="zh-CN"/>
              </w:rPr>
              <w:t>钢筒水压：钢筒制作完成后按设计要求进行钢筒静水压检验，经打压合格试验和即为合格的钢筒。</w:t>
            </w:r>
          </w:p>
          <w:p w14:paraId="2C0FE8CC">
            <w:pPr>
              <w:pStyle w:val="10"/>
              <w:spacing w:line="360" w:lineRule="auto"/>
              <w:ind w:firstLine="464" w:firstLineChars="200"/>
              <w:rPr>
                <w:rFonts w:hint="default" w:ascii="Times New Roman" w:hAnsi="Times New Roman" w:eastAsia="宋体" w:cs="Times New Roman"/>
                <w:color w:val="auto"/>
                <w:spacing w:val="-4"/>
                <w:highlight w:val="none"/>
                <w:lang w:val="en-US" w:eastAsia="zh-CN"/>
              </w:rPr>
            </w:pPr>
            <w:r>
              <w:rPr>
                <w:rFonts w:hint="eastAsia" w:ascii="Times New Roman" w:hAnsi="Times New Roman" w:eastAsia="宋体" w:cs="Times New Roman"/>
                <w:color w:val="auto"/>
                <w:spacing w:val="-4"/>
                <w:highlight w:val="none"/>
                <w:lang w:val="en-US" w:eastAsia="zh-CN"/>
              </w:rPr>
              <w:t>（4）</w:t>
            </w:r>
            <w:r>
              <w:rPr>
                <w:rFonts w:hint="eastAsia" w:ascii="Times New Roman" w:hAnsi="Times New Roman" w:cs="Times New Roman"/>
                <w:color w:val="auto"/>
                <w:spacing w:val="-4"/>
                <w:highlight w:val="none"/>
                <w:lang w:val="en-US" w:eastAsia="zh-CN"/>
              </w:rPr>
              <w:t>浇筑成型：向组装好的模具中浇筑自制的混凝土，钢筒镶嵌在混凝土之中，经过设置在模具上的气动振动器强力震捣，形成PCCP混凝土管芯待管芯在模具中成型后转移至管芯存放区。该过程会有废弃混凝土产生。</w:t>
            </w:r>
          </w:p>
          <w:p w14:paraId="254DD968">
            <w:pPr>
              <w:pStyle w:val="10"/>
              <w:spacing w:line="360" w:lineRule="auto"/>
              <w:ind w:firstLine="464" w:firstLineChars="200"/>
              <w:rPr>
                <w:rFonts w:hint="default" w:ascii="Times New Roman" w:hAnsi="Times New Roman" w:eastAsia="宋体" w:cs="Times New Roman"/>
                <w:color w:val="auto"/>
                <w:spacing w:val="-4"/>
                <w:highlight w:val="none"/>
                <w:lang w:val="en-US" w:eastAsia="zh-CN"/>
              </w:rPr>
            </w:pPr>
            <w:r>
              <w:rPr>
                <w:rFonts w:hint="eastAsia" w:ascii="Times New Roman" w:hAnsi="Times New Roman" w:eastAsia="宋体" w:cs="Times New Roman"/>
                <w:color w:val="auto"/>
                <w:spacing w:val="-4"/>
                <w:highlight w:val="none"/>
                <w:lang w:val="en-US" w:eastAsia="zh-CN"/>
              </w:rPr>
              <w:t>（</w:t>
            </w:r>
            <w:r>
              <w:rPr>
                <w:rFonts w:hint="eastAsia" w:ascii="Times New Roman" w:hAnsi="Times New Roman" w:cs="Times New Roman"/>
                <w:color w:val="auto"/>
                <w:spacing w:val="-4"/>
                <w:highlight w:val="none"/>
                <w:lang w:val="en-US" w:eastAsia="zh-CN"/>
              </w:rPr>
              <w:t>5</w:t>
            </w:r>
            <w:r>
              <w:rPr>
                <w:rFonts w:hint="eastAsia" w:ascii="Times New Roman" w:hAnsi="Times New Roman" w:eastAsia="宋体" w:cs="Times New Roman"/>
                <w:color w:val="auto"/>
                <w:spacing w:val="-4"/>
                <w:highlight w:val="none"/>
                <w:lang w:val="en-US" w:eastAsia="zh-CN"/>
              </w:rPr>
              <w:t>）</w:t>
            </w:r>
            <w:r>
              <w:rPr>
                <w:rFonts w:hint="eastAsia" w:ascii="Times New Roman" w:hAnsi="Times New Roman" w:cs="Times New Roman"/>
                <w:color w:val="auto"/>
                <w:spacing w:val="-4"/>
                <w:highlight w:val="none"/>
                <w:lang w:val="en-US" w:eastAsia="zh-CN"/>
              </w:rPr>
              <w:t>蒸汽养护：采用自动温控系统进行管芯混凝土蒸汽养护的升温、恒温、</w:t>
            </w:r>
            <w:r>
              <w:rPr>
                <w:rFonts w:hint="default" w:ascii="Times New Roman" w:hAnsi="Times New Roman" w:cs="Times New Roman"/>
                <w:color w:val="auto"/>
                <w:spacing w:val="-4"/>
                <w:highlight w:val="none"/>
                <w:lang w:val="en-US" w:eastAsia="zh-CN"/>
              </w:rPr>
              <w:t>降温温度和时间控制管芯蒸汽养护时先静停2小时。静停温度控制在4℃~32℃之间混凝土蒸汽养护的升温速度不超过20℃/h；最高温度不应超过52℃,每30min作一次温度记录当达到规定的蒸养</w:t>
            </w:r>
            <w:r>
              <w:rPr>
                <w:rFonts w:hint="eastAsia" w:ascii="Times New Roman" w:hAnsi="Times New Roman" w:cs="Times New Roman"/>
                <w:color w:val="auto"/>
                <w:spacing w:val="-4"/>
                <w:highlight w:val="none"/>
                <w:lang w:val="en-US" w:eastAsia="zh-CN"/>
              </w:rPr>
              <w:t>时间后关闭自动系统蒸汽管路控制阀门进行自然降温。实验室测试一组脱模强度试块，获取试块强度。当试块的强度达20MPa以上时可进行脱模。该过程会有养护废料产生。</w:t>
            </w:r>
          </w:p>
          <w:p w14:paraId="56ACEEA5">
            <w:pPr>
              <w:pStyle w:val="10"/>
              <w:spacing w:line="360" w:lineRule="auto"/>
              <w:ind w:firstLine="464" w:firstLineChars="200"/>
              <w:rPr>
                <w:rFonts w:hint="eastAsia" w:ascii="Times New Roman" w:hAnsi="Times New Roman" w:cs="Times New Roman"/>
                <w:color w:val="auto"/>
                <w:spacing w:val="-4"/>
                <w:highlight w:val="none"/>
                <w:lang w:val="en-US" w:eastAsia="zh-CN"/>
              </w:rPr>
            </w:pPr>
            <w:r>
              <w:rPr>
                <w:rFonts w:hint="eastAsia" w:ascii="Times New Roman" w:hAnsi="Times New Roman" w:cs="Times New Roman"/>
                <w:color w:val="auto"/>
                <w:spacing w:val="-4"/>
                <w:highlight w:val="none"/>
                <w:lang w:val="en-US" w:eastAsia="zh-CN"/>
              </w:rPr>
              <w:t>（6）脱模：待管芯养护完成后，将外购的脱模剂(脱模剂与水混合液)均匀喷洒在模具边缘，使其渗入模具内起润滑作用，最后打开模具，取出管芯。</w:t>
            </w:r>
          </w:p>
          <w:p w14:paraId="4D57674E">
            <w:pPr>
              <w:pStyle w:val="10"/>
              <w:spacing w:line="360" w:lineRule="auto"/>
              <w:ind w:firstLine="464" w:firstLineChars="200"/>
              <w:rPr>
                <w:rFonts w:hint="default" w:ascii="Times New Roman" w:hAnsi="Times New Roman" w:cs="Times New Roman"/>
                <w:color w:val="auto"/>
                <w:spacing w:val="-4"/>
                <w:highlight w:val="none"/>
                <w:lang w:val="en-US" w:eastAsia="zh-CN"/>
              </w:rPr>
            </w:pPr>
            <w:r>
              <w:rPr>
                <w:rFonts w:hint="eastAsia" w:ascii="Times New Roman" w:hAnsi="Times New Roman" w:cs="Times New Roman"/>
                <w:color w:val="auto"/>
                <w:spacing w:val="-4"/>
                <w:highlight w:val="none"/>
                <w:lang w:val="en-US" w:eastAsia="zh-CN"/>
              </w:rPr>
              <w:t>（7）缠丝：在管芯上安装钢带并缠绕高强钢丝、施加环向预应力是PCCP生产的关键工序之一，是保证管道强度的重要手段，安装钢带是为了保护钢丝不受腐蚀。将管芯吊至缠丝机工作台，钢丝以设计规定的拉应力螺旋式缠绕在管芯上。该过程会有废钢丝产生。</w:t>
            </w:r>
          </w:p>
          <w:p w14:paraId="70FECBA6">
            <w:pPr>
              <w:pStyle w:val="10"/>
              <w:spacing w:line="360" w:lineRule="auto"/>
              <w:ind w:firstLine="464" w:firstLineChars="200"/>
              <w:rPr>
                <w:rFonts w:hint="default" w:ascii="Times New Roman" w:hAnsi="Times New Roman" w:cs="Times New Roman"/>
                <w:color w:val="auto"/>
                <w:spacing w:val="-4"/>
                <w:highlight w:val="none"/>
                <w:lang w:val="en-US" w:eastAsia="zh-CN"/>
              </w:rPr>
            </w:pPr>
            <w:r>
              <w:rPr>
                <w:rFonts w:hint="eastAsia" w:ascii="Times New Roman" w:hAnsi="Times New Roman" w:cs="Times New Roman"/>
                <w:color w:val="auto"/>
                <w:spacing w:val="-4"/>
                <w:highlight w:val="none"/>
                <w:lang w:val="en-US" w:eastAsia="zh-CN"/>
              </w:rPr>
              <w:t>（8）保护层浇筑：用行车吊起储料罐，行走至放好分料器的立式管模上方，开启振动器，储料罐料门打开，连续均匀浇筑，浇筑过程中特别注意控制混凝土落料速度和浇筑高度，混凝土连续浇灌。该过程会有废旧混凝土产生。</w:t>
            </w:r>
          </w:p>
          <w:p w14:paraId="59823AB9">
            <w:pPr>
              <w:pStyle w:val="10"/>
              <w:spacing w:line="360" w:lineRule="auto"/>
              <w:ind w:firstLine="464" w:firstLineChars="200"/>
              <w:rPr>
                <w:rFonts w:hint="default" w:ascii="Times New Roman" w:hAnsi="Times New Roman" w:cs="Times New Roman"/>
                <w:color w:val="auto"/>
                <w:spacing w:val="-4"/>
                <w:highlight w:val="none"/>
                <w:lang w:val="en-US" w:eastAsia="zh-CN"/>
              </w:rPr>
            </w:pPr>
            <w:r>
              <w:rPr>
                <w:rFonts w:hint="eastAsia" w:ascii="Times New Roman" w:hAnsi="Times New Roman" w:cs="Times New Roman"/>
                <w:color w:val="auto"/>
                <w:spacing w:val="-4"/>
                <w:highlight w:val="none"/>
                <w:lang w:val="en-US" w:eastAsia="zh-CN"/>
              </w:rPr>
              <w:t>（9）防腐：PCCPD-C成品管外防腐涂层采用无溶剂弹性聚氨酯涂层，采用机械喷涂工艺，混凝土保护层养护完成且表干后喷涂，由我方在PCCPD-C加工厂完成。该涂料不具有挥发性，所以该工序只会产生颗粒物。</w:t>
            </w:r>
          </w:p>
          <w:p w14:paraId="78F176E4">
            <w:pPr>
              <w:pStyle w:val="10"/>
              <w:spacing w:line="360" w:lineRule="auto"/>
              <w:ind w:firstLine="464" w:firstLineChars="200"/>
              <w:rPr>
                <w:rFonts w:hint="default" w:ascii="Times New Roman" w:hAnsi="Times New Roman" w:cs="Times New Roman"/>
                <w:color w:val="auto"/>
                <w:spacing w:val="-4"/>
                <w:highlight w:val="none"/>
                <w:lang w:val="en-US" w:eastAsia="zh-CN"/>
              </w:rPr>
            </w:pPr>
            <w:r>
              <w:rPr>
                <w:rFonts w:hint="eastAsia" w:ascii="Times New Roman" w:hAnsi="Times New Roman" w:cs="Times New Roman"/>
                <w:color w:val="auto"/>
                <w:spacing w:val="-4"/>
                <w:highlight w:val="none"/>
                <w:lang w:val="en-US" w:eastAsia="zh-CN"/>
              </w:rPr>
              <w:t>（10）管材修复：混凝土内外表面出现的凹坑或气泡，采用水泥砂浆予以填平并用镘刀刮平。该过程会有废旧混凝土产生。</w:t>
            </w:r>
          </w:p>
          <w:p w14:paraId="37AE5752">
            <w:pPr>
              <w:pStyle w:val="10"/>
              <w:spacing w:line="360" w:lineRule="auto"/>
              <w:ind w:firstLine="464" w:firstLineChars="200"/>
              <w:rPr>
                <w:rFonts w:hint="default" w:ascii="Times New Roman" w:hAnsi="Times New Roman" w:cs="Times New Roman"/>
                <w:color w:val="auto"/>
                <w:spacing w:val="-4"/>
                <w:highlight w:val="none"/>
                <w:lang w:val="en-US" w:eastAsia="zh-CN"/>
              </w:rPr>
            </w:pPr>
            <w:r>
              <w:rPr>
                <w:rFonts w:hint="eastAsia" w:ascii="Times New Roman" w:hAnsi="Times New Roman" w:cs="Times New Roman"/>
                <w:color w:val="auto"/>
                <w:spacing w:val="-4"/>
                <w:highlight w:val="none"/>
                <w:lang w:val="en-US" w:eastAsia="zh-CN"/>
              </w:rPr>
              <w:t>（11）标记、检验、入库、运输：对管道用笔进行标记，对外观进行检验修整，检查合格的管道转移至成品贮存区暂存，待售。该过程不会产生污染物。</w:t>
            </w:r>
          </w:p>
          <w:p w14:paraId="07F7364E">
            <w:pPr>
              <w:pStyle w:val="36"/>
              <w:spacing w:before="38" w:line="360" w:lineRule="auto"/>
              <w:ind w:left="115"/>
              <w:rPr>
                <w:rFonts w:hint="eastAsia" w:ascii="Times New Roman" w:hAnsi="Times New Roman" w:eastAsia="Times New Roman" w:cs="Times New Roman"/>
                <w:b/>
                <w:bCs/>
                <w:color w:val="auto"/>
                <w:spacing w:val="-1"/>
                <w:highlight w:val="none"/>
              </w:rPr>
            </w:pPr>
            <w:r>
              <w:rPr>
                <w:rFonts w:hint="eastAsia" w:ascii="Times New Roman" w:hAnsi="Times New Roman" w:eastAsia="宋体" w:cs="Times New Roman"/>
                <w:b/>
                <w:bCs/>
                <w:color w:val="auto"/>
                <w:spacing w:val="-1"/>
                <w:highlight w:val="none"/>
                <w:lang w:val="en-US" w:eastAsia="zh-CN"/>
              </w:rPr>
              <w:t>2</w:t>
            </w:r>
            <w:r>
              <w:rPr>
                <w:rFonts w:hint="eastAsia" w:ascii="Times New Roman" w:hAnsi="Times New Roman" w:eastAsia="Times New Roman" w:cs="Times New Roman"/>
                <w:b/>
                <w:bCs/>
                <w:color w:val="auto"/>
                <w:spacing w:val="-1"/>
                <w:highlight w:val="none"/>
              </w:rPr>
              <w:t>、产排污情况</w:t>
            </w:r>
          </w:p>
          <w:p w14:paraId="11D18D63">
            <w:pPr>
              <w:pStyle w:val="20"/>
              <w:numPr>
                <w:ilvl w:val="0"/>
                <w:numId w:val="0"/>
              </w:numPr>
              <w:ind w:leftChars="0" w:firstLine="480" w:firstLineChars="200"/>
              <w:rPr>
                <w:rFonts w:hint="eastAsia" w:ascii="Times New Roman" w:hAnsi="Times New Roman" w:cs="Times New Roman"/>
                <w:bCs/>
                <w:color w:val="auto"/>
                <w:szCs w:val="21"/>
                <w:highlight w:val="none"/>
                <w:lang w:val="en-US" w:eastAsia="zh-CN"/>
              </w:rPr>
            </w:pPr>
            <w:r>
              <w:rPr>
                <w:rFonts w:hint="eastAsia" w:ascii="宋体" w:hAnsi="宋体"/>
                <w:bCs/>
                <w:color w:val="auto"/>
                <w:szCs w:val="21"/>
                <w:highlight w:val="none"/>
                <w:lang w:val="en-US" w:eastAsia="zh-CN"/>
              </w:rPr>
              <w:t>本项目产排污情况见表</w:t>
            </w:r>
            <w:r>
              <w:rPr>
                <w:rFonts w:hint="default" w:ascii="Times New Roman" w:hAnsi="Times New Roman" w:cs="Times New Roman"/>
                <w:bCs/>
                <w:color w:val="auto"/>
                <w:szCs w:val="21"/>
                <w:highlight w:val="none"/>
                <w:lang w:val="en-US" w:eastAsia="zh-CN"/>
              </w:rPr>
              <w:t>2-6</w:t>
            </w:r>
            <w:r>
              <w:rPr>
                <w:rFonts w:hint="eastAsia" w:ascii="Times New Roman" w:hAnsi="Times New Roman" w:cs="Times New Roman"/>
                <w:bCs/>
                <w:color w:val="auto"/>
                <w:szCs w:val="21"/>
                <w:highlight w:val="none"/>
                <w:lang w:val="en-US" w:eastAsia="zh-CN"/>
              </w:rPr>
              <w:t>。</w:t>
            </w:r>
          </w:p>
          <w:p w14:paraId="5FCFA33B">
            <w:pPr>
              <w:pStyle w:val="20"/>
              <w:numPr>
                <w:ilvl w:val="0"/>
                <w:numId w:val="0"/>
              </w:numPr>
              <w:spacing w:line="240" w:lineRule="auto"/>
              <w:ind w:leftChars="0"/>
              <w:jc w:val="center"/>
              <w:rPr>
                <w:rFonts w:hint="default" w:ascii="宋体" w:hAnsi="宋体"/>
                <w:b/>
                <w:bCs w:val="0"/>
                <w:color w:val="auto"/>
                <w:sz w:val="21"/>
                <w:szCs w:val="21"/>
                <w:highlight w:val="none"/>
                <w:lang w:val="en-US" w:eastAsia="zh-CN"/>
              </w:rPr>
            </w:pPr>
            <w:r>
              <w:rPr>
                <w:rFonts w:hint="eastAsia" w:ascii="宋体" w:hAnsi="宋体"/>
                <w:b/>
                <w:bCs w:val="0"/>
                <w:color w:val="auto"/>
                <w:sz w:val="21"/>
                <w:szCs w:val="21"/>
                <w:highlight w:val="none"/>
                <w:lang w:val="en-US" w:eastAsia="zh-CN"/>
              </w:rPr>
              <w:t>表</w:t>
            </w:r>
            <w:r>
              <w:rPr>
                <w:rFonts w:hint="default" w:ascii="Times New Roman" w:hAnsi="Times New Roman" w:cs="Times New Roman"/>
                <w:b/>
                <w:bCs w:val="0"/>
                <w:color w:val="auto"/>
                <w:sz w:val="21"/>
                <w:szCs w:val="21"/>
                <w:highlight w:val="none"/>
                <w:lang w:val="en-US" w:eastAsia="zh-CN"/>
              </w:rPr>
              <w:t xml:space="preserve">2-6 </w:t>
            </w:r>
            <w:r>
              <w:rPr>
                <w:rFonts w:hint="eastAsia" w:ascii="宋体" w:hAnsi="宋体"/>
                <w:b/>
                <w:bCs w:val="0"/>
                <w:color w:val="auto"/>
                <w:sz w:val="21"/>
                <w:szCs w:val="21"/>
                <w:highlight w:val="none"/>
                <w:lang w:val="en-US" w:eastAsia="zh-CN"/>
              </w:rPr>
              <w:t xml:space="preserve">   本项目产排污环节一览表</w:t>
            </w:r>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8"/>
              <w:gridCol w:w="1517"/>
              <w:gridCol w:w="1548"/>
              <w:gridCol w:w="3689"/>
            </w:tblGrid>
            <w:tr w14:paraId="29DBC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tcBorders>
                    <w:top w:val="single" w:color="000000" w:sz="12" w:space="0"/>
                    <w:left w:val="nil"/>
                    <w:bottom w:val="single" w:color="000000" w:sz="12" w:space="0"/>
                  </w:tcBorders>
                  <w:noWrap w:val="0"/>
                  <w:vAlign w:val="center"/>
                </w:tcPr>
                <w:p w14:paraId="5E90CEB6">
                  <w:pPr>
                    <w:jc w:val="both"/>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污染物类别</w:t>
                  </w:r>
                </w:p>
              </w:tc>
              <w:tc>
                <w:tcPr>
                  <w:tcW w:w="1020" w:type="pct"/>
                  <w:tcBorders>
                    <w:top w:val="single" w:color="000000" w:sz="12" w:space="0"/>
                    <w:bottom w:val="single" w:color="000000" w:sz="12" w:space="0"/>
                  </w:tcBorders>
                  <w:noWrap w:val="0"/>
                  <w:vAlign w:val="center"/>
                </w:tcPr>
                <w:p w14:paraId="154168F6">
                  <w:pPr>
                    <w:jc w:val="both"/>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产排污环节</w:t>
                  </w:r>
                </w:p>
              </w:tc>
              <w:tc>
                <w:tcPr>
                  <w:tcW w:w="1041" w:type="pct"/>
                  <w:tcBorders>
                    <w:top w:val="single" w:color="000000" w:sz="12" w:space="0"/>
                    <w:bottom w:val="single" w:color="000000" w:sz="12" w:space="0"/>
                  </w:tcBorders>
                  <w:noWrap w:val="0"/>
                  <w:vAlign w:val="center"/>
                </w:tcPr>
                <w:p w14:paraId="1C08AF9A">
                  <w:pPr>
                    <w:jc w:val="both"/>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污染物名称</w:t>
                  </w:r>
                </w:p>
              </w:tc>
              <w:tc>
                <w:tcPr>
                  <w:tcW w:w="2481" w:type="pct"/>
                  <w:tcBorders>
                    <w:top w:val="single" w:color="000000" w:sz="12" w:space="0"/>
                    <w:bottom w:val="single" w:color="000000" w:sz="12" w:space="0"/>
                    <w:right w:val="nil"/>
                  </w:tcBorders>
                  <w:noWrap w:val="0"/>
                  <w:vAlign w:val="center"/>
                </w:tcPr>
                <w:p w14:paraId="5DEBF71F">
                  <w:pPr>
                    <w:jc w:val="both"/>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处理措施及排放去向</w:t>
                  </w:r>
                </w:p>
              </w:tc>
            </w:tr>
            <w:tr w14:paraId="0E08E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restart"/>
                  <w:tcBorders>
                    <w:left w:val="nil"/>
                  </w:tcBorders>
                  <w:noWrap w:val="0"/>
                  <w:vAlign w:val="center"/>
                </w:tcPr>
                <w:p w14:paraId="04A7E979">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1020" w:type="pct"/>
                  <w:noWrap w:val="0"/>
                  <w:vAlign w:val="center"/>
                </w:tcPr>
                <w:p w14:paraId="5484F2D4">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highlight w:val="none"/>
                      <w:lang w:val="en-US" w:eastAsia="zh-CN"/>
                    </w:rPr>
                    <w:t>水泥筒仓</w:t>
                  </w:r>
                </w:p>
              </w:tc>
              <w:tc>
                <w:tcPr>
                  <w:tcW w:w="1041" w:type="pct"/>
                  <w:noWrap w:val="0"/>
                  <w:vAlign w:val="center"/>
                </w:tcPr>
                <w:p w14:paraId="28ED46FC">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颗粒物</w:t>
                  </w:r>
                </w:p>
              </w:tc>
              <w:tc>
                <w:tcPr>
                  <w:tcW w:w="2481" w:type="pct"/>
                  <w:tcBorders>
                    <w:right w:val="nil"/>
                  </w:tcBorders>
                  <w:noWrap w:val="0"/>
                  <w:vAlign w:val="center"/>
                </w:tcPr>
                <w:p w14:paraId="469CB7F5">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经筒仓顶部滤筒处理后无组织排放</w:t>
                  </w:r>
                </w:p>
              </w:tc>
            </w:tr>
            <w:tr w14:paraId="63256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1528D953">
                  <w:pPr>
                    <w:jc w:val="both"/>
                    <w:rPr>
                      <w:rFonts w:hint="default" w:ascii="Times New Roman" w:hAnsi="Times New Roman" w:cs="Times New Roman"/>
                      <w:color w:val="auto"/>
                      <w:szCs w:val="21"/>
                      <w:highlight w:val="none"/>
                    </w:rPr>
                  </w:pPr>
                </w:p>
              </w:tc>
              <w:tc>
                <w:tcPr>
                  <w:tcW w:w="1020" w:type="pct"/>
                  <w:noWrap w:val="0"/>
                  <w:vAlign w:val="center"/>
                </w:tcPr>
                <w:p w14:paraId="6A2E0D8B">
                  <w:pPr>
                    <w:jc w:val="center"/>
                    <w:rPr>
                      <w:rFonts w:hint="default" w:ascii="Times New Roman" w:hAnsi="Times New Roman" w:cs="Times New Roman"/>
                      <w:color w:val="auto"/>
                      <w:szCs w:val="21"/>
                      <w:highlight w:val="none"/>
                    </w:rPr>
                  </w:pPr>
                  <w:r>
                    <w:rPr>
                      <w:rFonts w:hint="eastAsia" w:ascii="Times New Roman" w:hAnsi="Times New Roman" w:cs="Times New Roman"/>
                      <w:color w:val="auto"/>
                      <w:highlight w:val="none"/>
                      <w:lang w:val="en-US" w:eastAsia="zh-CN"/>
                    </w:rPr>
                    <w:t>砂石料</w:t>
                  </w:r>
                  <w:r>
                    <w:rPr>
                      <w:rFonts w:hint="default" w:ascii="Times New Roman" w:hAnsi="Times New Roman" w:cs="Times New Roman"/>
                      <w:color w:val="auto"/>
                      <w:highlight w:val="none"/>
                    </w:rPr>
                    <w:t>堆场</w:t>
                  </w:r>
                </w:p>
              </w:tc>
              <w:tc>
                <w:tcPr>
                  <w:tcW w:w="1041" w:type="pct"/>
                  <w:noWrap w:val="0"/>
                  <w:vAlign w:val="center"/>
                </w:tcPr>
                <w:p w14:paraId="6B2EE704">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颗粒物</w:t>
                  </w:r>
                </w:p>
              </w:tc>
              <w:tc>
                <w:tcPr>
                  <w:tcW w:w="2481" w:type="pct"/>
                  <w:tcBorders>
                    <w:right w:val="nil"/>
                  </w:tcBorders>
                  <w:noWrap w:val="0"/>
                  <w:vAlign w:val="center"/>
                </w:tcPr>
                <w:p w14:paraId="6598D8E6">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堆场三面围挡，无组织排放</w:t>
                  </w:r>
                </w:p>
              </w:tc>
            </w:tr>
            <w:tr w14:paraId="3A10A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05007899">
                  <w:pPr>
                    <w:jc w:val="both"/>
                    <w:rPr>
                      <w:rFonts w:hint="default" w:ascii="Times New Roman" w:hAnsi="Times New Roman" w:cs="Times New Roman"/>
                      <w:color w:val="auto"/>
                      <w:szCs w:val="21"/>
                      <w:highlight w:val="none"/>
                    </w:rPr>
                  </w:pPr>
                </w:p>
              </w:tc>
              <w:tc>
                <w:tcPr>
                  <w:tcW w:w="1020" w:type="pct"/>
                  <w:noWrap w:val="0"/>
                  <w:vAlign w:val="center"/>
                </w:tcPr>
                <w:p w14:paraId="52FA307F">
                  <w:pPr>
                    <w:jc w:val="center"/>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水泥</w:t>
                  </w:r>
                  <w:r>
                    <w:rPr>
                      <w:rFonts w:hint="default" w:ascii="Times New Roman" w:hAnsi="Times New Roman" w:cs="Times New Roman"/>
                      <w:color w:val="auto"/>
                      <w:szCs w:val="21"/>
                      <w:highlight w:val="none"/>
                    </w:rPr>
                    <w:t>搅拌</w:t>
                  </w:r>
                </w:p>
              </w:tc>
              <w:tc>
                <w:tcPr>
                  <w:tcW w:w="1041" w:type="pct"/>
                  <w:noWrap w:val="0"/>
                  <w:vAlign w:val="center"/>
                </w:tcPr>
                <w:p w14:paraId="399639BB">
                  <w:pPr>
                    <w:jc w:val="center"/>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val="en-US" w:eastAsia="zh-CN"/>
                    </w:rPr>
                    <w:t>颗粒物</w:t>
                  </w:r>
                </w:p>
              </w:tc>
              <w:tc>
                <w:tcPr>
                  <w:tcW w:w="2481" w:type="pct"/>
                  <w:tcBorders>
                    <w:right w:val="nil"/>
                  </w:tcBorders>
                  <w:noWrap w:val="0"/>
                  <w:vAlign w:val="center"/>
                </w:tcPr>
                <w:p w14:paraId="287CAE7F">
                  <w:pPr>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布袋除尘器</w:t>
                  </w:r>
                  <w:r>
                    <w:rPr>
                      <w:rFonts w:hint="eastAsia" w:cs="Times New Roman"/>
                      <w:color w:val="auto"/>
                      <w:szCs w:val="21"/>
                      <w:highlight w:val="none"/>
                      <w:lang w:eastAsia="zh-CN"/>
                    </w:rPr>
                    <w:t>，</w:t>
                  </w:r>
                  <w:r>
                    <w:rPr>
                      <w:rFonts w:hint="eastAsia" w:cs="Times New Roman"/>
                      <w:color w:val="auto"/>
                      <w:szCs w:val="21"/>
                      <w:highlight w:val="none"/>
                      <w:lang w:val="en-US" w:eastAsia="zh-CN"/>
                    </w:rPr>
                    <w:t>无组织排放</w:t>
                  </w:r>
                </w:p>
              </w:tc>
            </w:tr>
            <w:tr w14:paraId="15F84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0694AEF1">
                  <w:pPr>
                    <w:jc w:val="both"/>
                    <w:rPr>
                      <w:rFonts w:hint="default" w:ascii="Times New Roman" w:hAnsi="Times New Roman" w:cs="Times New Roman"/>
                      <w:color w:val="auto"/>
                      <w:szCs w:val="21"/>
                      <w:highlight w:val="none"/>
                    </w:rPr>
                  </w:pPr>
                </w:p>
              </w:tc>
              <w:tc>
                <w:tcPr>
                  <w:tcW w:w="1020" w:type="pct"/>
                  <w:noWrap w:val="0"/>
                  <w:vAlign w:val="center"/>
                </w:tcPr>
                <w:p w14:paraId="4E7FE2D8">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承、插口卷焊及钢筒制作、PCCP管配件生产线焊接</w:t>
                  </w:r>
                </w:p>
              </w:tc>
              <w:tc>
                <w:tcPr>
                  <w:tcW w:w="1041" w:type="pct"/>
                  <w:noWrap w:val="0"/>
                  <w:vAlign w:val="center"/>
                </w:tcPr>
                <w:p w14:paraId="3A2F3E6F">
                  <w:pPr>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颗粒物</w:t>
                  </w:r>
                </w:p>
              </w:tc>
              <w:tc>
                <w:tcPr>
                  <w:tcW w:w="2481" w:type="pct"/>
                  <w:tcBorders>
                    <w:right w:val="nil"/>
                  </w:tcBorders>
                  <w:noWrap w:val="0"/>
                  <w:vAlign w:val="center"/>
                </w:tcPr>
                <w:p w14:paraId="3B9CC229">
                  <w:pPr>
                    <w:jc w:val="both"/>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经移动式焊接烟尘净化器处理后无组织排放</w:t>
                  </w:r>
                </w:p>
              </w:tc>
            </w:tr>
            <w:tr w14:paraId="5E414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466EF4FF">
                  <w:pPr>
                    <w:jc w:val="both"/>
                    <w:rPr>
                      <w:rFonts w:hint="default" w:ascii="Times New Roman" w:hAnsi="Times New Roman" w:cs="Times New Roman"/>
                      <w:color w:val="auto"/>
                      <w:szCs w:val="21"/>
                      <w:highlight w:val="none"/>
                    </w:rPr>
                  </w:pPr>
                </w:p>
              </w:tc>
              <w:tc>
                <w:tcPr>
                  <w:tcW w:w="1020" w:type="pct"/>
                  <w:vMerge w:val="restart"/>
                  <w:noWrap w:val="0"/>
                  <w:vAlign w:val="center"/>
                </w:tcPr>
                <w:p w14:paraId="7F20DA82">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锅炉</w:t>
                  </w:r>
                </w:p>
              </w:tc>
              <w:tc>
                <w:tcPr>
                  <w:tcW w:w="1041" w:type="pct"/>
                  <w:noWrap w:val="0"/>
                  <w:vAlign w:val="center"/>
                </w:tcPr>
                <w:p w14:paraId="3DD60E9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2481" w:type="pct"/>
                  <w:vMerge w:val="restart"/>
                  <w:tcBorders>
                    <w:right w:val="nil"/>
                  </w:tcBorders>
                  <w:noWrap w:val="0"/>
                  <w:vAlign w:val="center"/>
                </w:tcPr>
                <w:p w14:paraId="2D27638E">
                  <w:pPr>
                    <w:jc w:val="both"/>
                    <w:rPr>
                      <w:rFonts w:hint="default" w:ascii="Times New Roman" w:hAnsi="Times New Roman" w:cs="Times New Roman"/>
                      <w:color w:val="auto"/>
                      <w:szCs w:val="21"/>
                      <w:highlight w:val="none"/>
                    </w:rPr>
                  </w:pPr>
                  <w:r>
                    <w:rPr>
                      <w:rFonts w:hint="eastAsia"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米高排气筒</w:t>
                  </w:r>
                  <w:r>
                    <w:rPr>
                      <w:rFonts w:hint="eastAsia" w:ascii="Times New Roman" w:hAnsi="Times New Roman" w:cs="Times New Roman"/>
                      <w:color w:val="auto"/>
                      <w:szCs w:val="21"/>
                      <w:highlight w:val="none"/>
                      <w:lang w:val="en-US" w:eastAsia="zh-CN"/>
                    </w:rPr>
                    <w:t>排放</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DA001</w:t>
                  </w:r>
                  <w:r>
                    <w:rPr>
                      <w:rFonts w:hint="default" w:ascii="Times New Roman" w:hAnsi="Times New Roman" w:cs="Times New Roman"/>
                      <w:color w:val="auto"/>
                      <w:szCs w:val="21"/>
                      <w:highlight w:val="none"/>
                    </w:rPr>
                    <w:t>）</w:t>
                  </w:r>
                </w:p>
              </w:tc>
            </w:tr>
            <w:tr w14:paraId="3AFC5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56B86870">
                  <w:pPr>
                    <w:jc w:val="both"/>
                    <w:rPr>
                      <w:rFonts w:hint="default" w:ascii="Times New Roman" w:hAnsi="Times New Roman" w:cs="Times New Roman"/>
                      <w:color w:val="auto"/>
                      <w:szCs w:val="21"/>
                      <w:highlight w:val="none"/>
                    </w:rPr>
                  </w:pPr>
                </w:p>
              </w:tc>
              <w:tc>
                <w:tcPr>
                  <w:tcW w:w="1020" w:type="pct"/>
                  <w:vMerge w:val="continue"/>
                  <w:noWrap w:val="0"/>
                  <w:vAlign w:val="center"/>
                </w:tcPr>
                <w:p w14:paraId="4280499A">
                  <w:pPr>
                    <w:jc w:val="center"/>
                    <w:rPr>
                      <w:rFonts w:hint="default" w:ascii="Times New Roman" w:hAnsi="Times New Roman" w:cs="Times New Roman"/>
                      <w:color w:val="auto"/>
                      <w:szCs w:val="21"/>
                      <w:highlight w:val="none"/>
                    </w:rPr>
                  </w:pPr>
                </w:p>
              </w:tc>
              <w:tc>
                <w:tcPr>
                  <w:tcW w:w="1041" w:type="pct"/>
                  <w:noWrap w:val="0"/>
                  <w:vAlign w:val="center"/>
                </w:tcPr>
                <w:p w14:paraId="0292CD8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x</w:t>
                  </w:r>
                </w:p>
              </w:tc>
              <w:tc>
                <w:tcPr>
                  <w:tcW w:w="2481" w:type="pct"/>
                  <w:vMerge w:val="continue"/>
                  <w:tcBorders>
                    <w:right w:val="nil"/>
                  </w:tcBorders>
                  <w:noWrap w:val="0"/>
                  <w:vAlign w:val="center"/>
                </w:tcPr>
                <w:p w14:paraId="5F806234">
                  <w:pPr>
                    <w:jc w:val="both"/>
                    <w:rPr>
                      <w:rFonts w:hint="default" w:ascii="Times New Roman" w:hAnsi="Times New Roman" w:cs="Times New Roman"/>
                      <w:color w:val="auto"/>
                      <w:szCs w:val="21"/>
                      <w:highlight w:val="none"/>
                    </w:rPr>
                  </w:pPr>
                </w:p>
              </w:tc>
            </w:tr>
            <w:tr w14:paraId="15EB5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2AA3823F">
                  <w:pPr>
                    <w:jc w:val="both"/>
                    <w:rPr>
                      <w:rFonts w:hint="default" w:ascii="Times New Roman" w:hAnsi="Times New Roman" w:cs="Times New Roman"/>
                      <w:color w:val="auto"/>
                      <w:szCs w:val="21"/>
                      <w:highlight w:val="none"/>
                    </w:rPr>
                  </w:pPr>
                </w:p>
              </w:tc>
              <w:tc>
                <w:tcPr>
                  <w:tcW w:w="1020" w:type="pct"/>
                  <w:vMerge w:val="continue"/>
                  <w:noWrap w:val="0"/>
                  <w:vAlign w:val="center"/>
                </w:tcPr>
                <w:p w14:paraId="193ACEB3">
                  <w:pPr>
                    <w:jc w:val="center"/>
                    <w:rPr>
                      <w:rFonts w:hint="default" w:ascii="Times New Roman" w:hAnsi="Times New Roman" w:cs="Times New Roman"/>
                      <w:color w:val="auto"/>
                      <w:szCs w:val="21"/>
                      <w:highlight w:val="none"/>
                    </w:rPr>
                  </w:pPr>
                </w:p>
              </w:tc>
              <w:tc>
                <w:tcPr>
                  <w:tcW w:w="1041" w:type="pct"/>
                  <w:noWrap w:val="0"/>
                  <w:vAlign w:val="center"/>
                </w:tcPr>
                <w:p w14:paraId="656595D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2481" w:type="pct"/>
                  <w:vMerge w:val="continue"/>
                  <w:tcBorders>
                    <w:right w:val="nil"/>
                  </w:tcBorders>
                  <w:noWrap w:val="0"/>
                  <w:vAlign w:val="center"/>
                </w:tcPr>
                <w:p w14:paraId="208433FA">
                  <w:pPr>
                    <w:jc w:val="both"/>
                    <w:rPr>
                      <w:rFonts w:hint="default" w:ascii="Times New Roman" w:hAnsi="Times New Roman" w:cs="Times New Roman"/>
                      <w:color w:val="auto"/>
                      <w:szCs w:val="21"/>
                      <w:highlight w:val="none"/>
                    </w:rPr>
                  </w:pPr>
                </w:p>
              </w:tc>
            </w:tr>
            <w:tr w14:paraId="067A4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restart"/>
                  <w:tcBorders>
                    <w:left w:val="nil"/>
                  </w:tcBorders>
                  <w:noWrap w:val="0"/>
                  <w:vAlign w:val="center"/>
                </w:tcPr>
                <w:p w14:paraId="017866F2">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1020" w:type="pct"/>
                  <w:noWrap w:val="0"/>
                  <w:vAlign w:val="center"/>
                </w:tcPr>
                <w:p w14:paraId="51C679C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生活污水</w:t>
                  </w:r>
                </w:p>
              </w:tc>
              <w:tc>
                <w:tcPr>
                  <w:tcW w:w="1041" w:type="pct"/>
                  <w:noWrap w:val="0"/>
                  <w:vAlign w:val="center"/>
                </w:tcPr>
                <w:p w14:paraId="066CEAB1">
                  <w:pPr>
                    <w:jc w:val="both"/>
                    <w:rPr>
                      <w:rFonts w:hint="default" w:ascii="Times New Roman" w:hAnsi="Times New Roman" w:cs="Times New Roman"/>
                      <w:color w:val="auto"/>
                      <w:szCs w:val="21"/>
                      <w:highlight w:val="none"/>
                    </w:rPr>
                  </w:pPr>
                  <w:r>
                    <w:rPr>
                      <w:rFonts w:hint="default" w:ascii="Times New Roman" w:hAnsi="Times New Roman" w:cs="Times New Roman"/>
                      <w:color w:val="auto"/>
                      <w:spacing w:val="-20"/>
                      <w:sz w:val="21"/>
                      <w:szCs w:val="21"/>
                      <w:highlight w:val="none"/>
                    </w:rPr>
                    <w:t>COD</w:t>
                  </w:r>
                  <w:r>
                    <w:rPr>
                      <w:rFonts w:hint="default" w:ascii="Times New Roman" w:hAnsi="Times New Roman" w:cs="Times New Roman"/>
                      <w:color w:val="auto"/>
                      <w:spacing w:val="-20"/>
                      <w:sz w:val="21"/>
                      <w:szCs w:val="21"/>
                      <w:highlight w:val="none"/>
                      <w:vertAlign w:val="subscript"/>
                    </w:rPr>
                    <w:t>cr</w:t>
                  </w:r>
                  <w:r>
                    <w:rPr>
                      <w:rFonts w:hint="default" w:ascii="Times New Roman" w:hAnsi="Times New Roman" w:cs="Times New Roman"/>
                      <w:color w:val="auto"/>
                      <w:spacing w:val="-20"/>
                      <w:sz w:val="21"/>
                      <w:szCs w:val="21"/>
                      <w:highlight w:val="none"/>
                    </w:rPr>
                    <w:t>、BOD</w:t>
                  </w:r>
                  <w:r>
                    <w:rPr>
                      <w:rFonts w:hint="default" w:ascii="Times New Roman" w:hAnsi="Times New Roman" w:cs="Times New Roman"/>
                      <w:color w:val="auto"/>
                      <w:spacing w:val="-20"/>
                      <w:sz w:val="21"/>
                      <w:szCs w:val="21"/>
                      <w:highlight w:val="none"/>
                      <w:vertAlign w:val="subscript"/>
                    </w:rPr>
                    <w:t>5</w:t>
                  </w:r>
                  <w:r>
                    <w:rPr>
                      <w:rFonts w:hint="default" w:ascii="Times New Roman" w:hAnsi="Times New Roman" w:cs="Times New Roman"/>
                      <w:color w:val="auto"/>
                      <w:spacing w:val="-20"/>
                      <w:sz w:val="21"/>
                      <w:szCs w:val="21"/>
                      <w:highlight w:val="none"/>
                    </w:rPr>
                    <w:t>、NH</w:t>
                  </w:r>
                  <w:r>
                    <w:rPr>
                      <w:rFonts w:hint="default" w:ascii="Times New Roman" w:hAnsi="Times New Roman" w:cs="Times New Roman"/>
                      <w:color w:val="auto"/>
                      <w:spacing w:val="-20"/>
                      <w:sz w:val="21"/>
                      <w:szCs w:val="21"/>
                      <w:highlight w:val="none"/>
                      <w:vertAlign w:val="subscript"/>
                    </w:rPr>
                    <w:t>3</w:t>
                  </w:r>
                  <w:r>
                    <w:rPr>
                      <w:rFonts w:hint="default" w:ascii="Times New Roman" w:hAnsi="Times New Roman" w:cs="Times New Roman"/>
                      <w:color w:val="auto"/>
                      <w:spacing w:val="-20"/>
                      <w:sz w:val="21"/>
                      <w:szCs w:val="21"/>
                      <w:highlight w:val="none"/>
                    </w:rPr>
                    <w:t>-N、SS</w:t>
                  </w:r>
                </w:p>
              </w:tc>
              <w:tc>
                <w:tcPr>
                  <w:tcW w:w="2481" w:type="pct"/>
                  <w:tcBorders>
                    <w:right w:val="nil"/>
                  </w:tcBorders>
                  <w:noWrap w:val="0"/>
                  <w:vAlign w:val="center"/>
                </w:tcPr>
                <w:p w14:paraId="55DACC2E">
                  <w:pPr>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排入</w:t>
                  </w:r>
                  <w:r>
                    <w:rPr>
                      <w:rFonts w:hint="eastAsia" w:ascii="Times New Roman" w:hAnsi="Times New Roman" w:cs="Times New Roman"/>
                      <w:color w:val="auto"/>
                      <w:szCs w:val="21"/>
                      <w:highlight w:val="none"/>
                      <w:lang w:val="en-US" w:eastAsia="zh-CN"/>
                    </w:rPr>
                    <w:t>园区污水管网</w:t>
                  </w:r>
                  <w:r>
                    <w:rPr>
                      <w:rFonts w:hint="eastAsia" w:cs="Times New Roman"/>
                      <w:color w:val="auto"/>
                      <w:szCs w:val="21"/>
                      <w:highlight w:val="none"/>
                      <w:lang w:val="en-US" w:eastAsia="zh-CN"/>
                    </w:rPr>
                    <w:t>，</w:t>
                  </w:r>
                  <w:r>
                    <w:rPr>
                      <w:rStyle w:val="27"/>
                      <w:rFonts w:hint="default" w:ascii="Times New Roman" w:hAnsi="Times New Roman" w:cs="Times New Roman"/>
                      <w:color w:val="auto"/>
                      <w:kern w:val="0"/>
                      <w:sz w:val="21"/>
                      <w:szCs w:val="21"/>
                      <w:highlight w:val="none"/>
                      <w:lang w:val="en-US" w:eastAsia="zh-CN" w:bidi="ar-SA"/>
                    </w:rPr>
                    <w:t>最终排入</w:t>
                  </w:r>
                  <w:r>
                    <w:rPr>
                      <w:rFonts w:hint="eastAsia"/>
                      <w:color w:val="auto"/>
                      <w:spacing w:val="2"/>
                      <w:highlight w:val="none"/>
                      <w:lang w:val="en-US" w:eastAsia="zh-CN"/>
                    </w:rPr>
                    <w:t>吉木萨尔县第二污水处理厂</w:t>
                  </w:r>
                  <w:r>
                    <w:rPr>
                      <w:rFonts w:hint="default" w:ascii="Times New Roman" w:hAnsi="Times New Roman" w:cs="Times New Roman"/>
                      <w:color w:val="auto"/>
                      <w:sz w:val="21"/>
                      <w:szCs w:val="21"/>
                      <w:highlight w:val="none"/>
                      <w:lang w:val="en-US" w:eastAsia="zh-CN"/>
                    </w:rPr>
                    <w:t>进行处理</w:t>
                  </w:r>
                </w:p>
              </w:tc>
            </w:tr>
            <w:tr w14:paraId="3D0DD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456" w:type="pct"/>
                  <w:vMerge w:val="continue"/>
                  <w:tcBorders>
                    <w:left w:val="nil"/>
                  </w:tcBorders>
                  <w:noWrap w:val="0"/>
                  <w:vAlign w:val="center"/>
                </w:tcPr>
                <w:p w14:paraId="4E13B863">
                  <w:pPr>
                    <w:jc w:val="both"/>
                    <w:rPr>
                      <w:rFonts w:hint="default" w:ascii="Times New Roman" w:hAnsi="Times New Roman" w:cs="Times New Roman"/>
                      <w:color w:val="auto"/>
                      <w:szCs w:val="21"/>
                      <w:highlight w:val="none"/>
                    </w:rPr>
                  </w:pPr>
                </w:p>
              </w:tc>
              <w:tc>
                <w:tcPr>
                  <w:tcW w:w="1020" w:type="pct"/>
                  <w:noWrap w:val="0"/>
                  <w:vAlign w:val="center"/>
                </w:tcPr>
                <w:p w14:paraId="047B1ECD">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清洗废水</w:t>
                  </w:r>
                </w:p>
              </w:tc>
              <w:tc>
                <w:tcPr>
                  <w:tcW w:w="1041" w:type="pct"/>
                  <w:noWrap w:val="0"/>
                  <w:vAlign w:val="center"/>
                </w:tcPr>
                <w:p w14:paraId="576DA527">
                  <w:pPr>
                    <w:jc w:val="center"/>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c>
                <w:tcPr>
                  <w:tcW w:w="2481" w:type="pct"/>
                  <w:tcBorders>
                    <w:right w:val="nil"/>
                  </w:tcBorders>
                  <w:noWrap w:val="0"/>
                  <w:vAlign w:val="center"/>
                </w:tcPr>
                <w:p w14:paraId="3F7AEB55">
                  <w:pPr>
                    <w:jc w:val="both"/>
                    <w:rPr>
                      <w:rFonts w:hint="eastAsia"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进入循环系统，回用于生产</w:t>
                  </w:r>
                </w:p>
              </w:tc>
            </w:tr>
            <w:tr w14:paraId="53B46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456" w:type="pct"/>
                  <w:vMerge w:val="continue"/>
                  <w:tcBorders>
                    <w:left w:val="nil"/>
                  </w:tcBorders>
                  <w:noWrap w:val="0"/>
                  <w:vAlign w:val="center"/>
                </w:tcPr>
                <w:p w14:paraId="506863A3">
                  <w:pPr>
                    <w:jc w:val="both"/>
                    <w:rPr>
                      <w:rFonts w:hint="default" w:ascii="Times New Roman" w:hAnsi="Times New Roman" w:cs="Times New Roman"/>
                      <w:color w:val="auto"/>
                      <w:szCs w:val="21"/>
                      <w:highlight w:val="none"/>
                    </w:rPr>
                  </w:pPr>
                </w:p>
              </w:tc>
              <w:tc>
                <w:tcPr>
                  <w:tcW w:w="1020" w:type="pct"/>
                  <w:noWrap w:val="0"/>
                  <w:vAlign w:val="center"/>
                </w:tcPr>
                <w:p w14:paraId="07BC4D9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养护废水</w:t>
                  </w:r>
                </w:p>
              </w:tc>
              <w:tc>
                <w:tcPr>
                  <w:tcW w:w="1041" w:type="pct"/>
                  <w:noWrap w:val="0"/>
                  <w:vAlign w:val="center"/>
                </w:tcPr>
                <w:p w14:paraId="73811EA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w:t>
                  </w:r>
                </w:p>
              </w:tc>
              <w:tc>
                <w:tcPr>
                  <w:tcW w:w="2481" w:type="pct"/>
                  <w:tcBorders>
                    <w:right w:val="nil"/>
                  </w:tcBorders>
                  <w:noWrap w:val="0"/>
                  <w:vAlign w:val="center"/>
                </w:tcPr>
                <w:p w14:paraId="3ECF74E1">
                  <w:pPr>
                    <w:jc w:val="both"/>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进入循环系统，回用于生产</w:t>
                  </w:r>
                </w:p>
              </w:tc>
            </w:tr>
            <w:tr w14:paraId="3A141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456" w:type="pct"/>
                  <w:tcBorders>
                    <w:left w:val="nil"/>
                  </w:tcBorders>
                  <w:noWrap w:val="0"/>
                  <w:vAlign w:val="center"/>
                </w:tcPr>
                <w:p w14:paraId="48D4EDEC">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1020" w:type="pct"/>
                  <w:noWrap w:val="0"/>
                  <w:vAlign w:val="center"/>
                </w:tcPr>
                <w:p w14:paraId="503EF954">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生产加工</w:t>
                  </w:r>
                </w:p>
              </w:tc>
              <w:tc>
                <w:tcPr>
                  <w:tcW w:w="1041" w:type="pct"/>
                  <w:noWrap w:val="0"/>
                  <w:vAlign w:val="center"/>
                </w:tcPr>
                <w:p w14:paraId="2839B0F6">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等效连续A声级（dB）</w:t>
                  </w:r>
                </w:p>
              </w:tc>
              <w:tc>
                <w:tcPr>
                  <w:tcW w:w="2481" w:type="pct"/>
                  <w:tcBorders>
                    <w:right w:val="nil"/>
                  </w:tcBorders>
                  <w:noWrap w:val="0"/>
                  <w:vAlign w:val="center"/>
                </w:tcPr>
                <w:p w14:paraId="411B5244">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选用低噪音设备，采取隔音和距离衰减措施</w:t>
                  </w:r>
                </w:p>
              </w:tc>
            </w:tr>
            <w:tr w14:paraId="73DD9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restart"/>
                  <w:tcBorders>
                    <w:left w:val="nil"/>
                  </w:tcBorders>
                  <w:noWrap w:val="0"/>
                  <w:vAlign w:val="center"/>
                </w:tcPr>
                <w:p w14:paraId="70C53361">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固体废物</w:t>
                  </w:r>
                </w:p>
              </w:tc>
              <w:tc>
                <w:tcPr>
                  <w:tcW w:w="1020" w:type="pct"/>
                  <w:noWrap w:val="0"/>
                  <w:vAlign w:val="center"/>
                </w:tcPr>
                <w:p w14:paraId="7365755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生活垃圾</w:t>
                  </w:r>
                </w:p>
              </w:tc>
              <w:tc>
                <w:tcPr>
                  <w:tcW w:w="1041" w:type="pct"/>
                  <w:noWrap w:val="0"/>
                  <w:vAlign w:val="center"/>
                </w:tcPr>
                <w:p w14:paraId="5DA88E1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生活垃圾</w:t>
                  </w:r>
                </w:p>
              </w:tc>
              <w:tc>
                <w:tcPr>
                  <w:tcW w:w="2481" w:type="pct"/>
                  <w:tcBorders>
                    <w:right w:val="nil"/>
                  </w:tcBorders>
                  <w:noWrap w:val="0"/>
                  <w:vAlign w:val="center"/>
                </w:tcPr>
                <w:p w14:paraId="05EA6299">
                  <w:pPr>
                    <w:jc w:val="both"/>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生活垃圾经</w:t>
                  </w:r>
                  <w:r>
                    <w:rPr>
                      <w:rFonts w:hint="default" w:ascii="Times New Roman" w:hAnsi="Times New Roman" w:cs="Times New Roman"/>
                      <w:color w:val="auto"/>
                      <w:szCs w:val="21"/>
                      <w:highlight w:val="none"/>
                    </w:rPr>
                    <w:t>垃圾收集箱，集中收集后，交由环卫部门清运</w:t>
                  </w:r>
                </w:p>
              </w:tc>
            </w:tr>
            <w:tr w14:paraId="61CF4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712382A6">
                  <w:pPr>
                    <w:jc w:val="both"/>
                    <w:rPr>
                      <w:rFonts w:hint="default" w:ascii="Times New Roman" w:hAnsi="Times New Roman" w:cs="Times New Roman"/>
                      <w:color w:val="auto"/>
                      <w:szCs w:val="21"/>
                      <w:highlight w:val="none"/>
                    </w:rPr>
                  </w:pPr>
                </w:p>
              </w:tc>
              <w:tc>
                <w:tcPr>
                  <w:tcW w:w="1020" w:type="pct"/>
                  <w:vMerge w:val="restart"/>
                  <w:noWrap w:val="0"/>
                  <w:vAlign w:val="center"/>
                </w:tcPr>
                <w:p w14:paraId="3A6E75E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一般固废</w:t>
                  </w:r>
                </w:p>
              </w:tc>
              <w:tc>
                <w:tcPr>
                  <w:tcW w:w="1041" w:type="pct"/>
                  <w:noWrap w:val="0"/>
                  <w:vAlign w:val="center"/>
                </w:tcPr>
                <w:p w14:paraId="6CC4445C">
                  <w:pPr>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废钢筋</w:t>
                  </w:r>
                  <w:r>
                    <w:rPr>
                      <w:rFonts w:hint="eastAsia" w:ascii="Times New Roman" w:hAnsi="Times New Roman" w:cs="Times New Roman"/>
                      <w:color w:val="auto"/>
                      <w:szCs w:val="21"/>
                      <w:highlight w:val="none"/>
                      <w:lang w:eastAsia="zh-CN"/>
                    </w:rPr>
                    <w:t>、</w:t>
                  </w:r>
                  <w:r>
                    <w:rPr>
                      <w:rFonts w:hint="eastAsia" w:ascii="Times New Roman" w:hAnsi="Times New Roman" w:cs="Times New Roman"/>
                      <w:color w:val="auto"/>
                      <w:szCs w:val="21"/>
                      <w:highlight w:val="none"/>
                      <w:lang w:val="en-US" w:eastAsia="zh-CN"/>
                    </w:rPr>
                    <w:t>混凝土渣</w:t>
                  </w:r>
                </w:p>
              </w:tc>
              <w:tc>
                <w:tcPr>
                  <w:tcW w:w="2481" w:type="pct"/>
                  <w:vMerge w:val="restart"/>
                  <w:tcBorders>
                    <w:right w:val="nil"/>
                  </w:tcBorders>
                  <w:noWrap w:val="0"/>
                  <w:vAlign w:val="center"/>
                </w:tcPr>
                <w:p w14:paraId="346099D0">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统一收集后外售至物资回收单位</w:t>
                  </w:r>
                </w:p>
              </w:tc>
            </w:tr>
            <w:tr w14:paraId="09088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56" w:type="pct"/>
                  <w:vMerge w:val="continue"/>
                  <w:tcBorders>
                    <w:left w:val="nil"/>
                  </w:tcBorders>
                  <w:noWrap w:val="0"/>
                  <w:vAlign w:val="center"/>
                </w:tcPr>
                <w:p w14:paraId="06930024">
                  <w:pPr>
                    <w:jc w:val="both"/>
                    <w:rPr>
                      <w:rFonts w:hint="default" w:ascii="Times New Roman" w:hAnsi="Times New Roman" w:cs="Times New Roman"/>
                      <w:color w:val="auto"/>
                      <w:szCs w:val="21"/>
                      <w:highlight w:val="none"/>
                    </w:rPr>
                  </w:pPr>
                </w:p>
              </w:tc>
              <w:tc>
                <w:tcPr>
                  <w:tcW w:w="1020" w:type="pct"/>
                  <w:vMerge w:val="continue"/>
                  <w:noWrap w:val="0"/>
                  <w:vAlign w:val="center"/>
                </w:tcPr>
                <w:p w14:paraId="4C27A746">
                  <w:pPr>
                    <w:jc w:val="center"/>
                    <w:rPr>
                      <w:rFonts w:hint="default" w:ascii="Times New Roman" w:hAnsi="Times New Roman" w:cs="Times New Roman"/>
                      <w:color w:val="auto"/>
                      <w:szCs w:val="21"/>
                      <w:highlight w:val="none"/>
                    </w:rPr>
                  </w:pPr>
                </w:p>
              </w:tc>
              <w:tc>
                <w:tcPr>
                  <w:tcW w:w="1041" w:type="pct"/>
                  <w:noWrap w:val="0"/>
                  <w:vAlign w:val="center"/>
                </w:tcPr>
                <w:p w14:paraId="58687BF5">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不合格品</w:t>
                  </w:r>
                </w:p>
              </w:tc>
              <w:tc>
                <w:tcPr>
                  <w:tcW w:w="2481" w:type="pct"/>
                  <w:vMerge w:val="continue"/>
                  <w:tcBorders>
                    <w:right w:val="nil"/>
                  </w:tcBorders>
                  <w:noWrap w:val="0"/>
                  <w:vAlign w:val="center"/>
                </w:tcPr>
                <w:p w14:paraId="72A30C02">
                  <w:pPr>
                    <w:jc w:val="both"/>
                    <w:rPr>
                      <w:rFonts w:hint="default" w:ascii="Times New Roman" w:hAnsi="Times New Roman" w:eastAsia="宋体" w:cs="Times New Roman"/>
                      <w:color w:val="auto"/>
                      <w:szCs w:val="21"/>
                      <w:highlight w:val="none"/>
                      <w:lang w:val="en-US" w:eastAsia="zh-CN"/>
                    </w:rPr>
                  </w:pPr>
                </w:p>
              </w:tc>
            </w:tr>
            <w:tr w14:paraId="6A1C6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48EAFD34">
                  <w:pPr>
                    <w:jc w:val="both"/>
                    <w:rPr>
                      <w:rFonts w:hint="default" w:ascii="Times New Roman" w:hAnsi="Times New Roman" w:cs="Times New Roman"/>
                      <w:color w:val="auto"/>
                      <w:szCs w:val="21"/>
                      <w:highlight w:val="none"/>
                    </w:rPr>
                  </w:pPr>
                </w:p>
              </w:tc>
              <w:tc>
                <w:tcPr>
                  <w:tcW w:w="1020" w:type="pct"/>
                  <w:vMerge w:val="continue"/>
                  <w:noWrap w:val="0"/>
                  <w:vAlign w:val="center"/>
                </w:tcPr>
                <w:p w14:paraId="3DA17CD3">
                  <w:pPr>
                    <w:jc w:val="center"/>
                    <w:rPr>
                      <w:rFonts w:hint="default" w:ascii="Times New Roman" w:hAnsi="Times New Roman" w:cs="Times New Roman"/>
                      <w:color w:val="auto"/>
                      <w:szCs w:val="21"/>
                      <w:highlight w:val="none"/>
                    </w:rPr>
                  </w:pPr>
                </w:p>
              </w:tc>
              <w:tc>
                <w:tcPr>
                  <w:tcW w:w="1041" w:type="pct"/>
                  <w:noWrap w:val="0"/>
                  <w:vAlign w:val="center"/>
                </w:tcPr>
                <w:p w14:paraId="3F73DA6A">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废金属边角料</w:t>
                  </w:r>
                </w:p>
              </w:tc>
              <w:tc>
                <w:tcPr>
                  <w:tcW w:w="2481" w:type="pct"/>
                  <w:vMerge w:val="continue"/>
                  <w:tcBorders>
                    <w:right w:val="nil"/>
                  </w:tcBorders>
                  <w:noWrap w:val="0"/>
                  <w:vAlign w:val="center"/>
                </w:tcPr>
                <w:p w14:paraId="17157F73">
                  <w:pPr>
                    <w:jc w:val="both"/>
                    <w:rPr>
                      <w:rFonts w:hint="default" w:ascii="Times New Roman" w:hAnsi="Times New Roman" w:cs="Times New Roman"/>
                      <w:color w:val="auto"/>
                      <w:szCs w:val="21"/>
                      <w:highlight w:val="none"/>
                    </w:rPr>
                  </w:pPr>
                </w:p>
              </w:tc>
            </w:tr>
            <w:tr w14:paraId="396FA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3BA62EA1">
                  <w:pPr>
                    <w:jc w:val="both"/>
                    <w:rPr>
                      <w:rFonts w:hint="default" w:ascii="Times New Roman" w:hAnsi="Times New Roman" w:cs="Times New Roman"/>
                      <w:color w:val="auto"/>
                      <w:szCs w:val="21"/>
                      <w:highlight w:val="none"/>
                    </w:rPr>
                  </w:pPr>
                </w:p>
              </w:tc>
              <w:tc>
                <w:tcPr>
                  <w:tcW w:w="1020" w:type="pct"/>
                  <w:vMerge w:val="continue"/>
                  <w:noWrap w:val="0"/>
                  <w:vAlign w:val="center"/>
                </w:tcPr>
                <w:p w14:paraId="05A0E112">
                  <w:pPr>
                    <w:jc w:val="center"/>
                    <w:rPr>
                      <w:rFonts w:hint="default" w:ascii="Times New Roman" w:hAnsi="Times New Roman" w:cs="Times New Roman"/>
                      <w:color w:val="auto"/>
                      <w:szCs w:val="21"/>
                      <w:highlight w:val="none"/>
                    </w:rPr>
                  </w:pPr>
                </w:p>
              </w:tc>
              <w:tc>
                <w:tcPr>
                  <w:tcW w:w="1041" w:type="pct"/>
                  <w:noWrap w:val="0"/>
                  <w:vAlign w:val="center"/>
                </w:tcPr>
                <w:p w14:paraId="7903A8DA">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沉淀池沉渣</w:t>
                  </w:r>
                </w:p>
              </w:tc>
              <w:tc>
                <w:tcPr>
                  <w:tcW w:w="2481" w:type="pct"/>
                  <w:tcBorders>
                    <w:right w:val="nil"/>
                  </w:tcBorders>
                  <w:noWrap w:val="0"/>
                  <w:vAlign w:val="center"/>
                </w:tcPr>
                <w:p w14:paraId="7F8C8016">
                  <w:pPr>
                    <w:jc w:val="both"/>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定期清运，回用于生产</w:t>
                  </w:r>
                </w:p>
              </w:tc>
            </w:tr>
            <w:tr w14:paraId="66CA5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37720563">
                  <w:pPr>
                    <w:jc w:val="both"/>
                    <w:rPr>
                      <w:rFonts w:hint="default" w:ascii="Times New Roman" w:hAnsi="Times New Roman" w:cs="Times New Roman"/>
                      <w:color w:val="auto"/>
                      <w:szCs w:val="21"/>
                      <w:highlight w:val="none"/>
                    </w:rPr>
                  </w:pPr>
                </w:p>
              </w:tc>
              <w:tc>
                <w:tcPr>
                  <w:tcW w:w="1020" w:type="pct"/>
                  <w:vMerge w:val="continue"/>
                  <w:noWrap w:val="0"/>
                  <w:vAlign w:val="center"/>
                </w:tcPr>
                <w:p w14:paraId="3FC92933">
                  <w:pPr>
                    <w:jc w:val="center"/>
                    <w:rPr>
                      <w:rFonts w:hint="default" w:ascii="Times New Roman" w:hAnsi="Times New Roman" w:cs="Times New Roman"/>
                      <w:color w:val="auto"/>
                      <w:szCs w:val="21"/>
                      <w:highlight w:val="none"/>
                    </w:rPr>
                  </w:pPr>
                </w:p>
              </w:tc>
              <w:tc>
                <w:tcPr>
                  <w:tcW w:w="1041" w:type="pct"/>
                  <w:noWrap w:val="0"/>
                  <w:vAlign w:val="center"/>
                </w:tcPr>
                <w:p w14:paraId="61CE8E87">
                  <w:pPr>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生活垃圾</w:t>
                  </w:r>
                </w:p>
              </w:tc>
              <w:tc>
                <w:tcPr>
                  <w:tcW w:w="2481" w:type="pct"/>
                  <w:tcBorders>
                    <w:right w:val="nil"/>
                  </w:tcBorders>
                  <w:noWrap w:val="0"/>
                  <w:vAlign w:val="center"/>
                </w:tcPr>
                <w:p w14:paraId="23CD5799">
                  <w:pPr>
                    <w:jc w:val="both"/>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由当地环卫部门统一清理</w:t>
                  </w:r>
                </w:p>
              </w:tc>
            </w:tr>
            <w:tr w14:paraId="1E97B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56" w:type="pct"/>
                  <w:vMerge w:val="continue"/>
                  <w:tcBorders>
                    <w:left w:val="nil"/>
                  </w:tcBorders>
                  <w:noWrap w:val="0"/>
                  <w:vAlign w:val="center"/>
                </w:tcPr>
                <w:p w14:paraId="10782D43">
                  <w:pPr>
                    <w:jc w:val="both"/>
                    <w:rPr>
                      <w:rFonts w:hint="default" w:ascii="Times New Roman" w:hAnsi="Times New Roman" w:cs="Times New Roman"/>
                      <w:color w:val="auto"/>
                      <w:szCs w:val="21"/>
                      <w:highlight w:val="none"/>
                    </w:rPr>
                  </w:pPr>
                </w:p>
              </w:tc>
              <w:tc>
                <w:tcPr>
                  <w:tcW w:w="1020" w:type="pct"/>
                  <w:noWrap w:val="0"/>
                  <w:vAlign w:val="center"/>
                </w:tcPr>
                <w:p w14:paraId="5AFAB60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危险废物</w:t>
                  </w:r>
                </w:p>
              </w:tc>
              <w:tc>
                <w:tcPr>
                  <w:tcW w:w="1041" w:type="pct"/>
                  <w:noWrap w:val="0"/>
                  <w:vAlign w:val="center"/>
                </w:tcPr>
                <w:p w14:paraId="6C01C997">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废机油</w:t>
                  </w:r>
                </w:p>
              </w:tc>
              <w:tc>
                <w:tcPr>
                  <w:tcW w:w="2481" w:type="pct"/>
                  <w:tcBorders>
                    <w:right w:val="nil"/>
                  </w:tcBorders>
                  <w:noWrap w:val="0"/>
                  <w:vAlign w:val="center"/>
                </w:tcPr>
                <w:p w14:paraId="1D5595E5">
                  <w:pPr>
                    <w:jc w:val="both"/>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收集至危废间，委托资质单位处置</w:t>
                  </w:r>
                </w:p>
              </w:tc>
            </w:tr>
          </w:tbl>
          <w:p w14:paraId="776D11C6">
            <w:pPr>
              <w:pStyle w:val="36"/>
              <w:spacing w:before="185" w:line="220" w:lineRule="auto"/>
              <w:ind w:left="573"/>
              <w:rPr>
                <w:rFonts w:hint="eastAsia"/>
                <w:color w:val="auto"/>
                <w:spacing w:val="-8"/>
                <w:highlight w:val="none"/>
                <w:lang w:val="en-US" w:eastAsia="zh-CN"/>
              </w:rPr>
            </w:pPr>
          </w:p>
        </w:tc>
      </w:tr>
      <w:tr w14:paraId="0430F5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6" w:hRule="atLeast"/>
        </w:trPr>
        <w:tc>
          <w:tcPr>
            <w:tcW w:w="918" w:type="dxa"/>
            <w:tcBorders>
              <w:left w:val="single" w:color="000000" w:sz="6" w:space="0"/>
              <w:bottom w:val="single" w:color="000000" w:sz="6" w:space="0"/>
            </w:tcBorders>
            <w:vAlign w:val="top"/>
          </w:tcPr>
          <w:p w14:paraId="01AFA4C9">
            <w:pPr>
              <w:spacing w:line="246" w:lineRule="auto"/>
              <w:rPr>
                <w:rFonts w:ascii="Arial"/>
                <w:color w:val="auto"/>
                <w:sz w:val="21"/>
                <w:highlight w:val="none"/>
              </w:rPr>
            </w:pPr>
          </w:p>
          <w:p w14:paraId="7A6BA917">
            <w:pPr>
              <w:spacing w:line="246" w:lineRule="auto"/>
              <w:rPr>
                <w:rFonts w:ascii="Arial"/>
                <w:color w:val="auto"/>
                <w:sz w:val="21"/>
                <w:highlight w:val="none"/>
              </w:rPr>
            </w:pPr>
          </w:p>
          <w:p w14:paraId="2760A394">
            <w:pPr>
              <w:spacing w:line="246" w:lineRule="auto"/>
              <w:rPr>
                <w:rFonts w:ascii="Arial"/>
                <w:color w:val="auto"/>
                <w:sz w:val="21"/>
                <w:highlight w:val="none"/>
              </w:rPr>
            </w:pPr>
          </w:p>
          <w:p w14:paraId="4FCF830E">
            <w:pPr>
              <w:spacing w:line="247" w:lineRule="auto"/>
              <w:rPr>
                <w:rFonts w:ascii="Arial"/>
                <w:color w:val="auto"/>
                <w:sz w:val="21"/>
                <w:highlight w:val="none"/>
              </w:rPr>
            </w:pPr>
          </w:p>
          <w:p w14:paraId="4CA33A80">
            <w:pPr>
              <w:spacing w:line="247" w:lineRule="auto"/>
              <w:rPr>
                <w:rFonts w:ascii="Arial"/>
                <w:color w:val="auto"/>
                <w:sz w:val="21"/>
                <w:highlight w:val="none"/>
              </w:rPr>
            </w:pPr>
          </w:p>
          <w:p w14:paraId="57A89302">
            <w:pPr>
              <w:pStyle w:val="36"/>
              <w:spacing w:before="78"/>
              <w:ind w:left="222"/>
              <w:rPr>
                <w:color w:val="auto"/>
                <w:highlight w:val="none"/>
              </w:rPr>
            </w:pPr>
            <w:r>
              <w:rPr>
                <w:color w:val="auto"/>
                <w:spacing w:val="-8"/>
                <w:highlight w:val="none"/>
              </w:rPr>
              <w:t>与项</w:t>
            </w:r>
          </w:p>
          <w:p w14:paraId="74A3B8E7">
            <w:pPr>
              <w:pStyle w:val="36"/>
              <w:spacing w:before="1" w:line="220" w:lineRule="auto"/>
              <w:ind w:left="263"/>
              <w:rPr>
                <w:color w:val="auto"/>
                <w:highlight w:val="none"/>
              </w:rPr>
            </w:pPr>
            <w:r>
              <w:rPr>
                <w:color w:val="auto"/>
                <w:spacing w:val="-28"/>
                <w:highlight w:val="none"/>
              </w:rPr>
              <w:t>目有</w:t>
            </w:r>
          </w:p>
          <w:p w14:paraId="5AD5A37E">
            <w:pPr>
              <w:pStyle w:val="36"/>
              <w:spacing w:before="22" w:line="221" w:lineRule="auto"/>
              <w:ind w:left="221"/>
              <w:rPr>
                <w:color w:val="auto"/>
                <w:highlight w:val="none"/>
              </w:rPr>
            </w:pPr>
            <w:r>
              <w:rPr>
                <w:color w:val="auto"/>
                <w:spacing w:val="-7"/>
                <w:highlight w:val="none"/>
              </w:rPr>
              <w:t>关的</w:t>
            </w:r>
          </w:p>
          <w:p w14:paraId="735FF983">
            <w:pPr>
              <w:pStyle w:val="36"/>
              <w:spacing w:before="24" w:line="221" w:lineRule="auto"/>
              <w:ind w:left="223"/>
              <w:rPr>
                <w:color w:val="auto"/>
                <w:highlight w:val="none"/>
              </w:rPr>
            </w:pPr>
            <w:r>
              <w:rPr>
                <w:color w:val="auto"/>
                <w:spacing w:val="-8"/>
                <w:highlight w:val="none"/>
              </w:rPr>
              <w:t>原有</w:t>
            </w:r>
          </w:p>
          <w:p w14:paraId="30145AC4">
            <w:pPr>
              <w:pStyle w:val="36"/>
              <w:spacing w:before="24" w:line="221" w:lineRule="auto"/>
              <w:ind w:left="217"/>
              <w:rPr>
                <w:color w:val="auto"/>
                <w:highlight w:val="none"/>
              </w:rPr>
            </w:pPr>
            <w:r>
              <w:rPr>
                <w:color w:val="auto"/>
                <w:spacing w:val="-5"/>
                <w:highlight w:val="none"/>
              </w:rPr>
              <w:t>环境</w:t>
            </w:r>
          </w:p>
          <w:p w14:paraId="06F543A9">
            <w:pPr>
              <w:pStyle w:val="36"/>
              <w:spacing w:before="22" w:line="221" w:lineRule="auto"/>
              <w:ind w:left="219"/>
              <w:rPr>
                <w:color w:val="auto"/>
                <w:highlight w:val="none"/>
              </w:rPr>
            </w:pPr>
            <w:r>
              <w:rPr>
                <w:color w:val="auto"/>
                <w:spacing w:val="-6"/>
                <w:highlight w:val="none"/>
              </w:rPr>
              <w:t>污染</w:t>
            </w:r>
          </w:p>
          <w:p w14:paraId="6BD28155">
            <w:pPr>
              <w:pStyle w:val="36"/>
              <w:spacing w:before="25" w:line="222" w:lineRule="auto"/>
              <w:ind w:left="244"/>
              <w:rPr>
                <w:color w:val="auto"/>
                <w:highlight w:val="none"/>
              </w:rPr>
            </w:pPr>
            <w:r>
              <w:rPr>
                <w:color w:val="auto"/>
                <w:spacing w:val="-19"/>
                <w:highlight w:val="none"/>
              </w:rPr>
              <w:t>问题</w:t>
            </w:r>
          </w:p>
        </w:tc>
        <w:tc>
          <w:tcPr>
            <w:tcW w:w="7457" w:type="dxa"/>
            <w:tcBorders>
              <w:bottom w:val="single" w:color="000000" w:sz="6" w:space="0"/>
              <w:right w:val="single" w:color="000000" w:sz="6" w:space="0"/>
            </w:tcBorders>
            <w:vAlign w:val="center"/>
          </w:tcPr>
          <w:p w14:paraId="2C679737">
            <w:pPr>
              <w:pStyle w:val="36"/>
              <w:spacing w:before="146" w:line="360" w:lineRule="auto"/>
              <w:ind w:right="102" w:firstLine="464" w:firstLineChars="200"/>
              <w:jc w:val="both"/>
              <w:rPr>
                <w:color w:val="auto"/>
                <w:highlight w:val="none"/>
              </w:rPr>
            </w:pPr>
            <w:r>
              <w:rPr>
                <w:rFonts w:hint="eastAsia"/>
                <w:color w:val="auto"/>
                <w:spacing w:val="-4"/>
                <w:highlight w:val="none"/>
              </w:rPr>
              <w:t>本项目为新建项目，租赁空置地块进行混凝土及管芯生产区等租赁已建新厂房作为钢筒和管配件生产厂房。根据现场实地勘查，无原有污染情况，未发现存在环境污染问题。</w:t>
            </w:r>
          </w:p>
        </w:tc>
      </w:tr>
    </w:tbl>
    <w:p w14:paraId="4BD6FB3E">
      <w:pPr>
        <w:rPr>
          <w:color w:val="auto"/>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1E5E24C">
      <w:pPr>
        <w:pStyle w:val="21"/>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三、区域环境质量现状、环境保护目标及评价标准</w:t>
      </w:r>
    </w:p>
    <w:tbl>
      <w:tblPr>
        <w:tblStyle w:val="23"/>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5B7E5A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79" w:hRule="atLeast"/>
          <w:jc w:val="center"/>
        </w:trPr>
        <w:tc>
          <w:tcPr>
            <w:tcW w:w="800" w:type="dxa"/>
            <w:noWrap w:val="0"/>
            <w:vAlign w:val="center"/>
          </w:tcPr>
          <w:p w14:paraId="7961B802">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区域</w:t>
            </w:r>
          </w:p>
          <w:p w14:paraId="514189F6">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31A1DDDD">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质量</w:t>
            </w:r>
          </w:p>
          <w:p w14:paraId="1C135C75">
            <w:pPr>
              <w:adjustRightInd w:val="0"/>
              <w:snapToGrid w:val="0"/>
              <w:jc w:val="center"/>
              <w:rPr>
                <w:rFonts w:ascii="宋体" w:hAnsi="宋体" w:cs="宋体"/>
                <w:color w:val="auto"/>
                <w:kern w:val="0"/>
                <w:szCs w:val="21"/>
              </w:rPr>
            </w:pPr>
            <w:r>
              <w:rPr>
                <w:rFonts w:hint="eastAsia" w:ascii="宋体" w:hAnsi="宋体" w:cs="宋体"/>
                <w:color w:val="auto"/>
                <w:kern w:val="0"/>
                <w:szCs w:val="21"/>
              </w:rPr>
              <w:t>现状</w:t>
            </w:r>
          </w:p>
        </w:tc>
        <w:tc>
          <w:tcPr>
            <w:tcW w:w="8190" w:type="dxa"/>
            <w:noWrap w:val="0"/>
            <w:vAlign w:val="center"/>
          </w:tcPr>
          <w:p w14:paraId="11203770">
            <w:pPr>
              <w:adjustRightInd w:val="0"/>
              <w:snapToGrid w:val="0"/>
              <w:spacing w:line="360" w:lineRule="auto"/>
              <w:jc w:val="left"/>
              <w:rPr>
                <w:b/>
                <w:color w:val="auto"/>
                <w:sz w:val="24"/>
                <w:highlight w:val="none"/>
              </w:rPr>
            </w:pPr>
            <w:r>
              <w:rPr>
                <w:rFonts w:hint="eastAsia"/>
                <w:b/>
                <w:color w:val="auto"/>
                <w:sz w:val="24"/>
                <w:highlight w:val="none"/>
              </w:rPr>
              <w:t>1</w:t>
            </w:r>
            <w:r>
              <w:rPr>
                <w:rFonts w:hint="eastAsia"/>
                <w:b/>
                <w:color w:val="auto"/>
                <w:sz w:val="24"/>
                <w:highlight w:val="none"/>
                <w:lang w:val="en-US" w:eastAsia="zh-CN"/>
              </w:rPr>
              <w:t>.</w:t>
            </w:r>
            <w:r>
              <w:rPr>
                <w:b/>
                <w:color w:val="auto"/>
                <w:sz w:val="24"/>
                <w:highlight w:val="none"/>
              </w:rPr>
              <w:t>大气环境</w:t>
            </w:r>
          </w:p>
          <w:p w14:paraId="034174C5">
            <w:pPr>
              <w:adjustRightInd w:val="0"/>
              <w:snapToGrid w:val="0"/>
              <w:spacing w:line="360" w:lineRule="auto"/>
              <w:jc w:val="left"/>
              <w:rPr>
                <w:rFonts w:hint="default" w:eastAsia="宋体"/>
                <w:b/>
                <w:bCs/>
                <w:color w:val="auto"/>
                <w:sz w:val="24"/>
                <w:highlight w:val="none"/>
                <w:lang w:val="en-US" w:eastAsia="zh-CN"/>
              </w:rPr>
            </w:pPr>
            <w:r>
              <w:rPr>
                <w:rFonts w:hint="eastAsia"/>
                <w:b/>
                <w:bCs/>
                <w:color w:val="auto"/>
                <w:sz w:val="24"/>
                <w:highlight w:val="none"/>
                <w:lang w:val="en-US" w:eastAsia="zh-CN"/>
              </w:rPr>
              <w:t>1.1基本污染物环境质量现状评价</w:t>
            </w:r>
          </w:p>
          <w:p w14:paraId="4DF4D3EA">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color w:val="auto"/>
                <w:sz w:val="24"/>
                <w:highlight w:val="none"/>
              </w:rPr>
              <w:t>（1）项目所在区域达</w:t>
            </w:r>
            <w:r>
              <w:rPr>
                <w:rFonts w:hint="default" w:ascii="Times New Roman" w:hAnsi="Times New Roman" w:cs="Times New Roman"/>
                <w:color w:val="auto"/>
                <w:sz w:val="24"/>
                <w:highlight w:val="none"/>
              </w:rPr>
              <w:t>标判定</w:t>
            </w:r>
          </w:p>
          <w:p w14:paraId="5C805C74">
            <w:pPr>
              <w:pStyle w:val="33"/>
              <w:spacing w:line="360" w:lineRule="auto"/>
              <w:ind w:firstLine="48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《环境影响评价技术导则大气环境》（HJ2.2-2018）规定：“城市环境空气质量达标情况评价指标为SO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、NO</w:t>
            </w:r>
            <w:r>
              <w:rPr>
                <w:rFonts w:hint="default" w:ascii="Times New Roman" w:hAnsi="Times New Roman" w:eastAsia="宋体" w:cs="Times New Roman"/>
                <w:color w:val="auto"/>
                <w:highlight w:val="none"/>
                <w:vertAlign w:val="subscript"/>
              </w:rPr>
              <w:t>2</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10</w:t>
            </w:r>
            <w:r>
              <w:rPr>
                <w:rFonts w:hint="default" w:ascii="Times New Roman" w:hAnsi="Times New Roman" w:eastAsia="宋体" w:cs="Times New Roman"/>
                <w:color w:val="auto"/>
                <w:highlight w:val="none"/>
              </w:rPr>
              <w:t>、PM</w:t>
            </w:r>
            <w:r>
              <w:rPr>
                <w:rFonts w:hint="default" w:ascii="Times New Roman" w:hAnsi="Times New Roman" w:eastAsia="宋体" w:cs="Times New Roman"/>
                <w:color w:val="auto"/>
                <w:highlight w:val="none"/>
                <w:vertAlign w:val="subscript"/>
              </w:rPr>
              <w:t>2.5</w:t>
            </w:r>
            <w:r>
              <w:rPr>
                <w:rFonts w:hint="default" w:ascii="Times New Roman" w:hAnsi="Times New Roman" w:eastAsia="宋体" w:cs="Times New Roman"/>
                <w:color w:val="auto"/>
                <w:highlight w:val="none"/>
              </w:rPr>
              <w:t>、CO和O</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，六项污染物全部达标即为城市环境空气质量达标”。</w:t>
            </w:r>
          </w:p>
          <w:p w14:paraId="0A94417C">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（2）数据来源</w:t>
            </w:r>
          </w:p>
          <w:p w14:paraId="3DCF5D14">
            <w:pPr>
              <w:pStyle w:val="33"/>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环境影响评价技术导则大气环境》（HJ2.2-2018），本项目可直接采用国家或地方生态环保主管部门公开发布的评价基准年环境质量公告或环境质量报告中的数据或结论。本次项目所在区域环境空气质量调查引用吉木萨尔县大气环境在线监测站点202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年在线监测的数据，作为本项目环境空气现状评价基本污染物</w:t>
            </w:r>
            <w:r>
              <w:rPr>
                <w:rFonts w:hint="default" w:ascii="Times New Roman" w:hAnsi="Times New Roman" w:eastAsia="Times New Roman" w:cs="Times New Roman"/>
                <w:color w:val="auto"/>
                <w:highlight w:val="none"/>
              </w:rPr>
              <w:t>SO</w:t>
            </w:r>
            <w:r>
              <w:rPr>
                <w:rFonts w:hint="default" w:ascii="Times New Roman" w:hAnsi="Times New Roman" w:eastAsia="Times New Roman" w:cs="Times New Roman"/>
                <w:color w:val="auto"/>
                <w:highlight w:val="none"/>
                <w:vertAlign w:val="subscript"/>
              </w:rPr>
              <w:t>2</w:t>
            </w:r>
            <w:r>
              <w:rPr>
                <w:rFonts w:hint="default" w:ascii="Times New Roman" w:hAnsi="Times New Roman" w:cs="Times New Roman"/>
                <w:color w:val="auto"/>
                <w:highlight w:val="none"/>
              </w:rPr>
              <w:t>、</w:t>
            </w:r>
            <w:r>
              <w:rPr>
                <w:rFonts w:hint="default" w:ascii="Times New Roman" w:hAnsi="Times New Roman" w:eastAsia="Times New Roman" w:cs="Times New Roman"/>
                <w:color w:val="auto"/>
                <w:highlight w:val="none"/>
              </w:rPr>
              <w:t>NO</w:t>
            </w:r>
            <w:r>
              <w:rPr>
                <w:rFonts w:hint="default" w:ascii="Times New Roman" w:hAnsi="Times New Roman" w:eastAsia="Times New Roman" w:cs="Times New Roman"/>
                <w:color w:val="auto"/>
                <w:highlight w:val="none"/>
                <w:vertAlign w:val="subscript"/>
              </w:rPr>
              <w:t>2</w:t>
            </w:r>
            <w:r>
              <w:rPr>
                <w:rFonts w:hint="default" w:ascii="Times New Roman" w:hAnsi="Times New Roman" w:cs="Times New Roman"/>
                <w:color w:val="auto"/>
                <w:highlight w:val="none"/>
              </w:rPr>
              <w:t>、</w:t>
            </w:r>
            <w:r>
              <w:rPr>
                <w:rFonts w:hint="default" w:ascii="Times New Roman" w:hAnsi="Times New Roman" w:eastAsia="Times New Roman" w:cs="Times New Roman"/>
                <w:color w:val="auto"/>
                <w:highlight w:val="none"/>
              </w:rPr>
              <w:t>PM</w:t>
            </w:r>
            <w:r>
              <w:rPr>
                <w:rFonts w:hint="default" w:ascii="Times New Roman" w:hAnsi="Times New Roman" w:eastAsia="Times New Roman" w:cs="Times New Roman"/>
                <w:color w:val="auto"/>
                <w:highlight w:val="none"/>
                <w:vertAlign w:val="subscript"/>
              </w:rPr>
              <w:t>10</w:t>
            </w:r>
            <w:r>
              <w:rPr>
                <w:rFonts w:hint="default" w:ascii="Times New Roman" w:hAnsi="Times New Roman" w:cs="Times New Roman"/>
                <w:color w:val="auto"/>
                <w:highlight w:val="none"/>
              </w:rPr>
              <w:t>、</w:t>
            </w:r>
            <w:r>
              <w:rPr>
                <w:rFonts w:hint="default" w:ascii="Times New Roman" w:hAnsi="Times New Roman" w:eastAsia="Times New Roman" w:cs="Times New Roman"/>
                <w:color w:val="auto"/>
                <w:highlight w:val="none"/>
              </w:rPr>
              <w:t>PM</w:t>
            </w:r>
            <w:r>
              <w:rPr>
                <w:rFonts w:hint="default" w:ascii="Times New Roman" w:hAnsi="Times New Roman" w:eastAsia="Times New Roman" w:cs="Times New Roman"/>
                <w:color w:val="auto"/>
                <w:highlight w:val="none"/>
                <w:vertAlign w:val="subscript"/>
              </w:rPr>
              <w:t>2.5</w:t>
            </w:r>
            <w:r>
              <w:rPr>
                <w:rFonts w:hint="default" w:ascii="Times New Roman" w:hAnsi="Times New Roman" w:cs="Times New Roman"/>
                <w:color w:val="auto"/>
                <w:highlight w:val="none"/>
              </w:rPr>
              <w:t>、</w:t>
            </w:r>
            <w:r>
              <w:rPr>
                <w:rFonts w:hint="default" w:ascii="Times New Roman" w:hAnsi="Times New Roman" w:eastAsia="Times New Roman" w:cs="Times New Roman"/>
                <w:color w:val="auto"/>
                <w:highlight w:val="none"/>
              </w:rPr>
              <w:t>CO</w:t>
            </w:r>
            <w:r>
              <w:rPr>
                <w:rFonts w:hint="default" w:ascii="Times New Roman" w:hAnsi="Times New Roman" w:cs="Times New Roman"/>
                <w:color w:val="auto"/>
                <w:highlight w:val="none"/>
              </w:rPr>
              <w:t>和</w:t>
            </w:r>
            <w:r>
              <w:rPr>
                <w:rFonts w:hint="default" w:ascii="Times New Roman" w:hAnsi="Times New Roman" w:eastAsia="Times New Roman" w:cs="Times New Roman"/>
                <w:color w:val="auto"/>
                <w:highlight w:val="none"/>
              </w:rPr>
              <w:t>O</w:t>
            </w:r>
            <w:r>
              <w:rPr>
                <w:rFonts w:hint="default" w:ascii="Times New Roman" w:hAnsi="Times New Roman" w:eastAsia="Times New Roman" w:cs="Times New Roman"/>
                <w:color w:val="auto"/>
                <w:highlight w:val="none"/>
                <w:vertAlign w:val="subscript"/>
              </w:rPr>
              <w:t>3</w:t>
            </w:r>
            <w:r>
              <w:rPr>
                <w:rFonts w:hint="default" w:ascii="Times New Roman" w:hAnsi="Times New Roman" w:cs="Times New Roman"/>
                <w:color w:val="auto"/>
                <w:highlight w:val="none"/>
              </w:rPr>
              <w:t>的数据来源。</w:t>
            </w:r>
          </w:p>
          <w:p w14:paraId="2D1A5079">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（3）评价标准</w:t>
            </w:r>
          </w:p>
          <w:p w14:paraId="0086158E">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bCs/>
                <w:color w:val="auto"/>
                <w:sz w:val="24"/>
                <w:highlight w:val="none"/>
              </w:rPr>
              <w:t>本项目所在地位于</w:t>
            </w:r>
            <w:r>
              <w:rPr>
                <w:rFonts w:hint="default" w:ascii="Times New Roman" w:hAnsi="Times New Roman" w:cs="Times New Roman"/>
                <w:bCs/>
                <w:color w:val="auto"/>
                <w:sz w:val="24"/>
                <w:highlight w:val="none"/>
                <w:lang w:val="en-US" w:eastAsia="zh-CN"/>
              </w:rPr>
              <w:t>新疆维吾尔自治区昌吉回族自治州吉木萨尔县北庭工业园原善成厂区内</w:t>
            </w:r>
            <w:r>
              <w:rPr>
                <w:rFonts w:hint="default" w:ascii="Times New Roman" w:hAnsi="Times New Roman" w:cs="Times New Roman"/>
                <w:bCs/>
                <w:color w:val="auto"/>
                <w:sz w:val="24"/>
                <w:highlight w:val="none"/>
              </w:rPr>
              <w:t>，</w:t>
            </w:r>
            <w:r>
              <w:rPr>
                <w:rFonts w:hint="default" w:ascii="Times New Roman" w:hAnsi="Times New Roman" w:cs="Times New Roman"/>
                <w:color w:val="auto"/>
                <w:sz w:val="24"/>
                <w:highlight w:val="none"/>
              </w:rPr>
              <w:t>根据本项目所在区域的环境功能区划，基本污染物及特征污染物执行《环境空</w:t>
            </w:r>
            <w:r>
              <w:rPr>
                <w:rFonts w:hint="default" w:ascii="Times New Roman" w:hAnsi="Times New Roman" w:cs="Times New Roman"/>
                <w:color w:val="auto"/>
                <w:spacing w:val="-6"/>
                <w:sz w:val="24"/>
                <w:highlight w:val="none"/>
              </w:rPr>
              <w:t>气质量标准》（GB3095-2012）中的二级标准。环境空气质量标准限值</w:t>
            </w:r>
            <w:r>
              <w:rPr>
                <w:rFonts w:hint="default" w:ascii="Times New Roman" w:hAnsi="Times New Roman" w:cs="Times New Roman"/>
                <w:color w:val="auto"/>
                <w:spacing w:val="-6"/>
                <w:sz w:val="24"/>
                <w:highlight w:val="none"/>
                <w:lang w:val="en-US" w:eastAsia="zh-CN"/>
              </w:rPr>
              <w:t>详见</w:t>
            </w:r>
            <w:r>
              <w:rPr>
                <w:rFonts w:hint="default" w:ascii="Times New Roman" w:hAnsi="Times New Roman" w:cs="Times New Roman"/>
                <w:color w:val="auto"/>
                <w:spacing w:val="-6"/>
                <w:sz w:val="24"/>
                <w:highlight w:val="none"/>
              </w:rPr>
              <w:t>表</w:t>
            </w:r>
            <w:r>
              <w:rPr>
                <w:rFonts w:hint="default" w:ascii="Times New Roman" w:hAnsi="Times New Roman" w:cs="Times New Roman"/>
                <w:color w:val="auto"/>
                <w:spacing w:val="-6"/>
                <w:sz w:val="24"/>
                <w:highlight w:val="none"/>
                <w:lang w:val="en-US" w:eastAsia="zh-CN"/>
              </w:rPr>
              <w:t>3-1</w:t>
            </w:r>
            <w:r>
              <w:rPr>
                <w:rFonts w:hint="default" w:ascii="Times New Roman" w:hAnsi="Times New Roman" w:cs="Times New Roman"/>
                <w:color w:val="auto"/>
                <w:spacing w:val="-6"/>
                <w:sz w:val="24"/>
                <w:highlight w:val="none"/>
              </w:rPr>
              <w:t>。</w:t>
            </w:r>
          </w:p>
          <w:p w14:paraId="31E25B91">
            <w:pPr>
              <w:pStyle w:val="30"/>
              <w:spacing w:line="240" w:lineRule="auto"/>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3-1</w:t>
            </w:r>
            <w:r>
              <w:rPr>
                <w:rFonts w:hint="default" w:ascii="Times New Roman" w:hAnsi="Times New Roman" w:cs="Times New Roman"/>
                <w:color w:val="auto"/>
                <w:highlight w:val="none"/>
              </w:rPr>
              <w:t xml:space="preserve">    环境空气质量标准</w:t>
            </w:r>
          </w:p>
          <w:tbl>
            <w:tblPr>
              <w:tblStyle w:val="23"/>
              <w:tblW w:w="80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816"/>
              <w:gridCol w:w="2232"/>
              <w:gridCol w:w="2232"/>
              <w:gridCol w:w="1092"/>
            </w:tblGrid>
            <w:tr w14:paraId="751F6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tcBorders>
                    <w:top w:val="single" w:color="000000" w:sz="12" w:space="0"/>
                    <w:left w:val="nil"/>
                    <w:bottom w:val="single" w:color="000000" w:sz="12" w:space="0"/>
                  </w:tcBorders>
                  <w:noWrap w:val="0"/>
                  <w:vAlign w:val="center"/>
                </w:tcPr>
                <w:p w14:paraId="1A76057B">
                  <w:pPr>
                    <w:pStyle w:val="16"/>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126" w:type="pct"/>
                  <w:tcBorders>
                    <w:top w:val="single" w:color="000000" w:sz="12" w:space="0"/>
                    <w:bottom w:val="single" w:color="000000" w:sz="12" w:space="0"/>
                  </w:tcBorders>
                  <w:noWrap w:val="0"/>
                  <w:vAlign w:val="center"/>
                </w:tcPr>
                <w:p w14:paraId="0C949348">
                  <w:pPr>
                    <w:pStyle w:val="16"/>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污染物项目</w:t>
                  </w:r>
                </w:p>
              </w:tc>
              <w:tc>
                <w:tcPr>
                  <w:tcW w:w="1384" w:type="pct"/>
                  <w:tcBorders>
                    <w:top w:val="single" w:color="000000" w:sz="12" w:space="0"/>
                    <w:bottom w:val="single" w:color="000000" w:sz="12" w:space="0"/>
                  </w:tcBorders>
                  <w:noWrap w:val="0"/>
                  <w:vAlign w:val="center"/>
                </w:tcPr>
                <w:p w14:paraId="2A21C697">
                  <w:pPr>
                    <w:pStyle w:val="16"/>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平均时间</w:t>
                  </w:r>
                </w:p>
              </w:tc>
              <w:tc>
                <w:tcPr>
                  <w:tcW w:w="1384" w:type="pct"/>
                  <w:tcBorders>
                    <w:top w:val="single" w:color="000000" w:sz="12" w:space="0"/>
                    <w:bottom w:val="single" w:color="000000" w:sz="12" w:space="0"/>
                  </w:tcBorders>
                  <w:noWrap w:val="0"/>
                  <w:vAlign w:val="center"/>
                </w:tcPr>
                <w:p w14:paraId="0780FC34">
                  <w:pPr>
                    <w:pStyle w:val="16"/>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浓度限值</w:t>
                  </w:r>
                </w:p>
              </w:tc>
              <w:tc>
                <w:tcPr>
                  <w:tcW w:w="677" w:type="pct"/>
                  <w:tcBorders>
                    <w:top w:val="single" w:color="000000" w:sz="12" w:space="0"/>
                    <w:bottom w:val="single" w:color="000000" w:sz="12" w:space="0"/>
                    <w:right w:val="nil"/>
                  </w:tcBorders>
                  <w:noWrap w:val="0"/>
                  <w:vAlign w:val="center"/>
                </w:tcPr>
                <w:p w14:paraId="189E1344">
                  <w:pPr>
                    <w:pStyle w:val="16"/>
                    <w:adjustRightInd w:val="0"/>
                    <w:snapToGrid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r>
            <w:tr w14:paraId="13EBE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restart"/>
                  <w:tcBorders>
                    <w:top w:val="single" w:color="000000" w:sz="12" w:space="0"/>
                    <w:left w:val="nil"/>
                    <w:tl2br w:val="nil"/>
                    <w:tr2bl w:val="nil"/>
                  </w:tcBorders>
                  <w:noWrap w:val="0"/>
                  <w:vAlign w:val="center"/>
                </w:tcPr>
                <w:p w14:paraId="208943A8">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1126" w:type="pct"/>
                  <w:vMerge w:val="restart"/>
                  <w:tcBorders>
                    <w:top w:val="single" w:color="000000" w:sz="12" w:space="0"/>
                    <w:tl2br w:val="nil"/>
                    <w:tr2bl w:val="nil"/>
                  </w:tcBorders>
                  <w:noWrap w:val="0"/>
                  <w:vAlign w:val="center"/>
                </w:tcPr>
                <w:p w14:paraId="0D412360">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SO</w:t>
                  </w:r>
                  <w:r>
                    <w:rPr>
                      <w:rFonts w:hint="default" w:ascii="Times New Roman" w:hAnsi="Times New Roman" w:cs="Times New Roman"/>
                      <w:bCs/>
                      <w:color w:val="auto"/>
                      <w:sz w:val="21"/>
                      <w:szCs w:val="21"/>
                      <w:highlight w:val="none"/>
                      <w:vertAlign w:val="subscript"/>
                    </w:rPr>
                    <w:t>2</w:t>
                  </w:r>
                </w:p>
              </w:tc>
              <w:tc>
                <w:tcPr>
                  <w:tcW w:w="1384" w:type="pct"/>
                  <w:tcBorders>
                    <w:top w:val="single" w:color="000000" w:sz="12" w:space="0"/>
                    <w:tl2br w:val="nil"/>
                    <w:tr2bl w:val="nil"/>
                  </w:tcBorders>
                  <w:noWrap w:val="0"/>
                  <w:vAlign w:val="center"/>
                </w:tcPr>
                <w:p w14:paraId="4C83DB61">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1384" w:type="pct"/>
                  <w:tcBorders>
                    <w:top w:val="single" w:color="000000" w:sz="12" w:space="0"/>
                    <w:tl2br w:val="nil"/>
                    <w:tr2bl w:val="nil"/>
                  </w:tcBorders>
                  <w:noWrap w:val="0"/>
                  <w:vAlign w:val="center"/>
                </w:tcPr>
                <w:p w14:paraId="1E61C413">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60</w:t>
                  </w:r>
                </w:p>
              </w:tc>
              <w:tc>
                <w:tcPr>
                  <w:tcW w:w="677" w:type="pct"/>
                  <w:vMerge w:val="restart"/>
                  <w:tcBorders>
                    <w:top w:val="single" w:color="000000" w:sz="12" w:space="0"/>
                    <w:right w:val="nil"/>
                    <w:tl2br w:val="nil"/>
                    <w:tr2bl w:val="nil"/>
                  </w:tcBorders>
                  <w:noWrap w:val="0"/>
                  <w:vAlign w:val="center"/>
                </w:tcPr>
                <w:p w14:paraId="60780112">
                  <w:pPr>
                    <w:pStyle w:val="16"/>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p>
              </w:tc>
            </w:tr>
            <w:tr w14:paraId="4C732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3F80437E">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l2br w:val="nil"/>
                    <w:tr2bl w:val="nil"/>
                  </w:tcBorders>
                  <w:noWrap w:val="0"/>
                  <w:vAlign w:val="center"/>
                </w:tcPr>
                <w:p w14:paraId="704EF172">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tl2br w:val="nil"/>
                    <w:tr2bl w:val="nil"/>
                  </w:tcBorders>
                  <w:noWrap w:val="0"/>
                  <w:vAlign w:val="center"/>
                </w:tcPr>
                <w:p w14:paraId="2590924F">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1384" w:type="pct"/>
                  <w:tcBorders>
                    <w:tl2br w:val="nil"/>
                    <w:tr2bl w:val="nil"/>
                  </w:tcBorders>
                  <w:noWrap w:val="0"/>
                  <w:vAlign w:val="center"/>
                </w:tcPr>
                <w:p w14:paraId="2F40ADF1">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150</w:t>
                  </w:r>
                </w:p>
              </w:tc>
              <w:tc>
                <w:tcPr>
                  <w:tcW w:w="677" w:type="pct"/>
                  <w:vMerge w:val="continue"/>
                  <w:tcBorders>
                    <w:right w:val="nil"/>
                    <w:tl2br w:val="nil"/>
                    <w:tr2bl w:val="nil"/>
                  </w:tcBorders>
                  <w:noWrap w:val="0"/>
                  <w:vAlign w:val="center"/>
                </w:tcPr>
                <w:p w14:paraId="1B3B976C">
                  <w:pPr>
                    <w:pStyle w:val="16"/>
                    <w:adjustRightInd w:val="0"/>
                    <w:snapToGrid w:val="0"/>
                    <w:jc w:val="center"/>
                    <w:rPr>
                      <w:rFonts w:hint="default" w:ascii="Times New Roman" w:hAnsi="Times New Roman" w:cs="Times New Roman"/>
                      <w:b/>
                      <w:color w:val="auto"/>
                      <w:sz w:val="21"/>
                      <w:szCs w:val="21"/>
                      <w:highlight w:val="none"/>
                    </w:rPr>
                  </w:pPr>
                </w:p>
              </w:tc>
            </w:tr>
            <w:tr w14:paraId="5622D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65607DAE">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l2br w:val="nil"/>
                    <w:tr2bl w:val="nil"/>
                  </w:tcBorders>
                  <w:noWrap w:val="0"/>
                  <w:vAlign w:val="center"/>
                </w:tcPr>
                <w:p w14:paraId="28D47A53">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tl2br w:val="nil"/>
                    <w:tr2bl w:val="nil"/>
                  </w:tcBorders>
                  <w:noWrap w:val="0"/>
                  <w:vAlign w:val="center"/>
                </w:tcPr>
                <w:p w14:paraId="5FFD9303">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1384" w:type="pct"/>
                  <w:tcBorders>
                    <w:tl2br w:val="nil"/>
                    <w:tr2bl w:val="nil"/>
                  </w:tcBorders>
                  <w:noWrap w:val="0"/>
                  <w:vAlign w:val="center"/>
                </w:tcPr>
                <w:p w14:paraId="504320BC">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500</w:t>
                  </w:r>
                </w:p>
              </w:tc>
              <w:tc>
                <w:tcPr>
                  <w:tcW w:w="677" w:type="pct"/>
                  <w:vMerge w:val="continue"/>
                  <w:tcBorders>
                    <w:right w:val="nil"/>
                    <w:tl2br w:val="nil"/>
                    <w:tr2bl w:val="nil"/>
                  </w:tcBorders>
                  <w:noWrap w:val="0"/>
                  <w:vAlign w:val="center"/>
                </w:tcPr>
                <w:p w14:paraId="1B3DDC7F">
                  <w:pPr>
                    <w:pStyle w:val="16"/>
                    <w:adjustRightInd w:val="0"/>
                    <w:snapToGrid w:val="0"/>
                    <w:jc w:val="center"/>
                    <w:rPr>
                      <w:rFonts w:hint="default" w:ascii="Times New Roman" w:hAnsi="Times New Roman" w:cs="Times New Roman"/>
                      <w:b/>
                      <w:color w:val="auto"/>
                      <w:sz w:val="21"/>
                      <w:szCs w:val="21"/>
                      <w:highlight w:val="none"/>
                    </w:rPr>
                  </w:pPr>
                </w:p>
              </w:tc>
            </w:tr>
            <w:tr w14:paraId="1AEAA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restart"/>
                  <w:tcBorders>
                    <w:left w:val="nil"/>
                    <w:tl2br w:val="nil"/>
                    <w:tr2bl w:val="nil"/>
                  </w:tcBorders>
                  <w:noWrap w:val="0"/>
                  <w:vAlign w:val="center"/>
                </w:tcPr>
                <w:p w14:paraId="5679877B">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w:t>
                  </w:r>
                </w:p>
              </w:tc>
              <w:tc>
                <w:tcPr>
                  <w:tcW w:w="1126" w:type="pct"/>
                  <w:vMerge w:val="restart"/>
                  <w:tcBorders>
                    <w:tl2br w:val="nil"/>
                    <w:tr2bl w:val="nil"/>
                  </w:tcBorders>
                  <w:noWrap w:val="0"/>
                  <w:vAlign w:val="center"/>
                </w:tcPr>
                <w:p w14:paraId="50968B99">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NO</w:t>
                  </w:r>
                  <w:r>
                    <w:rPr>
                      <w:rFonts w:hint="default" w:ascii="Times New Roman" w:hAnsi="Times New Roman" w:cs="Times New Roman"/>
                      <w:bCs/>
                      <w:color w:val="auto"/>
                      <w:sz w:val="21"/>
                      <w:szCs w:val="21"/>
                      <w:highlight w:val="none"/>
                      <w:vertAlign w:val="subscript"/>
                    </w:rPr>
                    <w:t>2</w:t>
                  </w:r>
                </w:p>
              </w:tc>
              <w:tc>
                <w:tcPr>
                  <w:tcW w:w="1384" w:type="pct"/>
                  <w:tcBorders>
                    <w:tl2br w:val="nil"/>
                    <w:tr2bl w:val="nil"/>
                  </w:tcBorders>
                  <w:noWrap w:val="0"/>
                  <w:vAlign w:val="center"/>
                </w:tcPr>
                <w:p w14:paraId="3AD92151">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1384" w:type="pct"/>
                  <w:tcBorders>
                    <w:tl2br w:val="nil"/>
                    <w:tr2bl w:val="nil"/>
                  </w:tcBorders>
                  <w:noWrap w:val="0"/>
                  <w:vAlign w:val="center"/>
                </w:tcPr>
                <w:p w14:paraId="74947FE4">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40</w:t>
                  </w:r>
                </w:p>
              </w:tc>
              <w:tc>
                <w:tcPr>
                  <w:tcW w:w="677" w:type="pct"/>
                  <w:vMerge w:val="continue"/>
                  <w:tcBorders>
                    <w:right w:val="nil"/>
                    <w:tl2br w:val="nil"/>
                    <w:tr2bl w:val="nil"/>
                  </w:tcBorders>
                  <w:noWrap w:val="0"/>
                  <w:vAlign w:val="center"/>
                </w:tcPr>
                <w:p w14:paraId="06EDB1DC">
                  <w:pPr>
                    <w:pStyle w:val="16"/>
                    <w:adjustRightInd w:val="0"/>
                    <w:snapToGrid w:val="0"/>
                    <w:jc w:val="center"/>
                    <w:rPr>
                      <w:rFonts w:hint="default" w:ascii="Times New Roman" w:hAnsi="Times New Roman" w:cs="Times New Roman"/>
                      <w:b/>
                      <w:color w:val="auto"/>
                      <w:sz w:val="21"/>
                      <w:szCs w:val="21"/>
                      <w:highlight w:val="none"/>
                    </w:rPr>
                  </w:pPr>
                </w:p>
              </w:tc>
            </w:tr>
            <w:tr w14:paraId="7A9AA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4010C7C1">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l2br w:val="nil"/>
                    <w:tr2bl w:val="nil"/>
                  </w:tcBorders>
                  <w:noWrap w:val="0"/>
                  <w:vAlign w:val="center"/>
                </w:tcPr>
                <w:p w14:paraId="085290A1">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tl2br w:val="nil"/>
                    <w:tr2bl w:val="nil"/>
                  </w:tcBorders>
                  <w:noWrap w:val="0"/>
                  <w:vAlign w:val="center"/>
                </w:tcPr>
                <w:p w14:paraId="758C3623">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1384" w:type="pct"/>
                  <w:tcBorders>
                    <w:tl2br w:val="nil"/>
                    <w:tr2bl w:val="nil"/>
                  </w:tcBorders>
                  <w:noWrap w:val="0"/>
                  <w:vAlign w:val="center"/>
                </w:tcPr>
                <w:p w14:paraId="49593A85">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80</w:t>
                  </w:r>
                </w:p>
              </w:tc>
              <w:tc>
                <w:tcPr>
                  <w:tcW w:w="677" w:type="pct"/>
                  <w:vMerge w:val="continue"/>
                  <w:tcBorders>
                    <w:right w:val="nil"/>
                    <w:tl2br w:val="nil"/>
                    <w:tr2bl w:val="nil"/>
                  </w:tcBorders>
                  <w:noWrap w:val="0"/>
                  <w:vAlign w:val="center"/>
                </w:tcPr>
                <w:p w14:paraId="47E46F61">
                  <w:pPr>
                    <w:pStyle w:val="16"/>
                    <w:adjustRightInd w:val="0"/>
                    <w:snapToGrid w:val="0"/>
                    <w:jc w:val="center"/>
                    <w:rPr>
                      <w:rFonts w:hint="default" w:ascii="Times New Roman" w:hAnsi="Times New Roman" w:cs="Times New Roman"/>
                      <w:b/>
                      <w:color w:val="auto"/>
                      <w:sz w:val="21"/>
                      <w:szCs w:val="21"/>
                      <w:highlight w:val="none"/>
                    </w:rPr>
                  </w:pPr>
                </w:p>
              </w:tc>
            </w:tr>
            <w:tr w14:paraId="6F46E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0EE95BAE">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l2br w:val="nil"/>
                    <w:tr2bl w:val="nil"/>
                  </w:tcBorders>
                  <w:noWrap w:val="0"/>
                  <w:vAlign w:val="center"/>
                </w:tcPr>
                <w:p w14:paraId="5CFF6B73">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tl2br w:val="nil"/>
                    <w:tr2bl w:val="nil"/>
                  </w:tcBorders>
                  <w:noWrap w:val="0"/>
                  <w:vAlign w:val="center"/>
                </w:tcPr>
                <w:p w14:paraId="54E8E93B">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1384" w:type="pct"/>
                  <w:tcBorders>
                    <w:tl2br w:val="nil"/>
                    <w:tr2bl w:val="nil"/>
                  </w:tcBorders>
                  <w:noWrap w:val="0"/>
                  <w:vAlign w:val="center"/>
                </w:tcPr>
                <w:p w14:paraId="3E7DE668">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200</w:t>
                  </w:r>
                </w:p>
              </w:tc>
              <w:tc>
                <w:tcPr>
                  <w:tcW w:w="677" w:type="pct"/>
                  <w:vMerge w:val="continue"/>
                  <w:tcBorders>
                    <w:right w:val="nil"/>
                    <w:tl2br w:val="nil"/>
                    <w:tr2bl w:val="nil"/>
                  </w:tcBorders>
                  <w:noWrap w:val="0"/>
                  <w:vAlign w:val="center"/>
                </w:tcPr>
                <w:p w14:paraId="528DE68D">
                  <w:pPr>
                    <w:pStyle w:val="16"/>
                    <w:adjustRightInd w:val="0"/>
                    <w:snapToGrid w:val="0"/>
                    <w:jc w:val="center"/>
                    <w:rPr>
                      <w:rFonts w:hint="default" w:ascii="Times New Roman" w:hAnsi="Times New Roman" w:cs="Times New Roman"/>
                      <w:b/>
                      <w:color w:val="auto"/>
                      <w:sz w:val="21"/>
                      <w:szCs w:val="21"/>
                      <w:highlight w:val="none"/>
                    </w:rPr>
                  </w:pPr>
                </w:p>
              </w:tc>
            </w:tr>
            <w:tr w14:paraId="3C99C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restart"/>
                  <w:tcBorders>
                    <w:left w:val="nil"/>
                    <w:tl2br w:val="nil"/>
                    <w:tr2bl w:val="nil"/>
                  </w:tcBorders>
                  <w:noWrap w:val="0"/>
                  <w:vAlign w:val="center"/>
                </w:tcPr>
                <w:p w14:paraId="01EFF8F4">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w:t>
                  </w:r>
                </w:p>
              </w:tc>
              <w:tc>
                <w:tcPr>
                  <w:tcW w:w="1126" w:type="pct"/>
                  <w:vMerge w:val="restart"/>
                  <w:tcBorders>
                    <w:tl2br w:val="nil"/>
                    <w:tr2bl w:val="nil"/>
                  </w:tcBorders>
                  <w:noWrap w:val="0"/>
                  <w:vAlign w:val="center"/>
                </w:tcPr>
                <w:p w14:paraId="39EBBCD4">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CO</w:t>
                  </w:r>
                </w:p>
              </w:tc>
              <w:tc>
                <w:tcPr>
                  <w:tcW w:w="1384" w:type="pct"/>
                  <w:tcBorders>
                    <w:tl2br w:val="nil"/>
                    <w:tr2bl w:val="nil"/>
                  </w:tcBorders>
                  <w:noWrap w:val="0"/>
                  <w:vAlign w:val="center"/>
                </w:tcPr>
                <w:p w14:paraId="07A3A634">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1384" w:type="pct"/>
                  <w:tcBorders>
                    <w:tl2br w:val="nil"/>
                    <w:tr2bl w:val="nil"/>
                  </w:tcBorders>
                  <w:noWrap w:val="0"/>
                  <w:vAlign w:val="center"/>
                </w:tcPr>
                <w:p w14:paraId="1C00E096">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p>
              </w:tc>
              <w:tc>
                <w:tcPr>
                  <w:tcW w:w="677" w:type="pct"/>
                  <w:vMerge w:val="restart"/>
                  <w:tcBorders>
                    <w:right w:val="nil"/>
                    <w:tl2br w:val="nil"/>
                    <w:tr2bl w:val="nil"/>
                  </w:tcBorders>
                  <w:noWrap w:val="0"/>
                  <w:vAlign w:val="center"/>
                </w:tcPr>
                <w:p w14:paraId="604409C3">
                  <w:pPr>
                    <w:pStyle w:val="16"/>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r>
            <w:tr w14:paraId="12A20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0112A1C8">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l2br w:val="nil"/>
                    <w:tr2bl w:val="nil"/>
                  </w:tcBorders>
                  <w:noWrap w:val="0"/>
                  <w:vAlign w:val="center"/>
                </w:tcPr>
                <w:p w14:paraId="649F4371">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tl2br w:val="nil"/>
                    <w:tr2bl w:val="nil"/>
                  </w:tcBorders>
                  <w:noWrap w:val="0"/>
                  <w:vAlign w:val="center"/>
                </w:tcPr>
                <w:p w14:paraId="768A7977">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1384" w:type="pct"/>
                  <w:tcBorders>
                    <w:tl2br w:val="nil"/>
                    <w:tr2bl w:val="nil"/>
                  </w:tcBorders>
                  <w:noWrap w:val="0"/>
                  <w:vAlign w:val="center"/>
                </w:tcPr>
                <w:p w14:paraId="64931B03">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10</w:t>
                  </w:r>
                </w:p>
              </w:tc>
              <w:tc>
                <w:tcPr>
                  <w:tcW w:w="677" w:type="pct"/>
                  <w:vMerge w:val="continue"/>
                  <w:tcBorders>
                    <w:right w:val="nil"/>
                    <w:tl2br w:val="nil"/>
                    <w:tr2bl w:val="nil"/>
                  </w:tcBorders>
                  <w:noWrap w:val="0"/>
                  <w:vAlign w:val="center"/>
                </w:tcPr>
                <w:p w14:paraId="743F0A43">
                  <w:pPr>
                    <w:pStyle w:val="16"/>
                    <w:adjustRightInd w:val="0"/>
                    <w:snapToGrid w:val="0"/>
                    <w:jc w:val="center"/>
                    <w:rPr>
                      <w:rFonts w:hint="default" w:ascii="Times New Roman" w:hAnsi="Times New Roman" w:cs="Times New Roman"/>
                      <w:b/>
                      <w:color w:val="auto"/>
                      <w:sz w:val="21"/>
                      <w:szCs w:val="21"/>
                      <w:highlight w:val="none"/>
                    </w:rPr>
                  </w:pPr>
                </w:p>
              </w:tc>
            </w:tr>
            <w:tr w14:paraId="0FD86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restart"/>
                  <w:tcBorders>
                    <w:left w:val="nil"/>
                    <w:tl2br w:val="nil"/>
                    <w:tr2bl w:val="nil"/>
                  </w:tcBorders>
                  <w:noWrap w:val="0"/>
                  <w:vAlign w:val="center"/>
                </w:tcPr>
                <w:p w14:paraId="47173C0C">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4</w:t>
                  </w:r>
                </w:p>
              </w:tc>
              <w:tc>
                <w:tcPr>
                  <w:tcW w:w="1126" w:type="pct"/>
                  <w:vMerge w:val="restart"/>
                  <w:tcBorders>
                    <w:tl2br w:val="nil"/>
                    <w:tr2bl w:val="nil"/>
                  </w:tcBorders>
                  <w:noWrap w:val="0"/>
                  <w:vAlign w:val="center"/>
                </w:tcPr>
                <w:p w14:paraId="34BE3F6A">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O</w:t>
                  </w:r>
                  <w:r>
                    <w:rPr>
                      <w:rFonts w:hint="default" w:ascii="Times New Roman" w:hAnsi="Times New Roman" w:cs="Times New Roman"/>
                      <w:bCs/>
                      <w:color w:val="auto"/>
                      <w:sz w:val="21"/>
                      <w:szCs w:val="21"/>
                      <w:highlight w:val="none"/>
                      <w:vertAlign w:val="subscript"/>
                    </w:rPr>
                    <w:t>3</w:t>
                  </w:r>
                </w:p>
              </w:tc>
              <w:tc>
                <w:tcPr>
                  <w:tcW w:w="1384" w:type="pct"/>
                  <w:tcBorders>
                    <w:tl2br w:val="nil"/>
                    <w:tr2bl w:val="nil"/>
                  </w:tcBorders>
                  <w:noWrap w:val="0"/>
                  <w:vAlign w:val="center"/>
                </w:tcPr>
                <w:p w14:paraId="757D05F2">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日最大8小时平均</w:t>
                  </w:r>
                </w:p>
              </w:tc>
              <w:tc>
                <w:tcPr>
                  <w:tcW w:w="1384" w:type="pct"/>
                  <w:tcBorders>
                    <w:tl2br w:val="nil"/>
                    <w:tr2bl w:val="nil"/>
                  </w:tcBorders>
                  <w:noWrap w:val="0"/>
                  <w:vAlign w:val="center"/>
                </w:tcPr>
                <w:p w14:paraId="269AD246">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160</w:t>
                  </w:r>
                </w:p>
              </w:tc>
              <w:tc>
                <w:tcPr>
                  <w:tcW w:w="677" w:type="pct"/>
                  <w:vMerge w:val="restart"/>
                  <w:tcBorders>
                    <w:right w:val="nil"/>
                    <w:tl2br w:val="nil"/>
                    <w:tr2bl w:val="nil"/>
                  </w:tcBorders>
                  <w:noWrap w:val="0"/>
                  <w:vAlign w:val="center"/>
                </w:tcPr>
                <w:p w14:paraId="6007DC84">
                  <w:pPr>
                    <w:pStyle w:val="16"/>
                    <w:adjustRightInd w:val="0"/>
                    <w:snapToGrid w:val="0"/>
                    <w:jc w:val="center"/>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p>
              </w:tc>
            </w:tr>
            <w:tr w14:paraId="12C81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297D320E">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l2br w:val="nil"/>
                    <w:tr2bl w:val="nil"/>
                  </w:tcBorders>
                  <w:noWrap w:val="0"/>
                  <w:vAlign w:val="center"/>
                </w:tcPr>
                <w:p w14:paraId="04228F03">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tl2br w:val="nil"/>
                    <w:tr2bl w:val="nil"/>
                  </w:tcBorders>
                  <w:noWrap w:val="0"/>
                  <w:vAlign w:val="center"/>
                </w:tcPr>
                <w:p w14:paraId="7C0F489D">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1小时平均</w:t>
                  </w:r>
                </w:p>
              </w:tc>
              <w:tc>
                <w:tcPr>
                  <w:tcW w:w="1384" w:type="pct"/>
                  <w:tcBorders>
                    <w:tl2br w:val="nil"/>
                    <w:tr2bl w:val="nil"/>
                  </w:tcBorders>
                  <w:noWrap w:val="0"/>
                  <w:vAlign w:val="center"/>
                </w:tcPr>
                <w:p w14:paraId="0C78F286">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200</w:t>
                  </w:r>
                </w:p>
              </w:tc>
              <w:tc>
                <w:tcPr>
                  <w:tcW w:w="677" w:type="pct"/>
                  <w:vMerge w:val="continue"/>
                  <w:tcBorders>
                    <w:right w:val="nil"/>
                    <w:tl2br w:val="nil"/>
                    <w:tr2bl w:val="nil"/>
                  </w:tcBorders>
                  <w:noWrap w:val="0"/>
                  <w:vAlign w:val="center"/>
                </w:tcPr>
                <w:p w14:paraId="68159E21">
                  <w:pPr>
                    <w:pStyle w:val="16"/>
                    <w:adjustRightInd w:val="0"/>
                    <w:snapToGrid w:val="0"/>
                    <w:jc w:val="center"/>
                    <w:rPr>
                      <w:rFonts w:hint="default" w:ascii="Times New Roman" w:hAnsi="Times New Roman" w:cs="Times New Roman"/>
                      <w:b/>
                      <w:color w:val="auto"/>
                      <w:sz w:val="21"/>
                      <w:szCs w:val="21"/>
                      <w:highlight w:val="none"/>
                    </w:rPr>
                  </w:pPr>
                </w:p>
              </w:tc>
            </w:tr>
            <w:tr w14:paraId="25EDA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restart"/>
                  <w:tcBorders>
                    <w:left w:val="nil"/>
                    <w:tl2br w:val="nil"/>
                    <w:tr2bl w:val="nil"/>
                  </w:tcBorders>
                  <w:noWrap w:val="0"/>
                  <w:vAlign w:val="center"/>
                </w:tcPr>
                <w:p w14:paraId="1A252607">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w:t>
                  </w:r>
                </w:p>
              </w:tc>
              <w:tc>
                <w:tcPr>
                  <w:tcW w:w="1126" w:type="pct"/>
                  <w:vMerge w:val="restart"/>
                  <w:tcBorders>
                    <w:tl2br w:val="nil"/>
                    <w:tr2bl w:val="nil"/>
                  </w:tcBorders>
                  <w:noWrap w:val="0"/>
                  <w:vAlign w:val="center"/>
                </w:tcPr>
                <w:p w14:paraId="355E5802">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PM</w:t>
                  </w:r>
                  <w:r>
                    <w:rPr>
                      <w:rFonts w:hint="default" w:ascii="Times New Roman" w:hAnsi="Times New Roman" w:cs="Times New Roman"/>
                      <w:bCs/>
                      <w:color w:val="auto"/>
                      <w:sz w:val="21"/>
                      <w:szCs w:val="21"/>
                      <w:highlight w:val="none"/>
                      <w:vertAlign w:val="subscript"/>
                    </w:rPr>
                    <w:t>10</w:t>
                  </w:r>
                </w:p>
              </w:tc>
              <w:tc>
                <w:tcPr>
                  <w:tcW w:w="1384" w:type="pct"/>
                  <w:tcBorders>
                    <w:tl2br w:val="nil"/>
                    <w:tr2bl w:val="nil"/>
                  </w:tcBorders>
                  <w:noWrap w:val="0"/>
                  <w:vAlign w:val="center"/>
                </w:tcPr>
                <w:p w14:paraId="4A9F5C17">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1384" w:type="pct"/>
                  <w:tcBorders>
                    <w:tl2br w:val="nil"/>
                    <w:tr2bl w:val="nil"/>
                  </w:tcBorders>
                  <w:noWrap w:val="0"/>
                  <w:vAlign w:val="center"/>
                </w:tcPr>
                <w:p w14:paraId="338CED3F">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70</w:t>
                  </w:r>
                </w:p>
              </w:tc>
              <w:tc>
                <w:tcPr>
                  <w:tcW w:w="677" w:type="pct"/>
                  <w:vMerge w:val="continue"/>
                  <w:tcBorders>
                    <w:right w:val="nil"/>
                    <w:tl2br w:val="nil"/>
                    <w:tr2bl w:val="nil"/>
                  </w:tcBorders>
                  <w:noWrap w:val="0"/>
                  <w:vAlign w:val="center"/>
                </w:tcPr>
                <w:p w14:paraId="4961410E">
                  <w:pPr>
                    <w:pStyle w:val="16"/>
                    <w:adjustRightInd w:val="0"/>
                    <w:snapToGrid w:val="0"/>
                    <w:jc w:val="center"/>
                    <w:rPr>
                      <w:rFonts w:hint="default" w:ascii="Times New Roman" w:hAnsi="Times New Roman" w:cs="Times New Roman"/>
                      <w:b/>
                      <w:color w:val="auto"/>
                      <w:sz w:val="21"/>
                      <w:szCs w:val="21"/>
                      <w:highlight w:val="none"/>
                    </w:rPr>
                  </w:pPr>
                </w:p>
              </w:tc>
            </w:tr>
            <w:tr w14:paraId="24C0C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38C10889">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l2br w:val="nil"/>
                    <w:tr2bl w:val="nil"/>
                  </w:tcBorders>
                  <w:noWrap w:val="0"/>
                  <w:vAlign w:val="center"/>
                </w:tcPr>
                <w:p w14:paraId="1E943DF5">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tl2br w:val="nil"/>
                    <w:tr2bl w:val="nil"/>
                  </w:tcBorders>
                  <w:noWrap w:val="0"/>
                  <w:vAlign w:val="center"/>
                </w:tcPr>
                <w:p w14:paraId="1B6C5270">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1384" w:type="pct"/>
                  <w:tcBorders>
                    <w:tl2br w:val="nil"/>
                    <w:tr2bl w:val="nil"/>
                  </w:tcBorders>
                  <w:noWrap w:val="0"/>
                  <w:vAlign w:val="center"/>
                </w:tcPr>
                <w:p w14:paraId="5B394FA6">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150</w:t>
                  </w:r>
                </w:p>
              </w:tc>
              <w:tc>
                <w:tcPr>
                  <w:tcW w:w="677" w:type="pct"/>
                  <w:vMerge w:val="continue"/>
                  <w:tcBorders>
                    <w:right w:val="nil"/>
                    <w:tl2br w:val="nil"/>
                    <w:tr2bl w:val="nil"/>
                  </w:tcBorders>
                  <w:noWrap w:val="0"/>
                  <w:vAlign w:val="center"/>
                </w:tcPr>
                <w:p w14:paraId="451F37AD">
                  <w:pPr>
                    <w:pStyle w:val="16"/>
                    <w:adjustRightInd w:val="0"/>
                    <w:snapToGrid w:val="0"/>
                    <w:jc w:val="center"/>
                    <w:rPr>
                      <w:rFonts w:hint="default" w:ascii="Times New Roman" w:hAnsi="Times New Roman" w:cs="Times New Roman"/>
                      <w:b/>
                      <w:color w:val="auto"/>
                      <w:sz w:val="21"/>
                      <w:szCs w:val="21"/>
                      <w:highlight w:val="none"/>
                    </w:rPr>
                  </w:pPr>
                </w:p>
              </w:tc>
            </w:tr>
            <w:tr w14:paraId="19AF1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restart"/>
                  <w:tcBorders>
                    <w:left w:val="nil"/>
                    <w:tl2br w:val="nil"/>
                    <w:tr2bl w:val="nil"/>
                  </w:tcBorders>
                  <w:noWrap w:val="0"/>
                  <w:vAlign w:val="center"/>
                </w:tcPr>
                <w:p w14:paraId="70985822">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w:t>
                  </w:r>
                </w:p>
              </w:tc>
              <w:tc>
                <w:tcPr>
                  <w:tcW w:w="1126" w:type="pct"/>
                  <w:vMerge w:val="restart"/>
                  <w:tcBorders>
                    <w:bottom w:val="single" w:color="000000" w:sz="12" w:space="0"/>
                    <w:tl2br w:val="nil"/>
                    <w:tr2bl w:val="nil"/>
                  </w:tcBorders>
                  <w:noWrap w:val="0"/>
                  <w:vAlign w:val="center"/>
                </w:tcPr>
                <w:p w14:paraId="186C566F">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PM</w:t>
                  </w:r>
                  <w:r>
                    <w:rPr>
                      <w:rFonts w:hint="default" w:ascii="Times New Roman" w:hAnsi="Times New Roman" w:cs="Times New Roman"/>
                      <w:bCs/>
                      <w:color w:val="auto"/>
                      <w:sz w:val="21"/>
                      <w:szCs w:val="21"/>
                      <w:highlight w:val="none"/>
                      <w:vertAlign w:val="subscript"/>
                    </w:rPr>
                    <w:t>2.5</w:t>
                  </w:r>
                </w:p>
              </w:tc>
              <w:tc>
                <w:tcPr>
                  <w:tcW w:w="1384" w:type="pct"/>
                  <w:tcBorders>
                    <w:tl2br w:val="nil"/>
                    <w:tr2bl w:val="nil"/>
                  </w:tcBorders>
                  <w:noWrap w:val="0"/>
                  <w:vAlign w:val="center"/>
                </w:tcPr>
                <w:p w14:paraId="6FA7E2E1">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年平均</w:t>
                  </w:r>
                </w:p>
              </w:tc>
              <w:tc>
                <w:tcPr>
                  <w:tcW w:w="1384" w:type="pct"/>
                  <w:tcBorders>
                    <w:tl2br w:val="nil"/>
                    <w:tr2bl w:val="nil"/>
                  </w:tcBorders>
                  <w:noWrap w:val="0"/>
                  <w:vAlign w:val="center"/>
                </w:tcPr>
                <w:p w14:paraId="0B291633">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35</w:t>
                  </w:r>
                </w:p>
              </w:tc>
              <w:tc>
                <w:tcPr>
                  <w:tcW w:w="677" w:type="pct"/>
                  <w:vMerge w:val="continue"/>
                  <w:tcBorders>
                    <w:right w:val="nil"/>
                    <w:tl2br w:val="nil"/>
                    <w:tr2bl w:val="nil"/>
                  </w:tcBorders>
                  <w:noWrap w:val="0"/>
                  <w:vAlign w:val="center"/>
                </w:tcPr>
                <w:p w14:paraId="55C45D63">
                  <w:pPr>
                    <w:pStyle w:val="16"/>
                    <w:adjustRightInd w:val="0"/>
                    <w:snapToGrid w:val="0"/>
                    <w:jc w:val="center"/>
                    <w:rPr>
                      <w:rFonts w:hint="default" w:ascii="Times New Roman" w:hAnsi="Times New Roman" w:cs="Times New Roman"/>
                      <w:b/>
                      <w:color w:val="auto"/>
                      <w:sz w:val="21"/>
                      <w:szCs w:val="21"/>
                      <w:highlight w:val="none"/>
                    </w:rPr>
                  </w:pPr>
                </w:p>
              </w:tc>
            </w:tr>
            <w:tr w14:paraId="39737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26" w:type="pct"/>
                  <w:vMerge w:val="continue"/>
                  <w:tcBorders>
                    <w:left w:val="nil"/>
                    <w:tl2br w:val="nil"/>
                    <w:tr2bl w:val="nil"/>
                  </w:tcBorders>
                  <w:noWrap w:val="0"/>
                  <w:vAlign w:val="center"/>
                </w:tcPr>
                <w:p w14:paraId="0F5E3F60">
                  <w:pPr>
                    <w:pStyle w:val="16"/>
                    <w:adjustRightInd w:val="0"/>
                    <w:snapToGrid w:val="0"/>
                    <w:jc w:val="center"/>
                    <w:rPr>
                      <w:rFonts w:hint="default" w:ascii="Times New Roman" w:hAnsi="Times New Roman" w:cs="Times New Roman"/>
                      <w:bCs/>
                      <w:color w:val="auto"/>
                      <w:sz w:val="21"/>
                      <w:szCs w:val="21"/>
                      <w:highlight w:val="none"/>
                    </w:rPr>
                  </w:pPr>
                </w:p>
              </w:tc>
              <w:tc>
                <w:tcPr>
                  <w:tcW w:w="1126" w:type="pct"/>
                  <w:vMerge w:val="continue"/>
                  <w:tcBorders>
                    <w:top w:val="single" w:color="000000" w:sz="12" w:space="0"/>
                    <w:bottom w:val="single" w:color="000000" w:sz="12" w:space="0"/>
                    <w:tl2br w:val="nil"/>
                    <w:tr2bl w:val="nil"/>
                  </w:tcBorders>
                  <w:noWrap w:val="0"/>
                  <w:vAlign w:val="center"/>
                </w:tcPr>
                <w:p w14:paraId="5760EF9C">
                  <w:pPr>
                    <w:pStyle w:val="16"/>
                    <w:adjustRightInd w:val="0"/>
                    <w:snapToGrid w:val="0"/>
                    <w:jc w:val="center"/>
                    <w:rPr>
                      <w:rFonts w:hint="default" w:ascii="Times New Roman" w:hAnsi="Times New Roman" w:cs="Times New Roman"/>
                      <w:bCs/>
                      <w:color w:val="auto"/>
                      <w:sz w:val="21"/>
                      <w:szCs w:val="21"/>
                      <w:highlight w:val="none"/>
                    </w:rPr>
                  </w:pPr>
                </w:p>
              </w:tc>
              <w:tc>
                <w:tcPr>
                  <w:tcW w:w="1384" w:type="pct"/>
                  <w:tcBorders>
                    <w:bottom w:val="single" w:color="000000" w:sz="12" w:space="0"/>
                    <w:tl2br w:val="nil"/>
                    <w:tr2bl w:val="nil"/>
                  </w:tcBorders>
                  <w:noWrap w:val="0"/>
                  <w:vAlign w:val="center"/>
                </w:tcPr>
                <w:p w14:paraId="167D97B1">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24小时平均</w:t>
                  </w:r>
                </w:p>
              </w:tc>
              <w:tc>
                <w:tcPr>
                  <w:tcW w:w="1384" w:type="pct"/>
                  <w:tcBorders>
                    <w:bottom w:val="single" w:color="000000" w:sz="12" w:space="0"/>
                    <w:tl2br w:val="nil"/>
                    <w:tr2bl w:val="nil"/>
                  </w:tcBorders>
                  <w:noWrap w:val="0"/>
                  <w:vAlign w:val="center"/>
                </w:tcPr>
                <w:p w14:paraId="42529E60">
                  <w:pPr>
                    <w:pStyle w:val="16"/>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75</w:t>
                  </w:r>
                </w:p>
              </w:tc>
              <w:tc>
                <w:tcPr>
                  <w:tcW w:w="677" w:type="pct"/>
                  <w:vMerge w:val="continue"/>
                  <w:tcBorders>
                    <w:right w:val="nil"/>
                    <w:tl2br w:val="nil"/>
                    <w:tr2bl w:val="nil"/>
                  </w:tcBorders>
                  <w:noWrap w:val="0"/>
                  <w:vAlign w:val="center"/>
                </w:tcPr>
                <w:p w14:paraId="55AB0E90">
                  <w:pPr>
                    <w:pStyle w:val="16"/>
                    <w:adjustRightInd w:val="0"/>
                    <w:snapToGrid w:val="0"/>
                    <w:jc w:val="center"/>
                    <w:rPr>
                      <w:rFonts w:hint="default" w:ascii="Times New Roman" w:hAnsi="Times New Roman" w:cs="Times New Roman"/>
                      <w:b/>
                      <w:color w:val="auto"/>
                      <w:sz w:val="21"/>
                      <w:szCs w:val="21"/>
                      <w:highlight w:val="none"/>
                    </w:rPr>
                  </w:pPr>
                </w:p>
              </w:tc>
            </w:tr>
          </w:tbl>
          <w:p w14:paraId="21628284">
            <w:pPr>
              <w:adjustRightInd w:val="0"/>
              <w:snapToGrid w:val="0"/>
              <w:spacing w:line="360" w:lineRule="auto"/>
              <w:ind w:firstLine="480" w:firstLineChars="200"/>
              <w:jc w:val="left"/>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（4）评价方法</w:t>
            </w:r>
          </w:p>
          <w:p w14:paraId="6928B509">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基本污染物按照《环境空气质量评价技术规范（试行）》（HJ663-2013）中各评价项目的年评价指标进行判定。年评价指标中的年均浓度和相应百分位数24h平均或8h平均质量浓度满足GB3095中浓度限值要求的即为达标。对于超标的污染物，计算其超标倍数和超标率。</w:t>
            </w:r>
          </w:p>
          <w:p w14:paraId="6444B5BF">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空气环境质量现状采用单项污染指数法、计算公式为：</w:t>
            </w:r>
          </w:p>
          <w:p w14:paraId="180DAE22">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超标率=超标数据个数/总监测数据个数×100%</w:t>
            </w:r>
          </w:p>
          <w:p w14:paraId="246520E4">
            <w:pPr>
              <w:adjustRightInd w:val="0"/>
              <w:snapToGrid w:val="0"/>
              <w:spacing w:line="360" w:lineRule="auto"/>
              <w:ind w:firstLine="48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object>
                <v:shape id="_x0000_i1025" o:spt="75" type="#_x0000_t75" style="height:33pt;width:89.5pt;" o:ole="t" filled="f" stroked="f" coordsize="21600,21600">
                  <v:path/>
                  <v:fill on="f" focussize="0,0"/>
                  <v:stroke on="f"/>
                  <v:imagedata r:id="rId14" o:title=""/>
                  <o:lock v:ext="edit" aspectratio="t"/>
                  <w10:wrap type="none"/>
                  <w10:anchorlock/>
                </v:shape>
                <o:OLEObject Type="Embed" ProgID="Equation.AxMath" ShapeID="_x0000_i1025" DrawAspect="Content" ObjectID="_1468075725" r:id="rId13">
                  <o:LockedField>false</o:LockedField>
                </o:OLEObject>
              </w:object>
            </w:r>
          </w:p>
          <w:p w14:paraId="257AFF36">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式中：P</w:t>
            </w:r>
            <w:r>
              <w:rPr>
                <w:rFonts w:hint="default" w:ascii="Times New Roman" w:hAnsi="Times New Roman" w:cs="Times New Roman"/>
                <w:color w:val="auto"/>
                <w:sz w:val="24"/>
                <w:highlight w:val="none"/>
                <w:vertAlign w:val="subscript"/>
              </w:rPr>
              <w:t>i</w:t>
            </w:r>
            <w:r>
              <w:rPr>
                <w:rFonts w:hint="default" w:ascii="Times New Roman" w:hAnsi="Times New Roman" w:cs="Times New Roman"/>
                <w:color w:val="auto"/>
                <w:sz w:val="24"/>
                <w:highlight w:val="none"/>
              </w:rPr>
              <w:t>—第i个污染物的最大浓度占标率（无量纲）；</w:t>
            </w:r>
          </w:p>
          <w:p w14:paraId="09A0F7B5">
            <w:pPr>
              <w:spacing w:line="360" w:lineRule="auto"/>
              <w:ind w:firstLine="1200" w:firstLineChars="5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w:t>
            </w:r>
            <w:r>
              <w:rPr>
                <w:rFonts w:hint="default" w:ascii="Times New Roman" w:hAnsi="Times New Roman" w:cs="Times New Roman"/>
                <w:color w:val="auto"/>
                <w:sz w:val="24"/>
                <w:highlight w:val="none"/>
                <w:vertAlign w:val="subscript"/>
              </w:rPr>
              <w:t>i</w:t>
            </w:r>
            <w:r>
              <w:rPr>
                <w:rFonts w:hint="default" w:ascii="Times New Roman" w:hAnsi="Times New Roman" w:cs="Times New Roman"/>
                <w:color w:val="auto"/>
                <w:sz w:val="24"/>
                <w:highlight w:val="none"/>
              </w:rPr>
              <w:t>—第i个污染物的最大浓度（μg/m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14:paraId="6CFEC4FF">
            <w:pPr>
              <w:spacing w:line="360" w:lineRule="auto"/>
              <w:ind w:firstLine="1200" w:firstLineChars="5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w:t>
            </w:r>
            <w:r>
              <w:rPr>
                <w:rFonts w:hint="default" w:ascii="Times New Roman" w:hAnsi="Times New Roman" w:cs="Times New Roman"/>
                <w:color w:val="auto"/>
                <w:sz w:val="24"/>
                <w:highlight w:val="none"/>
                <w:vertAlign w:val="subscript"/>
              </w:rPr>
              <w:t>oi</w:t>
            </w:r>
            <w:r>
              <w:rPr>
                <w:rFonts w:hint="default" w:ascii="Times New Roman" w:hAnsi="Times New Roman" w:cs="Times New Roman"/>
                <w:color w:val="auto"/>
                <w:sz w:val="24"/>
                <w:highlight w:val="none"/>
              </w:rPr>
              <w:t>—第i个污染物的环境空气质量浓度标准（μg/m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p>
          <w:p w14:paraId="135724AC">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当P</w:t>
            </w:r>
            <w:r>
              <w:rPr>
                <w:rFonts w:hint="default" w:ascii="Times New Roman" w:hAnsi="Times New Roman" w:cs="Times New Roman"/>
                <w:color w:val="auto"/>
                <w:sz w:val="24"/>
                <w:highlight w:val="none"/>
                <w:vertAlign w:val="subscript"/>
              </w:rPr>
              <w:t>i</w:t>
            </w:r>
            <w:r>
              <w:rPr>
                <w:rFonts w:hint="default" w:ascii="Times New Roman" w:hAnsi="Times New Roman" w:cs="Times New Roman"/>
                <w:color w:val="auto"/>
                <w:sz w:val="24"/>
                <w:highlight w:val="none"/>
              </w:rPr>
              <w:t>＞1时，说明环境中i污染物含量超过标准值，当P</w:t>
            </w:r>
            <w:r>
              <w:rPr>
                <w:rFonts w:hint="default" w:ascii="Times New Roman" w:hAnsi="Times New Roman" w:cs="Times New Roman"/>
                <w:color w:val="auto"/>
                <w:sz w:val="24"/>
                <w:highlight w:val="none"/>
                <w:vertAlign w:val="subscript"/>
              </w:rPr>
              <w:t>i</w:t>
            </w:r>
            <w:r>
              <w:rPr>
                <w:rFonts w:hint="default" w:ascii="Times New Roman" w:hAnsi="Times New Roman" w:cs="Times New Roman"/>
                <w:color w:val="auto"/>
                <w:sz w:val="24"/>
                <w:highlight w:val="none"/>
              </w:rPr>
              <w:t>≤1时，则说明i污染物符合标准。某污染物的P</w:t>
            </w:r>
            <w:r>
              <w:rPr>
                <w:rFonts w:hint="default" w:ascii="Times New Roman" w:hAnsi="Times New Roman" w:cs="Times New Roman"/>
                <w:color w:val="auto"/>
                <w:sz w:val="24"/>
                <w:highlight w:val="none"/>
                <w:vertAlign w:val="subscript"/>
              </w:rPr>
              <w:t>i</w:t>
            </w:r>
            <w:r>
              <w:rPr>
                <w:rFonts w:hint="default" w:ascii="Times New Roman" w:hAnsi="Times New Roman" w:cs="Times New Roman"/>
                <w:color w:val="auto"/>
                <w:sz w:val="24"/>
                <w:highlight w:val="none"/>
              </w:rPr>
              <w:t>值越大，则污染相对越严重。</w:t>
            </w:r>
          </w:p>
          <w:p w14:paraId="4B9395E4">
            <w:pPr>
              <w:adjustRightInd w:val="0"/>
              <w:snapToGrid w:val="0"/>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（5）基本污染物监测及评价</w:t>
            </w:r>
          </w:p>
          <w:p w14:paraId="0B4D9A3C">
            <w:pPr>
              <w:pStyle w:val="33"/>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项目区大气环境质量现状监测结果见表</w:t>
            </w:r>
            <w:r>
              <w:rPr>
                <w:rFonts w:hint="default" w:ascii="Times New Roman" w:hAnsi="Times New Roman" w:cs="Times New Roman"/>
                <w:color w:val="auto"/>
                <w:highlight w:val="none"/>
                <w:lang w:val="en-US" w:eastAsia="zh-CN"/>
              </w:rPr>
              <w:t>3-2</w:t>
            </w:r>
            <w:r>
              <w:rPr>
                <w:rFonts w:hint="default" w:ascii="Times New Roman" w:hAnsi="Times New Roman" w:cs="Times New Roman"/>
                <w:color w:val="auto"/>
                <w:highlight w:val="none"/>
              </w:rPr>
              <w:t>。</w:t>
            </w:r>
          </w:p>
          <w:p w14:paraId="101CB1E6">
            <w:pPr>
              <w:pStyle w:val="30"/>
              <w:spacing w:line="240" w:lineRule="auto"/>
              <w:ind w:firstLine="422"/>
              <w:rPr>
                <w:rFonts w:hint="default" w:ascii="Times New Roman" w:hAnsi="Times New Roman" w:cs="Times New Roman"/>
                <w:color w:val="auto"/>
                <w:highlight w:val="none"/>
                <w:vertAlign w:val="superscript"/>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lang w:val="en-US" w:eastAsia="zh-CN"/>
              </w:rPr>
              <w:t>3-2</w:t>
            </w:r>
            <w:r>
              <w:rPr>
                <w:rFonts w:hint="default" w:ascii="Times New Roman" w:hAnsi="Times New Roman" w:cs="Times New Roman"/>
                <w:color w:val="auto"/>
                <w:highlight w:val="none"/>
              </w:rPr>
              <w:t xml:space="preserve">   空气质量监测及评价结果</w:t>
            </w:r>
          </w:p>
          <w:tbl>
            <w:tblPr>
              <w:tblStyle w:val="2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9"/>
              <w:gridCol w:w="2470"/>
              <w:gridCol w:w="1128"/>
              <w:gridCol w:w="1234"/>
              <w:gridCol w:w="830"/>
              <w:gridCol w:w="808"/>
            </w:tblGrid>
            <w:tr w14:paraId="4AA7D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5" w:type="pct"/>
                  <w:tcBorders>
                    <w:top w:val="single" w:color="000000" w:sz="12" w:space="0"/>
                    <w:left w:val="nil"/>
                    <w:bottom w:val="single" w:color="000000" w:sz="12" w:space="0"/>
                  </w:tcBorders>
                  <w:noWrap w:val="0"/>
                  <w:vAlign w:val="center"/>
                </w:tcPr>
                <w:p w14:paraId="696A432D">
                  <w:pPr>
                    <w:pStyle w:val="41"/>
                    <w:spacing w:before="0" w:beforeLines="0" w:beforeAutospacing="0" w:after="0" w:afterLines="0" w:afterAutospacing="0"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评价因子</w:t>
                  </w:r>
                </w:p>
              </w:tc>
              <w:tc>
                <w:tcPr>
                  <w:tcW w:w="1551" w:type="pct"/>
                  <w:tcBorders>
                    <w:top w:val="single" w:color="000000" w:sz="12" w:space="0"/>
                    <w:bottom w:val="single" w:color="000000" w:sz="12" w:space="0"/>
                  </w:tcBorders>
                  <w:noWrap w:val="0"/>
                  <w:vAlign w:val="center"/>
                </w:tcPr>
                <w:p w14:paraId="78E3DBE5">
                  <w:pPr>
                    <w:pStyle w:val="41"/>
                    <w:spacing w:before="0" w:beforeLines="0" w:beforeAutospacing="0" w:after="0" w:afterLines="0" w:afterAutospacing="0"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年评价指标</w:t>
                  </w:r>
                </w:p>
              </w:tc>
              <w:tc>
                <w:tcPr>
                  <w:tcW w:w="708" w:type="pct"/>
                  <w:tcBorders>
                    <w:top w:val="single" w:color="000000" w:sz="12" w:space="0"/>
                    <w:bottom w:val="single" w:color="000000" w:sz="12" w:space="0"/>
                  </w:tcBorders>
                  <w:noWrap w:val="0"/>
                  <w:vAlign w:val="center"/>
                </w:tcPr>
                <w:p w14:paraId="492F20D8">
                  <w:pPr>
                    <w:pStyle w:val="41"/>
                    <w:spacing w:before="0" w:beforeLines="0" w:beforeAutospacing="0" w:after="0" w:afterLines="0" w:afterAutospacing="0"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现状浓度μg/m</w:t>
                  </w:r>
                  <w:r>
                    <w:rPr>
                      <w:rFonts w:hint="default" w:ascii="Times New Roman" w:hAnsi="Times New Roman" w:cs="Times New Roman"/>
                      <w:b/>
                      <w:bCs/>
                      <w:color w:val="auto"/>
                      <w:sz w:val="21"/>
                      <w:szCs w:val="21"/>
                      <w:highlight w:val="none"/>
                      <w:vertAlign w:val="superscript"/>
                    </w:rPr>
                    <w:t>3</w:t>
                  </w:r>
                </w:p>
              </w:tc>
              <w:tc>
                <w:tcPr>
                  <w:tcW w:w="775" w:type="pct"/>
                  <w:tcBorders>
                    <w:top w:val="single" w:color="000000" w:sz="12" w:space="0"/>
                    <w:bottom w:val="single" w:color="000000" w:sz="12" w:space="0"/>
                  </w:tcBorders>
                  <w:noWrap w:val="0"/>
                  <w:vAlign w:val="center"/>
                </w:tcPr>
                <w:p w14:paraId="26DA51B0">
                  <w:pPr>
                    <w:pStyle w:val="41"/>
                    <w:spacing w:before="0" w:beforeLines="0" w:beforeAutospacing="0" w:after="0" w:afterLines="0" w:afterAutospacing="0"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标准限值μg/m</w:t>
                  </w:r>
                  <w:r>
                    <w:rPr>
                      <w:rFonts w:hint="default" w:ascii="Times New Roman" w:hAnsi="Times New Roman" w:cs="Times New Roman"/>
                      <w:b/>
                      <w:bCs/>
                      <w:color w:val="auto"/>
                      <w:sz w:val="21"/>
                      <w:szCs w:val="21"/>
                      <w:highlight w:val="none"/>
                      <w:vertAlign w:val="superscript"/>
                    </w:rPr>
                    <w:t>3</w:t>
                  </w:r>
                </w:p>
              </w:tc>
              <w:tc>
                <w:tcPr>
                  <w:tcW w:w="521" w:type="pct"/>
                  <w:tcBorders>
                    <w:top w:val="single" w:color="000000" w:sz="12" w:space="0"/>
                    <w:bottom w:val="single" w:color="000000" w:sz="12" w:space="0"/>
                  </w:tcBorders>
                  <w:noWrap w:val="0"/>
                  <w:vAlign w:val="center"/>
                </w:tcPr>
                <w:p w14:paraId="24AAABE9">
                  <w:pPr>
                    <w:pStyle w:val="41"/>
                    <w:spacing w:before="0" w:beforeLines="0" w:beforeAutospacing="0" w:after="0" w:afterLines="0" w:afterAutospacing="0"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占标率%</w:t>
                  </w:r>
                </w:p>
              </w:tc>
              <w:tc>
                <w:tcPr>
                  <w:tcW w:w="507" w:type="pct"/>
                  <w:tcBorders>
                    <w:top w:val="single" w:color="000000" w:sz="12" w:space="0"/>
                    <w:bottom w:val="single" w:color="000000" w:sz="12" w:space="0"/>
                    <w:right w:val="nil"/>
                  </w:tcBorders>
                  <w:noWrap w:val="0"/>
                  <w:vAlign w:val="center"/>
                </w:tcPr>
                <w:p w14:paraId="77D8DD15">
                  <w:pPr>
                    <w:pStyle w:val="41"/>
                    <w:spacing w:before="0" w:beforeLines="0" w:beforeAutospacing="0" w:after="0" w:afterLines="0" w:afterAutospacing="0"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达标情况</w:t>
                  </w:r>
                </w:p>
              </w:tc>
            </w:tr>
            <w:tr w14:paraId="40151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5" w:type="pct"/>
                  <w:tcBorders>
                    <w:top w:val="single" w:color="000000" w:sz="12" w:space="0"/>
                    <w:left w:val="nil"/>
                    <w:tl2br w:val="nil"/>
                    <w:tr2bl w:val="nil"/>
                  </w:tcBorders>
                  <w:noWrap w:val="0"/>
                  <w:vAlign w:val="center"/>
                </w:tcPr>
                <w:p w14:paraId="67E83C02">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51" w:type="pct"/>
                  <w:tcBorders>
                    <w:top w:val="single" w:color="000000" w:sz="12" w:space="0"/>
                    <w:tl2br w:val="nil"/>
                    <w:tr2bl w:val="nil"/>
                  </w:tcBorders>
                  <w:noWrap w:val="0"/>
                  <w:vAlign w:val="center"/>
                </w:tcPr>
                <w:p w14:paraId="12116EBF">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w:t>
                  </w:r>
                </w:p>
              </w:tc>
              <w:tc>
                <w:tcPr>
                  <w:tcW w:w="708" w:type="pct"/>
                  <w:tcBorders>
                    <w:top w:val="single" w:color="000000" w:sz="12" w:space="0"/>
                    <w:tl2br w:val="nil"/>
                    <w:tr2bl w:val="nil"/>
                  </w:tcBorders>
                  <w:noWrap w:val="0"/>
                  <w:vAlign w:val="center"/>
                </w:tcPr>
                <w:p w14:paraId="43F09611">
                  <w:pPr>
                    <w:widowControl/>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cs="Times New Roman"/>
                      <w:color w:val="auto"/>
                      <w:kern w:val="0"/>
                      <w:szCs w:val="21"/>
                      <w:highlight w:val="none"/>
                      <w:lang w:val="en-US" w:eastAsia="zh-CN"/>
                    </w:rPr>
                    <w:t>8</w:t>
                  </w:r>
                </w:p>
              </w:tc>
              <w:tc>
                <w:tcPr>
                  <w:tcW w:w="775" w:type="pct"/>
                  <w:tcBorders>
                    <w:top w:val="single" w:color="000000" w:sz="12" w:space="0"/>
                    <w:tl2br w:val="nil"/>
                    <w:tr2bl w:val="nil"/>
                  </w:tcBorders>
                  <w:noWrap w:val="0"/>
                  <w:vAlign w:val="center"/>
                </w:tcPr>
                <w:p w14:paraId="1B677744">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p>
              </w:tc>
              <w:tc>
                <w:tcPr>
                  <w:tcW w:w="521" w:type="pct"/>
                  <w:tcBorders>
                    <w:top w:val="single" w:color="000000" w:sz="12" w:space="0"/>
                    <w:tl2br w:val="nil"/>
                    <w:tr2bl w:val="nil"/>
                  </w:tcBorders>
                  <w:noWrap w:val="0"/>
                  <w:vAlign w:val="center"/>
                </w:tcPr>
                <w:p w14:paraId="6F4B473C">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11.7</w:t>
                  </w:r>
                </w:p>
              </w:tc>
              <w:tc>
                <w:tcPr>
                  <w:tcW w:w="507" w:type="pct"/>
                  <w:tcBorders>
                    <w:top w:val="single" w:color="000000" w:sz="12" w:space="0"/>
                    <w:right w:val="nil"/>
                    <w:tl2br w:val="nil"/>
                    <w:tr2bl w:val="nil"/>
                  </w:tcBorders>
                  <w:noWrap w:val="0"/>
                  <w:vAlign w:val="center"/>
                </w:tcPr>
                <w:p w14:paraId="2D537E99">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65BC6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5" w:type="pct"/>
                  <w:tcBorders>
                    <w:left w:val="nil"/>
                    <w:tl2br w:val="nil"/>
                    <w:tr2bl w:val="nil"/>
                  </w:tcBorders>
                  <w:noWrap w:val="0"/>
                  <w:vAlign w:val="center"/>
                </w:tcPr>
                <w:p w14:paraId="21D13A9D">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51" w:type="pct"/>
                  <w:tcBorders>
                    <w:tl2br w:val="nil"/>
                    <w:tr2bl w:val="nil"/>
                  </w:tcBorders>
                  <w:noWrap w:val="0"/>
                  <w:vAlign w:val="center"/>
                </w:tcPr>
                <w:p w14:paraId="5B014691">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w:t>
                  </w:r>
                </w:p>
              </w:tc>
              <w:tc>
                <w:tcPr>
                  <w:tcW w:w="708" w:type="pct"/>
                  <w:tcBorders>
                    <w:tl2br w:val="nil"/>
                    <w:tr2bl w:val="nil"/>
                  </w:tcBorders>
                  <w:noWrap w:val="0"/>
                  <w:vAlign w:val="center"/>
                </w:tcPr>
                <w:p w14:paraId="0D68A51E">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23</w:t>
                  </w:r>
                </w:p>
              </w:tc>
              <w:tc>
                <w:tcPr>
                  <w:tcW w:w="775" w:type="pct"/>
                  <w:tcBorders>
                    <w:tl2br w:val="nil"/>
                    <w:tr2bl w:val="nil"/>
                  </w:tcBorders>
                  <w:noWrap w:val="0"/>
                  <w:vAlign w:val="center"/>
                </w:tcPr>
                <w:p w14:paraId="75FFFBD7">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521" w:type="pct"/>
                  <w:tcBorders>
                    <w:tl2br w:val="nil"/>
                    <w:tr2bl w:val="nil"/>
                  </w:tcBorders>
                  <w:noWrap w:val="0"/>
                  <w:vAlign w:val="center"/>
                </w:tcPr>
                <w:p w14:paraId="70D415DF">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80</w:t>
                  </w:r>
                </w:p>
              </w:tc>
              <w:tc>
                <w:tcPr>
                  <w:tcW w:w="507" w:type="pct"/>
                  <w:tcBorders>
                    <w:right w:val="nil"/>
                    <w:tl2br w:val="nil"/>
                    <w:tr2bl w:val="nil"/>
                  </w:tcBorders>
                  <w:noWrap w:val="0"/>
                  <w:vAlign w:val="center"/>
                </w:tcPr>
                <w:p w14:paraId="27E3747A">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0D4A3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5" w:type="pct"/>
                  <w:tcBorders>
                    <w:left w:val="nil"/>
                    <w:tl2br w:val="nil"/>
                    <w:tr2bl w:val="nil"/>
                  </w:tcBorders>
                  <w:noWrap w:val="0"/>
                  <w:vAlign w:val="center"/>
                </w:tcPr>
                <w:p w14:paraId="0F3A3BDF">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CO（mg/m³）</w:t>
                  </w:r>
                </w:p>
              </w:tc>
              <w:tc>
                <w:tcPr>
                  <w:tcW w:w="1551" w:type="pct"/>
                  <w:tcBorders>
                    <w:tl2br w:val="nil"/>
                    <w:tr2bl w:val="nil"/>
                  </w:tcBorders>
                  <w:noWrap w:val="0"/>
                  <w:vAlign w:val="center"/>
                </w:tcPr>
                <w:p w14:paraId="41D5C2FF">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第95百分位数日平均</w:t>
                  </w:r>
                </w:p>
              </w:tc>
              <w:tc>
                <w:tcPr>
                  <w:tcW w:w="708" w:type="pct"/>
                  <w:tcBorders>
                    <w:tl2br w:val="nil"/>
                    <w:tr2bl w:val="nil"/>
                  </w:tcBorders>
                  <w:noWrap w:val="0"/>
                  <w:vAlign w:val="center"/>
                </w:tcPr>
                <w:p w14:paraId="37F7E265">
                  <w:pPr>
                    <w:pStyle w:val="41"/>
                    <w:spacing w:before="0" w:beforeLines="0" w:beforeAutospacing="0" w:after="0" w:afterLines="0" w:afterAutospacing="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1.8</w:t>
                  </w:r>
                </w:p>
              </w:tc>
              <w:tc>
                <w:tcPr>
                  <w:tcW w:w="775" w:type="pct"/>
                  <w:tcBorders>
                    <w:tl2br w:val="nil"/>
                    <w:tr2bl w:val="nil"/>
                  </w:tcBorders>
                  <w:noWrap w:val="0"/>
                  <w:vAlign w:val="center"/>
                </w:tcPr>
                <w:p w14:paraId="068AF5CB">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521" w:type="pct"/>
                  <w:tcBorders>
                    <w:tl2br w:val="nil"/>
                    <w:tr2bl w:val="nil"/>
                  </w:tcBorders>
                  <w:noWrap w:val="0"/>
                  <w:vAlign w:val="center"/>
                </w:tcPr>
                <w:p w14:paraId="008F194B">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57.5</w:t>
                  </w:r>
                </w:p>
              </w:tc>
              <w:tc>
                <w:tcPr>
                  <w:tcW w:w="507" w:type="pct"/>
                  <w:tcBorders>
                    <w:right w:val="nil"/>
                    <w:tl2br w:val="nil"/>
                    <w:tr2bl w:val="nil"/>
                  </w:tcBorders>
                  <w:noWrap w:val="0"/>
                  <w:vAlign w:val="center"/>
                </w:tcPr>
                <w:p w14:paraId="5C581F16">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9561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5" w:type="pct"/>
                  <w:tcBorders>
                    <w:left w:val="nil"/>
                    <w:tl2br w:val="nil"/>
                    <w:tr2bl w:val="nil"/>
                  </w:tcBorders>
                  <w:noWrap w:val="0"/>
                  <w:vAlign w:val="center"/>
                </w:tcPr>
                <w:p w14:paraId="09C963B7">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51" w:type="pct"/>
                  <w:tcBorders>
                    <w:tl2br w:val="nil"/>
                    <w:tr2bl w:val="nil"/>
                  </w:tcBorders>
                  <w:noWrap w:val="0"/>
                  <w:vAlign w:val="center"/>
                </w:tcPr>
                <w:p w14:paraId="49CC1CAD">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第90百分位数日平均</w:t>
                  </w:r>
                </w:p>
              </w:tc>
              <w:tc>
                <w:tcPr>
                  <w:tcW w:w="708" w:type="pct"/>
                  <w:tcBorders>
                    <w:tl2br w:val="nil"/>
                    <w:tr2bl w:val="nil"/>
                  </w:tcBorders>
                  <w:noWrap w:val="0"/>
                  <w:vAlign w:val="center"/>
                </w:tcPr>
                <w:p w14:paraId="4C4E4154">
                  <w:pPr>
                    <w:pStyle w:val="41"/>
                    <w:spacing w:before="0" w:beforeLines="0" w:beforeAutospacing="0" w:after="0" w:afterLines="0" w:afterAutospacing="0"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116</w:t>
                  </w:r>
                </w:p>
              </w:tc>
              <w:tc>
                <w:tcPr>
                  <w:tcW w:w="775" w:type="pct"/>
                  <w:tcBorders>
                    <w:tl2br w:val="nil"/>
                    <w:tr2bl w:val="nil"/>
                  </w:tcBorders>
                  <w:noWrap w:val="0"/>
                  <w:vAlign w:val="center"/>
                </w:tcPr>
                <w:p w14:paraId="302171B0">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p>
              </w:tc>
              <w:tc>
                <w:tcPr>
                  <w:tcW w:w="521" w:type="pct"/>
                  <w:tcBorders>
                    <w:tl2br w:val="nil"/>
                    <w:tr2bl w:val="nil"/>
                  </w:tcBorders>
                  <w:noWrap w:val="0"/>
                  <w:vAlign w:val="center"/>
                </w:tcPr>
                <w:p w14:paraId="77DFD00D">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83.1</w:t>
                  </w:r>
                </w:p>
              </w:tc>
              <w:tc>
                <w:tcPr>
                  <w:tcW w:w="507" w:type="pct"/>
                  <w:tcBorders>
                    <w:right w:val="nil"/>
                    <w:tl2br w:val="nil"/>
                    <w:tr2bl w:val="nil"/>
                  </w:tcBorders>
                  <w:noWrap w:val="0"/>
                  <w:vAlign w:val="center"/>
                </w:tcPr>
                <w:p w14:paraId="000FF04D">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50C8C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5" w:type="pct"/>
                  <w:tcBorders>
                    <w:left w:val="nil"/>
                    <w:tl2br w:val="nil"/>
                    <w:tr2bl w:val="nil"/>
                  </w:tcBorders>
                  <w:noWrap w:val="0"/>
                  <w:vAlign w:val="center"/>
                </w:tcPr>
                <w:p w14:paraId="4D234B1B">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51" w:type="pct"/>
                  <w:tcBorders>
                    <w:tl2br w:val="nil"/>
                    <w:tr2bl w:val="nil"/>
                  </w:tcBorders>
                  <w:noWrap w:val="0"/>
                  <w:vAlign w:val="center"/>
                </w:tcPr>
                <w:p w14:paraId="3209909A">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w:t>
                  </w:r>
                </w:p>
              </w:tc>
              <w:tc>
                <w:tcPr>
                  <w:tcW w:w="708" w:type="pct"/>
                  <w:tcBorders>
                    <w:tl2br w:val="nil"/>
                    <w:tr2bl w:val="nil"/>
                  </w:tcBorders>
                  <w:noWrap w:val="0"/>
                  <w:vAlign w:val="center"/>
                </w:tcPr>
                <w:p w14:paraId="7BE8321B">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36</w:t>
                  </w:r>
                </w:p>
              </w:tc>
              <w:tc>
                <w:tcPr>
                  <w:tcW w:w="775" w:type="pct"/>
                  <w:tcBorders>
                    <w:tl2br w:val="nil"/>
                    <w:tr2bl w:val="nil"/>
                  </w:tcBorders>
                  <w:noWrap w:val="0"/>
                  <w:vAlign w:val="center"/>
                </w:tcPr>
                <w:p w14:paraId="4BF5AAA1">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p>
              </w:tc>
              <w:tc>
                <w:tcPr>
                  <w:tcW w:w="521" w:type="pct"/>
                  <w:tcBorders>
                    <w:tl2br w:val="nil"/>
                    <w:tr2bl w:val="nil"/>
                  </w:tcBorders>
                  <w:noWrap w:val="0"/>
                  <w:vAlign w:val="center"/>
                </w:tcPr>
                <w:p w14:paraId="10B2D3A1">
                  <w:pPr>
                    <w:widowControl/>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kern w:val="0"/>
                      <w:szCs w:val="21"/>
                      <w:highlight w:val="none"/>
                      <w:lang w:val="en-US" w:eastAsia="zh-CN"/>
                    </w:rPr>
                    <w:t>142.9</w:t>
                  </w:r>
                </w:p>
              </w:tc>
              <w:tc>
                <w:tcPr>
                  <w:tcW w:w="507" w:type="pct"/>
                  <w:tcBorders>
                    <w:right w:val="nil"/>
                    <w:tl2br w:val="nil"/>
                    <w:tr2bl w:val="nil"/>
                  </w:tcBorders>
                  <w:noWrap w:val="0"/>
                  <w:vAlign w:val="center"/>
                </w:tcPr>
                <w:p w14:paraId="33A61165">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超标</w:t>
                  </w:r>
                </w:p>
              </w:tc>
            </w:tr>
            <w:tr w14:paraId="1FB01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35" w:type="pct"/>
                  <w:tcBorders>
                    <w:left w:val="nil"/>
                    <w:bottom w:val="single" w:color="000000" w:sz="12" w:space="0"/>
                    <w:tl2br w:val="nil"/>
                    <w:tr2bl w:val="nil"/>
                  </w:tcBorders>
                  <w:noWrap w:val="0"/>
                  <w:vAlign w:val="center"/>
                </w:tcPr>
                <w:p w14:paraId="0FD7CA18">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51" w:type="pct"/>
                  <w:tcBorders>
                    <w:bottom w:val="single" w:color="000000" w:sz="12" w:space="0"/>
                    <w:tl2br w:val="nil"/>
                    <w:tr2bl w:val="nil"/>
                  </w:tcBorders>
                  <w:noWrap w:val="0"/>
                  <w:vAlign w:val="center"/>
                </w:tcPr>
                <w:p w14:paraId="698610C6">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年平均</w:t>
                  </w:r>
                </w:p>
              </w:tc>
              <w:tc>
                <w:tcPr>
                  <w:tcW w:w="708" w:type="pct"/>
                  <w:tcBorders>
                    <w:bottom w:val="single" w:color="000000" w:sz="12" w:space="0"/>
                    <w:tl2br w:val="nil"/>
                    <w:tr2bl w:val="nil"/>
                  </w:tcBorders>
                  <w:noWrap w:val="0"/>
                  <w:vAlign w:val="center"/>
                </w:tcPr>
                <w:p w14:paraId="66424FC7">
                  <w:pPr>
                    <w:widowControl/>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67</w:t>
                  </w:r>
                </w:p>
              </w:tc>
              <w:tc>
                <w:tcPr>
                  <w:tcW w:w="775" w:type="pct"/>
                  <w:tcBorders>
                    <w:bottom w:val="single" w:color="000000" w:sz="12" w:space="0"/>
                    <w:tl2br w:val="nil"/>
                    <w:tr2bl w:val="nil"/>
                  </w:tcBorders>
                  <w:noWrap w:val="0"/>
                  <w:vAlign w:val="center"/>
                </w:tcPr>
                <w:p w14:paraId="28E818B8">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p>
              </w:tc>
              <w:tc>
                <w:tcPr>
                  <w:tcW w:w="521" w:type="pct"/>
                  <w:tcBorders>
                    <w:bottom w:val="single" w:color="000000" w:sz="12" w:space="0"/>
                    <w:tl2br w:val="nil"/>
                    <w:tr2bl w:val="nil"/>
                  </w:tcBorders>
                  <w:noWrap w:val="0"/>
                  <w:vAlign w:val="center"/>
                </w:tcPr>
                <w:p w14:paraId="06A20BC4">
                  <w:pPr>
                    <w:widowControl/>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115.7</w:t>
                  </w:r>
                </w:p>
              </w:tc>
              <w:tc>
                <w:tcPr>
                  <w:tcW w:w="507" w:type="pct"/>
                  <w:tcBorders>
                    <w:bottom w:val="single" w:color="000000" w:sz="12" w:space="0"/>
                    <w:right w:val="nil"/>
                    <w:tl2br w:val="nil"/>
                    <w:tr2bl w:val="nil"/>
                  </w:tcBorders>
                  <w:noWrap w:val="0"/>
                  <w:vAlign w:val="center"/>
                </w:tcPr>
                <w:p w14:paraId="1785AD4B">
                  <w:pPr>
                    <w:pStyle w:val="41"/>
                    <w:spacing w:before="0" w:beforeLines="0" w:beforeAutospacing="0" w:after="0" w:afterLines="0" w:afterAutospacing="0"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达标</w:t>
                  </w:r>
                </w:p>
              </w:tc>
            </w:tr>
          </w:tbl>
          <w:p w14:paraId="18F8FD63">
            <w:pPr>
              <w:pStyle w:val="10"/>
              <w:spacing w:line="360" w:lineRule="auto"/>
              <w:ind w:firstLine="480" w:firstLineChars="200"/>
              <w:rPr>
                <w:color w:val="auto"/>
                <w:kern w:val="2"/>
                <w:sz w:val="24"/>
                <w:szCs w:val="24"/>
              </w:rPr>
            </w:pPr>
            <w:r>
              <w:rPr>
                <w:rFonts w:hint="default" w:ascii="Times New Roman" w:hAnsi="Times New Roman" w:cs="Times New Roman"/>
                <w:color w:val="auto"/>
                <w:kern w:val="2"/>
                <w:sz w:val="24"/>
                <w:szCs w:val="24"/>
              </w:rPr>
              <w:t>由上表可知，本项目所在区域SO</w:t>
            </w:r>
            <w:r>
              <w:rPr>
                <w:rFonts w:hint="default" w:ascii="Times New Roman" w:hAnsi="Times New Roman" w:cs="Times New Roman"/>
                <w:color w:val="auto"/>
                <w:kern w:val="2"/>
                <w:sz w:val="24"/>
                <w:szCs w:val="24"/>
                <w:vertAlign w:val="subscript"/>
              </w:rPr>
              <w:t>2</w:t>
            </w:r>
            <w:r>
              <w:rPr>
                <w:rFonts w:hint="default" w:ascii="Times New Roman" w:hAnsi="Times New Roman" w:cs="Times New Roman"/>
                <w:color w:val="auto"/>
                <w:kern w:val="2"/>
                <w:sz w:val="24"/>
                <w:szCs w:val="24"/>
              </w:rPr>
              <w:t>、NO</w:t>
            </w:r>
            <w:r>
              <w:rPr>
                <w:rFonts w:hint="default" w:ascii="Times New Roman" w:hAnsi="Times New Roman" w:cs="Times New Roman"/>
                <w:color w:val="auto"/>
                <w:kern w:val="2"/>
                <w:sz w:val="24"/>
                <w:szCs w:val="24"/>
                <w:vertAlign w:val="subscript"/>
              </w:rPr>
              <w:t>2</w:t>
            </w:r>
            <w:r>
              <w:rPr>
                <w:rFonts w:hint="default" w:ascii="Times New Roman" w:hAnsi="Times New Roman" w:cs="Times New Roman"/>
                <w:color w:val="auto"/>
                <w:kern w:val="2"/>
                <w:sz w:val="24"/>
                <w:szCs w:val="24"/>
              </w:rPr>
              <w:t>、CO、O</w:t>
            </w:r>
            <w:r>
              <w:rPr>
                <w:rFonts w:hint="default" w:ascii="Times New Roman" w:hAnsi="Times New Roman" w:cs="Times New Roman"/>
                <w:color w:val="auto"/>
                <w:kern w:val="2"/>
                <w:sz w:val="24"/>
                <w:szCs w:val="24"/>
                <w:vertAlign w:val="subscript"/>
                <w:lang w:val="en-US" w:eastAsia="zh-CN"/>
              </w:rPr>
              <w:t>3</w:t>
            </w:r>
            <w:r>
              <w:rPr>
                <w:rFonts w:hint="default" w:ascii="Times New Roman" w:hAnsi="Times New Roman" w:cs="Times New Roman"/>
                <w:color w:val="auto"/>
                <w:kern w:val="2"/>
                <w:sz w:val="24"/>
                <w:szCs w:val="24"/>
                <w:vertAlign w:val="baseline"/>
                <w:lang w:val="en-US" w:eastAsia="zh-CN"/>
              </w:rPr>
              <w:t>、</w:t>
            </w:r>
            <w:r>
              <w:rPr>
                <w:rFonts w:hint="default" w:ascii="Times New Roman" w:hAnsi="Times New Roman" w:cs="Times New Roman"/>
                <w:color w:val="auto"/>
                <w:kern w:val="2"/>
                <w:sz w:val="24"/>
                <w:szCs w:val="24"/>
              </w:rPr>
              <w:t>PM</w:t>
            </w:r>
            <w:r>
              <w:rPr>
                <w:rFonts w:hint="default" w:ascii="Times New Roman" w:hAnsi="Times New Roman" w:cs="Times New Roman"/>
                <w:color w:val="auto"/>
                <w:kern w:val="2"/>
                <w:sz w:val="24"/>
                <w:szCs w:val="24"/>
                <w:vertAlign w:val="subscript"/>
              </w:rPr>
              <w:t>10</w:t>
            </w:r>
            <w:r>
              <w:rPr>
                <w:rFonts w:hint="default" w:ascii="Times New Roman" w:hAnsi="Times New Roman" w:cs="Times New Roman"/>
                <w:color w:val="auto"/>
                <w:kern w:val="2"/>
                <w:sz w:val="24"/>
                <w:szCs w:val="24"/>
              </w:rPr>
              <w:t>的浓度均可满足《环境空气质量标准》（GB3095-2012）二级浓度限值，PM</w:t>
            </w:r>
            <w:r>
              <w:rPr>
                <w:rFonts w:hint="default" w:ascii="Times New Roman" w:hAnsi="Times New Roman" w:cs="Times New Roman"/>
                <w:color w:val="auto"/>
                <w:kern w:val="2"/>
                <w:sz w:val="24"/>
                <w:szCs w:val="24"/>
                <w:vertAlign w:val="subscript"/>
              </w:rPr>
              <w:t>2.5</w:t>
            </w:r>
            <w:r>
              <w:rPr>
                <w:rFonts w:hint="default" w:ascii="Times New Roman" w:hAnsi="Times New Roman" w:cs="Times New Roman"/>
                <w:color w:val="auto"/>
                <w:kern w:val="2"/>
                <w:sz w:val="24"/>
                <w:szCs w:val="24"/>
              </w:rPr>
              <w:t>浓度超过《环境空气质量标准》（GB3095-2012）二级浓度限值</w:t>
            </w:r>
            <w:r>
              <w:rPr>
                <w:rFonts w:hint="default" w:ascii="Times New Roman" w:hAnsi="Times New Roman" w:cs="Times New Roman"/>
                <w:color w:val="auto"/>
                <w:kern w:val="2"/>
                <w:sz w:val="24"/>
                <w:szCs w:val="24"/>
                <w:lang w:eastAsia="zh-CN"/>
              </w:rPr>
              <w:t>，</w:t>
            </w:r>
            <w:r>
              <w:rPr>
                <w:rFonts w:hint="default" w:ascii="Times New Roman" w:hAnsi="Times New Roman" w:cs="Times New Roman"/>
                <w:color w:val="auto"/>
                <w:kern w:val="2"/>
                <w:sz w:val="24"/>
                <w:szCs w:val="24"/>
                <w:lang w:val="en-US" w:eastAsia="zh-CN"/>
              </w:rPr>
              <w:t>本项目所在区域为非达标区域</w:t>
            </w:r>
            <w:r>
              <w:rPr>
                <w:color w:val="auto"/>
                <w:kern w:val="2"/>
                <w:sz w:val="24"/>
                <w:szCs w:val="24"/>
              </w:rPr>
              <w:t>。</w:t>
            </w:r>
          </w:p>
          <w:p w14:paraId="1BFC35B3">
            <w:pPr>
              <w:pStyle w:val="10"/>
              <w:spacing w:line="360" w:lineRule="auto"/>
              <w:ind w:firstLine="482" w:firstLineChars="200"/>
              <w:rPr>
                <w:rFonts w:hint="eastAsia" w:ascii="Times New Roman" w:hAnsi="Times New Roman" w:cs="Times New Roman"/>
                <w:b/>
                <w:bCs/>
                <w:color w:val="auto"/>
                <w:kern w:val="2"/>
                <w:sz w:val="24"/>
                <w:szCs w:val="24"/>
                <w:lang w:val="en-US" w:eastAsia="zh-CN"/>
              </w:rPr>
            </w:pPr>
            <w:r>
              <w:rPr>
                <w:rFonts w:hint="default" w:ascii="Times New Roman" w:hAnsi="Times New Roman" w:cs="Times New Roman"/>
                <w:b/>
                <w:bCs/>
                <w:color w:val="auto"/>
                <w:kern w:val="2"/>
                <w:sz w:val="24"/>
                <w:szCs w:val="24"/>
                <w:lang w:val="en-US" w:eastAsia="zh-CN"/>
              </w:rPr>
              <w:t>1.2</w:t>
            </w:r>
            <w:r>
              <w:rPr>
                <w:rFonts w:hint="eastAsia" w:ascii="Times New Roman" w:hAnsi="Times New Roman" w:cs="Times New Roman"/>
                <w:b/>
                <w:bCs/>
                <w:color w:val="auto"/>
                <w:kern w:val="2"/>
                <w:sz w:val="24"/>
                <w:szCs w:val="24"/>
                <w:lang w:val="en-US" w:eastAsia="zh-CN"/>
              </w:rPr>
              <w:t>其他污染物环境质量现状</w:t>
            </w:r>
          </w:p>
          <w:p w14:paraId="7BACE59E">
            <w:pPr>
              <w:pStyle w:val="10"/>
              <w:spacing w:line="360" w:lineRule="auto"/>
              <w:ind w:firstLine="480" w:firstLineChars="200"/>
              <w:rPr>
                <w:rFonts w:hint="eastAsia"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rPr>
              <w:t>根据《建设项目环境影响报告表编制技术指南（污染影响类）</w:t>
            </w:r>
            <w:r>
              <w:rPr>
                <w:rFonts w:hint="eastAsia" w:ascii="Times New Roman" w:hAnsi="Times New Roman" w:cs="Times New Roman"/>
                <w:color w:val="auto"/>
                <w:kern w:val="2"/>
                <w:sz w:val="24"/>
                <w:szCs w:val="24"/>
                <w:lang w:eastAsia="zh-CN"/>
              </w:rPr>
              <w:t>（试行）》</w:t>
            </w:r>
            <w:r>
              <w:rPr>
                <w:rFonts w:hint="default" w:ascii="Times New Roman" w:hAnsi="Times New Roman" w:eastAsia="宋体" w:cs="Times New Roman"/>
                <w:color w:val="auto"/>
                <w:kern w:val="2"/>
                <w:sz w:val="24"/>
                <w:szCs w:val="24"/>
              </w:rPr>
              <w:t>，本项目环境空气污染物其他项目选取《环境空气质量标准》（GB3095-2012）表2中的TSP作为特征污染物来评价项目区域环境空气质量现状，本次评价委托新疆锡水金山环境科技有限公司进行现状监测，监测时间为2024年</w:t>
            </w:r>
            <w:r>
              <w:rPr>
                <w:rFonts w:hint="eastAsia" w:ascii="Times New Roman" w:hAnsi="Times New Roman" w:cs="Times New Roman"/>
                <w:color w:val="auto"/>
                <w:kern w:val="2"/>
                <w:sz w:val="24"/>
                <w:szCs w:val="24"/>
                <w:lang w:val="en-US" w:eastAsia="zh-CN"/>
              </w:rPr>
              <w:t>11</w:t>
            </w:r>
            <w:r>
              <w:rPr>
                <w:rFonts w:hint="default" w:ascii="Times New Roman" w:hAnsi="Times New Roman" w:eastAsia="宋体" w:cs="Times New Roman"/>
                <w:color w:val="auto"/>
                <w:kern w:val="2"/>
                <w:sz w:val="24"/>
                <w:szCs w:val="24"/>
              </w:rPr>
              <w:t>月1</w:t>
            </w:r>
            <w:r>
              <w:rPr>
                <w:rFonts w:hint="eastAsia" w:ascii="Times New Roman" w:hAnsi="Times New Roman" w:cs="Times New Roman"/>
                <w:color w:val="auto"/>
                <w:kern w:val="2"/>
                <w:sz w:val="24"/>
                <w:szCs w:val="24"/>
                <w:lang w:val="en-US" w:eastAsia="zh-CN"/>
              </w:rPr>
              <w:t>9</w:t>
            </w:r>
            <w:r>
              <w:rPr>
                <w:rFonts w:hint="default" w:ascii="Times New Roman" w:hAnsi="Times New Roman" w:eastAsia="宋体" w:cs="Times New Roman"/>
                <w:color w:val="auto"/>
                <w:kern w:val="2"/>
                <w:sz w:val="24"/>
                <w:szCs w:val="24"/>
              </w:rPr>
              <w:t>日～2024年</w:t>
            </w:r>
            <w:r>
              <w:rPr>
                <w:rFonts w:hint="eastAsia" w:ascii="Times New Roman" w:hAnsi="Times New Roman" w:cs="Times New Roman"/>
                <w:color w:val="auto"/>
                <w:kern w:val="2"/>
                <w:sz w:val="24"/>
                <w:szCs w:val="24"/>
                <w:lang w:val="en-US" w:eastAsia="zh-CN"/>
              </w:rPr>
              <w:t>11</w:t>
            </w:r>
            <w:r>
              <w:rPr>
                <w:rFonts w:hint="default" w:ascii="Times New Roman" w:hAnsi="Times New Roman" w:eastAsia="宋体" w:cs="Times New Roman"/>
                <w:color w:val="auto"/>
                <w:kern w:val="2"/>
                <w:sz w:val="24"/>
                <w:szCs w:val="24"/>
              </w:rPr>
              <w:t>月</w:t>
            </w:r>
            <w:r>
              <w:rPr>
                <w:rFonts w:hint="eastAsia" w:ascii="Times New Roman" w:hAnsi="Times New Roman" w:cs="Times New Roman"/>
                <w:color w:val="auto"/>
                <w:kern w:val="2"/>
                <w:sz w:val="24"/>
                <w:szCs w:val="24"/>
                <w:lang w:val="en-US" w:eastAsia="zh-CN"/>
              </w:rPr>
              <w:t>21</w:t>
            </w:r>
            <w:r>
              <w:rPr>
                <w:rFonts w:hint="default" w:ascii="Times New Roman" w:hAnsi="Times New Roman" w:eastAsia="宋体" w:cs="Times New Roman"/>
                <w:color w:val="auto"/>
                <w:kern w:val="2"/>
                <w:sz w:val="24"/>
                <w:szCs w:val="24"/>
              </w:rPr>
              <w:t>日，监测点位位于厂界下风向。TSP检测报告见附件</w:t>
            </w:r>
            <w:r>
              <w:rPr>
                <w:rFonts w:hint="eastAsia" w:ascii="Times New Roman" w:hAnsi="Times New Roman" w:cs="Times New Roman"/>
                <w:color w:val="auto"/>
                <w:kern w:val="2"/>
                <w:sz w:val="24"/>
                <w:szCs w:val="24"/>
                <w:lang w:val="en-US" w:eastAsia="zh-CN"/>
              </w:rPr>
              <w:t>。</w:t>
            </w:r>
          </w:p>
          <w:p w14:paraId="4BE3619A">
            <w:pPr>
              <w:pStyle w:val="1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（1）监测项目及频率</w:t>
            </w:r>
          </w:p>
          <w:p w14:paraId="1FEBFA1E">
            <w:pPr>
              <w:pStyle w:val="1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监测项目：TSP。</w:t>
            </w:r>
          </w:p>
          <w:p w14:paraId="5F9C42A8">
            <w:pPr>
              <w:pStyle w:val="1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监测频率：连续3天监测。</w:t>
            </w:r>
          </w:p>
          <w:p w14:paraId="24ABE91C">
            <w:pPr>
              <w:pStyle w:val="1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（2）监测分析方法</w:t>
            </w:r>
          </w:p>
          <w:p w14:paraId="6D34A83F">
            <w:pPr>
              <w:pStyle w:val="1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分析方法按照国家环保局颁布的《环境监测技术规范（大气部分）》和《空气和废气监测分析方法》中有关规定进行监测。</w:t>
            </w:r>
          </w:p>
          <w:p w14:paraId="6564A14D">
            <w:pPr>
              <w:pStyle w:val="1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（3）评价标准</w:t>
            </w:r>
          </w:p>
          <w:p w14:paraId="5D115340">
            <w:pPr>
              <w:pStyle w:val="1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rPr>
              <w:t>本次评价执行《环境空气质量标准》（GB3095-2012）二级标准，标准值为详见表3-</w:t>
            </w:r>
            <w:r>
              <w:rPr>
                <w:rFonts w:hint="eastAsia" w:ascii="Times New Roman" w:hAnsi="Times New Roman" w:eastAsia="宋体" w:cs="Times New Roman"/>
                <w:color w:val="auto"/>
                <w:kern w:val="2"/>
                <w:sz w:val="24"/>
                <w:szCs w:val="24"/>
                <w:lang w:val="en-US" w:eastAsia="zh-CN"/>
              </w:rPr>
              <w:t>3</w:t>
            </w:r>
            <w:r>
              <w:rPr>
                <w:rFonts w:hint="default" w:ascii="Times New Roman" w:hAnsi="Times New Roman" w:eastAsia="宋体" w:cs="Times New Roman"/>
                <w:color w:val="auto"/>
                <w:kern w:val="2"/>
                <w:sz w:val="24"/>
                <w:szCs w:val="24"/>
              </w:rPr>
              <w:t>。</w:t>
            </w:r>
          </w:p>
          <w:p w14:paraId="10F1B69F">
            <w:pPr>
              <w:adjustRightInd w:val="0"/>
              <w:snapToGrid w:val="0"/>
              <w:jc w:val="center"/>
              <w:rPr>
                <w:color w:val="auto"/>
              </w:rPr>
            </w:pPr>
            <w:r>
              <w:rPr>
                <w:b/>
                <w:snapToGrid w:val="0"/>
                <w:color w:val="auto"/>
              </w:rPr>
              <w:t>表3-</w:t>
            </w:r>
            <w:r>
              <w:rPr>
                <w:rFonts w:hint="eastAsia"/>
                <w:b/>
                <w:snapToGrid w:val="0"/>
                <w:color w:val="auto"/>
                <w:lang w:val="en-US" w:eastAsia="zh-CN"/>
              </w:rPr>
              <w:t>3</w:t>
            </w:r>
            <w:r>
              <w:rPr>
                <w:b/>
                <w:snapToGrid w:val="0"/>
                <w:color w:val="auto"/>
              </w:rPr>
              <w:t xml:space="preserve">      环境空气质量标准</w:t>
            </w:r>
          </w:p>
          <w:tbl>
            <w:tblPr>
              <w:tblStyle w:val="23"/>
              <w:tblW w:w="0" w:type="auto"/>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017"/>
              <w:gridCol w:w="1210"/>
              <w:gridCol w:w="1760"/>
              <w:gridCol w:w="4130"/>
            </w:tblGrid>
            <w:tr w14:paraId="34B2253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17" w:type="dxa"/>
                  <w:tcBorders>
                    <w:top w:val="single" w:color="000000" w:sz="12" w:space="0"/>
                    <w:bottom w:val="single" w:color="000000" w:sz="12" w:space="0"/>
                  </w:tcBorders>
                  <w:noWrap w:val="0"/>
                  <w:vAlign w:val="center"/>
                </w:tcPr>
                <w:p w14:paraId="08C8397A">
                  <w:pPr>
                    <w:adjustRightInd w:val="0"/>
                    <w:snapToGrid w:val="0"/>
                    <w:jc w:val="center"/>
                    <w:rPr>
                      <w:b/>
                      <w:bCs/>
                      <w:color w:val="auto"/>
                    </w:rPr>
                  </w:pPr>
                  <w:r>
                    <w:rPr>
                      <w:b/>
                      <w:bCs/>
                      <w:color w:val="auto"/>
                    </w:rPr>
                    <w:t>污染物</w:t>
                  </w:r>
                </w:p>
              </w:tc>
              <w:tc>
                <w:tcPr>
                  <w:tcW w:w="1210" w:type="dxa"/>
                  <w:tcBorders>
                    <w:top w:val="single" w:color="000000" w:sz="12" w:space="0"/>
                    <w:bottom w:val="single" w:color="000000" w:sz="12" w:space="0"/>
                  </w:tcBorders>
                  <w:noWrap w:val="0"/>
                  <w:vAlign w:val="center"/>
                </w:tcPr>
                <w:p w14:paraId="445E819F">
                  <w:pPr>
                    <w:adjustRightInd w:val="0"/>
                    <w:snapToGrid w:val="0"/>
                    <w:jc w:val="center"/>
                    <w:rPr>
                      <w:b/>
                      <w:bCs/>
                      <w:color w:val="auto"/>
                    </w:rPr>
                  </w:pPr>
                  <w:r>
                    <w:rPr>
                      <w:b/>
                      <w:bCs/>
                      <w:color w:val="auto"/>
                    </w:rPr>
                    <w:t>年平均</w:t>
                  </w:r>
                </w:p>
              </w:tc>
              <w:tc>
                <w:tcPr>
                  <w:tcW w:w="1760" w:type="dxa"/>
                  <w:tcBorders>
                    <w:top w:val="single" w:color="000000" w:sz="12" w:space="0"/>
                    <w:bottom w:val="single" w:color="000000" w:sz="12" w:space="0"/>
                  </w:tcBorders>
                  <w:noWrap w:val="0"/>
                  <w:vAlign w:val="center"/>
                </w:tcPr>
                <w:p w14:paraId="3491C30E">
                  <w:pPr>
                    <w:adjustRightInd w:val="0"/>
                    <w:snapToGrid w:val="0"/>
                    <w:jc w:val="center"/>
                    <w:rPr>
                      <w:b/>
                      <w:bCs/>
                      <w:color w:val="auto"/>
                    </w:rPr>
                  </w:pPr>
                  <w:r>
                    <w:rPr>
                      <w:b/>
                      <w:bCs/>
                      <w:color w:val="auto"/>
                    </w:rPr>
                    <w:t>24小时平均</w:t>
                  </w:r>
                </w:p>
              </w:tc>
              <w:tc>
                <w:tcPr>
                  <w:tcW w:w="4130" w:type="dxa"/>
                  <w:tcBorders>
                    <w:top w:val="single" w:color="000000" w:sz="12" w:space="0"/>
                    <w:bottom w:val="single" w:color="000000" w:sz="12" w:space="0"/>
                  </w:tcBorders>
                  <w:noWrap w:val="0"/>
                  <w:vAlign w:val="center"/>
                </w:tcPr>
                <w:p w14:paraId="1A96B4A3">
                  <w:pPr>
                    <w:adjustRightInd w:val="0"/>
                    <w:snapToGrid w:val="0"/>
                    <w:jc w:val="center"/>
                    <w:rPr>
                      <w:b/>
                      <w:bCs/>
                      <w:color w:val="auto"/>
                    </w:rPr>
                  </w:pPr>
                  <w:r>
                    <w:rPr>
                      <w:b/>
                      <w:bCs/>
                      <w:color w:val="auto"/>
                    </w:rPr>
                    <w:t>标准来源</w:t>
                  </w:r>
                </w:p>
              </w:tc>
            </w:tr>
            <w:tr w14:paraId="0E83993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jc w:val="center"/>
              </w:trPr>
              <w:tc>
                <w:tcPr>
                  <w:tcW w:w="1017" w:type="dxa"/>
                  <w:tcBorders>
                    <w:top w:val="single" w:color="000000" w:sz="12" w:space="0"/>
                    <w:bottom w:val="single" w:color="000000" w:sz="12" w:space="0"/>
                  </w:tcBorders>
                  <w:noWrap w:val="0"/>
                  <w:vAlign w:val="center"/>
                </w:tcPr>
                <w:p w14:paraId="0D42B924">
                  <w:pPr>
                    <w:adjustRightInd w:val="0"/>
                    <w:snapToGrid w:val="0"/>
                    <w:jc w:val="center"/>
                    <w:rPr>
                      <w:color w:val="auto"/>
                    </w:rPr>
                  </w:pPr>
                  <w:r>
                    <w:rPr>
                      <w:color w:val="auto"/>
                      <w:szCs w:val="21"/>
                    </w:rPr>
                    <w:t>TSP</w:t>
                  </w:r>
                </w:p>
              </w:tc>
              <w:tc>
                <w:tcPr>
                  <w:tcW w:w="1210" w:type="dxa"/>
                  <w:tcBorders>
                    <w:top w:val="single" w:color="000000" w:sz="12" w:space="0"/>
                    <w:bottom w:val="single" w:color="000000" w:sz="12" w:space="0"/>
                  </w:tcBorders>
                  <w:noWrap w:val="0"/>
                  <w:vAlign w:val="center"/>
                </w:tcPr>
                <w:p w14:paraId="64C93C0A">
                  <w:pPr>
                    <w:adjustRightInd w:val="0"/>
                    <w:snapToGrid w:val="0"/>
                    <w:jc w:val="center"/>
                    <w:rPr>
                      <w:color w:val="auto"/>
                    </w:rPr>
                  </w:pPr>
                  <w:r>
                    <w:rPr>
                      <w:color w:val="auto"/>
                      <w:szCs w:val="21"/>
                    </w:rPr>
                    <w:t>0.2mg/m</w:t>
                  </w:r>
                  <w:r>
                    <w:rPr>
                      <w:color w:val="auto"/>
                      <w:szCs w:val="21"/>
                      <w:vertAlign w:val="superscript"/>
                    </w:rPr>
                    <w:t>3</w:t>
                  </w:r>
                </w:p>
              </w:tc>
              <w:tc>
                <w:tcPr>
                  <w:tcW w:w="1760" w:type="dxa"/>
                  <w:tcBorders>
                    <w:top w:val="single" w:color="000000" w:sz="12" w:space="0"/>
                    <w:bottom w:val="single" w:color="000000" w:sz="12" w:space="0"/>
                  </w:tcBorders>
                  <w:noWrap w:val="0"/>
                  <w:vAlign w:val="center"/>
                </w:tcPr>
                <w:p w14:paraId="55762EC3">
                  <w:pPr>
                    <w:adjustRightInd w:val="0"/>
                    <w:snapToGrid w:val="0"/>
                    <w:jc w:val="center"/>
                    <w:rPr>
                      <w:color w:val="auto"/>
                    </w:rPr>
                  </w:pPr>
                  <w:r>
                    <w:rPr>
                      <w:color w:val="auto"/>
                      <w:szCs w:val="21"/>
                    </w:rPr>
                    <w:t>0.3mg/m</w:t>
                  </w:r>
                  <w:r>
                    <w:rPr>
                      <w:color w:val="auto"/>
                      <w:szCs w:val="21"/>
                      <w:vertAlign w:val="superscript"/>
                    </w:rPr>
                    <w:t>3</w:t>
                  </w:r>
                </w:p>
              </w:tc>
              <w:tc>
                <w:tcPr>
                  <w:tcW w:w="4130" w:type="dxa"/>
                  <w:tcBorders>
                    <w:top w:val="single" w:color="000000" w:sz="12" w:space="0"/>
                    <w:bottom w:val="single" w:color="000000" w:sz="12" w:space="0"/>
                  </w:tcBorders>
                  <w:noWrap w:val="0"/>
                  <w:vAlign w:val="center"/>
                </w:tcPr>
                <w:p w14:paraId="42F3FA04">
                  <w:pPr>
                    <w:adjustRightInd w:val="0"/>
                    <w:snapToGrid w:val="0"/>
                    <w:jc w:val="center"/>
                    <w:rPr>
                      <w:color w:val="auto"/>
                    </w:rPr>
                  </w:pPr>
                  <w:r>
                    <w:rPr>
                      <w:color w:val="auto"/>
                    </w:rPr>
                    <w:t>《环境空气质量标准》（GB3095-2012）</w:t>
                  </w:r>
                </w:p>
              </w:tc>
            </w:tr>
          </w:tbl>
          <w:p w14:paraId="0195F5C9">
            <w:pPr>
              <w:pStyle w:val="11"/>
              <w:topLinePunct/>
              <w:spacing w:line="360" w:lineRule="auto"/>
              <w:ind w:firstLine="480"/>
              <w:rPr>
                <w:rFonts w:ascii="Times New Roman" w:hAnsi="Times New Roman" w:eastAsia="宋体"/>
                <w:color w:val="auto"/>
                <w:sz w:val="24"/>
              </w:rPr>
            </w:pPr>
            <w:r>
              <w:rPr>
                <w:rFonts w:ascii="Times New Roman" w:hAnsi="Times New Roman" w:eastAsia="宋体"/>
                <w:color w:val="auto"/>
                <w:sz w:val="24"/>
              </w:rPr>
              <w:t>（4）评价结果</w:t>
            </w:r>
          </w:p>
          <w:p w14:paraId="2891DDDE">
            <w:pPr>
              <w:pStyle w:val="11"/>
              <w:topLinePunct/>
              <w:spacing w:line="360" w:lineRule="auto"/>
              <w:ind w:firstLine="480"/>
              <w:rPr>
                <w:rFonts w:ascii="Times New Roman" w:hAnsi="Times New Roman" w:eastAsia="宋体"/>
                <w:color w:val="auto"/>
                <w:sz w:val="24"/>
              </w:rPr>
            </w:pPr>
            <w:r>
              <w:rPr>
                <w:rFonts w:ascii="Times New Roman" w:hAnsi="Times New Roman" w:eastAsia="宋体"/>
                <w:color w:val="auto"/>
                <w:sz w:val="24"/>
              </w:rPr>
              <w:t>监测及评价结果统计，详见表3-</w:t>
            </w:r>
            <w:r>
              <w:rPr>
                <w:rFonts w:hint="eastAsia" w:ascii="Times New Roman" w:hAnsi="Times New Roman" w:eastAsia="宋体"/>
                <w:color w:val="auto"/>
                <w:sz w:val="24"/>
                <w:lang w:val="en-US" w:eastAsia="zh-CN"/>
              </w:rPr>
              <w:t>4</w:t>
            </w:r>
            <w:r>
              <w:rPr>
                <w:rFonts w:ascii="Times New Roman" w:hAnsi="Times New Roman" w:eastAsia="宋体"/>
                <w:color w:val="auto"/>
                <w:sz w:val="24"/>
              </w:rPr>
              <w:t>。</w:t>
            </w:r>
          </w:p>
          <w:p w14:paraId="2A61A20A">
            <w:pPr>
              <w:jc w:val="center"/>
              <w:rPr>
                <w:b/>
                <w:bCs/>
                <w:color w:val="auto"/>
                <w:szCs w:val="21"/>
              </w:rPr>
            </w:pPr>
            <w:r>
              <w:rPr>
                <w:b/>
                <w:bCs/>
                <w:color w:val="auto"/>
                <w:szCs w:val="21"/>
              </w:rPr>
              <w:t>表3-</w:t>
            </w:r>
            <w:r>
              <w:rPr>
                <w:rFonts w:hint="eastAsia"/>
                <w:b/>
                <w:bCs/>
                <w:color w:val="auto"/>
                <w:szCs w:val="21"/>
                <w:lang w:val="en-US" w:eastAsia="zh-CN"/>
              </w:rPr>
              <w:t>4</w:t>
            </w:r>
            <w:r>
              <w:rPr>
                <w:b/>
                <w:bCs/>
                <w:color w:val="auto"/>
                <w:szCs w:val="21"/>
              </w:rPr>
              <w:t xml:space="preserve">   环境空气质量结果汇总表（TSP，日均值）单位：mg/m</w:t>
            </w:r>
            <w:r>
              <w:rPr>
                <w:b/>
                <w:bCs/>
                <w:color w:val="auto"/>
                <w:szCs w:val="21"/>
                <w:vertAlign w:val="superscript"/>
              </w:rPr>
              <w:t>3</w:t>
            </w:r>
          </w:p>
          <w:tbl>
            <w:tblPr>
              <w:tblStyle w:val="23"/>
              <w:tblW w:w="0" w:type="auto"/>
              <w:jc w:val="center"/>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2398"/>
              <w:gridCol w:w="1732"/>
              <w:gridCol w:w="1359"/>
              <w:gridCol w:w="1359"/>
            </w:tblGrid>
            <w:tr w14:paraId="73EDD3C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9" w:hRule="atLeast"/>
                <w:jc w:val="center"/>
              </w:trPr>
              <w:tc>
                <w:tcPr>
                  <w:tcW w:w="1271" w:type="dxa"/>
                  <w:vMerge w:val="restart"/>
                  <w:tcBorders>
                    <w:top w:val="single" w:color="000000" w:sz="12" w:space="0"/>
                  </w:tcBorders>
                  <w:noWrap w:val="0"/>
                  <w:vAlign w:val="center"/>
                </w:tcPr>
                <w:p w14:paraId="49310452">
                  <w:pPr>
                    <w:pStyle w:val="10"/>
                    <w:spacing w:after="0" w:line="240" w:lineRule="auto"/>
                    <w:jc w:val="center"/>
                    <w:rPr>
                      <w:b/>
                      <w:bCs/>
                      <w:color w:val="auto"/>
                      <w:sz w:val="21"/>
                      <w:szCs w:val="21"/>
                    </w:rPr>
                  </w:pPr>
                  <w:r>
                    <w:rPr>
                      <w:rFonts w:hint="eastAsia"/>
                      <w:b/>
                      <w:bCs/>
                      <w:color w:val="auto"/>
                      <w:sz w:val="21"/>
                      <w:szCs w:val="21"/>
                      <w:lang w:eastAsia="zh-CN"/>
                    </w:rPr>
                    <w:t>监测点位</w:t>
                  </w:r>
                </w:p>
              </w:tc>
              <w:tc>
                <w:tcPr>
                  <w:tcW w:w="2398" w:type="dxa"/>
                  <w:vMerge w:val="restart"/>
                  <w:tcBorders>
                    <w:top w:val="single" w:color="000000" w:sz="12" w:space="0"/>
                  </w:tcBorders>
                  <w:noWrap w:val="0"/>
                  <w:vAlign w:val="center"/>
                </w:tcPr>
                <w:p w14:paraId="4229FFF2">
                  <w:pPr>
                    <w:pStyle w:val="10"/>
                    <w:spacing w:after="0" w:line="240" w:lineRule="auto"/>
                    <w:jc w:val="center"/>
                    <w:rPr>
                      <w:b/>
                      <w:bCs/>
                      <w:color w:val="auto"/>
                      <w:sz w:val="21"/>
                      <w:szCs w:val="21"/>
                    </w:rPr>
                  </w:pPr>
                  <w:r>
                    <w:rPr>
                      <w:b/>
                      <w:bCs/>
                      <w:color w:val="auto"/>
                      <w:sz w:val="21"/>
                      <w:szCs w:val="21"/>
                    </w:rPr>
                    <w:t>采样时间</w:t>
                  </w:r>
                </w:p>
              </w:tc>
              <w:tc>
                <w:tcPr>
                  <w:tcW w:w="1732" w:type="dxa"/>
                  <w:tcBorders>
                    <w:top w:val="single" w:color="000000" w:sz="12" w:space="0"/>
                  </w:tcBorders>
                  <w:noWrap w:val="0"/>
                  <w:vAlign w:val="top"/>
                </w:tcPr>
                <w:p w14:paraId="6A8B2D81">
                  <w:pPr>
                    <w:pStyle w:val="10"/>
                    <w:spacing w:after="0" w:line="240" w:lineRule="auto"/>
                    <w:jc w:val="center"/>
                    <w:rPr>
                      <w:b/>
                      <w:bCs/>
                      <w:color w:val="auto"/>
                      <w:sz w:val="21"/>
                      <w:szCs w:val="21"/>
                    </w:rPr>
                  </w:pPr>
                  <w:r>
                    <w:rPr>
                      <w:b/>
                      <w:bCs/>
                      <w:color w:val="auto"/>
                      <w:sz w:val="21"/>
                      <w:szCs w:val="21"/>
                    </w:rPr>
                    <w:t>检测结果</w:t>
                  </w:r>
                </w:p>
              </w:tc>
              <w:tc>
                <w:tcPr>
                  <w:tcW w:w="1359" w:type="dxa"/>
                  <w:tcBorders>
                    <w:top w:val="single" w:color="000000" w:sz="12" w:space="0"/>
                  </w:tcBorders>
                  <w:noWrap w:val="0"/>
                  <w:vAlign w:val="top"/>
                </w:tcPr>
                <w:p w14:paraId="6B799934">
                  <w:pPr>
                    <w:pStyle w:val="10"/>
                    <w:spacing w:after="0" w:line="240" w:lineRule="auto"/>
                    <w:jc w:val="center"/>
                    <w:rPr>
                      <w:b/>
                      <w:bCs/>
                      <w:color w:val="auto"/>
                      <w:sz w:val="21"/>
                      <w:szCs w:val="21"/>
                    </w:rPr>
                  </w:pPr>
                  <w:r>
                    <w:rPr>
                      <w:b/>
                      <w:bCs/>
                      <w:color w:val="auto"/>
                      <w:sz w:val="21"/>
                      <w:szCs w:val="21"/>
                    </w:rPr>
                    <w:t>标准值</w:t>
                  </w:r>
                </w:p>
              </w:tc>
              <w:tc>
                <w:tcPr>
                  <w:tcW w:w="1359" w:type="dxa"/>
                  <w:tcBorders>
                    <w:top w:val="single" w:color="000000" w:sz="12" w:space="0"/>
                  </w:tcBorders>
                  <w:noWrap w:val="0"/>
                  <w:vAlign w:val="top"/>
                </w:tcPr>
                <w:p w14:paraId="691C88EA">
                  <w:pPr>
                    <w:pStyle w:val="10"/>
                    <w:spacing w:after="0" w:line="240" w:lineRule="auto"/>
                    <w:jc w:val="center"/>
                    <w:rPr>
                      <w:b/>
                      <w:bCs/>
                      <w:color w:val="auto"/>
                      <w:sz w:val="21"/>
                      <w:szCs w:val="21"/>
                    </w:rPr>
                  </w:pPr>
                  <w:r>
                    <w:rPr>
                      <w:b/>
                      <w:bCs/>
                      <w:color w:val="auto"/>
                      <w:sz w:val="21"/>
                      <w:szCs w:val="21"/>
                    </w:rPr>
                    <w:t>占标率</w:t>
                  </w:r>
                </w:p>
              </w:tc>
            </w:tr>
            <w:tr w14:paraId="53BFA84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0" w:hRule="atLeast"/>
                <w:jc w:val="center"/>
              </w:trPr>
              <w:tc>
                <w:tcPr>
                  <w:tcW w:w="1271" w:type="dxa"/>
                  <w:vMerge w:val="continue"/>
                  <w:tcBorders>
                    <w:bottom w:val="single" w:color="000000" w:sz="12" w:space="0"/>
                  </w:tcBorders>
                  <w:noWrap w:val="0"/>
                  <w:vAlign w:val="top"/>
                </w:tcPr>
                <w:p w14:paraId="20F026A8">
                  <w:pPr>
                    <w:pStyle w:val="10"/>
                    <w:spacing w:after="0" w:line="240" w:lineRule="auto"/>
                    <w:jc w:val="center"/>
                    <w:rPr>
                      <w:b/>
                      <w:bCs/>
                      <w:color w:val="auto"/>
                      <w:sz w:val="21"/>
                      <w:szCs w:val="21"/>
                    </w:rPr>
                  </w:pPr>
                </w:p>
              </w:tc>
              <w:tc>
                <w:tcPr>
                  <w:tcW w:w="2398" w:type="dxa"/>
                  <w:vMerge w:val="continue"/>
                  <w:tcBorders>
                    <w:bottom w:val="single" w:color="000000" w:sz="12" w:space="0"/>
                  </w:tcBorders>
                  <w:noWrap w:val="0"/>
                  <w:vAlign w:val="top"/>
                </w:tcPr>
                <w:p w14:paraId="75DA261E">
                  <w:pPr>
                    <w:pStyle w:val="10"/>
                    <w:spacing w:after="0" w:line="240" w:lineRule="auto"/>
                    <w:jc w:val="center"/>
                    <w:rPr>
                      <w:b/>
                      <w:bCs/>
                      <w:color w:val="auto"/>
                      <w:sz w:val="21"/>
                      <w:szCs w:val="21"/>
                    </w:rPr>
                  </w:pPr>
                </w:p>
              </w:tc>
              <w:tc>
                <w:tcPr>
                  <w:tcW w:w="4450" w:type="dxa"/>
                  <w:gridSpan w:val="3"/>
                  <w:tcBorders>
                    <w:bottom w:val="single" w:color="000000" w:sz="12" w:space="0"/>
                  </w:tcBorders>
                  <w:noWrap w:val="0"/>
                  <w:vAlign w:val="top"/>
                </w:tcPr>
                <w:p w14:paraId="004EA9EA">
                  <w:pPr>
                    <w:pStyle w:val="10"/>
                    <w:spacing w:after="0" w:line="240" w:lineRule="auto"/>
                    <w:jc w:val="center"/>
                    <w:rPr>
                      <w:b/>
                      <w:bCs/>
                      <w:color w:val="auto"/>
                      <w:sz w:val="21"/>
                      <w:szCs w:val="21"/>
                    </w:rPr>
                  </w:pPr>
                  <w:r>
                    <w:rPr>
                      <w:b/>
                      <w:bCs/>
                      <w:color w:val="auto"/>
                      <w:sz w:val="21"/>
                      <w:szCs w:val="21"/>
                    </w:rPr>
                    <w:t>TSP</w:t>
                  </w:r>
                </w:p>
              </w:tc>
            </w:tr>
            <w:tr w14:paraId="50C7DFE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0" w:hRule="atLeast"/>
                <w:jc w:val="center"/>
              </w:trPr>
              <w:tc>
                <w:tcPr>
                  <w:tcW w:w="1271" w:type="dxa"/>
                  <w:vMerge w:val="restart"/>
                  <w:tcBorders>
                    <w:top w:val="single" w:color="000000" w:sz="12" w:space="0"/>
                  </w:tcBorders>
                  <w:noWrap w:val="0"/>
                  <w:vAlign w:val="center"/>
                </w:tcPr>
                <w:p w14:paraId="6B8F02A1">
                  <w:pPr>
                    <w:pStyle w:val="10"/>
                    <w:spacing w:after="0" w:line="240" w:lineRule="auto"/>
                    <w:jc w:val="center"/>
                    <w:rPr>
                      <w:color w:val="auto"/>
                      <w:sz w:val="21"/>
                      <w:szCs w:val="21"/>
                    </w:rPr>
                  </w:pPr>
                  <w:r>
                    <w:rPr>
                      <w:color w:val="auto"/>
                      <w:sz w:val="21"/>
                      <w:szCs w:val="21"/>
                    </w:rPr>
                    <w:t>项目区内下风向</w:t>
                  </w:r>
                </w:p>
              </w:tc>
              <w:tc>
                <w:tcPr>
                  <w:tcW w:w="2398" w:type="dxa"/>
                  <w:tcBorders>
                    <w:top w:val="single" w:color="000000" w:sz="12" w:space="0"/>
                  </w:tcBorders>
                  <w:noWrap w:val="0"/>
                  <w:vAlign w:val="center"/>
                </w:tcPr>
                <w:p w14:paraId="6072F88F">
                  <w:pPr>
                    <w:jc w:val="center"/>
                    <w:rPr>
                      <w:rFonts w:hint="default" w:eastAsia="宋体"/>
                      <w:color w:val="auto"/>
                      <w:szCs w:val="21"/>
                      <w:lang w:val="en-US" w:eastAsia="zh-CN"/>
                    </w:rPr>
                  </w:pPr>
                  <w:r>
                    <w:rPr>
                      <w:bCs/>
                      <w:color w:val="auto"/>
                      <w:szCs w:val="21"/>
                    </w:rPr>
                    <w:t>2021.11.</w:t>
                  </w:r>
                  <w:r>
                    <w:rPr>
                      <w:rFonts w:hint="eastAsia"/>
                      <w:bCs/>
                      <w:color w:val="auto"/>
                      <w:szCs w:val="21"/>
                      <w:lang w:val="en-US" w:eastAsia="zh-CN"/>
                    </w:rPr>
                    <w:t>19</w:t>
                  </w:r>
                </w:p>
              </w:tc>
              <w:tc>
                <w:tcPr>
                  <w:tcW w:w="1732" w:type="dxa"/>
                  <w:tcBorders>
                    <w:top w:val="single" w:color="000000" w:sz="12" w:space="0"/>
                  </w:tcBorders>
                  <w:noWrap w:val="0"/>
                  <w:vAlign w:val="center"/>
                </w:tcPr>
                <w:p w14:paraId="1D745554">
                  <w:pPr>
                    <w:jc w:val="center"/>
                    <w:rPr>
                      <w:rFonts w:hint="default" w:eastAsia="宋体"/>
                      <w:bCs/>
                      <w:color w:val="auto"/>
                      <w:szCs w:val="21"/>
                      <w:lang w:val="en-US" w:eastAsia="zh-CN"/>
                    </w:rPr>
                  </w:pPr>
                  <w:r>
                    <w:rPr>
                      <w:bCs/>
                      <w:color w:val="auto"/>
                      <w:szCs w:val="21"/>
                    </w:rPr>
                    <w:t>0.1</w:t>
                  </w:r>
                  <w:r>
                    <w:rPr>
                      <w:rFonts w:hint="eastAsia"/>
                      <w:bCs/>
                      <w:color w:val="auto"/>
                      <w:szCs w:val="21"/>
                      <w:lang w:val="en-US" w:eastAsia="zh-CN"/>
                    </w:rPr>
                    <w:t>18</w:t>
                  </w:r>
                </w:p>
              </w:tc>
              <w:tc>
                <w:tcPr>
                  <w:tcW w:w="1359" w:type="dxa"/>
                  <w:tcBorders>
                    <w:top w:val="single" w:color="000000" w:sz="12" w:space="0"/>
                  </w:tcBorders>
                  <w:noWrap w:val="0"/>
                  <w:vAlign w:val="center"/>
                </w:tcPr>
                <w:p w14:paraId="0FF6B32A">
                  <w:pPr>
                    <w:jc w:val="center"/>
                    <w:rPr>
                      <w:bCs/>
                      <w:color w:val="auto"/>
                      <w:szCs w:val="21"/>
                    </w:rPr>
                  </w:pPr>
                  <w:r>
                    <w:rPr>
                      <w:bCs/>
                      <w:color w:val="auto"/>
                      <w:szCs w:val="21"/>
                    </w:rPr>
                    <w:t>0.3</w:t>
                  </w:r>
                </w:p>
              </w:tc>
              <w:tc>
                <w:tcPr>
                  <w:tcW w:w="1359" w:type="dxa"/>
                  <w:tcBorders>
                    <w:top w:val="single" w:color="000000" w:sz="12" w:space="0"/>
                  </w:tcBorders>
                  <w:noWrap w:val="0"/>
                  <w:vAlign w:val="center"/>
                </w:tcPr>
                <w:p w14:paraId="41A184EB">
                  <w:pPr>
                    <w:jc w:val="center"/>
                    <w:rPr>
                      <w:bCs/>
                      <w:color w:val="auto"/>
                      <w:szCs w:val="21"/>
                    </w:rPr>
                  </w:pPr>
                  <w:r>
                    <w:rPr>
                      <w:rFonts w:hint="eastAsia"/>
                      <w:bCs/>
                      <w:color w:val="auto"/>
                      <w:szCs w:val="21"/>
                      <w:lang w:val="en-US" w:eastAsia="zh-CN"/>
                    </w:rPr>
                    <w:t>39.33</w:t>
                  </w:r>
                  <w:r>
                    <w:rPr>
                      <w:bCs/>
                      <w:color w:val="auto"/>
                      <w:szCs w:val="21"/>
                    </w:rPr>
                    <w:t>%</w:t>
                  </w:r>
                </w:p>
              </w:tc>
            </w:tr>
            <w:tr w14:paraId="75FD3C1E">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60" w:hRule="atLeast"/>
                <w:jc w:val="center"/>
              </w:trPr>
              <w:tc>
                <w:tcPr>
                  <w:tcW w:w="1271" w:type="dxa"/>
                  <w:vMerge w:val="continue"/>
                  <w:noWrap w:val="0"/>
                  <w:vAlign w:val="top"/>
                </w:tcPr>
                <w:p w14:paraId="7A64706B">
                  <w:pPr>
                    <w:pStyle w:val="10"/>
                    <w:spacing w:after="0" w:line="240" w:lineRule="auto"/>
                    <w:jc w:val="center"/>
                    <w:rPr>
                      <w:color w:val="auto"/>
                      <w:sz w:val="21"/>
                      <w:szCs w:val="21"/>
                    </w:rPr>
                  </w:pPr>
                </w:p>
              </w:tc>
              <w:tc>
                <w:tcPr>
                  <w:tcW w:w="2398" w:type="dxa"/>
                  <w:noWrap w:val="0"/>
                  <w:vAlign w:val="center"/>
                </w:tcPr>
                <w:p w14:paraId="3C6AAB3C">
                  <w:pPr>
                    <w:jc w:val="center"/>
                    <w:rPr>
                      <w:rFonts w:hint="eastAsia" w:eastAsia="宋体"/>
                      <w:color w:val="auto"/>
                      <w:szCs w:val="21"/>
                      <w:lang w:eastAsia="zh-CN"/>
                    </w:rPr>
                  </w:pPr>
                  <w:r>
                    <w:rPr>
                      <w:bCs/>
                      <w:color w:val="auto"/>
                      <w:szCs w:val="21"/>
                    </w:rPr>
                    <w:t>2021.11.2</w:t>
                  </w:r>
                  <w:r>
                    <w:rPr>
                      <w:rFonts w:hint="eastAsia"/>
                      <w:bCs/>
                      <w:color w:val="auto"/>
                      <w:szCs w:val="21"/>
                      <w:lang w:val="en-US" w:eastAsia="zh-CN"/>
                    </w:rPr>
                    <w:t>0</w:t>
                  </w:r>
                </w:p>
              </w:tc>
              <w:tc>
                <w:tcPr>
                  <w:tcW w:w="1732" w:type="dxa"/>
                  <w:noWrap w:val="0"/>
                  <w:vAlign w:val="center"/>
                </w:tcPr>
                <w:p w14:paraId="0525A509">
                  <w:pPr>
                    <w:jc w:val="center"/>
                    <w:rPr>
                      <w:rFonts w:hint="default" w:eastAsia="宋体"/>
                      <w:bCs/>
                      <w:color w:val="auto"/>
                      <w:szCs w:val="21"/>
                      <w:lang w:val="en-US" w:eastAsia="zh-CN"/>
                    </w:rPr>
                  </w:pPr>
                  <w:r>
                    <w:rPr>
                      <w:bCs/>
                      <w:color w:val="auto"/>
                      <w:szCs w:val="21"/>
                    </w:rPr>
                    <w:t>0.</w:t>
                  </w:r>
                  <w:r>
                    <w:rPr>
                      <w:rFonts w:hint="eastAsia"/>
                      <w:bCs/>
                      <w:color w:val="auto"/>
                      <w:szCs w:val="21"/>
                      <w:lang w:val="en-US" w:eastAsia="zh-CN"/>
                    </w:rPr>
                    <w:t>124</w:t>
                  </w:r>
                </w:p>
              </w:tc>
              <w:tc>
                <w:tcPr>
                  <w:tcW w:w="1359" w:type="dxa"/>
                  <w:noWrap w:val="0"/>
                  <w:vAlign w:val="center"/>
                </w:tcPr>
                <w:p w14:paraId="03624ECB">
                  <w:pPr>
                    <w:jc w:val="center"/>
                    <w:rPr>
                      <w:bCs/>
                      <w:color w:val="auto"/>
                      <w:szCs w:val="21"/>
                    </w:rPr>
                  </w:pPr>
                  <w:r>
                    <w:rPr>
                      <w:bCs/>
                      <w:color w:val="auto"/>
                      <w:szCs w:val="21"/>
                    </w:rPr>
                    <w:t>0.3</w:t>
                  </w:r>
                </w:p>
              </w:tc>
              <w:tc>
                <w:tcPr>
                  <w:tcW w:w="1359" w:type="dxa"/>
                  <w:noWrap w:val="0"/>
                  <w:vAlign w:val="center"/>
                </w:tcPr>
                <w:p w14:paraId="078D1B0F">
                  <w:pPr>
                    <w:jc w:val="center"/>
                    <w:rPr>
                      <w:bCs/>
                      <w:color w:val="auto"/>
                      <w:szCs w:val="21"/>
                    </w:rPr>
                  </w:pPr>
                  <w:r>
                    <w:rPr>
                      <w:rFonts w:hint="eastAsia"/>
                      <w:bCs/>
                      <w:color w:val="auto"/>
                      <w:szCs w:val="21"/>
                      <w:lang w:val="en-US" w:eastAsia="zh-CN"/>
                    </w:rPr>
                    <w:t>41.33</w:t>
                  </w:r>
                  <w:r>
                    <w:rPr>
                      <w:bCs/>
                      <w:color w:val="auto"/>
                      <w:szCs w:val="21"/>
                    </w:rPr>
                    <w:t>%</w:t>
                  </w:r>
                </w:p>
              </w:tc>
            </w:tr>
            <w:tr w14:paraId="5D27A78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7" w:hRule="atLeast"/>
                <w:jc w:val="center"/>
              </w:trPr>
              <w:tc>
                <w:tcPr>
                  <w:tcW w:w="1271" w:type="dxa"/>
                  <w:vMerge w:val="continue"/>
                  <w:tcBorders>
                    <w:bottom w:val="single" w:color="000000" w:sz="12" w:space="0"/>
                  </w:tcBorders>
                  <w:noWrap w:val="0"/>
                  <w:vAlign w:val="top"/>
                </w:tcPr>
                <w:p w14:paraId="3720FE15">
                  <w:pPr>
                    <w:pStyle w:val="10"/>
                    <w:spacing w:after="0" w:line="240" w:lineRule="auto"/>
                    <w:jc w:val="center"/>
                    <w:rPr>
                      <w:color w:val="auto"/>
                      <w:sz w:val="21"/>
                      <w:szCs w:val="21"/>
                    </w:rPr>
                  </w:pPr>
                </w:p>
              </w:tc>
              <w:tc>
                <w:tcPr>
                  <w:tcW w:w="2398" w:type="dxa"/>
                  <w:tcBorders>
                    <w:bottom w:val="single" w:color="000000" w:sz="12" w:space="0"/>
                  </w:tcBorders>
                  <w:noWrap w:val="0"/>
                  <w:vAlign w:val="center"/>
                </w:tcPr>
                <w:p w14:paraId="294802E4">
                  <w:pPr>
                    <w:jc w:val="center"/>
                    <w:rPr>
                      <w:rFonts w:hint="eastAsia" w:eastAsia="宋体"/>
                      <w:color w:val="auto"/>
                      <w:szCs w:val="21"/>
                      <w:lang w:eastAsia="zh-CN"/>
                    </w:rPr>
                  </w:pPr>
                  <w:r>
                    <w:rPr>
                      <w:bCs/>
                      <w:color w:val="auto"/>
                      <w:szCs w:val="21"/>
                    </w:rPr>
                    <w:t>2021.11.2</w:t>
                  </w:r>
                  <w:r>
                    <w:rPr>
                      <w:rFonts w:hint="eastAsia"/>
                      <w:bCs/>
                      <w:color w:val="auto"/>
                      <w:szCs w:val="21"/>
                      <w:lang w:val="en-US" w:eastAsia="zh-CN"/>
                    </w:rPr>
                    <w:t>1</w:t>
                  </w:r>
                </w:p>
              </w:tc>
              <w:tc>
                <w:tcPr>
                  <w:tcW w:w="1732" w:type="dxa"/>
                  <w:tcBorders>
                    <w:bottom w:val="single" w:color="000000" w:sz="12" w:space="0"/>
                  </w:tcBorders>
                  <w:noWrap w:val="0"/>
                  <w:vAlign w:val="center"/>
                </w:tcPr>
                <w:p w14:paraId="432B38E0">
                  <w:pPr>
                    <w:jc w:val="center"/>
                    <w:rPr>
                      <w:rFonts w:hint="default" w:eastAsia="宋体"/>
                      <w:bCs/>
                      <w:color w:val="auto"/>
                      <w:szCs w:val="21"/>
                      <w:lang w:val="en-US" w:eastAsia="zh-CN"/>
                    </w:rPr>
                  </w:pPr>
                  <w:r>
                    <w:rPr>
                      <w:bCs/>
                      <w:color w:val="auto"/>
                      <w:szCs w:val="21"/>
                    </w:rPr>
                    <w:t>0.</w:t>
                  </w:r>
                  <w:r>
                    <w:rPr>
                      <w:rFonts w:hint="eastAsia"/>
                      <w:bCs/>
                      <w:color w:val="auto"/>
                      <w:szCs w:val="21"/>
                      <w:lang w:val="en-US" w:eastAsia="zh-CN"/>
                    </w:rPr>
                    <w:t>129</w:t>
                  </w:r>
                </w:p>
              </w:tc>
              <w:tc>
                <w:tcPr>
                  <w:tcW w:w="1359" w:type="dxa"/>
                  <w:tcBorders>
                    <w:bottom w:val="single" w:color="000000" w:sz="12" w:space="0"/>
                  </w:tcBorders>
                  <w:noWrap w:val="0"/>
                  <w:vAlign w:val="center"/>
                </w:tcPr>
                <w:p w14:paraId="53934771">
                  <w:pPr>
                    <w:jc w:val="center"/>
                    <w:rPr>
                      <w:bCs/>
                      <w:color w:val="auto"/>
                      <w:szCs w:val="21"/>
                    </w:rPr>
                  </w:pPr>
                  <w:r>
                    <w:rPr>
                      <w:bCs/>
                      <w:color w:val="auto"/>
                      <w:szCs w:val="21"/>
                    </w:rPr>
                    <w:t>0.3</w:t>
                  </w:r>
                </w:p>
              </w:tc>
              <w:tc>
                <w:tcPr>
                  <w:tcW w:w="1359" w:type="dxa"/>
                  <w:tcBorders>
                    <w:bottom w:val="single" w:color="000000" w:sz="12" w:space="0"/>
                  </w:tcBorders>
                  <w:noWrap w:val="0"/>
                  <w:vAlign w:val="center"/>
                </w:tcPr>
                <w:p w14:paraId="3C594E3F">
                  <w:pPr>
                    <w:jc w:val="center"/>
                    <w:rPr>
                      <w:bCs/>
                      <w:color w:val="auto"/>
                      <w:szCs w:val="21"/>
                    </w:rPr>
                  </w:pPr>
                  <w:r>
                    <w:rPr>
                      <w:rFonts w:hint="eastAsia"/>
                      <w:bCs/>
                      <w:color w:val="auto"/>
                      <w:szCs w:val="21"/>
                      <w:lang w:val="en-US" w:eastAsia="zh-CN"/>
                    </w:rPr>
                    <w:t>43</w:t>
                  </w:r>
                  <w:r>
                    <w:rPr>
                      <w:bCs/>
                      <w:color w:val="auto"/>
                      <w:szCs w:val="21"/>
                    </w:rPr>
                    <w:t>%</w:t>
                  </w:r>
                </w:p>
              </w:tc>
            </w:tr>
          </w:tbl>
          <w:p w14:paraId="5A2FEBC2">
            <w:pPr>
              <w:pStyle w:val="11"/>
              <w:topLinePunct/>
              <w:spacing w:line="360" w:lineRule="auto"/>
              <w:ind w:firstLine="480"/>
              <w:rPr>
                <w:rFonts w:ascii="Times New Roman" w:hAnsi="Times New Roman" w:eastAsia="宋体"/>
                <w:color w:val="auto"/>
                <w:sz w:val="24"/>
              </w:rPr>
            </w:pPr>
            <w:r>
              <w:rPr>
                <w:rFonts w:ascii="Times New Roman" w:hAnsi="Times New Roman" w:eastAsia="宋体"/>
                <w:color w:val="auto"/>
                <w:sz w:val="24"/>
              </w:rPr>
              <w:t>由上述列表可知，项目区TSP满足《环境空气质量标准》（GB3095-2012）二级标准，项目所在区域监测期间大气环境空气质量达标。</w:t>
            </w:r>
          </w:p>
          <w:p w14:paraId="275A2D83">
            <w:pPr>
              <w:adjustRightInd w:val="0"/>
              <w:snapToGrid w:val="0"/>
              <w:spacing w:line="520" w:lineRule="exact"/>
              <w:jc w:val="left"/>
              <w:rPr>
                <w:b/>
                <w:color w:val="auto"/>
                <w:sz w:val="24"/>
                <w:highlight w:val="none"/>
              </w:rPr>
            </w:pPr>
            <w:r>
              <w:rPr>
                <w:rFonts w:hint="eastAsia"/>
                <w:b/>
                <w:color w:val="auto"/>
                <w:sz w:val="24"/>
                <w:highlight w:val="none"/>
              </w:rPr>
              <w:t>2</w:t>
            </w:r>
            <w:r>
              <w:rPr>
                <w:rFonts w:hint="eastAsia"/>
                <w:b/>
                <w:color w:val="auto"/>
                <w:sz w:val="24"/>
                <w:highlight w:val="none"/>
                <w:lang w:val="en-US" w:eastAsia="zh-CN"/>
              </w:rPr>
              <w:t>.</w:t>
            </w:r>
            <w:r>
              <w:rPr>
                <w:rFonts w:hint="eastAsia"/>
                <w:b/>
                <w:color w:val="auto"/>
                <w:sz w:val="24"/>
                <w:highlight w:val="none"/>
              </w:rPr>
              <w:t>地表</w:t>
            </w:r>
            <w:r>
              <w:rPr>
                <w:b/>
                <w:color w:val="auto"/>
                <w:sz w:val="24"/>
                <w:highlight w:val="none"/>
              </w:rPr>
              <w:t>水环境</w:t>
            </w:r>
          </w:p>
          <w:p w14:paraId="395C22FC">
            <w:pPr>
              <w:spacing w:line="520" w:lineRule="exact"/>
              <w:ind w:firstLine="482"/>
              <w:rPr>
                <w:color w:val="auto"/>
                <w:sz w:val="24"/>
                <w:highlight w:val="none"/>
              </w:rPr>
            </w:pPr>
            <w:r>
              <w:rPr>
                <w:rFonts w:hint="eastAsia"/>
                <w:bCs/>
                <w:color w:val="auto"/>
                <w:sz w:val="24"/>
                <w:highlight w:val="none"/>
              </w:rPr>
              <w:t>根据《关于印发&lt;建设项目环境影响报告表&gt;内容、格式及编制技术指南的通知》（环办环评〔2020〕33号），</w:t>
            </w:r>
            <w:r>
              <w:rPr>
                <w:rFonts w:hint="eastAsia"/>
                <w:color w:val="auto"/>
                <w:sz w:val="24"/>
                <w:highlight w:val="none"/>
              </w:rPr>
              <w:t>本项目与所在区域地表水距离较远且无水力联系</w:t>
            </w:r>
            <w:r>
              <w:rPr>
                <w:rFonts w:hint="eastAsia"/>
                <w:color w:val="auto"/>
                <w:sz w:val="24"/>
                <w:highlight w:val="none"/>
                <w:lang w:eastAsia="zh-CN"/>
              </w:rPr>
              <w:t>，</w:t>
            </w:r>
            <w:r>
              <w:rPr>
                <w:rFonts w:hint="eastAsia"/>
                <w:color w:val="auto"/>
                <w:sz w:val="24"/>
                <w:highlight w:val="none"/>
                <w:lang w:val="en-US" w:eastAsia="zh-CN"/>
              </w:rPr>
              <w:t>故无需对地表水进行环境质量监测</w:t>
            </w:r>
            <w:r>
              <w:rPr>
                <w:rFonts w:hint="eastAsia"/>
                <w:color w:val="auto"/>
                <w:sz w:val="24"/>
                <w:highlight w:val="none"/>
              </w:rPr>
              <w:t>。</w:t>
            </w:r>
          </w:p>
          <w:p w14:paraId="01930A45">
            <w:pPr>
              <w:adjustRightInd w:val="0"/>
              <w:snapToGrid w:val="0"/>
              <w:spacing w:line="520" w:lineRule="exact"/>
              <w:jc w:val="left"/>
              <w:rPr>
                <w:b/>
                <w:color w:val="auto"/>
                <w:sz w:val="24"/>
                <w:highlight w:val="none"/>
              </w:rPr>
            </w:pPr>
            <w:r>
              <w:rPr>
                <w:rFonts w:hint="eastAsia"/>
                <w:b/>
                <w:color w:val="auto"/>
                <w:sz w:val="24"/>
                <w:highlight w:val="none"/>
              </w:rPr>
              <w:t>3</w:t>
            </w:r>
            <w:r>
              <w:rPr>
                <w:rFonts w:hint="eastAsia"/>
                <w:b/>
                <w:color w:val="auto"/>
                <w:sz w:val="24"/>
                <w:highlight w:val="none"/>
                <w:lang w:val="en-US" w:eastAsia="zh-CN"/>
              </w:rPr>
              <w:t>.</w:t>
            </w:r>
            <w:r>
              <w:rPr>
                <w:b/>
                <w:color w:val="auto"/>
                <w:sz w:val="24"/>
                <w:highlight w:val="none"/>
              </w:rPr>
              <w:t>声环境</w:t>
            </w:r>
          </w:p>
          <w:p w14:paraId="5ADC84DF">
            <w:pPr>
              <w:adjustRightInd w:val="0"/>
              <w:snapToGrid w:val="0"/>
              <w:spacing w:line="520" w:lineRule="exact"/>
              <w:ind w:firstLine="480" w:firstLineChars="200"/>
              <w:rPr>
                <w:bCs/>
                <w:color w:val="auto"/>
                <w:sz w:val="24"/>
                <w:highlight w:val="none"/>
              </w:rPr>
            </w:pPr>
            <w:r>
              <w:rPr>
                <w:rFonts w:hint="eastAsia"/>
                <w:bCs/>
                <w:color w:val="auto"/>
                <w:sz w:val="24"/>
                <w:highlight w:val="none"/>
              </w:rPr>
              <w:t>根据《关于印发&lt;建设项目环境影响报告表&gt;内容、格式及编制技术指南的通知》（环办环评〔2020〕33号），本项目厂界50米范围内无声环境保护目标，故无需对环境敏感点进行声环境质量现状监测。</w:t>
            </w:r>
          </w:p>
          <w:p w14:paraId="3343B140">
            <w:pPr>
              <w:adjustRightInd w:val="0"/>
              <w:snapToGrid w:val="0"/>
              <w:spacing w:line="520" w:lineRule="exact"/>
              <w:jc w:val="left"/>
              <w:rPr>
                <w:b/>
                <w:color w:val="auto"/>
                <w:sz w:val="24"/>
                <w:highlight w:val="none"/>
              </w:rPr>
            </w:pPr>
            <w:r>
              <w:rPr>
                <w:rFonts w:hint="eastAsia"/>
                <w:b/>
                <w:color w:val="auto"/>
                <w:sz w:val="24"/>
                <w:highlight w:val="none"/>
              </w:rPr>
              <w:t>4</w:t>
            </w:r>
            <w:r>
              <w:rPr>
                <w:rFonts w:hint="eastAsia"/>
                <w:b/>
                <w:color w:val="auto"/>
                <w:sz w:val="24"/>
                <w:highlight w:val="none"/>
                <w:lang w:val="en-US" w:eastAsia="zh-CN"/>
              </w:rPr>
              <w:t>.</w:t>
            </w:r>
            <w:r>
              <w:rPr>
                <w:b/>
                <w:color w:val="auto"/>
                <w:sz w:val="24"/>
                <w:highlight w:val="none"/>
              </w:rPr>
              <w:t>生态环境</w:t>
            </w:r>
          </w:p>
          <w:p w14:paraId="222C5076">
            <w:pPr>
              <w:adjustRightInd w:val="0"/>
              <w:snapToGrid w:val="0"/>
              <w:spacing w:line="520" w:lineRule="exact"/>
              <w:ind w:firstLine="480" w:firstLineChars="200"/>
              <w:jc w:val="both"/>
              <w:rPr>
                <w:bCs/>
                <w:color w:val="auto"/>
                <w:sz w:val="24"/>
                <w:highlight w:val="none"/>
              </w:rPr>
            </w:pPr>
            <w:r>
              <w:rPr>
                <w:bCs/>
                <w:color w:val="auto"/>
                <w:sz w:val="24"/>
                <w:highlight w:val="none"/>
              </w:rPr>
              <w:t>本项目位于</w:t>
            </w:r>
            <w:r>
              <w:rPr>
                <w:rFonts w:hint="eastAsia"/>
                <w:bCs/>
                <w:color w:val="auto"/>
                <w:sz w:val="24"/>
                <w:highlight w:val="none"/>
                <w:lang w:val="en-US" w:eastAsia="zh-CN"/>
              </w:rPr>
              <w:t>新疆维吾尔自治区昌吉回族自治州吉木萨尔县北庭工业园原善成厂区内</w:t>
            </w:r>
            <w:r>
              <w:rPr>
                <w:bCs/>
                <w:color w:val="auto"/>
                <w:sz w:val="24"/>
                <w:highlight w:val="none"/>
              </w:rPr>
              <w:t>，根据《建设项目环境影响报告表编制技术指南（污染影响类）</w:t>
            </w:r>
            <w:r>
              <w:rPr>
                <w:rFonts w:hint="eastAsia"/>
                <w:bCs/>
                <w:color w:val="auto"/>
                <w:sz w:val="24"/>
                <w:highlight w:val="none"/>
                <w:lang w:eastAsia="zh-CN"/>
              </w:rPr>
              <w:t>（试行）》</w:t>
            </w:r>
            <w:r>
              <w:rPr>
                <w:bCs/>
                <w:color w:val="auto"/>
                <w:sz w:val="24"/>
                <w:highlight w:val="none"/>
              </w:rPr>
              <w:t>中规定，产业园区外建设项目新增用地且用地范围内含</w:t>
            </w:r>
            <w:r>
              <w:rPr>
                <w:rFonts w:hint="eastAsia"/>
                <w:bCs/>
                <w:color w:val="auto"/>
                <w:sz w:val="24"/>
                <w:highlight w:val="none"/>
                <w:lang w:val="en-US" w:eastAsia="zh-CN"/>
              </w:rPr>
              <w:t>有</w:t>
            </w:r>
            <w:r>
              <w:rPr>
                <w:bCs/>
                <w:color w:val="auto"/>
                <w:sz w:val="24"/>
                <w:highlight w:val="none"/>
              </w:rPr>
              <w:t>生态环境保护目标</w:t>
            </w:r>
            <w:r>
              <w:rPr>
                <w:rFonts w:hint="eastAsia"/>
                <w:bCs/>
                <w:color w:val="auto"/>
                <w:sz w:val="24"/>
                <w:highlight w:val="none"/>
                <w:lang w:val="en-US" w:eastAsia="zh-CN"/>
              </w:rPr>
              <w:t>时</w:t>
            </w:r>
            <w:r>
              <w:rPr>
                <w:rFonts w:hint="eastAsia"/>
                <w:bCs/>
                <w:color w:val="auto"/>
                <w:sz w:val="24"/>
                <w:highlight w:val="none"/>
                <w:lang w:eastAsia="zh-CN"/>
              </w:rPr>
              <w:t>，</w:t>
            </w:r>
            <w:r>
              <w:rPr>
                <w:rFonts w:hint="eastAsia"/>
                <w:bCs/>
                <w:color w:val="auto"/>
                <w:sz w:val="24"/>
                <w:highlight w:val="none"/>
                <w:lang w:val="en-US" w:eastAsia="zh-CN"/>
              </w:rPr>
              <w:t>应进行生态现状调查。本项目在吉木萨尔县北庭工业园区内</w:t>
            </w:r>
            <w:r>
              <w:rPr>
                <w:bCs/>
                <w:color w:val="auto"/>
                <w:sz w:val="24"/>
                <w:highlight w:val="none"/>
              </w:rPr>
              <w:t>，故本项目可不开展生态环境现状调查。</w:t>
            </w:r>
          </w:p>
          <w:p w14:paraId="35337157">
            <w:pPr>
              <w:adjustRightInd w:val="0"/>
              <w:snapToGrid w:val="0"/>
              <w:spacing w:line="520" w:lineRule="exact"/>
              <w:jc w:val="left"/>
              <w:rPr>
                <w:rFonts w:hint="eastAsia" w:ascii="Times New Roman" w:hAnsi="Times New Roman" w:eastAsia="宋体" w:cs="Times New Roman"/>
                <w:b/>
                <w:color w:val="auto"/>
                <w:sz w:val="24"/>
                <w:highlight w:val="none"/>
              </w:rPr>
            </w:pPr>
            <w:r>
              <w:rPr>
                <w:rFonts w:hint="eastAsia" w:ascii="Times New Roman" w:hAnsi="Times New Roman" w:eastAsia="宋体" w:cs="Times New Roman"/>
                <w:b/>
                <w:color w:val="auto"/>
                <w:sz w:val="24"/>
                <w:highlight w:val="none"/>
              </w:rPr>
              <w:t>5</w:t>
            </w:r>
            <w:r>
              <w:rPr>
                <w:rFonts w:hint="eastAsia" w:ascii="Times New Roman" w:hAnsi="Times New Roman" w:eastAsia="宋体" w:cs="Times New Roman"/>
                <w:b/>
                <w:color w:val="auto"/>
                <w:sz w:val="24"/>
                <w:highlight w:val="none"/>
                <w:lang w:val="en-US" w:eastAsia="zh-CN"/>
              </w:rPr>
              <w:t>.</w:t>
            </w:r>
            <w:r>
              <w:rPr>
                <w:rFonts w:hint="eastAsia" w:ascii="Times New Roman" w:hAnsi="Times New Roman" w:eastAsia="宋体" w:cs="Times New Roman"/>
                <w:b/>
                <w:color w:val="auto"/>
                <w:sz w:val="24"/>
                <w:highlight w:val="none"/>
              </w:rPr>
              <w:t>地下水、土壤环境</w:t>
            </w:r>
          </w:p>
          <w:p w14:paraId="3386F3FC">
            <w:pPr>
              <w:adjustRightInd w:val="0"/>
              <w:snapToGrid w:val="0"/>
              <w:spacing w:line="520" w:lineRule="exact"/>
              <w:ind w:firstLine="480" w:firstLineChars="200"/>
              <w:jc w:val="both"/>
              <w:rPr>
                <w:rFonts w:hint="default" w:ascii="Times New Roman" w:hAnsi="Times New Roman" w:eastAsia="宋体" w:cs="Times New Roman"/>
                <w:bCs/>
                <w:color w:val="auto"/>
                <w:sz w:val="24"/>
                <w:highlight w:val="none"/>
              </w:rPr>
            </w:pPr>
            <w:r>
              <w:rPr>
                <w:rFonts w:hint="eastAsia" w:ascii="Times New Roman" w:hAnsi="Times New Roman" w:eastAsia="宋体" w:cs="Times New Roman"/>
                <w:bCs/>
                <w:color w:val="auto"/>
                <w:sz w:val="24"/>
                <w:highlight w:val="none"/>
              </w:rPr>
              <w:t>根据《建设项目环境影响报告表编制技术指南（污染影响类）</w:t>
            </w:r>
            <w:r>
              <w:rPr>
                <w:rFonts w:hint="eastAsia" w:cs="Times New Roman"/>
                <w:bCs/>
                <w:color w:val="auto"/>
                <w:sz w:val="24"/>
                <w:highlight w:val="none"/>
                <w:lang w:eastAsia="zh-CN"/>
              </w:rPr>
              <w:t>（试行）》</w:t>
            </w:r>
            <w:r>
              <w:rPr>
                <w:rFonts w:hint="eastAsia" w:ascii="Times New Roman" w:hAnsi="Times New Roman" w:eastAsia="宋体" w:cs="Times New Roman"/>
                <w:bCs/>
                <w:color w:val="auto"/>
                <w:sz w:val="24"/>
                <w:highlight w:val="none"/>
              </w:rPr>
              <w:t>，报告表原则上不开展地下水环境和土壤环境质量现状评价。本项目厂界外500m范围内不涉及地下水集中式饮用水水源和热水、矿泉水、温泉等特殊地下水资源等地下水环境敏感目标。本项目</w:t>
            </w:r>
            <w:r>
              <w:rPr>
                <w:rFonts w:hint="eastAsia" w:ascii="Times New Roman" w:hAnsi="Times New Roman" w:eastAsia="宋体" w:cs="Times New Roman"/>
                <w:bCs/>
                <w:color w:val="auto"/>
                <w:sz w:val="24"/>
                <w:highlight w:val="none"/>
                <w:lang w:val="en-US" w:eastAsia="zh-CN"/>
              </w:rPr>
              <w:t>没有</w:t>
            </w:r>
            <w:r>
              <w:rPr>
                <w:rFonts w:hint="eastAsia" w:ascii="Times New Roman" w:hAnsi="Times New Roman" w:eastAsia="宋体" w:cs="Times New Roman"/>
                <w:bCs/>
                <w:color w:val="auto"/>
                <w:sz w:val="24"/>
                <w:highlight w:val="none"/>
              </w:rPr>
              <w:t>对地下水和土壤产生影响的区域，故本报告不开展进行地下水和土壤现状环境质量评价。</w:t>
            </w:r>
          </w:p>
          <w:p w14:paraId="38733E6A">
            <w:pPr>
              <w:rPr>
                <w:color w:val="auto"/>
              </w:rPr>
            </w:pPr>
          </w:p>
          <w:p w14:paraId="0045042E">
            <w:pPr>
              <w:rPr>
                <w:color w:val="auto"/>
              </w:rPr>
            </w:pPr>
          </w:p>
          <w:p w14:paraId="3B0F493E">
            <w:pPr>
              <w:rPr>
                <w:color w:val="auto"/>
              </w:rPr>
            </w:pPr>
          </w:p>
          <w:p w14:paraId="7D10F7E4">
            <w:pPr>
              <w:rPr>
                <w:color w:val="auto"/>
              </w:rPr>
            </w:pPr>
          </w:p>
          <w:p w14:paraId="567973A2">
            <w:pPr>
              <w:rPr>
                <w:color w:val="auto"/>
              </w:rPr>
            </w:pPr>
          </w:p>
          <w:p w14:paraId="6C05E19E">
            <w:pPr>
              <w:rPr>
                <w:color w:val="auto"/>
              </w:rPr>
            </w:pPr>
          </w:p>
          <w:p w14:paraId="4B0D34B0">
            <w:pPr>
              <w:rPr>
                <w:color w:val="auto"/>
              </w:rPr>
            </w:pPr>
          </w:p>
          <w:p w14:paraId="166F8FF2">
            <w:pPr>
              <w:rPr>
                <w:color w:val="auto"/>
              </w:rPr>
            </w:pPr>
          </w:p>
          <w:p w14:paraId="74DDDDAD">
            <w:pPr>
              <w:rPr>
                <w:color w:val="auto"/>
              </w:rPr>
            </w:pPr>
          </w:p>
          <w:p w14:paraId="232F36EA">
            <w:pPr>
              <w:rPr>
                <w:color w:val="auto"/>
              </w:rPr>
            </w:pPr>
          </w:p>
          <w:p w14:paraId="1DD8E374">
            <w:pPr>
              <w:rPr>
                <w:color w:val="auto"/>
              </w:rPr>
            </w:pPr>
          </w:p>
          <w:p w14:paraId="09B8F695">
            <w:pPr>
              <w:rPr>
                <w:color w:val="auto"/>
              </w:rPr>
            </w:pPr>
          </w:p>
          <w:p w14:paraId="34E208A7">
            <w:pPr>
              <w:rPr>
                <w:color w:val="auto"/>
              </w:rPr>
            </w:pPr>
          </w:p>
          <w:p w14:paraId="070168F0">
            <w:pPr>
              <w:rPr>
                <w:color w:val="auto"/>
              </w:rPr>
            </w:pPr>
          </w:p>
          <w:p w14:paraId="48EAB8B4">
            <w:pPr>
              <w:rPr>
                <w:color w:val="auto"/>
              </w:rPr>
            </w:pPr>
          </w:p>
          <w:p w14:paraId="7169CE3E">
            <w:pPr>
              <w:rPr>
                <w:color w:val="auto"/>
              </w:rPr>
            </w:pPr>
          </w:p>
          <w:p w14:paraId="5C86EB63">
            <w:pPr>
              <w:rPr>
                <w:color w:val="auto"/>
              </w:rPr>
            </w:pPr>
          </w:p>
        </w:tc>
      </w:tr>
      <w:tr w14:paraId="38D4A0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14:paraId="72F89E33">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环境</w:t>
            </w:r>
          </w:p>
          <w:p w14:paraId="00CA8351">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保护</w:t>
            </w:r>
          </w:p>
          <w:p w14:paraId="4122FE26">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目标</w:t>
            </w:r>
          </w:p>
        </w:tc>
        <w:tc>
          <w:tcPr>
            <w:tcW w:w="8190" w:type="dxa"/>
            <w:noWrap w:val="0"/>
            <w:vAlign w:val="center"/>
          </w:tcPr>
          <w:p w14:paraId="2EB5DC28">
            <w:pPr>
              <w:numPr>
                <w:ilvl w:val="0"/>
                <w:numId w:val="0"/>
              </w:numPr>
              <w:spacing w:line="360" w:lineRule="auto"/>
              <w:ind w:firstLine="480" w:firstLineChars="200"/>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本项目位于新疆维吾尔自治区昌吉回族自治州吉木萨尔县北庭工业园原善成厂区内，项目区中心地理坐标为</w:t>
            </w:r>
            <w:r>
              <w:rPr>
                <w:rFonts w:hint="eastAsia" w:ascii="Times New Roman" w:hAnsi="Times New Roman" w:eastAsia="宋体" w:cs="Times New Roman"/>
                <w:b w:val="0"/>
                <w:bCs w:val="0"/>
                <w:color w:val="auto"/>
                <w:sz w:val="24"/>
                <w:szCs w:val="24"/>
                <w:lang w:val="en-US" w:eastAsia="zh-CN"/>
              </w:rPr>
              <w:t>东经</w:t>
            </w:r>
            <w:r>
              <w:rPr>
                <w:rFonts w:hint="default" w:ascii="Times New Roman" w:hAnsi="Times New Roman" w:eastAsia="宋体" w:cs="Times New Roman"/>
                <w:color w:val="auto"/>
                <w:kern w:val="2"/>
                <w:sz w:val="24"/>
                <w:szCs w:val="24"/>
                <w:highlight w:val="none"/>
                <w:lang w:val="en-US" w:eastAsia="zh-CN" w:bidi="ar-SA"/>
              </w:rPr>
              <w:t>8</w:t>
            </w:r>
            <w:r>
              <w:rPr>
                <w:rFonts w:hint="eastAsia" w:ascii="Times New Roman" w:hAnsi="Times New Roman" w:cs="Times New Roman"/>
                <w:color w:val="auto"/>
                <w:kern w:val="2"/>
                <w:sz w:val="24"/>
                <w:szCs w:val="24"/>
                <w:highlight w:val="none"/>
                <w:lang w:val="en-US" w:eastAsia="zh-CN" w:bidi="ar-SA"/>
              </w:rPr>
              <w:t>9</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11</w:t>
            </w:r>
            <w:r>
              <w:rPr>
                <w:rFonts w:hint="eastAsia"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kern w:val="2"/>
                <w:sz w:val="24"/>
                <w:szCs w:val="24"/>
                <w:highlight w:val="none"/>
                <w:lang w:val="en-US" w:eastAsia="zh-CN" w:bidi="ar-SA"/>
              </w:rPr>
              <w:t>54.57″</w:t>
            </w:r>
            <w:r>
              <w:rPr>
                <w:rFonts w:hint="default" w:ascii="Times New Roman" w:hAnsi="Times New Roman" w:eastAsia="宋体" w:cs="Times New Roman"/>
                <w:color w:val="auto"/>
                <w:kern w:val="2"/>
                <w:sz w:val="24"/>
                <w:szCs w:val="24"/>
                <w:highlight w:val="none"/>
                <w:lang w:val="en-US" w:eastAsia="zh-CN" w:bidi="ar-SA"/>
              </w:rPr>
              <w:t>，4</w:t>
            </w:r>
            <w:r>
              <w:rPr>
                <w:rFonts w:hint="eastAsia" w:ascii="Times New Roman" w:hAnsi="Times New Roman" w:cs="Times New Roman"/>
                <w:color w:val="auto"/>
                <w:kern w:val="2"/>
                <w:sz w:val="24"/>
                <w:szCs w:val="24"/>
                <w:highlight w:val="none"/>
                <w:lang w:val="en-US" w:eastAsia="zh-CN" w:bidi="ar-SA"/>
              </w:rPr>
              <w:t>3°56′46.40″</w:t>
            </w:r>
            <w:r>
              <w:rPr>
                <w:rFonts w:hint="default" w:ascii="Times New Roman" w:hAnsi="Times New Roman" w:eastAsia="宋体" w:cs="Times New Roman"/>
                <w:b w:val="0"/>
                <w:bCs w:val="0"/>
                <w:color w:val="auto"/>
                <w:sz w:val="24"/>
                <w:szCs w:val="24"/>
                <w:lang w:val="en-US" w:eastAsia="zh-CN"/>
              </w:rPr>
              <w:t>。根据本项目的自身特点、所在区域的环境质量现状和敏感目标调查结果，环境保护目标如下：</w:t>
            </w:r>
          </w:p>
          <w:p w14:paraId="53921288">
            <w:pPr>
              <w:pStyle w:val="6"/>
              <w:numPr>
                <w:ilvl w:val="0"/>
                <w:numId w:val="0"/>
              </w:numPr>
              <w:adjustRightInd w:val="0"/>
              <w:spacing w:before="0" w:after="0" w:line="360" w:lineRule="auto"/>
              <w:ind w:left="431" w:leftChars="0" w:hanging="431" w:firstLineChars="0"/>
              <w:rPr>
                <w:rFonts w:hint="default"/>
                <w:color w:val="auto"/>
              </w:rPr>
            </w:pPr>
            <w:r>
              <w:rPr>
                <w:rFonts w:hint="default" w:ascii="Times New Roman" w:hAnsi="Times New Roman" w:eastAsia="宋体" w:cs="Times New Roman"/>
                <w:b/>
                <w:bCs/>
                <w:color w:val="auto"/>
                <w:kern w:val="44"/>
                <w:sz w:val="24"/>
                <w:szCs w:val="24"/>
                <w:lang w:val="en-US" w:eastAsia="zh-CN" w:bidi="ar-SA"/>
              </w:rPr>
              <w:t>1.</w:t>
            </w:r>
            <w:r>
              <w:rPr>
                <w:rFonts w:hint="default" w:ascii="Times New Roman" w:hAnsi="Times New Roman" w:eastAsia="宋体" w:cs="Times New Roman"/>
                <w:color w:val="auto"/>
                <w:sz w:val="24"/>
                <w:szCs w:val="24"/>
              </w:rPr>
              <w:t>大气环境</w:t>
            </w:r>
          </w:p>
          <w:p w14:paraId="345F6CA0">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根据《环境空气质量标准》（GB3095-2012）中的二级标准保护要求，项目场地厂界外500米范围内无自然保护区、风景名胜区、居住区、文化区和农村地区中人群较集中的区域等保护目标，无敏感目标。</w:t>
            </w:r>
          </w:p>
          <w:p w14:paraId="4F8917B7">
            <w:pPr>
              <w:pStyle w:val="6"/>
              <w:adjustRightInd w:val="0"/>
              <w:spacing w:before="0" w:after="0" w:line="360" w:lineRule="auto"/>
              <w:ind w:left="431" w:hanging="43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2.声环境</w:t>
            </w:r>
          </w:p>
          <w:p w14:paraId="445AB92D">
            <w:pPr>
              <w:pStyle w:val="7"/>
              <w:tabs>
                <w:tab w:val="left" w:pos="1080"/>
                <w:tab w:val="clear" w:pos="377"/>
              </w:tabs>
              <w:adjustRightInd w:val="0"/>
              <w:snapToGrid w:val="0"/>
              <w:spacing w:line="360" w:lineRule="auto"/>
              <w:ind w:firstLine="480" w:firstLineChars="200"/>
              <w:jc w:val="both"/>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根据《声环境质量标准》（GB3096-2008）中的3类标准保护要求，项目周边为企业，项目场地厂界外50米范围内无声环境保护目标。</w:t>
            </w:r>
          </w:p>
          <w:p w14:paraId="1250B1C4">
            <w:pPr>
              <w:pStyle w:val="6"/>
              <w:adjustRightInd w:val="0"/>
              <w:spacing w:before="0" w:after="0" w:line="360" w:lineRule="auto"/>
              <w:ind w:left="431" w:hanging="43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3.地下水环境</w:t>
            </w:r>
          </w:p>
          <w:p w14:paraId="07E27787">
            <w:pPr>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根据《地下水质量标准》（GB/T14848-2017）中的III类标准保护要求，本项目厂界外500米范围内的无地下水集中式饮用水水源和热水、矿泉水、温泉等特殊地下水资源，无敏感目标。</w:t>
            </w:r>
          </w:p>
          <w:p w14:paraId="252D7284">
            <w:pPr>
              <w:pStyle w:val="6"/>
              <w:adjustRightInd w:val="0"/>
              <w:spacing w:before="0" w:after="0" w:line="360" w:lineRule="auto"/>
              <w:ind w:left="431" w:hanging="431"/>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4.生态环境</w:t>
            </w:r>
          </w:p>
          <w:p w14:paraId="423588D4">
            <w:pPr>
              <w:adjustRightInd w:val="0"/>
              <w:snapToGrid w:val="0"/>
              <w:spacing w:line="360" w:lineRule="auto"/>
              <w:ind w:firstLine="480" w:firstLineChars="200"/>
              <w:jc w:val="both"/>
              <w:rPr>
                <w:rFonts w:ascii="宋体" w:hAnsi="宋体" w:cs="宋体"/>
                <w:color w:val="auto"/>
                <w:kern w:val="0"/>
                <w:szCs w:val="21"/>
              </w:rPr>
            </w:pPr>
            <w:r>
              <w:rPr>
                <w:rFonts w:hint="default" w:ascii="Times New Roman" w:hAnsi="Times New Roman" w:eastAsia="宋体" w:cs="Times New Roman"/>
                <w:color w:val="auto"/>
                <w:sz w:val="24"/>
              </w:rPr>
              <w:t>本项目位于</w:t>
            </w:r>
            <w:r>
              <w:rPr>
                <w:rFonts w:hint="default" w:ascii="Times New Roman" w:hAnsi="Times New Roman" w:eastAsia="宋体" w:cs="Times New Roman"/>
                <w:color w:val="auto"/>
                <w:sz w:val="24"/>
                <w:lang w:eastAsia="zh-Hans"/>
              </w:rPr>
              <w:t>新疆维吾尔自治区昌吉回族自治州吉木萨尔县北庭工业园原善成厂区内</w:t>
            </w:r>
            <w:r>
              <w:rPr>
                <w:rFonts w:hint="default" w:ascii="Times New Roman" w:hAnsi="Times New Roman" w:eastAsia="宋体" w:cs="Times New Roman"/>
                <w:color w:val="auto"/>
                <w:sz w:val="24"/>
              </w:rPr>
              <w:t>，项目选址占地为</w:t>
            </w:r>
            <w:r>
              <w:rPr>
                <w:rFonts w:hint="default" w:ascii="Times New Roman" w:hAnsi="Times New Roman" w:eastAsia="宋体" w:cs="Times New Roman"/>
                <w:color w:val="auto"/>
                <w:sz w:val="24"/>
                <w:highlight w:val="none"/>
              </w:rPr>
              <w:t>工业用地</w:t>
            </w:r>
            <w:r>
              <w:rPr>
                <w:rFonts w:hint="default" w:ascii="Times New Roman" w:hAnsi="Times New Roman" w:eastAsia="宋体" w:cs="Times New Roman"/>
                <w:color w:val="auto"/>
                <w:sz w:val="24"/>
              </w:rPr>
              <w:t>，项目周边均为企业，项目周边无居民区，水源保护地等敏感目标。根据《建设项目环境影响报告表编制技术指南》（污染影响类），项目占地场地厂界外500m范围内无敏感目标。周围无生态环境保护目标。</w:t>
            </w:r>
          </w:p>
        </w:tc>
      </w:tr>
      <w:tr w14:paraId="38010B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14:paraId="49EDD04B">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污染</w:t>
            </w:r>
          </w:p>
          <w:p w14:paraId="64772297">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物排</w:t>
            </w:r>
          </w:p>
          <w:p w14:paraId="60A10638">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放控</w:t>
            </w:r>
          </w:p>
          <w:p w14:paraId="3D61B238">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制标</w:t>
            </w:r>
          </w:p>
          <w:p w14:paraId="3D31A44A">
            <w:pPr>
              <w:adjustRightInd w:val="0"/>
              <w:snapToGrid w:val="0"/>
              <w:jc w:val="center"/>
              <w:rPr>
                <w:rFonts w:ascii="宋体" w:hAnsi="宋体" w:cs="宋体"/>
                <w:color w:val="auto"/>
                <w:kern w:val="0"/>
                <w:szCs w:val="21"/>
              </w:rPr>
            </w:pPr>
            <w:r>
              <w:rPr>
                <w:rFonts w:hint="eastAsia" w:ascii="宋体" w:hAnsi="宋体" w:cs="宋体"/>
                <w:color w:val="auto"/>
                <w:kern w:val="0"/>
                <w:szCs w:val="21"/>
              </w:rPr>
              <w:t>准</w:t>
            </w:r>
          </w:p>
        </w:tc>
        <w:tc>
          <w:tcPr>
            <w:tcW w:w="8190" w:type="dxa"/>
            <w:noWrap w:val="0"/>
            <w:vAlign w:val="center"/>
          </w:tcPr>
          <w:p w14:paraId="6E543DBD">
            <w:pPr>
              <w:widowControl/>
              <w:spacing w:line="360" w:lineRule="auto"/>
              <w:jc w:val="left"/>
              <w:rPr>
                <w:b/>
                <w:bCs/>
                <w:color w:val="auto"/>
                <w:sz w:val="24"/>
              </w:rPr>
            </w:pPr>
            <w:r>
              <w:rPr>
                <w:b/>
                <w:bCs/>
                <w:color w:val="auto"/>
                <w:kern w:val="0"/>
                <w:sz w:val="24"/>
                <w:lang w:bidi="ar"/>
              </w:rPr>
              <w:t>1.大气污染物排放标准</w:t>
            </w:r>
          </w:p>
          <w:p w14:paraId="7088206E">
            <w:pPr>
              <w:widowControl/>
              <w:spacing w:line="360" w:lineRule="auto"/>
              <w:ind w:firstLine="480" w:firstLineChars="200"/>
              <w:rPr>
                <w:color w:val="auto"/>
                <w:kern w:val="21"/>
                <w:sz w:val="24"/>
                <w:lang w:bidi="ar"/>
              </w:rPr>
            </w:pPr>
            <w:r>
              <w:rPr>
                <w:color w:val="auto"/>
                <w:kern w:val="21"/>
                <w:sz w:val="24"/>
                <w:lang w:bidi="ar"/>
              </w:rPr>
              <w:t>（1）污染物颗粒物执行《水泥工业大气污染物排放标准》（GB4915-2013）表3大气污染物无组织排放限值。</w:t>
            </w:r>
          </w:p>
          <w:p w14:paraId="5F0B1FB4">
            <w:pPr>
              <w:widowControl/>
              <w:spacing w:line="360" w:lineRule="auto"/>
              <w:ind w:firstLine="480" w:firstLineChars="200"/>
              <w:rPr>
                <w:rFonts w:hint="eastAsia"/>
                <w:bCs/>
                <w:color w:val="auto"/>
                <w:sz w:val="24"/>
                <w:vertAlign w:val="baseline"/>
                <w:lang w:val="en-US" w:eastAsia="zh-CN"/>
              </w:rPr>
            </w:pPr>
            <w:r>
              <w:rPr>
                <w:color w:val="auto"/>
                <w:kern w:val="21"/>
                <w:sz w:val="24"/>
                <w:lang w:bidi="ar"/>
              </w:rPr>
              <w:t>（2）锅炉废气颗</w:t>
            </w:r>
            <w:r>
              <w:rPr>
                <w:bCs/>
                <w:color w:val="auto"/>
                <w:sz w:val="24"/>
              </w:rPr>
              <w:t>粒物、SO</w:t>
            </w:r>
            <w:r>
              <w:rPr>
                <w:bCs/>
                <w:color w:val="auto"/>
                <w:sz w:val="24"/>
                <w:vertAlign w:val="subscript"/>
              </w:rPr>
              <w:t>2</w:t>
            </w:r>
            <w:r>
              <w:rPr>
                <w:bCs/>
                <w:color w:val="auto"/>
                <w:sz w:val="24"/>
              </w:rPr>
              <w:t>执行《锅炉大气污染物排放标准》（GB13271-2014）表</w:t>
            </w:r>
            <w:r>
              <w:rPr>
                <w:rFonts w:hint="eastAsia"/>
                <w:bCs/>
                <w:color w:val="auto"/>
                <w:sz w:val="24"/>
                <w:lang w:val="en-US" w:eastAsia="zh-CN"/>
              </w:rPr>
              <w:t>2</w:t>
            </w:r>
            <w:r>
              <w:rPr>
                <w:bCs/>
                <w:color w:val="auto"/>
                <w:sz w:val="24"/>
              </w:rPr>
              <w:t>大气</w:t>
            </w:r>
            <w:r>
              <w:rPr>
                <w:rFonts w:hint="eastAsia"/>
                <w:bCs/>
                <w:color w:val="auto"/>
                <w:sz w:val="24"/>
                <w:lang w:val="en-US" w:eastAsia="zh-CN"/>
              </w:rPr>
              <w:t>污染物排放</w:t>
            </w:r>
            <w:r>
              <w:rPr>
                <w:bCs/>
                <w:color w:val="auto"/>
                <w:sz w:val="24"/>
              </w:rPr>
              <w:t>限值</w:t>
            </w:r>
            <w:r>
              <w:rPr>
                <w:rFonts w:hint="eastAsia"/>
                <w:bCs/>
                <w:color w:val="auto"/>
                <w:sz w:val="24"/>
              </w:rPr>
              <w:t>中燃</w:t>
            </w:r>
            <w:r>
              <w:rPr>
                <w:rFonts w:hint="eastAsia"/>
                <w:bCs/>
                <w:color w:val="auto"/>
                <w:sz w:val="24"/>
                <w:lang w:val="en-US" w:eastAsia="zh-CN"/>
              </w:rPr>
              <w:t>气</w:t>
            </w:r>
            <w:r>
              <w:rPr>
                <w:rFonts w:hint="eastAsia"/>
                <w:bCs/>
                <w:color w:val="auto"/>
                <w:sz w:val="24"/>
              </w:rPr>
              <w:t>锅炉</w:t>
            </w:r>
            <w:r>
              <w:rPr>
                <w:rFonts w:hint="eastAsia"/>
                <w:color w:val="auto"/>
                <w:kern w:val="21"/>
                <w:sz w:val="24"/>
                <w:lang w:bidi="ar"/>
              </w:rPr>
              <w:t>排放限值</w:t>
            </w:r>
            <w:r>
              <w:rPr>
                <w:color w:val="auto"/>
                <w:kern w:val="21"/>
                <w:sz w:val="24"/>
                <w:lang w:bidi="ar"/>
              </w:rPr>
              <w:t>。</w:t>
            </w:r>
            <w:r>
              <w:rPr>
                <w:bCs/>
                <w:color w:val="auto"/>
                <w:sz w:val="24"/>
              </w:rPr>
              <w:t>NOx</w:t>
            </w:r>
            <w:r>
              <w:rPr>
                <w:rFonts w:hint="eastAsia"/>
                <w:bCs/>
                <w:color w:val="auto"/>
                <w:sz w:val="24"/>
                <w:lang w:val="en-US" w:eastAsia="zh-CN"/>
              </w:rPr>
              <w:t>执行《关于开展自治州2022年度夏秋季大气污染防治“冬病夏治”有关工作的通知》中不高于50mg/m</w:t>
            </w:r>
            <w:r>
              <w:rPr>
                <w:rFonts w:hint="eastAsia"/>
                <w:bCs/>
                <w:color w:val="auto"/>
                <w:sz w:val="24"/>
                <w:vertAlign w:val="superscript"/>
                <w:lang w:val="en-US" w:eastAsia="zh-CN"/>
              </w:rPr>
              <w:t>3</w:t>
            </w:r>
            <w:r>
              <w:rPr>
                <w:rFonts w:hint="eastAsia"/>
                <w:bCs/>
                <w:color w:val="auto"/>
                <w:sz w:val="24"/>
                <w:vertAlign w:val="baseline"/>
                <w:lang w:val="en-US" w:eastAsia="zh-CN"/>
              </w:rPr>
              <w:t>。具体限值见表3-5。</w:t>
            </w:r>
          </w:p>
          <w:p w14:paraId="1273DAD9">
            <w:pPr>
              <w:pStyle w:val="4"/>
              <w:spacing w:line="360" w:lineRule="auto"/>
              <w:ind w:left="0" w:leftChars="0" w:firstLine="480" w:firstLineChars="200"/>
              <w:rPr>
                <w:rFonts w:hint="eastAsia"/>
                <w:bCs/>
                <w:color w:val="auto"/>
                <w:sz w:val="24"/>
                <w:vertAlign w:val="baseline"/>
                <w:lang w:val="en-US" w:eastAsia="zh-CN"/>
              </w:rPr>
            </w:pPr>
            <w:r>
              <w:rPr>
                <w:rFonts w:hint="eastAsia"/>
                <w:bCs/>
                <w:color w:val="auto"/>
                <w:sz w:val="24"/>
                <w:vertAlign w:val="baseline"/>
                <w:lang w:val="en-US" w:eastAsia="zh-CN"/>
              </w:rPr>
              <w:t>（3）食堂油烟</w:t>
            </w:r>
          </w:p>
          <w:p w14:paraId="13573367">
            <w:pPr>
              <w:pStyle w:val="10"/>
              <w:spacing w:line="360" w:lineRule="auto"/>
              <w:ind w:firstLine="480" w:firstLineChars="200"/>
              <w:rPr>
                <w:rFonts w:hint="default"/>
                <w:color w:val="auto"/>
                <w:lang w:val="en-US" w:eastAsia="zh-CN"/>
              </w:rPr>
            </w:pPr>
            <w:r>
              <w:rPr>
                <w:rFonts w:hint="default" w:ascii="Times New Roman" w:hAnsi="Times New Roman" w:eastAsia="宋体" w:cs="Times New Roman"/>
                <w:color w:val="auto"/>
                <w:kern w:val="21"/>
                <w:sz w:val="24"/>
                <w:szCs w:val="24"/>
                <w:lang w:val="en-US" w:eastAsia="zh-CN" w:bidi="ar"/>
              </w:rPr>
              <w:t>厂区食堂产生的油烟排放执行《饮食业油烟排放标准（试行）》（GB18483-2001），详见表3</w:t>
            </w:r>
            <w:r>
              <w:rPr>
                <w:rFonts w:hint="eastAsia" w:ascii="Times New Roman" w:hAnsi="Times New Roman" w:eastAsia="宋体" w:cs="Times New Roman"/>
                <w:color w:val="auto"/>
                <w:kern w:val="21"/>
                <w:sz w:val="24"/>
                <w:szCs w:val="24"/>
                <w:lang w:val="en-US" w:eastAsia="zh-CN" w:bidi="ar"/>
              </w:rPr>
              <w:t>-6</w:t>
            </w:r>
            <w:r>
              <w:rPr>
                <w:rFonts w:hint="default" w:ascii="Times New Roman" w:hAnsi="Times New Roman" w:eastAsia="宋体" w:cs="Times New Roman"/>
                <w:color w:val="auto"/>
                <w:kern w:val="21"/>
                <w:sz w:val="24"/>
                <w:szCs w:val="24"/>
                <w:lang w:val="en-US" w:eastAsia="zh-CN" w:bidi="ar"/>
              </w:rPr>
              <w:t>。</w:t>
            </w:r>
          </w:p>
          <w:p w14:paraId="37A11E22">
            <w:pPr>
              <w:adjustRightInd w:val="0"/>
              <w:snapToGrid w:val="0"/>
              <w:jc w:val="center"/>
              <w:rPr>
                <w:rFonts w:hint="default" w:ascii="宋体" w:hAnsi="宋体" w:eastAsia="宋体" w:cs="宋体"/>
                <w:b/>
                <w:bCs/>
                <w:color w:val="auto"/>
                <w:kern w:val="0"/>
                <w:szCs w:val="21"/>
                <w:lang w:val="en-US" w:eastAsia="zh-CN"/>
              </w:rPr>
            </w:pPr>
            <w:r>
              <w:rPr>
                <w:rFonts w:hint="eastAsia" w:ascii="宋体" w:hAnsi="宋体" w:cs="宋体"/>
                <w:b/>
                <w:bCs/>
                <w:color w:val="auto"/>
                <w:kern w:val="0"/>
                <w:szCs w:val="21"/>
                <w:lang w:val="en-US" w:eastAsia="zh-CN"/>
              </w:rPr>
              <w:t>表</w:t>
            </w:r>
            <w:r>
              <w:rPr>
                <w:rFonts w:hint="default" w:ascii="Times New Roman" w:hAnsi="Times New Roman" w:cs="Times New Roman"/>
                <w:b/>
                <w:bCs/>
                <w:color w:val="auto"/>
                <w:kern w:val="0"/>
                <w:szCs w:val="21"/>
                <w:lang w:val="en-US" w:eastAsia="zh-CN"/>
              </w:rPr>
              <w:t>3-5</w:t>
            </w:r>
            <w:r>
              <w:rPr>
                <w:rFonts w:hint="eastAsia" w:ascii="宋体" w:hAnsi="宋体" w:cs="宋体"/>
                <w:b/>
                <w:bCs/>
                <w:color w:val="auto"/>
                <w:kern w:val="0"/>
                <w:szCs w:val="21"/>
                <w:lang w:val="en-US" w:eastAsia="zh-CN"/>
              </w:rPr>
              <w:t xml:space="preserve">  大气污染物排放限值</w:t>
            </w:r>
          </w:p>
          <w:tbl>
            <w:tblPr>
              <w:tblStyle w:val="23"/>
              <w:tblW w:w="4992" w:type="pct"/>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903"/>
              <w:gridCol w:w="1481"/>
              <w:gridCol w:w="1139"/>
              <w:gridCol w:w="3316"/>
            </w:tblGrid>
            <w:tr w14:paraId="451AB60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8" w:type="pct"/>
                  <w:tcBorders>
                    <w:top w:val="single" w:color="000000" w:sz="12" w:space="0"/>
                    <w:left w:val="nil"/>
                    <w:bottom w:val="single" w:color="auto" w:sz="12" w:space="0"/>
                  </w:tcBorders>
                  <w:noWrap w:val="0"/>
                  <w:vAlign w:val="center"/>
                </w:tcPr>
                <w:p w14:paraId="6016363C">
                  <w:pPr>
                    <w:overflowPunct w:val="0"/>
                    <w:autoSpaceDE w:val="0"/>
                    <w:autoSpaceDN w:val="0"/>
                    <w:adjustRightInd w:val="0"/>
                    <w:snapToGrid w:val="0"/>
                    <w:jc w:val="center"/>
                    <w:rPr>
                      <w:b/>
                      <w:bCs/>
                      <w:color w:val="auto"/>
                      <w:szCs w:val="21"/>
                    </w:rPr>
                  </w:pPr>
                  <w:r>
                    <w:rPr>
                      <w:b/>
                      <w:bCs/>
                      <w:color w:val="auto"/>
                      <w:szCs w:val="21"/>
                    </w:rPr>
                    <w:t>污染源</w:t>
                  </w:r>
                </w:p>
              </w:tc>
              <w:tc>
                <w:tcPr>
                  <w:tcW w:w="1498" w:type="pct"/>
                  <w:gridSpan w:val="2"/>
                  <w:tcBorders>
                    <w:top w:val="single" w:color="000000" w:sz="12" w:space="0"/>
                    <w:bottom w:val="single" w:color="auto" w:sz="12" w:space="0"/>
                  </w:tcBorders>
                  <w:noWrap w:val="0"/>
                  <w:vAlign w:val="center"/>
                </w:tcPr>
                <w:p w14:paraId="7A5F0BF9">
                  <w:pPr>
                    <w:overflowPunct w:val="0"/>
                    <w:autoSpaceDE w:val="0"/>
                    <w:autoSpaceDN w:val="0"/>
                    <w:adjustRightInd w:val="0"/>
                    <w:snapToGrid w:val="0"/>
                    <w:jc w:val="center"/>
                    <w:rPr>
                      <w:b/>
                      <w:bCs/>
                      <w:color w:val="auto"/>
                      <w:szCs w:val="21"/>
                    </w:rPr>
                  </w:pPr>
                  <w:r>
                    <w:rPr>
                      <w:b/>
                      <w:bCs/>
                      <w:color w:val="auto"/>
                      <w:szCs w:val="21"/>
                    </w:rPr>
                    <w:t>污染物</w:t>
                  </w:r>
                </w:p>
              </w:tc>
              <w:tc>
                <w:tcPr>
                  <w:tcW w:w="716" w:type="pct"/>
                  <w:tcBorders>
                    <w:top w:val="single" w:color="000000" w:sz="12" w:space="0"/>
                    <w:bottom w:val="single" w:color="auto" w:sz="12" w:space="0"/>
                  </w:tcBorders>
                  <w:noWrap w:val="0"/>
                  <w:vAlign w:val="center"/>
                </w:tcPr>
                <w:p w14:paraId="7FDF25F2">
                  <w:pPr>
                    <w:overflowPunct w:val="0"/>
                    <w:autoSpaceDE w:val="0"/>
                    <w:autoSpaceDN w:val="0"/>
                    <w:adjustRightInd w:val="0"/>
                    <w:snapToGrid w:val="0"/>
                    <w:jc w:val="center"/>
                    <w:rPr>
                      <w:b/>
                      <w:bCs/>
                      <w:color w:val="auto"/>
                      <w:szCs w:val="21"/>
                    </w:rPr>
                  </w:pPr>
                  <w:r>
                    <w:rPr>
                      <w:b/>
                      <w:bCs/>
                      <w:color w:val="auto"/>
                      <w:szCs w:val="21"/>
                    </w:rPr>
                    <w:t>排放浓度mg/m</w:t>
                  </w:r>
                  <w:r>
                    <w:rPr>
                      <w:b/>
                      <w:bCs/>
                      <w:color w:val="auto"/>
                      <w:szCs w:val="21"/>
                      <w:vertAlign w:val="superscript"/>
                    </w:rPr>
                    <w:t>3</w:t>
                  </w:r>
                </w:p>
              </w:tc>
              <w:tc>
                <w:tcPr>
                  <w:tcW w:w="2085" w:type="pct"/>
                  <w:tcBorders>
                    <w:top w:val="single" w:color="000000" w:sz="12" w:space="0"/>
                    <w:bottom w:val="single" w:color="auto" w:sz="12" w:space="0"/>
                    <w:right w:val="nil"/>
                  </w:tcBorders>
                  <w:noWrap w:val="0"/>
                  <w:vAlign w:val="center"/>
                </w:tcPr>
                <w:p w14:paraId="3959475A">
                  <w:pPr>
                    <w:overflowPunct w:val="0"/>
                    <w:autoSpaceDE w:val="0"/>
                    <w:autoSpaceDN w:val="0"/>
                    <w:adjustRightInd w:val="0"/>
                    <w:snapToGrid w:val="0"/>
                    <w:jc w:val="center"/>
                    <w:rPr>
                      <w:b/>
                      <w:bCs/>
                      <w:color w:val="auto"/>
                      <w:szCs w:val="21"/>
                    </w:rPr>
                  </w:pPr>
                  <w:r>
                    <w:rPr>
                      <w:b/>
                      <w:bCs/>
                      <w:color w:val="auto"/>
                      <w:szCs w:val="21"/>
                    </w:rPr>
                    <w:t>标准来源</w:t>
                  </w:r>
                </w:p>
              </w:tc>
            </w:tr>
            <w:tr w14:paraId="7253690A">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698" w:type="pct"/>
                  <w:vMerge w:val="restart"/>
                  <w:tcBorders>
                    <w:left w:val="nil"/>
                    <w:tl2br w:val="nil"/>
                    <w:tr2bl w:val="nil"/>
                  </w:tcBorders>
                  <w:noWrap w:val="0"/>
                  <w:vAlign w:val="center"/>
                </w:tcPr>
                <w:p w14:paraId="0940ECCC">
                  <w:pPr>
                    <w:overflowPunct w:val="0"/>
                    <w:autoSpaceDE w:val="0"/>
                    <w:autoSpaceDN w:val="0"/>
                    <w:adjustRightInd w:val="0"/>
                    <w:snapToGrid w:val="0"/>
                    <w:jc w:val="center"/>
                    <w:rPr>
                      <w:color w:val="auto"/>
                      <w:szCs w:val="21"/>
                    </w:rPr>
                  </w:pPr>
                  <w:r>
                    <w:rPr>
                      <w:color w:val="auto"/>
                      <w:szCs w:val="21"/>
                    </w:rPr>
                    <w:t>厂界</w:t>
                  </w:r>
                </w:p>
              </w:tc>
              <w:tc>
                <w:tcPr>
                  <w:tcW w:w="567" w:type="pct"/>
                  <w:vMerge w:val="restart"/>
                  <w:tcBorders>
                    <w:tl2br w:val="nil"/>
                    <w:tr2bl w:val="nil"/>
                  </w:tcBorders>
                  <w:noWrap w:val="0"/>
                  <w:vAlign w:val="center"/>
                </w:tcPr>
                <w:p w14:paraId="2A5A7CB1">
                  <w:pPr>
                    <w:overflowPunct w:val="0"/>
                    <w:autoSpaceDE w:val="0"/>
                    <w:autoSpaceDN w:val="0"/>
                    <w:adjustRightInd w:val="0"/>
                    <w:snapToGrid w:val="0"/>
                    <w:jc w:val="center"/>
                    <w:rPr>
                      <w:color w:val="auto"/>
                      <w:szCs w:val="21"/>
                    </w:rPr>
                  </w:pPr>
                  <w:r>
                    <w:rPr>
                      <w:color w:val="auto"/>
                      <w:szCs w:val="21"/>
                    </w:rPr>
                    <w:t>无组织</w:t>
                  </w:r>
                </w:p>
              </w:tc>
              <w:tc>
                <w:tcPr>
                  <w:tcW w:w="931" w:type="pct"/>
                  <w:tcBorders>
                    <w:tl2br w:val="nil"/>
                    <w:tr2bl w:val="nil"/>
                  </w:tcBorders>
                  <w:noWrap w:val="0"/>
                  <w:vAlign w:val="center"/>
                </w:tcPr>
                <w:p w14:paraId="5F38718B">
                  <w:pPr>
                    <w:overflowPunct w:val="0"/>
                    <w:autoSpaceDE w:val="0"/>
                    <w:autoSpaceDN w:val="0"/>
                    <w:adjustRightInd w:val="0"/>
                    <w:snapToGrid w:val="0"/>
                    <w:jc w:val="center"/>
                    <w:rPr>
                      <w:color w:val="auto"/>
                      <w:szCs w:val="21"/>
                    </w:rPr>
                  </w:pPr>
                  <w:r>
                    <w:rPr>
                      <w:rFonts w:hint="eastAsia"/>
                      <w:color w:val="auto"/>
                      <w:szCs w:val="21"/>
                      <w:lang w:val="en-US" w:eastAsia="zh-CN"/>
                    </w:rPr>
                    <w:t>筒仓</w:t>
                  </w:r>
                  <w:r>
                    <w:rPr>
                      <w:color w:val="auto"/>
                      <w:szCs w:val="21"/>
                    </w:rPr>
                    <w:t>颗粒物</w:t>
                  </w:r>
                </w:p>
              </w:tc>
              <w:tc>
                <w:tcPr>
                  <w:tcW w:w="716" w:type="pct"/>
                  <w:tcBorders>
                    <w:tl2br w:val="nil"/>
                    <w:tr2bl w:val="nil"/>
                  </w:tcBorders>
                  <w:noWrap w:val="0"/>
                  <w:vAlign w:val="center"/>
                </w:tcPr>
                <w:p w14:paraId="4545BC79">
                  <w:pPr>
                    <w:overflowPunct w:val="0"/>
                    <w:autoSpaceDE w:val="0"/>
                    <w:autoSpaceDN w:val="0"/>
                    <w:adjustRightInd w:val="0"/>
                    <w:snapToGrid w:val="0"/>
                    <w:jc w:val="center"/>
                    <w:rPr>
                      <w:color w:val="auto"/>
                      <w:szCs w:val="21"/>
                    </w:rPr>
                  </w:pPr>
                  <w:r>
                    <w:rPr>
                      <w:color w:val="auto"/>
                      <w:szCs w:val="21"/>
                    </w:rPr>
                    <w:t>0.5</w:t>
                  </w:r>
                </w:p>
              </w:tc>
              <w:tc>
                <w:tcPr>
                  <w:tcW w:w="2085" w:type="pct"/>
                  <w:tcBorders>
                    <w:right w:val="nil"/>
                    <w:tl2br w:val="nil"/>
                    <w:tr2bl w:val="nil"/>
                  </w:tcBorders>
                  <w:noWrap w:val="0"/>
                  <w:vAlign w:val="center"/>
                </w:tcPr>
                <w:p w14:paraId="07C512CA">
                  <w:pPr>
                    <w:overflowPunct w:val="0"/>
                    <w:autoSpaceDE w:val="0"/>
                    <w:autoSpaceDN w:val="0"/>
                    <w:adjustRightInd w:val="0"/>
                    <w:snapToGrid w:val="0"/>
                    <w:jc w:val="center"/>
                    <w:rPr>
                      <w:rFonts w:hint="default" w:eastAsia="宋体"/>
                      <w:color w:val="auto"/>
                      <w:szCs w:val="21"/>
                      <w:lang w:val="en-US" w:eastAsia="zh-CN"/>
                    </w:rPr>
                  </w:pPr>
                  <w:r>
                    <w:rPr>
                      <w:color w:val="auto"/>
                      <w:kern w:val="21"/>
                      <w:szCs w:val="21"/>
                      <w:lang w:bidi="ar"/>
                    </w:rPr>
                    <w:t>《水泥工业大气污染物排放标准》（GB4915-2013）</w:t>
                  </w:r>
                  <w:r>
                    <w:rPr>
                      <w:rFonts w:hint="eastAsia"/>
                      <w:color w:val="auto"/>
                      <w:kern w:val="21"/>
                      <w:szCs w:val="21"/>
                      <w:lang w:val="en-US" w:eastAsia="zh-CN" w:bidi="ar"/>
                    </w:rPr>
                    <w:t>表3</w:t>
                  </w:r>
                </w:p>
              </w:tc>
            </w:tr>
            <w:tr w14:paraId="654A34D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698" w:type="pct"/>
                  <w:vMerge w:val="continue"/>
                  <w:tcBorders>
                    <w:left w:val="nil"/>
                    <w:tl2br w:val="nil"/>
                    <w:tr2bl w:val="nil"/>
                  </w:tcBorders>
                  <w:noWrap w:val="0"/>
                  <w:vAlign w:val="center"/>
                </w:tcPr>
                <w:p w14:paraId="6DC4253F">
                  <w:pPr>
                    <w:overflowPunct w:val="0"/>
                    <w:autoSpaceDE w:val="0"/>
                    <w:autoSpaceDN w:val="0"/>
                    <w:adjustRightInd w:val="0"/>
                    <w:snapToGrid w:val="0"/>
                    <w:jc w:val="both"/>
                    <w:rPr>
                      <w:color w:val="auto"/>
                    </w:rPr>
                  </w:pPr>
                </w:p>
              </w:tc>
              <w:tc>
                <w:tcPr>
                  <w:tcW w:w="567" w:type="pct"/>
                  <w:vMerge w:val="continue"/>
                  <w:tcBorders>
                    <w:tl2br w:val="nil"/>
                    <w:tr2bl w:val="nil"/>
                  </w:tcBorders>
                  <w:noWrap w:val="0"/>
                  <w:vAlign w:val="center"/>
                </w:tcPr>
                <w:p w14:paraId="59B1E515">
                  <w:pPr>
                    <w:overflowPunct w:val="0"/>
                    <w:autoSpaceDE w:val="0"/>
                    <w:autoSpaceDN w:val="0"/>
                    <w:adjustRightInd w:val="0"/>
                    <w:snapToGrid w:val="0"/>
                    <w:jc w:val="both"/>
                    <w:rPr>
                      <w:color w:val="auto"/>
                    </w:rPr>
                  </w:pPr>
                </w:p>
              </w:tc>
              <w:tc>
                <w:tcPr>
                  <w:tcW w:w="931" w:type="pct"/>
                  <w:tcBorders>
                    <w:tl2br w:val="nil"/>
                    <w:tr2bl w:val="nil"/>
                  </w:tcBorders>
                  <w:noWrap w:val="0"/>
                  <w:vAlign w:val="center"/>
                </w:tcPr>
                <w:p w14:paraId="4AA0E5A7">
                  <w:pPr>
                    <w:overflowPunct w:val="0"/>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搅拌颗粒物</w:t>
                  </w:r>
                </w:p>
              </w:tc>
              <w:tc>
                <w:tcPr>
                  <w:tcW w:w="716" w:type="pct"/>
                  <w:tcBorders>
                    <w:tl2br w:val="nil"/>
                    <w:tr2bl w:val="nil"/>
                  </w:tcBorders>
                  <w:noWrap w:val="0"/>
                  <w:vAlign w:val="center"/>
                </w:tcPr>
                <w:p w14:paraId="5C776D2E">
                  <w:pPr>
                    <w:overflowPunct w:val="0"/>
                    <w:autoSpaceDE w:val="0"/>
                    <w:autoSpaceDN w:val="0"/>
                    <w:adjustRightInd w:val="0"/>
                    <w:snapToGrid w:val="0"/>
                    <w:jc w:val="center"/>
                    <w:rPr>
                      <w:rFonts w:hint="eastAsia" w:eastAsia="宋体"/>
                      <w:color w:val="auto"/>
                      <w:szCs w:val="21"/>
                      <w:lang w:val="en-US" w:eastAsia="zh-CN"/>
                    </w:rPr>
                  </w:pPr>
                  <w:r>
                    <w:rPr>
                      <w:color w:val="auto"/>
                      <w:szCs w:val="21"/>
                    </w:rPr>
                    <w:t>0.5</w:t>
                  </w:r>
                </w:p>
              </w:tc>
              <w:tc>
                <w:tcPr>
                  <w:tcW w:w="2085" w:type="pct"/>
                  <w:tcBorders>
                    <w:right w:val="nil"/>
                    <w:tl2br w:val="nil"/>
                    <w:tr2bl w:val="nil"/>
                  </w:tcBorders>
                  <w:noWrap w:val="0"/>
                  <w:vAlign w:val="center"/>
                </w:tcPr>
                <w:p w14:paraId="712D1628">
                  <w:pPr>
                    <w:overflowPunct w:val="0"/>
                    <w:autoSpaceDE w:val="0"/>
                    <w:autoSpaceDN w:val="0"/>
                    <w:adjustRightInd w:val="0"/>
                    <w:snapToGrid w:val="0"/>
                    <w:jc w:val="center"/>
                    <w:rPr>
                      <w:color w:val="auto"/>
                      <w:szCs w:val="21"/>
                    </w:rPr>
                  </w:pPr>
                  <w:r>
                    <w:rPr>
                      <w:color w:val="auto"/>
                      <w:kern w:val="21"/>
                      <w:szCs w:val="21"/>
                      <w:lang w:bidi="ar"/>
                    </w:rPr>
                    <w:t>《水泥工业大气污染物排放标准》（GB4915-2013）</w:t>
                  </w:r>
                  <w:r>
                    <w:rPr>
                      <w:rFonts w:hint="eastAsia"/>
                      <w:color w:val="auto"/>
                      <w:kern w:val="21"/>
                      <w:szCs w:val="21"/>
                      <w:lang w:val="en-US" w:eastAsia="zh-CN" w:bidi="ar"/>
                    </w:rPr>
                    <w:t>表3</w:t>
                  </w:r>
                </w:p>
              </w:tc>
            </w:tr>
            <w:tr w14:paraId="32B31894">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698" w:type="pct"/>
                  <w:vMerge w:val="continue"/>
                  <w:tcBorders>
                    <w:left w:val="nil"/>
                    <w:tl2br w:val="nil"/>
                    <w:tr2bl w:val="nil"/>
                  </w:tcBorders>
                  <w:noWrap w:val="0"/>
                  <w:vAlign w:val="center"/>
                </w:tcPr>
                <w:p w14:paraId="69C38A2A">
                  <w:pPr>
                    <w:overflowPunct w:val="0"/>
                    <w:autoSpaceDE w:val="0"/>
                    <w:autoSpaceDN w:val="0"/>
                    <w:adjustRightInd w:val="0"/>
                    <w:snapToGrid w:val="0"/>
                    <w:jc w:val="both"/>
                    <w:rPr>
                      <w:color w:val="auto"/>
                    </w:rPr>
                  </w:pPr>
                </w:p>
              </w:tc>
              <w:tc>
                <w:tcPr>
                  <w:tcW w:w="567" w:type="pct"/>
                  <w:vMerge w:val="continue"/>
                  <w:tcBorders>
                    <w:tl2br w:val="nil"/>
                    <w:tr2bl w:val="nil"/>
                  </w:tcBorders>
                  <w:noWrap w:val="0"/>
                  <w:vAlign w:val="center"/>
                </w:tcPr>
                <w:p w14:paraId="3B2B6927">
                  <w:pPr>
                    <w:overflowPunct w:val="0"/>
                    <w:autoSpaceDE w:val="0"/>
                    <w:autoSpaceDN w:val="0"/>
                    <w:adjustRightInd w:val="0"/>
                    <w:snapToGrid w:val="0"/>
                    <w:jc w:val="both"/>
                    <w:rPr>
                      <w:color w:val="auto"/>
                    </w:rPr>
                  </w:pPr>
                </w:p>
              </w:tc>
              <w:tc>
                <w:tcPr>
                  <w:tcW w:w="931" w:type="pct"/>
                  <w:tcBorders>
                    <w:tl2br w:val="nil"/>
                    <w:tr2bl w:val="nil"/>
                  </w:tcBorders>
                  <w:noWrap w:val="0"/>
                  <w:vAlign w:val="center"/>
                </w:tcPr>
                <w:p w14:paraId="634569C2">
                  <w:pPr>
                    <w:overflowPunct w:val="0"/>
                    <w:autoSpaceDE w:val="0"/>
                    <w:autoSpaceDN w:val="0"/>
                    <w:adjustRightInd w:val="0"/>
                    <w:snapToGrid w:val="0"/>
                    <w:jc w:val="center"/>
                    <w:rPr>
                      <w:rFonts w:hint="default"/>
                      <w:color w:val="auto"/>
                      <w:szCs w:val="21"/>
                      <w:lang w:val="en-US" w:eastAsia="zh-CN"/>
                    </w:rPr>
                  </w:pPr>
                  <w:r>
                    <w:rPr>
                      <w:rFonts w:hint="eastAsia"/>
                      <w:color w:val="auto"/>
                      <w:szCs w:val="21"/>
                      <w:lang w:val="en-US" w:eastAsia="zh-CN"/>
                    </w:rPr>
                    <w:t>焊接烟尘</w:t>
                  </w:r>
                </w:p>
              </w:tc>
              <w:tc>
                <w:tcPr>
                  <w:tcW w:w="716" w:type="pct"/>
                  <w:tcBorders>
                    <w:tl2br w:val="nil"/>
                    <w:tr2bl w:val="nil"/>
                  </w:tcBorders>
                  <w:noWrap w:val="0"/>
                  <w:vAlign w:val="center"/>
                </w:tcPr>
                <w:p w14:paraId="65017C55">
                  <w:pPr>
                    <w:overflowPunct w:val="0"/>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1.0</w:t>
                  </w:r>
                </w:p>
              </w:tc>
              <w:tc>
                <w:tcPr>
                  <w:tcW w:w="2085" w:type="pct"/>
                  <w:tcBorders>
                    <w:right w:val="nil"/>
                    <w:tl2br w:val="nil"/>
                    <w:tr2bl w:val="nil"/>
                  </w:tcBorders>
                  <w:noWrap w:val="0"/>
                  <w:vAlign w:val="center"/>
                </w:tcPr>
                <w:p w14:paraId="05007742">
                  <w:pPr>
                    <w:overflowPunct w:val="0"/>
                    <w:autoSpaceDE w:val="0"/>
                    <w:autoSpaceDN w:val="0"/>
                    <w:adjustRightInd w:val="0"/>
                    <w:snapToGrid w:val="0"/>
                    <w:jc w:val="center"/>
                    <w:rPr>
                      <w:color w:val="auto"/>
                      <w:kern w:val="21"/>
                      <w:szCs w:val="21"/>
                      <w:lang w:bidi="ar"/>
                    </w:rPr>
                  </w:pPr>
                  <w:r>
                    <w:rPr>
                      <w:color w:val="auto"/>
                      <w:kern w:val="0"/>
                      <w:sz w:val="21"/>
                      <w:szCs w:val="21"/>
                      <w:highlight w:val="none"/>
                    </w:rPr>
                    <w:t>《大气污染物综合排放标准》（GB16297-1996）</w:t>
                  </w:r>
                </w:p>
              </w:tc>
            </w:tr>
            <w:tr w14:paraId="2A3655ED">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698" w:type="pct"/>
                  <w:vMerge w:val="continue"/>
                  <w:tcBorders>
                    <w:left w:val="nil"/>
                    <w:tl2br w:val="nil"/>
                    <w:tr2bl w:val="nil"/>
                  </w:tcBorders>
                  <w:noWrap w:val="0"/>
                  <w:vAlign w:val="center"/>
                </w:tcPr>
                <w:p w14:paraId="07FABB06">
                  <w:pPr>
                    <w:overflowPunct w:val="0"/>
                    <w:autoSpaceDE w:val="0"/>
                    <w:autoSpaceDN w:val="0"/>
                    <w:adjustRightInd w:val="0"/>
                    <w:snapToGrid w:val="0"/>
                    <w:jc w:val="both"/>
                    <w:rPr>
                      <w:color w:val="auto"/>
                    </w:rPr>
                  </w:pPr>
                </w:p>
              </w:tc>
              <w:tc>
                <w:tcPr>
                  <w:tcW w:w="567" w:type="pct"/>
                  <w:vMerge w:val="continue"/>
                  <w:tcBorders>
                    <w:tl2br w:val="nil"/>
                    <w:tr2bl w:val="nil"/>
                  </w:tcBorders>
                  <w:noWrap w:val="0"/>
                  <w:vAlign w:val="center"/>
                </w:tcPr>
                <w:p w14:paraId="39D008B4">
                  <w:pPr>
                    <w:overflowPunct w:val="0"/>
                    <w:autoSpaceDE w:val="0"/>
                    <w:autoSpaceDN w:val="0"/>
                    <w:adjustRightInd w:val="0"/>
                    <w:snapToGrid w:val="0"/>
                    <w:jc w:val="both"/>
                    <w:rPr>
                      <w:color w:val="auto"/>
                    </w:rPr>
                  </w:pPr>
                </w:p>
              </w:tc>
              <w:tc>
                <w:tcPr>
                  <w:tcW w:w="931" w:type="pct"/>
                  <w:tcBorders>
                    <w:tl2br w:val="nil"/>
                    <w:tr2bl w:val="nil"/>
                  </w:tcBorders>
                  <w:noWrap w:val="0"/>
                  <w:vAlign w:val="center"/>
                </w:tcPr>
                <w:p w14:paraId="32BE56D8">
                  <w:pPr>
                    <w:overflowPunct w:val="0"/>
                    <w:autoSpaceDE w:val="0"/>
                    <w:autoSpaceDN w:val="0"/>
                    <w:adjustRightInd w:val="0"/>
                    <w:snapToGrid w:val="0"/>
                    <w:jc w:val="center"/>
                    <w:rPr>
                      <w:rFonts w:hint="default"/>
                      <w:color w:val="auto"/>
                      <w:szCs w:val="21"/>
                      <w:lang w:val="en-US" w:eastAsia="zh-CN"/>
                    </w:rPr>
                  </w:pPr>
                  <w:r>
                    <w:rPr>
                      <w:rFonts w:hint="eastAsia"/>
                      <w:color w:val="auto"/>
                      <w:szCs w:val="21"/>
                      <w:lang w:val="en-US" w:eastAsia="zh-CN"/>
                    </w:rPr>
                    <w:t>涂料废气</w:t>
                  </w:r>
                </w:p>
              </w:tc>
              <w:tc>
                <w:tcPr>
                  <w:tcW w:w="716" w:type="pct"/>
                  <w:tcBorders>
                    <w:tl2br w:val="nil"/>
                    <w:tr2bl w:val="nil"/>
                  </w:tcBorders>
                  <w:noWrap w:val="0"/>
                  <w:vAlign w:val="center"/>
                </w:tcPr>
                <w:p w14:paraId="79703B47">
                  <w:pPr>
                    <w:overflowPunct w:val="0"/>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1.0</w:t>
                  </w:r>
                </w:p>
              </w:tc>
              <w:tc>
                <w:tcPr>
                  <w:tcW w:w="2085" w:type="pct"/>
                  <w:tcBorders>
                    <w:right w:val="nil"/>
                    <w:tl2br w:val="nil"/>
                    <w:tr2bl w:val="nil"/>
                  </w:tcBorders>
                  <w:noWrap w:val="0"/>
                  <w:vAlign w:val="center"/>
                </w:tcPr>
                <w:p w14:paraId="1A9EDFBE">
                  <w:pPr>
                    <w:overflowPunct w:val="0"/>
                    <w:autoSpaceDE w:val="0"/>
                    <w:autoSpaceDN w:val="0"/>
                    <w:adjustRightInd w:val="0"/>
                    <w:snapToGrid w:val="0"/>
                    <w:jc w:val="center"/>
                    <w:rPr>
                      <w:color w:val="auto"/>
                      <w:kern w:val="21"/>
                      <w:szCs w:val="21"/>
                      <w:lang w:bidi="ar"/>
                    </w:rPr>
                  </w:pPr>
                  <w:r>
                    <w:rPr>
                      <w:color w:val="auto"/>
                      <w:kern w:val="0"/>
                      <w:sz w:val="21"/>
                      <w:szCs w:val="21"/>
                      <w:highlight w:val="none"/>
                    </w:rPr>
                    <w:t>《大气污染物综合排放标准》（GB16297-1996）</w:t>
                  </w:r>
                </w:p>
              </w:tc>
            </w:tr>
            <w:tr w14:paraId="62DF161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698" w:type="pct"/>
                  <w:vMerge w:val="continue"/>
                  <w:tcBorders>
                    <w:left w:val="nil"/>
                    <w:tl2br w:val="nil"/>
                    <w:tr2bl w:val="nil"/>
                  </w:tcBorders>
                  <w:noWrap w:val="0"/>
                  <w:vAlign w:val="center"/>
                </w:tcPr>
                <w:p w14:paraId="750948E8">
                  <w:pPr>
                    <w:overflowPunct w:val="0"/>
                    <w:autoSpaceDE w:val="0"/>
                    <w:autoSpaceDN w:val="0"/>
                    <w:adjustRightInd w:val="0"/>
                    <w:snapToGrid w:val="0"/>
                    <w:jc w:val="both"/>
                    <w:rPr>
                      <w:color w:val="auto"/>
                    </w:rPr>
                  </w:pPr>
                </w:p>
              </w:tc>
              <w:tc>
                <w:tcPr>
                  <w:tcW w:w="567" w:type="pct"/>
                  <w:vMerge w:val="continue"/>
                  <w:tcBorders>
                    <w:tl2br w:val="nil"/>
                    <w:tr2bl w:val="nil"/>
                  </w:tcBorders>
                  <w:noWrap w:val="0"/>
                  <w:vAlign w:val="center"/>
                </w:tcPr>
                <w:p w14:paraId="4C865601">
                  <w:pPr>
                    <w:overflowPunct w:val="0"/>
                    <w:autoSpaceDE w:val="0"/>
                    <w:autoSpaceDN w:val="0"/>
                    <w:adjustRightInd w:val="0"/>
                    <w:snapToGrid w:val="0"/>
                    <w:jc w:val="both"/>
                    <w:rPr>
                      <w:color w:val="auto"/>
                    </w:rPr>
                  </w:pPr>
                </w:p>
              </w:tc>
              <w:tc>
                <w:tcPr>
                  <w:tcW w:w="931" w:type="pct"/>
                  <w:tcBorders>
                    <w:tl2br w:val="nil"/>
                    <w:tr2bl w:val="nil"/>
                  </w:tcBorders>
                  <w:noWrap w:val="0"/>
                  <w:vAlign w:val="center"/>
                </w:tcPr>
                <w:p w14:paraId="4F8E792B">
                  <w:pPr>
                    <w:overflowPunct w:val="0"/>
                    <w:autoSpaceDE w:val="0"/>
                    <w:autoSpaceDN w:val="0"/>
                    <w:adjustRightInd w:val="0"/>
                    <w:snapToGrid w:val="0"/>
                    <w:jc w:val="center"/>
                    <w:rPr>
                      <w:rFonts w:hint="default"/>
                      <w:color w:val="auto"/>
                      <w:szCs w:val="21"/>
                      <w:lang w:val="en-US" w:eastAsia="zh-CN"/>
                    </w:rPr>
                  </w:pPr>
                  <w:r>
                    <w:rPr>
                      <w:rFonts w:hint="eastAsia"/>
                      <w:color w:val="auto"/>
                      <w:szCs w:val="21"/>
                      <w:lang w:val="en-US" w:eastAsia="zh-CN"/>
                    </w:rPr>
                    <w:t>运输扬尘</w:t>
                  </w:r>
                </w:p>
              </w:tc>
              <w:tc>
                <w:tcPr>
                  <w:tcW w:w="716" w:type="pct"/>
                  <w:tcBorders>
                    <w:tl2br w:val="nil"/>
                    <w:tr2bl w:val="nil"/>
                  </w:tcBorders>
                  <w:noWrap w:val="0"/>
                  <w:vAlign w:val="center"/>
                </w:tcPr>
                <w:p w14:paraId="23ACD1DF">
                  <w:pPr>
                    <w:overflowPunct w:val="0"/>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1.0</w:t>
                  </w:r>
                </w:p>
              </w:tc>
              <w:tc>
                <w:tcPr>
                  <w:tcW w:w="2085" w:type="pct"/>
                  <w:tcBorders>
                    <w:right w:val="nil"/>
                    <w:tl2br w:val="nil"/>
                    <w:tr2bl w:val="nil"/>
                  </w:tcBorders>
                  <w:noWrap w:val="0"/>
                  <w:vAlign w:val="center"/>
                </w:tcPr>
                <w:p w14:paraId="1AF7F6E2">
                  <w:pPr>
                    <w:overflowPunct w:val="0"/>
                    <w:autoSpaceDE w:val="0"/>
                    <w:autoSpaceDN w:val="0"/>
                    <w:adjustRightInd w:val="0"/>
                    <w:snapToGrid w:val="0"/>
                    <w:jc w:val="center"/>
                    <w:rPr>
                      <w:color w:val="auto"/>
                      <w:kern w:val="21"/>
                      <w:szCs w:val="21"/>
                      <w:lang w:bidi="ar"/>
                    </w:rPr>
                  </w:pPr>
                  <w:r>
                    <w:rPr>
                      <w:color w:val="auto"/>
                      <w:kern w:val="0"/>
                      <w:sz w:val="21"/>
                      <w:szCs w:val="21"/>
                      <w:highlight w:val="none"/>
                    </w:rPr>
                    <w:t>《大气污染物综合排放标准》（GB16297-1996）</w:t>
                  </w:r>
                </w:p>
              </w:tc>
            </w:tr>
            <w:tr w14:paraId="500AC810">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698" w:type="pct"/>
                  <w:vMerge w:val="continue"/>
                  <w:tcBorders>
                    <w:left w:val="nil"/>
                    <w:tl2br w:val="nil"/>
                    <w:tr2bl w:val="nil"/>
                  </w:tcBorders>
                  <w:noWrap w:val="0"/>
                  <w:vAlign w:val="center"/>
                </w:tcPr>
                <w:p w14:paraId="513A9E01">
                  <w:pPr>
                    <w:overflowPunct w:val="0"/>
                    <w:autoSpaceDE w:val="0"/>
                    <w:autoSpaceDN w:val="0"/>
                    <w:adjustRightInd w:val="0"/>
                    <w:snapToGrid w:val="0"/>
                    <w:jc w:val="both"/>
                    <w:rPr>
                      <w:color w:val="auto"/>
                      <w:szCs w:val="21"/>
                    </w:rPr>
                  </w:pPr>
                </w:p>
              </w:tc>
              <w:tc>
                <w:tcPr>
                  <w:tcW w:w="567" w:type="pct"/>
                  <w:vMerge w:val="continue"/>
                  <w:tcBorders>
                    <w:tl2br w:val="nil"/>
                    <w:tr2bl w:val="nil"/>
                  </w:tcBorders>
                  <w:noWrap w:val="0"/>
                  <w:vAlign w:val="center"/>
                </w:tcPr>
                <w:p w14:paraId="365C646F">
                  <w:pPr>
                    <w:overflowPunct w:val="0"/>
                    <w:autoSpaceDE w:val="0"/>
                    <w:autoSpaceDN w:val="0"/>
                    <w:adjustRightInd w:val="0"/>
                    <w:snapToGrid w:val="0"/>
                    <w:jc w:val="both"/>
                    <w:rPr>
                      <w:color w:val="auto"/>
                      <w:szCs w:val="21"/>
                    </w:rPr>
                  </w:pPr>
                </w:p>
              </w:tc>
              <w:tc>
                <w:tcPr>
                  <w:tcW w:w="931" w:type="pct"/>
                  <w:tcBorders>
                    <w:tl2br w:val="nil"/>
                    <w:tr2bl w:val="nil"/>
                  </w:tcBorders>
                  <w:noWrap w:val="0"/>
                  <w:vAlign w:val="center"/>
                </w:tcPr>
                <w:p w14:paraId="745ECF08">
                  <w:pPr>
                    <w:overflowPunct w:val="0"/>
                    <w:autoSpaceDE w:val="0"/>
                    <w:autoSpaceDN w:val="0"/>
                    <w:adjustRightInd w:val="0"/>
                    <w:snapToGrid w:val="0"/>
                    <w:jc w:val="center"/>
                    <w:rPr>
                      <w:color w:val="auto"/>
                      <w:szCs w:val="21"/>
                    </w:rPr>
                  </w:pPr>
                  <w:r>
                    <w:rPr>
                      <w:rFonts w:hint="eastAsia"/>
                      <w:color w:val="auto"/>
                      <w:szCs w:val="21"/>
                      <w:lang w:val="en-US" w:eastAsia="zh-CN"/>
                    </w:rPr>
                    <w:t>切割颗粒物</w:t>
                  </w:r>
                </w:p>
              </w:tc>
              <w:tc>
                <w:tcPr>
                  <w:tcW w:w="716" w:type="pct"/>
                  <w:tcBorders>
                    <w:tl2br w:val="nil"/>
                    <w:tr2bl w:val="nil"/>
                  </w:tcBorders>
                  <w:noWrap w:val="0"/>
                  <w:vAlign w:val="center"/>
                </w:tcPr>
                <w:p w14:paraId="626D7F7F">
                  <w:pPr>
                    <w:overflowPunct w:val="0"/>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1.0</w:t>
                  </w:r>
                </w:p>
              </w:tc>
              <w:tc>
                <w:tcPr>
                  <w:tcW w:w="2085" w:type="pct"/>
                  <w:tcBorders>
                    <w:right w:val="nil"/>
                    <w:tl2br w:val="nil"/>
                    <w:tr2bl w:val="nil"/>
                  </w:tcBorders>
                  <w:noWrap w:val="0"/>
                  <w:vAlign w:val="center"/>
                </w:tcPr>
                <w:p w14:paraId="2F8621EF">
                  <w:pPr>
                    <w:overflowPunct w:val="0"/>
                    <w:autoSpaceDE w:val="0"/>
                    <w:autoSpaceDN w:val="0"/>
                    <w:adjustRightInd w:val="0"/>
                    <w:snapToGrid w:val="0"/>
                    <w:jc w:val="center"/>
                    <w:rPr>
                      <w:color w:val="auto"/>
                      <w:szCs w:val="21"/>
                    </w:rPr>
                  </w:pPr>
                  <w:r>
                    <w:rPr>
                      <w:color w:val="auto"/>
                      <w:kern w:val="0"/>
                      <w:sz w:val="21"/>
                      <w:szCs w:val="21"/>
                      <w:highlight w:val="none"/>
                    </w:rPr>
                    <w:t>《大气污染物综合排放标准》（GB16297-1996）</w:t>
                  </w:r>
                </w:p>
              </w:tc>
            </w:tr>
            <w:tr w14:paraId="00D04A5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698" w:type="pct"/>
                  <w:vMerge w:val="restart"/>
                  <w:tcBorders>
                    <w:left w:val="nil"/>
                    <w:tl2br w:val="nil"/>
                    <w:tr2bl w:val="nil"/>
                  </w:tcBorders>
                  <w:noWrap w:val="0"/>
                  <w:vAlign w:val="center"/>
                </w:tcPr>
                <w:p w14:paraId="6A75AE28">
                  <w:pPr>
                    <w:overflowPunct w:val="0"/>
                    <w:autoSpaceDE w:val="0"/>
                    <w:autoSpaceDN w:val="0"/>
                    <w:adjustRightInd w:val="0"/>
                    <w:snapToGrid w:val="0"/>
                    <w:jc w:val="center"/>
                    <w:rPr>
                      <w:color w:val="auto"/>
                      <w:szCs w:val="21"/>
                    </w:rPr>
                  </w:pPr>
                  <w:r>
                    <w:rPr>
                      <w:color w:val="auto"/>
                      <w:szCs w:val="21"/>
                    </w:rPr>
                    <w:t>锅炉废气</w:t>
                  </w:r>
                </w:p>
              </w:tc>
              <w:tc>
                <w:tcPr>
                  <w:tcW w:w="567" w:type="pct"/>
                  <w:vMerge w:val="restart"/>
                  <w:tcBorders>
                    <w:tl2br w:val="nil"/>
                    <w:tr2bl w:val="nil"/>
                  </w:tcBorders>
                  <w:noWrap w:val="0"/>
                  <w:vAlign w:val="center"/>
                </w:tcPr>
                <w:p w14:paraId="24611221">
                  <w:pPr>
                    <w:overflowPunct w:val="0"/>
                    <w:autoSpaceDE w:val="0"/>
                    <w:autoSpaceDN w:val="0"/>
                    <w:adjustRightInd w:val="0"/>
                    <w:snapToGrid w:val="0"/>
                    <w:jc w:val="center"/>
                    <w:rPr>
                      <w:color w:val="auto"/>
                      <w:szCs w:val="21"/>
                    </w:rPr>
                  </w:pPr>
                  <w:r>
                    <w:rPr>
                      <w:color w:val="auto"/>
                      <w:szCs w:val="21"/>
                    </w:rPr>
                    <w:t>有组织</w:t>
                  </w:r>
                </w:p>
              </w:tc>
              <w:tc>
                <w:tcPr>
                  <w:tcW w:w="931" w:type="pct"/>
                  <w:tcBorders>
                    <w:tl2br w:val="nil"/>
                    <w:tr2bl w:val="nil"/>
                  </w:tcBorders>
                  <w:noWrap w:val="0"/>
                  <w:vAlign w:val="center"/>
                </w:tcPr>
                <w:p w14:paraId="75B63282">
                  <w:pPr>
                    <w:overflowPunct w:val="0"/>
                    <w:autoSpaceDE w:val="0"/>
                    <w:autoSpaceDN w:val="0"/>
                    <w:adjustRightInd w:val="0"/>
                    <w:snapToGrid w:val="0"/>
                    <w:jc w:val="center"/>
                    <w:rPr>
                      <w:color w:val="auto"/>
                      <w:szCs w:val="21"/>
                    </w:rPr>
                  </w:pPr>
                  <w:r>
                    <w:rPr>
                      <w:color w:val="auto"/>
                      <w:szCs w:val="21"/>
                    </w:rPr>
                    <w:t>颗粒物</w:t>
                  </w:r>
                </w:p>
              </w:tc>
              <w:tc>
                <w:tcPr>
                  <w:tcW w:w="716" w:type="pct"/>
                  <w:tcBorders>
                    <w:tl2br w:val="nil"/>
                    <w:tr2bl w:val="nil"/>
                  </w:tcBorders>
                  <w:noWrap w:val="0"/>
                  <w:vAlign w:val="center"/>
                </w:tcPr>
                <w:p w14:paraId="017420D4">
                  <w:pPr>
                    <w:overflowPunct w:val="0"/>
                    <w:autoSpaceDE w:val="0"/>
                    <w:autoSpaceDN w:val="0"/>
                    <w:adjustRightInd w:val="0"/>
                    <w:snapToGrid w:val="0"/>
                    <w:jc w:val="center"/>
                    <w:rPr>
                      <w:rFonts w:hint="default"/>
                      <w:color w:val="auto"/>
                      <w:szCs w:val="21"/>
                      <w:lang w:val="en-US"/>
                    </w:rPr>
                  </w:pPr>
                  <w:r>
                    <w:rPr>
                      <w:rFonts w:hint="eastAsia"/>
                      <w:color w:val="auto"/>
                      <w:szCs w:val="21"/>
                      <w:lang w:val="en-US" w:eastAsia="zh-CN"/>
                    </w:rPr>
                    <w:t>20</w:t>
                  </w:r>
                </w:p>
              </w:tc>
              <w:tc>
                <w:tcPr>
                  <w:tcW w:w="2085" w:type="pct"/>
                  <w:vMerge w:val="restart"/>
                  <w:tcBorders>
                    <w:right w:val="nil"/>
                    <w:tl2br w:val="nil"/>
                    <w:tr2bl w:val="nil"/>
                  </w:tcBorders>
                  <w:noWrap w:val="0"/>
                  <w:vAlign w:val="center"/>
                </w:tcPr>
                <w:p w14:paraId="5D4682C5">
                  <w:pPr>
                    <w:overflowPunct w:val="0"/>
                    <w:autoSpaceDE w:val="0"/>
                    <w:autoSpaceDN w:val="0"/>
                    <w:adjustRightInd w:val="0"/>
                    <w:snapToGrid w:val="0"/>
                    <w:jc w:val="both"/>
                    <w:rPr>
                      <w:color w:val="auto"/>
                      <w:kern w:val="21"/>
                      <w:szCs w:val="21"/>
                      <w:lang w:bidi="ar"/>
                    </w:rPr>
                  </w:pPr>
                  <w:r>
                    <w:rPr>
                      <w:color w:val="auto"/>
                      <w:kern w:val="21"/>
                      <w:szCs w:val="21"/>
                      <w:lang w:bidi="ar"/>
                    </w:rPr>
                    <w:t>《锅炉大气污染物排放标准》（GB1327</w:t>
                  </w:r>
                  <w:r>
                    <w:rPr>
                      <w:color w:val="auto"/>
                      <w:kern w:val="21"/>
                      <w:sz w:val="21"/>
                      <w:szCs w:val="21"/>
                      <w:lang w:bidi="ar"/>
                    </w:rPr>
                    <w:t>1-2014）表</w:t>
                  </w:r>
                  <w:r>
                    <w:rPr>
                      <w:rFonts w:hint="eastAsia"/>
                      <w:color w:val="auto"/>
                      <w:kern w:val="21"/>
                      <w:sz w:val="21"/>
                      <w:szCs w:val="21"/>
                      <w:lang w:val="en-US" w:eastAsia="zh-CN" w:bidi="ar"/>
                    </w:rPr>
                    <w:t>2</w:t>
                  </w:r>
                  <w:r>
                    <w:rPr>
                      <w:bCs/>
                      <w:color w:val="auto"/>
                      <w:sz w:val="21"/>
                      <w:szCs w:val="21"/>
                    </w:rPr>
                    <w:t>大气</w:t>
                  </w:r>
                  <w:r>
                    <w:rPr>
                      <w:rFonts w:hint="eastAsia"/>
                      <w:bCs/>
                      <w:color w:val="auto"/>
                      <w:sz w:val="21"/>
                      <w:szCs w:val="21"/>
                      <w:lang w:val="en-US" w:eastAsia="zh-CN"/>
                    </w:rPr>
                    <w:t>污染物排放</w:t>
                  </w:r>
                  <w:r>
                    <w:rPr>
                      <w:bCs/>
                      <w:color w:val="auto"/>
                      <w:sz w:val="21"/>
                      <w:szCs w:val="21"/>
                    </w:rPr>
                    <w:t>限值</w:t>
                  </w:r>
                  <w:r>
                    <w:rPr>
                      <w:rFonts w:hint="eastAsia"/>
                      <w:color w:val="auto"/>
                      <w:kern w:val="21"/>
                      <w:sz w:val="21"/>
                      <w:szCs w:val="21"/>
                      <w:lang w:bidi="ar"/>
                    </w:rPr>
                    <w:t>中</w:t>
                  </w:r>
                  <w:r>
                    <w:rPr>
                      <w:rFonts w:hint="eastAsia"/>
                      <w:color w:val="auto"/>
                      <w:kern w:val="21"/>
                      <w:sz w:val="21"/>
                      <w:szCs w:val="21"/>
                      <w:lang w:val="en-US" w:eastAsia="zh-CN" w:bidi="ar"/>
                    </w:rPr>
                    <w:t>燃气</w:t>
                  </w:r>
                  <w:r>
                    <w:rPr>
                      <w:rFonts w:hint="eastAsia"/>
                      <w:color w:val="auto"/>
                      <w:kern w:val="21"/>
                      <w:sz w:val="21"/>
                      <w:szCs w:val="21"/>
                      <w:lang w:bidi="ar"/>
                    </w:rPr>
                    <w:t>锅炉排放限值</w:t>
                  </w:r>
                </w:p>
              </w:tc>
            </w:tr>
            <w:tr w14:paraId="4CE205A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8" w:type="pct"/>
                  <w:vMerge w:val="continue"/>
                  <w:tcBorders>
                    <w:left w:val="nil"/>
                    <w:tl2br w:val="nil"/>
                    <w:tr2bl w:val="nil"/>
                  </w:tcBorders>
                  <w:noWrap w:val="0"/>
                  <w:vAlign w:val="center"/>
                </w:tcPr>
                <w:p w14:paraId="0A5A6984">
                  <w:pPr>
                    <w:overflowPunct w:val="0"/>
                    <w:autoSpaceDE w:val="0"/>
                    <w:autoSpaceDN w:val="0"/>
                    <w:adjustRightInd w:val="0"/>
                    <w:snapToGrid w:val="0"/>
                    <w:jc w:val="center"/>
                    <w:rPr>
                      <w:color w:val="auto"/>
                      <w:szCs w:val="21"/>
                    </w:rPr>
                  </w:pPr>
                </w:p>
              </w:tc>
              <w:tc>
                <w:tcPr>
                  <w:tcW w:w="567" w:type="pct"/>
                  <w:vMerge w:val="continue"/>
                  <w:tcBorders>
                    <w:tl2br w:val="nil"/>
                    <w:tr2bl w:val="nil"/>
                  </w:tcBorders>
                  <w:noWrap w:val="0"/>
                  <w:vAlign w:val="center"/>
                </w:tcPr>
                <w:p w14:paraId="2B436CA0">
                  <w:pPr>
                    <w:overflowPunct w:val="0"/>
                    <w:autoSpaceDE w:val="0"/>
                    <w:autoSpaceDN w:val="0"/>
                    <w:adjustRightInd w:val="0"/>
                    <w:snapToGrid w:val="0"/>
                    <w:jc w:val="center"/>
                    <w:rPr>
                      <w:color w:val="auto"/>
                      <w:szCs w:val="21"/>
                    </w:rPr>
                  </w:pPr>
                </w:p>
              </w:tc>
              <w:tc>
                <w:tcPr>
                  <w:tcW w:w="931" w:type="pct"/>
                  <w:tcBorders>
                    <w:tl2br w:val="nil"/>
                    <w:tr2bl w:val="nil"/>
                  </w:tcBorders>
                  <w:noWrap w:val="0"/>
                  <w:vAlign w:val="center"/>
                </w:tcPr>
                <w:p w14:paraId="4845A13C">
                  <w:pPr>
                    <w:overflowPunct w:val="0"/>
                    <w:autoSpaceDE w:val="0"/>
                    <w:autoSpaceDN w:val="0"/>
                    <w:adjustRightInd w:val="0"/>
                    <w:snapToGrid w:val="0"/>
                    <w:jc w:val="center"/>
                    <w:rPr>
                      <w:color w:val="auto"/>
                      <w:szCs w:val="21"/>
                    </w:rPr>
                  </w:pPr>
                  <w:r>
                    <w:rPr>
                      <w:color w:val="auto"/>
                      <w:szCs w:val="21"/>
                    </w:rPr>
                    <w:t>SO</w:t>
                  </w:r>
                  <w:r>
                    <w:rPr>
                      <w:color w:val="auto"/>
                      <w:szCs w:val="21"/>
                      <w:vertAlign w:val="subscript"/>
                    </w:rPr>
                    <w:t>2</w:t>
                  </w:r>
                </w:p>
              </w:tc>
              <w:tc>
                <w:tcPr>
                  <w:tcW w:w="716" w:type="pct"/>
                  <w:tcBorders>
                    <w:tl2br w:val="nil"/>
                    <w:tr2bl w:val="nil"/>
                  </w:tcBorders>
                  <w:noWrap w:val="0"/>
                  <w:vAlign w:val="center"/>
                </w:tcPr>
                <w:p w14:paraId="545D68E1">
                  <w:pPr>
                    <w:overflowPunct w:val="0"/>
                    <w:autoSpaceDE w:val="0"/>
                    <w:autoSpaceDN w:val="0"/>
                    <w:adjustRightInd w:val="0"/>
                    <w:snapToGrid w:val="0"/>
                    <w:jc w:val="center"/>
                    <w:rPr>
                      <w:rFonts w:hint="default" w:eastAsia="宋体"/>
                      <w:color w:val="auto"/>
                      <w:szCs w:val="21"/>
                      <w:lang w:val="en-US" w:eastAsia="zh-CN"/>
                    </w:rPr>
                  </w:pPr>
                  <w:r>
                    <w:rPr>
                      <w:rFonts w:hint="eastAsia"/>
                      <w:color w:val="auto"/>
                      <w:szCs w:val="21"/>
                      <w:lang w:val="en-US" w:eastAsia="zh-CN"/>
                    </w:rPr>
                    <w:t>50</w:t>
                  </w:r>
                </w:p>
              </w:tc>
              <w:tc>
                <w:tcPr>
                  <w:tcW w:w="2085" w:type="pct"/>
                  <w:vMerge w:val="continue"/>
                  <w:tcBorders>
                    <w:right w:val="nil"/>
                    <w:tl2br w:val="nil"/>
                    <w:tr2bl w:val="nil"/>
                  </w:tcBorders>
                  <w:noWrap w:val="0"/>
                  <w:vAlign w:val="center"/>
                </w:tcPr>
                <w:p w14:paraId="69C670F4">
                  <w:pPr>
                    <w:overflowPunct w:val="0"/>
                    <w:autoSpaceDE w:val="0"/>
                    <w:autoSpaceDN w:val="0"/>
                    <w:adjustRightInd w:val="0"/>
                    <w:snapToGrid w:val="0"/>
                    <w:jc w:val="both"/>
                    <w:rPr>
                      <w:color w:val="auto"/>
                      <w:kern w:val="21"/>
                      <w:szCs w:val="21"/>
                      <w:lang w:bidi="ar"/>
                    </w:rPr>
                  </w:pPr>
                </w:p>
              </w:tc>
            </w:tr>
            <w:tr w14:paraId="4CFA8EF7">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8" w:type="pct"/>
                  <w:vMerge w:val="continue"/>
                  <w:tcBorders>
                    <w:left w:val="nil"/>
                    <w:tl2br w:val="nil"/>
                    <w:tr2bl w:val="nil"/>
                  </w:tcBorders>
                  <w:noWrap w:val="0"/>
                  <w:vAlign w:val="center"/>
                </w:tcPr>
                <w:p w14:paraId="345CC46D">
                  <w:pPr>
                    <w:overflowPunct w:val="0"/>
                    <w:autoSpaceDE w:val="0"/>
                    <w:autoSpaceDN w:val="0"/>
                    <w:adjustRightInd w:val="0"/>
                    <w:snapToGrid w:val="0"/>
                    <w:jc w:val="center"/>
                    <w:rPr>
                      <w:color w:val="auto"/>
                      <w:szCs w:val="21"/>
                    </w:rPr>
                  </w:pPr>
                </w:p>
              </w:tc>
              <w:tc>
                <w:tcPr>
                  <w:tcW w:w="567" w:type="pct"/>
                  <w:vMerge w:val="continue"/>
                  <w:tcBorders>
                    <w:tl2br w:val="nil"/>
                    <w:tr2bl w:val="nil"/>
                  </w:tcBorders>
                  <w:noWrap w:val="0"/>
                  <w:vAlign w:val="center"/>
                </w:tcPr>
                <w:p w14:paraId="08B758E8">
                  <w:pPr>
                    <w:overflowPunct w:val="0"/>
                    <w:autoSpaceDE w:val="0"/>
                    <w:autoSpaceDN w:val="0"/>
                    <w:adjustRightInd w:val="0"/>
                    <w:snapToGrid w:val="0"/>
                    <w:jc w:val="center"/>
                    <w:rPr>
                      <w:color w:val="auto"/>
                      <w:szCs w:val="21"/>
                    </w:rPr>
                  </w:pPr>
                </w:p>
              </w:tc>
              <w:tc>
                <w:tcPr>
                  <w:tcW w:w="931" w:type="pct"/>
                  <w:tcBorders>
                    <w:tl2br w:val="nil"/>
                    <w:tr2bl w:val="nil"/>
                  </w:tcBorders>
                  <w:noWrap w:val="0"/>
                  <w:vAlign w:val="center"/>
                </w:tcPr>
                <w:p w14:paraId="2928C86C">
                  <w:pPr>
                    <w:overflowPunct w:val="0"/>
                    <w:autoSpaceDE w:val="0"/>
                    <w:autoSpaceDN w:val="0"/>
                    <w:adjustRightInd w:val="0"/>
                    <w:snapToGrid w:val="0"/>
                    <w:jc w:val="center"/>
                    <w:rPr>
                      <w:color w:val="auto"/>
                      <w:szCs w:val="21"/>
                    </w:rPr>
                  </w:pPr>
                  <w:r>
                    <w:rPr>
                      <w:color w:val="auto"/>
                      <w:szCs w:val="21"/>
                    </w:rPr>
                    <w:t>烟气黑度(林格曼黑度，极)</w:t>
                  </w:r>
                </w:p>
              </w:tc>
              <w:tc>
                <w:tcPr>
                  <w:tcW w:w="716" w:type="pct"/>
                  <w:tcBorders>
                    <w:tl2br w:val="nil"/>
                    <w:tr2bl w:val="nil"/>
                  </w:tcBorders>
                  <w:noWrap w:val="0"/>
                  <w:vAlign w:val="center"/>
                </w:tcPr>
                <w:p w14:paraId="6AF66047">
                  <w:pPr>
                    <w:overflowPunct w:val="0"/>
                    <w:autoSpaceDE w:val="0"/>
                    <w:autoSpaceDN w:val="0"/>
                    <w:adjustRightInd w:val="0"/>
                    <w:snapToGrid w:val="0"/>
                    <w:jc w:val="center"/>
                    <w:rPr>
                      <w:color w:val="auto"/>
                      <w:szCs w:val="21"/>
                    </w:rPr>
                  </w:pPr>
                  <w:r>
                    <w:rPr>
                      <w:rFonts w:hint="eastAsia"/>
                      <w:color w:val="auto"/>
                      <w:szCs w:val="21"/>
                    </w:rPr>
                    <w:t>≤1</w:t>
                  </w:r>
                </w:p>
              </w:tc>
              <w:tc>
                <w:tcPr>
                  <w:tcW w:w="2085" w:type="pct"/>
                  <w:vMerge w:val="continue"/>
                  <w:tcBorders>
                    <w:right w:val="nil"/>
                    <w:tl2br w:val="nil"/>
                    <w:tr2bl w:val="nil"/>
                  </w:tcBorders>
                  <w:noWrap w:val="0"/>
                  <w:vAlign w:val="center"/>
                </w:tcPr>
                <w:p w14:paraId="1C5CE387">
                  <w:pPr>
                    <w:overflowPunct w:val="0"/>
                    <w:autoSpaceDE w:val="0"/>
                    <w:autoSpaceDN w:val="0"/>
                    <w:adjustRightInd w:val="0"/>
                    <w:snapToGrid w:val="0"/>
                    <w:jc w:val="both"/>
                    <w:rPr>
                      <w:color w:val="auto"/>
                      <w:kern w:val="21"/>
                      <w:szCs w:val="21"/>
                      <w:lang w:bidi="ar"/>
                    </w:rPr>
                  </w:pPr>
                </w:p>
              </w:tc>
            </w:tr>
            <w:tr w14:paraId="401C120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98" w:type="pct"/>
                  <w:vMerge w:val="continue"/>
                  <w:tcBorders>
                    <w:left w:val="nil"/>
                    <w:bottom w:val="single" w:color="000000" w:sz="12" w:space="0"/>
                    <w:tl2br w:val="nil"/>
                    <w:tr2bl w:val="nil"/>
                  </w:tcBorders>
                  <w:noWrap w:val="0"/>
                  <w:vAlign w:val="center"/>
                </w:tcPr>
                <w:p w14:paraId="4FE2BB7F">
                  <w:pPr>
                    <w:overflowPunct w:val="0"/>
                    <w:autoSpaceDE w:val="0"/>
                    <w:autoSpaceDN w:val="0"/>
                    <w:adjustRightInd w:val="0"/>
                    <w:snapToGrid w:val="0"/>
                    <w:jc w:val="center"/>
                    <w:rPr>
                      <w:color w:val="auto"/>
                      <w:szCs w:val="21"/>
                    </w:rPr>
                  </w:pPr>
                </w:p>
              </w:tc>
              <w:tc>
                <w:tcPr>
                  <w:tcW w:w="567" w:type="pct"/>
                  <w:vMerge w:val="continue"/>
                  <w:tcBorders>
                    <w:bottom w:val="single" w:color="000000" w:sz="12" w:space="0"/>
                    <w:tl2br w:val="nil"/>
                    <w:tr2bl w:val="nil"/>
                  </w:tcBorders>
                  <w:noWrap w:val="0"/>
                  <w:vAlign w:val="center"/>
                </w:tcPr>
                <w:p w14:paraId="6A5123B2">
                  <w:pPr>
                    <w:overflowPunct w:val="0"/>
                    <w:autoSpaceDE w:val="0"/>
                    <w:autoSpaceDN w:val="0"/>
                    <w:adjustRightInd w:val="0"/>
                    <w:snapToGrid w:val="0"/>
                    <w:jc w:val="center"/>
                    <w:rPr>
                      <w:color w:val="auto"/>
                      <w:szCs w:val="21"/>
                    </w:rPr>
                  </w:pPr>
                </w:p>
              </w:tc>
              <w:tc>
                <w:tcPr>
                  <w:tcW w:w="931" w:type="pct"/>
                  <w:tcBorders>
                    <w:bottom w:val="single" w:color="000000" w:sz="12" w:space="0"/>
                    <w:tl2br w:val="nil"/>
                    <w:tr2bl w:val="nil"/>
                  </w:tcBorders>
                  <w:noWrap w:val="0"/>
                  <w:vAlign w:val="center"/>
                </w:tcPr>
                <w:p w14:paraId="4E270A56">
                  <w:pPr>
                    <w:overflowPunct w:val="0"/>
                    <w:autoSpaceDE w:val="0"/>
                    <w:autoSpaceDN w:val="0"/>
                    <w:adjustRightInd w:val="0"/>
                    <w:snapToGrid w:val="0"/>
                    <w:jc w:val="center"/>
                    <w:rPr>
                      <w:color w:val="auto"/>
                      <w:szCs w:val="21"/>
                    </w:rPr>
                  </w:pPr>
                  <w:r>
                    <w:rPr>
                      <w:color w:val="auto"/>
                      <w:szCs w:val="21"/>
                    </w:rPr>
                    <w:t>NOx</w:t>
                  </w:r>
                </w:p>
              </w:tc>
              <w:tc>
                <w:tcPr>
                  <w:tcW w:w="716" w:type="pct"/>
                  <w:tcBorders>
                    <w:bottom w:val="single" w:color="000000" w:sz="12" w:space="0"/>
                    <w:tl2br w:val="nil"/>
                    <w:tr2bl w:val="nil"/>
                  </w:tcBorders>
                  <w:noWrap w:val="0"/>
                  <w:vAlign w:val="center"/>
                </w:tcPr>
                <w:p w14:paraId="51DB3804">
                  <w:pPr>
                    <w:overflowPunct w:val="0"/>
                    <w:autoSpaceDE w:val="0"/>
                    <w:autoSpaceDN w:val="0"/>
                    <w:adjustRightInd w:val="0"/>
                    <w:snapToGrid w:val="0"/>
                    <w:jc w:val="center"/>
                    <w:rPr>
                      <w:color w:val="auto"/>
                      <w:szCs w:val="21"/>
                    </w:rPr>
                  </w:pPr>
                  <w:r>
                    <w:rPr>
                      <w:rFonts w:hint="eastAsia"/>
                      <w:color w:val="auto"/>
                      <w:szCs w:val="21"/>
                    </w:rPr>
                    <w:t>50</w:t>
                  </w:r>
                </w:p>
              </w:tc>
              <w:tc>
                <w:tcPr>
                  <w:tcW w:w="2085" w:type="pct"/>
                  <w:tcBorders>
                    <w:bottom w:val="single" w:color="000000" w:sz="12" w:space="0"/>
                    <w:right w:val="nil"/>
                    <w:tl2br w:val="nil"/>
                    <w:tr2bl w:val="nil"/>
                  </w:tcBorders>
                  <w:noWrap w:val="0"/>
                  <w:vAlign w:val="center"/>
                </w:tcPr>
                <w:p w14:paraId="60091842">
                  <w:pPr>
                    <w:overflowPunct w:val="0"/>
                    <w:autoSpaceDE w:val="0"/>
                    <w:autoSpaceDN w:val="0"/>
                    <w:adjustRightInd w:val="0"/>
                    <w:snapToGrid w:val="0"/>
                    <w:spacing w:line="240" w:lineRule="auto"/>
                    <w:jc w:val="both"/>
                    <w:rPr>
                      <w:color w:val="auto"/>
                      <w:kern w:val="21"/>
                      <w:szCs w:val="21"/>
                      <w:lang w:bidi="ar"/>
                    </w:rPr>
                  </w:pPr>
                  <w:r>
                    <w:rPr>
                      <w:rFonts w:hint="eastAsia"/>
                      <w:bCs/>
                      <w:color w:val="auto"/>
                      <w:sz w:val="21"/>
                      <w:szCs w:val="21"/>
                      <w:lang w:val="en-US" w:eastAsia="zh-CN"/>
                    </w:rPr>
                    <w:t>《关于开展自治州2022年度夏秋季大气污染防治“冬病夏治”有关工作的通知》</w:t>
                  </w:r>
                </w:p>
              </w:tc>
            </w:tr>
          </w:tbl>
          <w:p w14:paraId="6B99CA36">
            <w:pPr>
              <w:adjustRightInd w:val="0"/>
              <w:snapToGrid w:val="0"/>
              <w:jc w:val="center"/>
              <w:rPr>
                <w:rFonts w:hint="default" w:ascii="宋体" w:hAnsi="宋体" w:eastAsia="宋体" w:cs="宋体"/>
                <w:b/>
                <w:bCs/>
                <w:color w:val="auto"/>
                <w:kern w:val="0"/>
                <w:szCs w:val="21"/>
                <w:lang w:val="en-US" w:eastAsia="zh-CN"/>
              </w:rPr>
            </w:pPr>
            <w:r>
              <w:rPr>
                <w:rFonts w:hint="eastAsia" w:ascii="宋体" w:hAnsi="宋体" w:eastAsia="宋体" w:cs="宋体"/>
                <w:b/>
                <w:bCs/>
                <w:color w:val="auto"/>
                <w:kern w:val="0"/>
                <w:szCs w:val="21"/>
                <w:lang w:val="en-US" w:eastAsia="zh-CN"/>
              </w:rPr>
              <w:t>表</w:t>
            </w:r>
            <w:r>
              <w:rPr>
                <w:rFonts w:hint="default" w:ascii="Times New Roman" w:hAnsi="Times New Roman" w:eastAsia="宋体" w:cs="Times New Roman"/>
                <w:b/>
                <w:bCs/>
                <w:color w:val="auto"/>
                <w:kern w:val="0"/>
                <w:szCs w:val="21"/>
                <w:lang w:val="en-US" w:eastAsia="zh-CN"/>
              </w:rPr>
              <w:t>3</w:t>
            </w:r>
            <w:r>
              <w:rPr>
                <w:rFonts w:hint="eastAsia" w:ascii="Times New Roman" w:hAnsi="Times New Roman" w:eastAsia="宋体" w:cs="Times New Roman"/>
                <w:b/>
                <w:bCs/>
                <w:color w:val="auto"/>
                <w:kern w:val="0"/>
                <w:szCs w:val="21"/>
                <w:lang w:val="en-US" w:eastAsia="zh-CN"/>
              </w:rPr>
              <w:t>-6</w:t>
            </w:r>
            <w:r>
              <w:rPr>
                <w:rFonts w:hint="eastAsia" w:ascii="宋体" w:hAnsi="宋体" w:eastAsia="宋体" w:cs="宋体"/>
                <w:b/>
                <w:bCs/>
                <w:color w:val="auto"/>
                <w:kern w:val="0"/>
                <w:szCs w:val="21"/>
                <w:lang w:val="en-US" w:eastAsia="zh-CN"/>
              </w:rPr>
              <w:t xml:space="preserve">   饮食业油烟排放标准</w:t>
            </w:r>
          </w:p>
          <w:tbl>
            <w:tblPr>
              <w:tblStyle w:val="24"/>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9"/>
              <w:gridCol w:w="1989"/>
              <w:gridCol w:w="1991"/>
              <w:gridCol w:w="1992"/>
            </w:tblGrid>
            <w:tr w14:paraId="25835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Borders>
                    <w:top w:val="single" w:color="000000" w:sz="12" w:space="0"/>
                    <w:left w:val="nil"/>
                    <w:bottom w:val="single" w:color="000000" w:sz="12" w:space="0"/>
                  </w:tcBorders>
                  <w:noWrap w:val="0"/>
                  <w:vAlign w:val="center"/>
                </w:tcPr>
                <w:p w14:paraId="14398F3D">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规模</w:t>
                  </w:r>
                </w:p>
              </w:tc>
              <w:tc>
                <w:tcPr>
                  <w:tcW w:w="1249" w:type="pct"/>
                  <w:tcBorders>
                    <w:top w:val="single" w:color="000000" w:sz="12" w:space="0"/>
                    <w:bottom w:val="single" w:color="000000" w:sz="12" w:space="0"/>
                  </w:tcBorders>
                  <w:noWrap w:val="0"/>
                  <w:vAlign w:val="center"/>
                </w:tcPr>
                <w:p w14:paraId="0654F281">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大型</w:t>
                  </w:r>
                </w:p>
              </w:tc>
              <w:tc>
                <w:tcPr>
                  <w:tcW w:w="1250" w:type="pct"/>
                  <w:tcBorders>
                    <w:top w:val="single" w:color="000000" w:sz="12" w:space="0"/>
                    <w:bottom w:val="single" w:color="000000" w:sz="12" w:space="0"/>
                  </w:tcBorders>
                  <w:noWrap w:val="0"/>
                  <w:vAlign w:val="center"/>
                </w:tcPr>
                <w:p w14:paraId="6F6B44C4">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中型</w:t>
                  </w:r>
                </w:p>
              </w:tc>
              <w:tc>
                <w:tcPr>
                  <w:tcW w:w="1251" w:type="pct"/>
                  <w:tcBorders>
                    <w:top w:val="single" w:color="000000" w:sz="12" w:space="0"/>
                    <w:bottom w:val="single" w:color="000000" w:sz="12" w:space="0"/>
                    <w:right w:val="nil"/>
                  </w:tcBorders>
                  <w:noWrap w:val="0"/>
                  <w:vAlign w:val="center"/>
                </w:tcPr>
                <w:p w14:paraId="5AEF959B">
                  <w:pPr>
                    <w:widowControl/>
                    <w:adjustRightInd/>
                    <w:snapToGrid/>
                    <w:spacing w:line="240" w:lineRule="auto"/>
                    <w:ind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小型</w:t>
                  </w:r>
                </w:p>
              </w:tc>
            </w:tr>
            <w:tr w14:paraId="4EE66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Borders>
                    <w:top w:val="single" w:color="000000" w:sz="12" w:space="0"/>
                    <w:left w:val="nil"/>
                  </w:tcBorders>
                  <w:noWrap w:val="0"/>
                  <w:vAlign w:val="center"/>
                </w:tcPr>
                <w:p w14:paraId="7627DD0A">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基准灶头数</w:t>
                  </w:r>
                </w:p>
              </w:tc>
              <w:tc>
                <w:tcPr>
                  <w:tcW w:w="1249" w:type="pct"/>
                  <w:tcBorders>
                    <w:top w:val="single" w:color="000000" w:sz="12" w:space="0"/>
                  </w:tcBorders>
                  <w:noWrap w:val="0"/>
                  <w:vAlign w:val="center"/>
                </w:tcPr>
                <w:p w14:paraId="601B3738">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≥6</w:t>
                  </w:r>
                </w:p>
              </w:tc>
              <w:tc>
                <w:tcPr>
                  <w:tcW w:w="1250" w:type="pct"/>
                  <w:tcBorders>
                    <w:top w:val="single" w:color="000000" w:sz="12" w:space="0"/>
                  </w:tcBorders>
                  <w:noWrap w:val="0"/>
                  <w:vAlign w:val="center"/>
                </w:tcPr>
                <w:p w14:paraId="24FCF511">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≥3，&lt;6</w:t>
                  </w:r>
                </w:p>
              </w:tc>
              <w:tc>
                <w:tcPr>
                  <w:tcW w:w="1251" w:type="pct"/>
                  <w:tcBorders>
                    <w:top w:val="single" w:color="000000" w:sz="12" w:space="0"/>
                    <w:right w:val="nil"/>
                  </w:tcBorders>
                  <w:noWrap w:val="0"/>
                  <w:vAlign w:val="center"/>
                </w:tcPr>
                <w:p w14:paraId="6B68CD5D">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≥1，&lt;3</w:t>
                  </w:r>
                </w:p>
              </w:tc>
            </w:tr>
            <w:tr w14:paraId="42EAC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Borders>
                    <w:left w:val="nil"/>
                  </w:tcBorders>
                  <w:noWrap w:val="0"/>
                  <w:vAlign w:val="center"/>
                </w:tcPr>
                <w:p w14:paraId="70C07A62">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最高允许排放浓度，mg/m</w:t>
                  </w:r>
                  <w:r>
                    <w:rPr>
                      <w:rFonts w:hint="default" w:ascii="Times New Roman" w:hAnsi="Times New Roman" w:eastAsia="宋体" w:cs="Times New Roman"/>
                      <w:color w:val="auto"/>
                      <w:sz w:val="21"/>
                      <w:szCs w:val="21"/>
                      <w:highlight w:val="none"/>
                      <w:vertAlign w:val="superscript"/>
                      <w:lang w:val="en-US" w:eastAsia="zh-CN"/>
                    </w:rPr>
                    <w:t>3</w:t>
                  </w:r>
                </w:p>
              </w:tc>
              <w:tc>
                <w:tcPr>
                  <w:tcW w:w="3750" w:type="pct"/>
                  <w:gridSpan w:val="3"/>
                  <w:tcBorders>
                    <w:right w:val="nil"/>
                  </w:tcBorders>
                  <w:noWrap w:val="0"/>
                  <w:vAlign w:val="center"/>
                </w:tcPr>
                <w:p w14:paraId="605DD178">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0</w:t>
                  </w:r>
                </w:p>
              </w:tc>
            </w:tr>
            <w:tr w14:paraId="7BCE3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tcBorders>
                    <w:left w:val="nil"/>
                    <w:bottom w:val="single" w:color="000000" w:sz="12" w:space="0"/>
                  </w:tcBorders>
                  <w:noWrap w:val="0"/>
                  <w:vAlign w:val="center"/>
                </w:tcPr>
                <w:p w14:paraId="2D0E6529">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净化设施最低去除效率，%</w:t>
                  </w:r>
                </w:p>
              </w:tc>
              <w:tc>
                <w:tcPr>
                  <w:tcW w:w="1249" w:type="pct"/>
                  <w:tcBorders>
                    <w:bottom w:val="single" w:color="000000" w:sz="12" w:space="0"/>
                  </w:tcBorders>
                  <w:noWrap w:val="0"/>
                  <w:vAlign w:val="center"/>
                </w:tcPr>
                <w:p w14:paraId="1D559066">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85</w:t>
                  </w:r>
                </w:p>
              </w:tc>
              <w:tc>
                <w:tcPr>
                  <w:tcW w:w="1250" w:type="pct"/>
                  <w:tcBorders>
                    <w:bottom w:val="single" w:color="000000" w:sz="12" w:space="0"/>
                  </w:tcBorders>
                  <w:noWrap w:val="0"/>
                  <w:vAlign w:val="center"/>
                </w:tcPr>
                <w:p w14:paraId="72E3BD3B">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75</w:t>
                  </w:r>
                </w:p>
              </w:tc>
              <w:tc>
                <w:tcPr>
                  <w:tcW w:w="1251" w:type="pct"/>
                  <w:tcBorders>
                    <w:bottom w:val="single" w:color="000000" w:sz="12" w:space="0"/>
                    <w:right w:val="nil"/>
                  </w:tcBorders>
                  <w:noWrap w:val="0"/>
                  <w:vAlign w:val="center"/>
                </w:tcPr>
                <w:p w14:paraId="42D2BEAD">
                  <w:pPr>
                    <w:widowControl/>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60</w:t>
                  </w:r>
                </w:p>
              </w:tc>
            </w:tr>
          </w:tbl>
          <w:p w14:paraId="144EAB42">
            <w:pPr>
              <w:pStyle w:val="42"/>
              <w:spacing w:line="360" w:lineRule="auto"/>
              <w:rPr>
                <w:b/>
                <w:bCs/>
                <w:color w:val="auto"/>
              </w:rPr>
            </w:pPr>
            <w:r>
              <w:rPr>
                <w:rFonts w:hint="eastAsia"/>
                <w:b/>
                <w:bCs/>
                <w:color w:val="auto"/>
              </w:rPr>
              <w:t>2.废水排放标准</w:t>
            </w:r>
          </w:p>
          <w:p w14:paraId="6A3099E8">
            <w:pPr>
              <w:widowControl/>
              <w:spacing w:line="360" w:lineRule="auto"/>
              <w:ind w:firstLine="480" w:firstLineChars="200"/>
              <w:jc w:val="both"/>
              <w:rPr>
                <w:color w:val="auto"/>
                <w:sz w:val="24"/>
              </w:rPr>
            </w:pPr>
            <w:r>
              <w:rPr>
                <w:rFonts w:hint="eastAsia"/>
                <w:color w:val="auto"/>
                <w:sz w:val="24"/>
              </w:rPr>
              <w:t>本项目生活污水执行</w:t>
            </w:r>
            <w:r>
              <w:rPr>
                <w:rFonts w:hint="default"/>
                <w:color w:val="auto"/>
                <w:sz w:val="24"/>
              </w:rPr>
              <w:t>《污水综合排放标准》(GB8978-1996)</w:t>
            </w:r>
            <w:r>
              <w:rPr>
                <w:rFonts w:hint="eastAsia"/>
                <w:color w:val="auto"/>
                <w:sz w:val="24"/>
                <w:lang w:val="en-US" w:eastAsia="zh-CN"/>
              </w:rPr>
              <w:t>表4</w:t>
            </w:r>
            <w:r>
              <w:rPr>
                <w:rFonts w:hint="eastAsia"/>
                <w:color w:val="auto"/>
                <w:sz w:val="24"/>
                <w:lang w:eastAsia="zh-CN"/>
              </w:rPr>
              <w:t>三</w:t>
            </w:r>
            <w:r>
              <w:rPr>
                <w:rFonts w:hint="default"/>
                <w:color w:val="auto"/>
                <w:sz w:val="24"/>
              </w:rPr>
              <w:t>级标准</w:t>
            </w:r>
            <w:r>
              <w:rPr>
                <w:rFonts w:hint="default" w:ascii="Times New Roman" w:hAnsi="Times New Roman" w:eastAsia="宋体" w:cs="Times New Roman"/>
                <w:color w:val="auto"/>
                <w:sz w:val="24"/>
              </w:rPr>
              <w:t>和《污水排入城镇下水道水质标准》（GB/T31962-2015）中NH3-N最高允许值中的B级标准，</w:t>
            </w:r>
            <w:r>
              <w:rPr>
                <w:rFonts w:hint="eastAsia"/>
                <w:color w:val="auto"/>
                <w:sz w:val="24"/>
              </w:rPr>
              <w:t>主要污染物排放标准详见表3-</w:t>
            </w:r>
            <w:r>
              <w:rPr>
                <w:rFonts w:hint="eastAsia"/>
                <w:color w:val="auto"/>
                <w:sz w:val="24"/>
                <w:lang w:val="en-US" w:eastAsia="zh-CN"/>
              </w:rPr>
              <w:t>7</w:t>
            </w:r>
            <w:r>
              <w:rPr>
                <w:rFonts w:hint="eastAsia"/>
                <w:color w:val="auto"/>
                <w:sz w:val="24"/>
              </w:rPr>
              <w:t>。</w:t>
            </w:r>
          </w:p>
          <w:p w14:paraId="1A38244E">
            <w:pPr>
              <w:jc w:val="center"/>
              <w:rPr>
                <w:b/>
                <w:bCs/>
                <w:color w:val="auto"/>
                <w:szCs w:val="21"/>
              </w:rPr>
            </w:pPr>
            <w:r>
              <w:rPr>
                <w:b/>
                <w:bCs/>
                <w:color w:val="auto"/>
                <w:szCs w:val="21"/>
              </w:rPr>
              <w:t>表3-</w:t>
            </w:r>
            <w:r>
              <w:rPr>
                <w:rFonts w:hint="eastAsia"/>
                <w:b/>
                <w:bCs/>
                <w:color w:val="auto"/>
                <w:szCs w:val="21"/>
                <w:lang w:val="en-US" w:eastAsia="zh-CN"/>
              </w:rPr>
              <w:t>7</w:t>
            </w:r>
            <w:r>
              <w:rPr>
                <w:b/>
                <w:bCs/>
                <w:color w:val="auto"/>
                <w:szCs w:val="21"/>
              </w:rPr>
              <w:t>废水污染物排放标准</w:t>
            </w:r>
          </w:p>
          <w:tbl>
            <w:tblPr>
              <w:tblStyle w:val="24"/>
              <w:tblW w:w="4998" w:type="pct"/>
              <w:tblInd w:w="0" w:type="dxa"/>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2734"/>
              <w:gridCol w:w="1644"/>
              <w:gridCol w:w="1592"/>
              <w:gridCol w:w="1991"/>
            </w:tblGrid>
            <w:tr w14:paraId="66ADCEA2">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c>
                <w:tcPr>
                  <w:tcW w:w="1716" w:type="pct"/>
                  <w:tcBorders>
                    <w:top w:val="single" w:color="000000" w:sz="12" w:space="0"/>
                    <w:left w:val="nil"/>
                    <w:bottom w:val="single" w:color="auto" w:sz="12" w:space="0"/>
                  </w:tcBorders>
                  <w:noWrap w:val="0"/>
                  <w:vAlign w:val="center"/>
                </w:tcPr>
                <w:p w14:paraId="50E57B58">
                  <w:pPr>
                    <w:spacing w:line="240" w:lineRule="atLeast"/>
                    <w:jc w:val="center"/>
                    <w:rPr>
                      <w:b/>
                      <w:color w:val="auto"/>
                    </w:rPr>
                  </w:pPr>
                  <w:r>
                    <w:rPr>
                      <w:rFonts w:hint="eastAsia"/>
                      <w:b/>
                      <w:color w:val="auto"/>
                    </w:rPr>
                    <w:t>污染物名称</w:t>
                  </w:r>
                </w:p>
              </w:tc>
              <w:tc>
                <w:tcPr>
                  <w:tcW w:w="1032" w:type="pct"/>
                  <w:tcBorders>
                    <w:top w:val="single" w:color="000000" w:sz="12" w:space="0"/>
                    <w:bottom w:val="single" w:color="auto" w:sz="12" w:space="0"/>
                  </w:tcBorders>
                  <w:noWrap w:val="0"/>
                  <w:vAlign w:val="center"/>
                </w:tcPr>
                <w:p w14:paraId="31B1F3CE">
                  <w:pPr>
                    <w:spacing w:line="240" w:lineRule="atLeast"/>
                    <w:jc w:val="center"/>
                    <w:rPr>
                      <w:b/>
                      <w:color w:val="auto"/>
                    </w:rPr>
                  </w:pPr>
                  <w:r>
                    <w:rPr>
                      <w:rFonts w:hint="eastAsia"/>
                      <w:b/>
                      <w:color w:val="auto"/>
                    </w:rPr>
                    <w:t>单位</w:t>
                  </w:r>
                </w:p>
              </w:tc>
              <w:tc>
                <w:tcPr>
                  <w:tcW w:w="999" w:type="pct"/>
                  <w:tcBorders>
                    <w:top w:val="single" w:color="000000" w:sz="12" w:space="0"/>
                    <w:bottom w:val="single" w:color="auto" w:sz="12" w:space="0"/>
                  </w:tcBorders>
                  <w:noWrap w:val="0"/>
                  <w:vAlign w:val="center"/>
                </w:tcPr>
                <w:p w14:paraId="293F3156">
                  <w:pPr>
                    <w:spacing w:line="240" w:lineRule="atLeast"/>
                    <w:jc w:val="center"/>
                    <w:rPr>
                      <w:b/>
                      <w:color w:val="auto"/>
                    </w:rPr>
                  </w:pPr>
                  <w:r>
                    <w:rPr>
                      <w:rFonts w:hint="eastAsia"/>
                      <w:b/>
                      <w:color w:val="auto"/>
                    </w:rPr>
                    <w:t>C级标准</w:t>
                  </w:r>
                </w:p>
              </w:tc>
              <w:tc>
                <w:tcPr>
                  <w:tcW w:w="1250" w:type="pct"/>
                  <w:tcBorders>
                    <w:top w:val="single" w:color="000000" w:sz="12" w:space="0"/>
                    <w:bottom w:val="single" w:color="auto" w:sz="12" w:space="0"/>
                    <w:right w:val="nil"/>
                  </w:tcBorders>
                  <w:noWrap w:val="0"/>
                  <w:vAlign w:val="center"/>
                </w:tcPr>
                <w:p w14:paraId="0E828D4C">
                  <w:pPr>
                    <w:spacing w:line="240" w:lineRule="atLeast"/>
                    <w:jc w:val="center"/>
                    <w:rPr>
                      <w:b/>
                      <w:color w:val="auto"/>
                    </w:rPr>
                  </w:pPr>
                  <w:r>
                    <w:rPr>
                      <w:rFonts w:hint="eastAsia"/>
                      <w:b/>
                      <w:color w:val="auto"/>
                    </w:rPr>
                    <w:t>标准来源</w:t>
                  </w:r>
                </w:p>
              </w:tc>
            </w:tr>
            <w:tr w14:paraId="7F957C8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c>
                <w:tcPr>
                  <w:tcW w:w="1716" w:type="pct"/>
                  <w:tcBorders>
                    <w:top w:val="single" w:color="auto" w:sz="12" w:space="0"/>
                    <w:left w:val="nil"/>
                  </w:tcBorders>
                  <w:noWrap w:val="0"/>
                  <w:vAlign w:val="center"/>
                </w:tcPr>
                <w:p w14:paraId="389549CC">
                  <w:pPr>
                    <w:spacing w:line="240" w:lineRule="atLeast"/>
                    <w:jc w:val="center"/>
                    <w:rPr>
                      <w:rFonts w:hint="default" w:eastAsia="宋体"/>
                      <w:color w:val="auto"/>
                      <w:lang w:val="en-US" w:eastAsia="zh-CN"/>
                    </w:rPr>
                  </w:pPr>
                  <w:r>
                    <w:rPr>
                      <w:rFonts w:hint="eastAsia"/>
                      <w:color w:val="auto"/>
                      <w:lang w:val="en-US" w:eastAsia="zh-CN"/>
                    </w:rPr>
                    <w:t>五日生化需氧量（BOD</w:t>
                  </w:r>
                  <w:r>
                    <w:rPr>
                      <w:rFonts w:hint="eastAsia"/>
                      <w:color w:val="auto"/>
                      <w:vertAlign w:val="subscript"/>
                      <w:lang w:val="en-US" w:eastAsia="zh-CN"/>
                    </w:rPr>
                    <w:t>5</w:t>
                  </w:r>
                  <w:r>
                    <w:rPr>
                      <w:rFonts w:hint="eastAsia"/>
                      <w:color w:val="auto"/>
                      <w:lang w:val="en-US" w:eastAsia="zh-CN"/>
                    </w:rPr>
                    <w:t>）</w:t>
                  </w:r>
                </w:p>
              </w:tc>
              <w:tc>
                <w:tcPr>
                  <w:tcW w:w="1032" w:type="pct"/>
                  <w:tcBorders>
                    <w:top w:val="single" w:color="auto" w:sz="12" w:space="0"/>
                  </w:tcBorders>
                  <w:noWrap w:val="0"/>
                  <w:vAlign w:val="center"/>
                </w:tcPr>
                <w:p w14:paraId="62493718">
                  <w:pPr>
                    <w:spacing w:line="240" w:lineRule="atLeast"/>
                    <w:jc w:val="center"/>
                    <w:rPr>
                      <w:rFonts w:hint="eastAsia"/>
                      <w:color w:val="auto"/>
                    </w:rPr>
                  </w:pPr>
                  <w:r>
                    <w:rPr>
                      <w:rFonts w:hint="eastAsia"/>
                      <w:color w:val="auto"/>
                    </w:rPr>
                    <w:t>mg/L</w:t>
                  </w:r>
                </w:p>
              </w:tc>
              <w:tc>
                <w:tcPr>
                  <w:tcW w:w="999" w:type="pct"/>
                  <w:tcBorders>
                    <w:top w:val="single" w:color="auto" w:sz="12" w:space="0"/>
                  </w:tcBorders>
                  <w:noWrap w:val="0"/>
                  <w:vAlign w:val="center"/>
                </w:tcPr>
                <w:p w14:paraId="25F41235">
                  <w:pPr>
                    <w:spacing w:line="240" w:lineRule="atLeast"/>
                    <w:jc w:val="center"/>
                    <w:rPr>
                      <w:rFonts w:hint="default" w:eastAsia="宋体"/>
                      <w:color w:val="auto"/>
                      <w:sz w:val="21"/>
                      <w:szCs w:val="21"/>
                      <w:lang w:val="en-US" w:eastAsia="zh-CN"/>
                    </w:rPr>
                  </w:pPr>
                  <w:r>
                    <w:rPr>
                      <w:rFonts w:hint="eastAsia"/>
                      <w:color w:val="auto"/>
                      <w:sz w:val="21"/>
                      <w:szCs w:val="21"/>
                      <w:lang w:val="en-US" w:eastAsia="zh-CN"/>
                    </w:rPr>
                    <w:t>300</w:t>
                  </w:r>
                </w:p>
              </w:tc>
              <w:tc>
                <w:tcPr>
                  <w:tcW w:w="1250" w:type="pct"/>
                  <w:vMerge w:val="restart"/>
                  <w:tcBorders>
                    <w:top w:val="single" w:color="auto" w:sz="12" w:space="0"/>
                    <w:right w:val="nil"/>
                  </w:tcBorders>
                  <w:noWrap w:val="0"/>
                  <w:vAlign w:val="center"/>
                </w:tcPr>
                <w:p w14:paraId="25B6BB2D">
                  <w:pPr>
                    <w:spacing w:line="240" w:lineRule="atLeast"/>
                    <w:jc w:val="both"/>
                    <w:rPr>
                      <w:rFonts w:hint="eastAsia" w:eastAsia="宋体"/>
                      <w:color w:val="auto"/>
                      <w:sz w:val="21"/>
                      <w:szCs w:val="21"/>
                      <w:lang w:val="en-US" w:eastAsia="zh-CN"/>
                    </w:rPr>
                  </w:pPr>
                  <w:r>
                    <w:rPr>
                      <w:rFonts w:hint="default"/>
                      <w:color w:val="auto"/>
                      <w:sz w:val="21"/>
                      <w:szCs w:val="21"/>
                    </w:rPr>
                    <w:t>《污水综合排放标准》(GB8978-1996)</w:t>
                  </w:r>
                  <w:r>
                    <w:rPr>
                      <w:rFonts w:hint="eastAsia"/>
                      <w:color w:val="auto"/>
                      <w:sz w:val="21"/>
                      <w:szCs w:val="21"/>
                      <w:lang w:val="en-US" w:eastAsia="zh-CN"/>
                    </w:rPr>
                    <w:t>表4</w:t>
                  </w:r>
                  <w:r>
                    <w:rPr>
                      <w:rFonts w:hint="eastAsia"/>
                      <w:color w:val="auto"/>
                      <w:sz w:val="21"/>
                      <w:szCs w:val="21"/>
                      <w:lang w:eastAsia="zh-CN"/>
                    </w:rPr>
                    <w:t>三</w:t>
                  </w:r>
                  <w:r>
                    <w:rPr>
                      <w:rFonts w:hint="default"/>
                      <w:color w:val="auto"/>
                      <w:sz w:val="21"/>
                      <w:szCs w:val="21"/>
                    </w:rPr>
                    <w:t>级标准</w:t>
                  </w:r>
                  <w:r>
                    <w:rPr>
                      <w:rFonts w:hint="eastAsia"/>
                      <w:color w:val="auto"/>
                      <w:sz w:val="21"/>
                      <w:szCs w:val="21"/>
                      <w:lang w:val="en-US" w:eastAsia="zh-CN"/>
                    </w:rPr>
                    <w:t>和《污水排入城镇下水道水质标准》（GB/T31962-2015）中NH3-N最高允许值中的B级标准</w:t>
                  </w:r>
                </w:p>
              </w:tc>
            </w:tr>
            <w:tr w14:paraId="2B042583">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c>
                <w:tcPr>
                  <w:tcW w:w="1716" w:type="pct"/>
                  <w:tcBorders>
                    <w:left w:val="nil"/>
                  </w:tcBorders>
                  <w:noWrap w:val="0"/>
                  <w:vAlign w:val="center"/>
                </w:tcPr>
                <w:p w14:paraId="2780BC99">
                  <w:pPr>
                    <w:spacing w:line="240" w:lineRule="atLeast"/>
                    <w:jc w:val="center"/>
                    <w:rPr>
                      <w:color w:val="auto"/>
                    </w:rPr>
                  </w:pPr>
                  <w:r>
                    <w:rPr>
                      <w:color w:val="auto"/>
                    </w:rPr>
                    <w:t>化学需氧量（COD</w:t>
                  </w:r>
                  <w:r>
                    <w:rPr>
                      <w:rFonts w:hint="eastAsia"/>
                      <w:color w:val="auto"/>
                    </w:rPr>
                    <w:t>cr</w:t>
                  </w:r>
                  <w:r>
                    <w:rPr>
                      <w:color w:val="auto"/>
                    </w:rPr>
                    <w:t>）</w:t>
                  </w:r>
                </w:p>
              </w:tc>
              <w:tc>
                <w:tcPr>
                  <w:tcW w:w="1032" w:type="pct"/>
                  <w:noWrap w:val="0"/>
                  <w:vAlign w:val="center"/>
                </w:tcPr>
                <w:p w14:paraId="2463609D">
                  <w:pPr>
                    <w:spacing w:line="240" w:lineRule="atLeast"/>
                    <w:jc w:val="center"/>
                    <w:rPr>
                      <w:color w:val="auto"/>
                    </w:rPr>
                  </w:pPr>
                  <w:r>
                    <w:rPr>
                      <w:rFonts w:hint="eastAsia"/>
                      <w:color w:val="auto"/>
                    </w:rPr>
                    <w:t>mg/L</w:t>
                  </w:r>
                </w:p>
              </w:tc>
              <w:tc>
                <w:tcPr>
                  <w:tcW w:w="999" w:type="pct"/>
                  <w:noWrap w:val="0"/>
                  <w:vAlign w:val="center"/>
                </w:tcPr>
                <w:p w14:paraId="1CCF4D2C">
                  <w:pPr>
                    <w:spacing w:line="240" w:lineRule="atLeast"/>
                    <w:jc w:val="center"/>
                    <w:rPr>
                      <w:rFonts w:hint="default" w:eastAsia="宋体"/>
                      <w:color w:val="auto"/>
                      <w:sz w:val="21"/>
                      <w:szCs w:val="21"/>
                      <w:lang w:val="en-US" w:eastAsia="zh-CN"/>
                    </w:rPr>
                  </w:pPr>
                  <w:r>
                    <w:rPr>
                      <w:rFonts w:hint="eastAsia"/>
                      <w:color w:val="auto"/>
                      <w:sz w:val="21"/>
                      <w:szCs w:val="21"/>
                      <w:lang w:val="en-US" w:eastAsia="zh-CN"/>
                    </w:rPr>
                    <w:t>500</w:t>
                  </w:r>
                </w:p>
              </w:tc>
              <w:tc>
                <w:tcPr>
                  <w:tcW w:w="1250" w:type="pct"/>
                  <w:vMerge w:val="continue"/>
                  <w:tcBorders>
                    <w:right w:val="nil"/>
                  </w:tcBorders>
                  <w:noWrap w:val="0"/>
                  <w:vAlign w:val="center"/>
                </w:tcPr>
                <w:p w14:paraId="40B77D06">
                  <w:pPr>
                    <w:spacing w:line="240" w:lineRule="atLeast"/>
                    <w:jc w:val="center"/>
                    <w:rPr>
                      <w:color w:val="auto"/>
                      <w:sz w:val="21"/>
                      <w:szCs w:val="21"/>
                    </w:rPr>
                  </w:pPr>
                </w:p>
              </w:tc>
            </w:tr>
            <w:tr w14:paraId="090F4DC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250" w:hRule="atLeast"/>
              </w:trPr>
              <w:tc>
                <w:tcPr>
                  <w:tcW w:w="1716" w:type="pct"/>
                  <w:tcBorders>
                    <w:left w:val="nil"/>
                  </w:tcBorders>
                  <w:noWrap w:val="0"/>
                  <w:vAlign w:val="center"/>
                </w:tcPr>
                <w:p w14:paraId="702A8481">
                  <w:pPr>
                    <w:spacing w:line="240" w:lineRule="atLeast"/>
                    <w:jc w:val="center"/>
                    <w:rPr>
                      <w:color w:val="auto"/>
                    </w:rPr>
                  </w:pPr>
                  <w:r>
                    <w:rPr>
                      <w:color w:val="auto"/>
                    </w:rPr>
                    <w:t>悬浮物（SS）</w:t>
                  </w:r>
                </w:p>
              </w:tc>
              <w:tc>
                <w:tcPr>
                  <w:tcW w:w="1032" w:type="pct"/>
                  <w:noWrap w:val="0"/>
                  <w:vAlign w:val="center"/>
                </w:tcPr>
                <w:p w14:paraId="25C18B4B">
                  <w:pPr>
                    <w:spacing w:line="240" w:lineRule="atLeast"/>
                    <w:jc w:val="center"/>
                    <w:rPr>
                      <w:color w:val="auto"/>
                    </w:rPr>
                  </w:pPr>
                  <w:r>
                    <w:rPr>
                      <w:rFonts w:hint="eastAsia"/>
                      <w:color w:val="auto"/>
                    </w:rPr>
                    <w:t>mg/L</w:t>
                  </w:r>
                </w:p>
              </w:tc>
              <w:tc>
                <w:tcPr>
                  <w:tcW w:w="999" w:type="pct"/>
                  <w:noWrap w:val="0"/>
                  <w:vAlign w:val="center"/>
                </w:tcPr>
                <w:p w14:paraId="1D9DA71A">
                  <w:pPr>
                    <w:spacing w:line="240" w:lineRule="atLeast"/>
                    <w:jc w:val="center"/>
                    <w:rPr>
                      <w:color w:val="auto"/>
                    </w:rPr>
                  </w:pPr>
                  <w:r>
                    <w:rPr>
                      <w:rFonts w:hint="eastAsia"/>
                      <w:color w:val="auto"/>
                      <w:lang w:val="en-US" w:eastAsia="zh-CN"/>
                    </w:rPr>
                    <w:t>4</w:t>
                  </w:r>
                  <w:r>
                    <w:rPr>
                      <w:rFonts w:hint="eastAsia"/>
                      <w:color w:val="auto"/>
                    </w:rPr>
                    <w:t>00</w:t>
                  </w:r>
                </w:p>
              </w:tc>
              <w:tc>
                <w:tcPr>
                  <w:tcW w:w="1250" w:type="pct"/>
                  <w:vMerge w:val="continue"/>
                  <w:tcBorders>
                    <w:right w:val="nil"/>
                  </w:tcBorders>
                  <w:noWrap w:val="0"/>
                  <w:vAlign w:val="center"/>
                </w:tcPr>
                <w:p w14:paraId="07BB07C1">
                  <w:pPr>
                    <w:spacing w:line="240" w:lineRule="atLeast"/>
                    <w:jc w:val="center"/>
                    <w:rPr>
                      <w:color w:val="auto"/>
                    </w:rPr>
                  </w:pPr>
                </w:p>
              </w:tc>
            </w:tr>
            <w:tr w14:paraId="797A391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c>
                <w:tcPr>
                  <w:tcW w:w="1716" w:type="pct"/>
                  <w:tcBorders>
                    <w:left w:val="nil"/>
                    <w:bottom w:val="single" w:color="000000" w:sz="12" w:space="0"/>
                  </w:tcBorders>
                  <w:noWrap w:val="0"/>
                  <w:vAlign w:val="center"/>
                </w:tcPr>
                <w:p w14:paraId="4B54EDF9">
                  <w:pPr>
                    <w:spacing w:line="240" w:lineRule="atLeast"/>
                    <w:jc w:val="center"/>
                    <w:rPr>
                      <w:rFonts w:hint="eastAsia" w:eastAsia="宋体"/>
                      <w:color w:val="auto"/>
                      <w:lang w:val="en-US" w:eastAsia="zh-CN"/>
                    </w:rPr>
                  </w:pPr>
                  <w:r>
                    <w:rPr>
                      <w:rFonts w:hint="eastAsia"/>
                      <w:color w:val="auto"/>
                      <w:lang w:val="en-US" w:eastAsia="zh-CN"/>
                    </w:rPr>
                    <w:t>氨氮</w:t>
                  </w:r>
                </w:p>
              </w:tc>
              <w:tc>
                <w:tcPr>
                  <w:tcW w:w="1032" w:type="pct"/>
                  <w:tcBorders>
                    <w:bottom w:val="single" w:color="000000" w:sz="12" w:space="0"/>
                  </w:tcBorders>
                  <w:noWrap w:val="0"/>
                  <w:vAlign w:val="center"/>
                </w:tcPr>
                <w:p w14:paraId="034C3F21">
                  <w:pPr>
                    <w:spacing w:line="240" w:lineRule="atLeast"/>
                    <w:jc w:val="center"/>
                    <w:rPr>
                      <w:rFonts w:hint="eastAsia" w:eastAsia="宋体"/>
                      <w:color w:val="auto"/>
                      <w:lang w:eastAsia="zh-CN"/>
                    </w:rPr>
                  </w:pPr>
                  <w:r>
                    <w:rPr>
                      <w:rFonts w:hint="eastAsia"/>
                      <w:color w:val="auto"/>
                    </w:rPr>
                    <w:t>mg/L</w:t>
                  </w:r>
                </w:p>
              </w:tc>
              <w:tc>
                <w:tcPr>
                  <w:tcW w:w="999" w:type="pct"/>
                  <w:tcBorders>
                    <w:bottom w:val="single" w:color="000000" w:sz="12" w:space="0"/>
                  </w:tcBorders>
                  <w:noWrap w:val="0"/>
                  <w:vAlign w:val="center"/>
                </w:tcPr>
                <w:p w14:paraId="2029B601">
                  <w:pPr>
                    <w:spacing w:line="240" w:lineRule="atLeast"/>
                    <w:jc w:val="center"/>
                    <w:rPr>
                      <w:rFonts w:hint="default" w:eastAsia="宋体"/>
                      <w:color w:val="auto"/>
                      <w:lang w:val="en-US" w:eastAsia="zh-CN"/>
                    </w:rPr>
                  </w:pPr>
                  <w:r>
                    <w:rPr>
                      <w:rFonts w:hint="eastAsia" w:eastAsia="宋体"/>
                      <w:color w:val="auto"/>
                      <w:lang w:val="en-US" w:eastAsia="zh-CN"/>
                    </w:rPr>
                    <w:t>45</w:t>
                  </w:r>
                </w:p>
              </w:tc>
              <w:tc>
                <w:tcPr>
                  <w:tcW w:w="1250" w:type="pct"/>
                  <w:vMerge w:val="continue"/>
                  <w:tcBorders>
                    <w:bottom w:val="single" w:color="000000" w:sz="12" w:space="0"/>
                    <w:right w:val="nil"/>
                  </w:tcBorders>
                  <w:noWrap w:val="0"/>
                  <w:vAlign w:val="center"/>
                </w:tcPr>
                <w:p w14:paraId="189C2D03">
                  <w:pPr>
                    <w:spacing w:line="240" w:lineRule="atLeast"/>
                    <w:jc w:val="center"/>
                    <w:rPr>
                      <w:color w:val="auto"/>
                    </w:rPr>
                  </w:pPr>
                </w:p>
              </w:tc>
            </w:tr>
          </w:tbl>
          <w:p w14:paraId="55A3AFC2">
            <w:pPr>
              <w:widowControl/>
              <w:spacing w:line="360" w:lineRule="auto"/>
              <w:jc w:val="left"/>
              <w:rPr>
                <w:b/>
                <w:bCs/>
                <w:color w:val="auto"/>
                <w:sz w:val="24"/>
              </w:rPr>
            </w:pPr>
            <w:r>
              <w:rPr>
                <w:b/>
                <w:bCs/>
                <w:color w:val="auto"/>
                <w:kern w:val="0"/>
                <w:sz w:val="24"/>
                <w:lang w:bidi="ar"/>
              </w:rPr>
              <w:t>3.噪声排放标准</w:t>
            </w:r>
          </w:p>
          <w:p w14:paraId="28B81E33">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本项目</w:t>
            </w:r>
            <w:r>
              <w:rPr>
                <w:color w:val="auto"/>
                <w:kern w:val="0"/>
                <w:sz w:val="24"/>
              </w:rPr>
              <w:t>施工期执行《建筑施工场界环境噪声排放标准》（GB12523-2011）标准，</w:t>
            </w:r>
            <w:r>
              <w:rPr>
                <w:rFonts w:hint="eastAsia"/>
                <w:color w:val="auto"/>
                <w:kern w:val="0"/>
                <w:sz w:val="24"/>
              </w:rPr>
              <w:t>详见表3-</w:t>
            </w:r>
            <w:r>
              <w:rPr>
                <w:rFonts w:hint="eastAsia"/>
                <w:color w:val="auto"/>
                <w:kern w:val="0"/>
                <w:sz w:val="24"/>
                <w:lang w:val="en-US" w:eastAsia="zh-CN"/>
              </w:rPr>
              <w:t>8</w:t>
            </w:r>
            <w:r>
              <w:rPr>
                <w:rFonts w:hint="eastAsia"/>
                <w:color w:val="auto"/>
                <w:kern w:val="0"/>
                <w:sz w:val="24"/>
              </w:rPr>
              <w:t>；</w:t>
            </w:r>
            <w:r>
              <w:rPr>
                <w:color w:val="auto"/>
                <w:kern w:val="0"/>
                <w:sz w:val="24"/>
              </w:rPr>
              <w:t>运营期厂界噪声执行《工业企业厂界环境噪声排放标准</w:t>
            </w:r>
            <w:r>
              <w:rPr>
                <w:rFonts w:hint="eastAsia"/>
                <w:color w:val="auto"/>
                <w:kern w:val="0"/>
                <w:sz w:val="24"/>
              </w:rPr>
              <w:t>》</w:t>
            </w:r>
            <w:r>
              <w:rPr>
                <w:color w:val="auto"/>
                <w:kern w:val="0"/>
                <w:sz w:val="24"/>
              </w:rPr>
              <w:t>（GB12348-2008）中</w:t>
            </w:r>
            <w:r>
              <w:rPr>
                <w:rFonts w:hint="eastAsia"/>
                <w:color w:val="auto"/>
                <w:kern w:val="0"/>
                <w:sz w:val="24"/>
                <w:lang w:val="en-US" w:eastAsia="zh-CN"/>
              </w:rPr>
              <w:t>3</w:t>
            </w:r>
            <w:r>
              <w:rPr>
                <w:rFonts w:hint="eastAsia"/>
                <w:color w:val="auto"/>
                <w:kern w:val="0"/>
                <w:sz w:val="24"/>
              </w:rPr>
              <w:t>类</w:t>
            </w:r>
            <w:r>
              <w:rPr>
                <w:color w:val="auto"/>
                <w:kern w:val="0"/>
                <w:sz w:val="24"/>
              </w:rPr>
              <w:t>标准</w:t>
            </w:r>
            <w:r>
              <w:rPr>
                <w:rFonts w:hint="eastAsia"/>
                <w:color w:val="auto"/>
                <w:kern w:val="0"/>
                <w:sz w:val="24"/>
              </w:rPr>
              <w:t>，详见表3-</w:t>
            </w:r>
            <w:r>
              <w:rPr>
                <w:rFonts w:hint="eastAsia"/>
                <w:color w:val="auto"/>
                <w:kern w:val="0"/>
                <w:sz w:val="24"/>
                <w:lang w:val="en-US" w:eastAsia="zh-CN"/>
              </w:rPr>
              <w:t>9</w:t>
            </w:r>
            <w:r>
              <w:rPr>
                <w:rFonts w:hint="eastAsia"/>
                <w:color w:val="auto"/>
                <w:kern w:val="0"/>
                <w:sz w:val="24"/>
              </w:rPr>
              <w:t>。</w:t>
            </w:r>
          </w:p>
          <w:p w14:paraId="788A32A6">
            <w:pPr>
              <w:pStyle w:val="30"/>
              <w:ind w:firstLine="0" w:firstLineChars="0"/>
              <w:rPr>
                <w:rFonts w:hint="default" w:ascii="Times New Roman" w:hAnsi="Times New Roman"/>
                <w:color w:val="auto"/>
              </w:rPr>
            </w:pPr>
            <w:r>
              <w:rPr>
                <w:rFonts w:ascii="Times New Roman" w:hAnsi="Times New Roman"/>
                <w:color w:val="auto"/>
              </w:rPr>
              <w:t>表3-</w:t>
            </w:r>
            <w:r>
              <w:rPr>
                <w:rFonts w:hint="eastAsia" w:ascii="Times New Roman" w:hAnsi="Times New Roman"/>
                <w:color w:val="auto"/>
                <w:lang w:val="en-US" w:eastAsia="zh-CN"/>
              </w:rPr>
              <w:t xml:space="preserve">8  </w:t>
            </w:r>
            <w:r>
              <w:rPr>
                <w:rFonts w:ascii="Times New Roman" w:hAnsi="Times New Roman"/>
                <w:color w:val="auto"/>
              </w:rPr>
              <w:t>建筑施工场界环境噪声排放限值</w:t>
            </w:r>
          </w:p>
          <w:tbl>
            <w:tblPr>
              <w:tblStyle w:val="23"/>
              <w:tblW w:w="5000" w:type="pct"/>
              <w:tblInd w:w="0" w:type="dxa"/>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Layout w:type="fixed"/>
              <w:tblCellMar>
                <w:top w:w="0" w:type="dxa"/>
                <w:left w:w="0" w:type="dxa"/>
                <w:bottom w:w="0" w:type="dxa"/>
                <w:right w:w="0" w:type="dxa"/>
              </w:tblCellMar>
            </w:tblPr>
            <w:tblGrid>
              <w:gridCol w:w="2186"/>
              <w:gridCol w:w="1872"/>
              <w:gridCol w:w="3906"/>
            </w:tblGrid>
            <w:tr w14:paraId="4843E610">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c>
                <w:tcPr>
                  <w:tcW w:w="2547" w:type="pct"/>
                  <w:gridSpan w:val="2"/>
                  <w:tcBorders>
                    <w:top w:val="single" w:color="000000" w:sz="12" w:space="0"/>
                    <w:left w:val="nil"/>
                  </w:tcBorders>
                  <w:noWrap w:val="0"/>
                  <w:vAlign w:val="center"/>
                </w:tcPr>
                <w:p w14:paraId="1975C4DF">
                  <w:pPr>
                    <w:widowControl/>
                    <w:adjustRightInd w:val="0"/>
                    <w:snapToGrid w:val="0"/>
                    <w:jc w:val="center"/>
                    <w:rPr>
                      <w:b/>
                      <w:bCs/>
                      <w:color w:val="auto"/>
                      <w:szCs w:val="21"/>
                    </w:rPr>
                  </w:pPr>
                  <w:r>
                    <w:rPr>
                      <w:rFonts w:hint="eastAsia" w:hAnsi="宋体"/>
                      <w:b/>
                      <w:bCs/>
                      <w:color w:val="auto"/>
                      <w:szCs w:val="21"/>
                    </w:rPr>
                    <w:t>噪声排放限值</w:t>
                  </w:r>
                  <w:r>
                    <w:rPr>
                      <w:b/>
                      <w:bCs/>
                      <w:color w:val="auto"/>
                      <w:szCs w:val="21"/>
                    </w:rPr>
                    <w:t>dB</w:t>
                  </w:r>
                  <w:r>
                    <w:rPr>
                      <w:rFonts w:hint="eastAsia" w:hAnsi="宋体"/>
                      <w:b/>
                      <w:bCs/>
                      <w:color w:val="auto"/>
                      <w:szCs w:val="21"/>
                    </w:rPr>
                    <w:t>（</w:t>
                  </w:r>
                  <w:r>
                    <w:rPr>
                      <w:b/>
                      <w:bCs/>
                      <w:color w:val="auto"/>
                      <w:szCs w:val="21"/>
                    </w:rPr>
                    <w:t>A</w:t>
                  </w:r>
                  <w:r>
                    <w:rPr>
                      <w:rFonts w:hint="eastAsia" w:hAnsi="宋体"/>
                      <w:b/>
                      <w:bCs/>
                      <w:color w:val="auto"/>
                      <w:szCs w:val="21"/>
                    </w:rPr>
                    <w:t>）</w:t>
                  </w:r>
                </w:p>
              </w:tc>
              <w:tc>
                <w:tcPr>
                  <w:tcW w:w="2452" w:type="pct"/>
                  <w:vMerge w:val="restart"/>
                  <w:tcBorders>
                    <w:top w:val="single" w:color="000000" w:sz="12" w:space="0"/>
                    <w:right w:val="nil"/>
                  </w:tcBorders>
                  <w:noWrap w:val="0"/>
                  <w:vAlign w:val="center"/>
                </w:tcPr>
                <w:p w14:paraId="31EC572E">
                  <w:pPr>
                    <w:widowControl/>
                    <w:adjustRightInd w:val="0"/>
                    <w:snapToGrid w:val="0"/>
                    <w:jc w:val="center"/>
                    <w:rPr>
                      <w:b/>
                      <w:bCs/>
                      <w:color w:val="auto"/>
                      <w:szCs w:val="21"/>
                    </w:rPr>
                  </w:pPr>
                  <w:r>
                    <w:rPr>
                      <w:rFonts w:hint="eastAsia" w:hAnsi="宋体"/>
                      <w:b/>
                      <w:bCs/>
                      <w:color w:val="auto"/>
                      <w:szCs w:val="21"/>
                    </w:rPr>
                    <w:t>标准来源</w:t>
                  </w:r>
                </w:p>
              </w:tc>
            </w:tr>
            <w:tr w14:paraId="45A221A9">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c>
                <w:tcPr>
                  <w:tcW w:w="1372" w:type="pct"/>
                  <w:tcBorders>
                    <w:left w:val="nil"/>
                    <w:bottom w:val="single" w:color="000000" w:sz="12" w:space="0"/>
                  </w:tcBorders>
                  <w:noWrap w:val="0"/>
                  <w:vAlign w:val="center"/>
                </w:tcPr>
                <w:p w14:paraId="49742052">
                  <w:pPr>
                    <w:widowControl/>
                    <w:adjustRightInd w:val="0"/>
                    <w:snapToGrid w:val="0"/>
                    <w:jc w:val="center"/>
                    <w:rPr>
                      <w:b/>
                      <w:bCs/>
                      <w:color w:val="auto"/>
                      <w:szCs w:val="21"/>
                    </w:rPr>
                  </w:pPr>
                  <w:r>
                    <w:rPr>
                      <w:rFonts w:hint="eastAsia" w:hAnsi="宋体"/>
                      <w:b/>
                      <w:bCs/>
                      <w:color w:val="auto"/>
                      <w:szCs w:val="21"/>
                    </w:rPr>
                    <w:t>昼间</w:t>
                  </w:r>
                </w:p>
              </w:tc>
              <w:tc>
                <w:tcPr>
                  <w:tcW w:w="1175" w:type="pct"/>
                  <w:tcBorders>
                    <w:bottom w:val="single" w:color="000000" w:sz="12" w:space="0"/>
                  </w:tcBorders>
                  <w:noWrap w:val="0"/>
                  <w:vAlign w:val="center"/>
                </w:tcPr>
                <w:p w14:paraId="3F0C1C69">
                  <w:pPr>
                    <w:widowControl/>
                    <w:adjustRightInd w:val="0"/>
                    <w:snapToGrid w:val="0"/>
                    <w:jc w:val="center"/>
                    <w:rPr>
                      <w:b/>
                      <w:bCs/>
                      <w:color w:val="auto"/>
                      <w:szCs w:val="21"/>
                    </w:rPr>
                  </w:pPr>
                  <w:r>
                    <w:rPr>
                      <w:rFonts w:hint="eastAsia" w:hAnsi="宋体"/>
                      <w:b/>
                      <w:bCs/>
                      <w:color w:val="auto"/>
                      <w:szCs w:val="21"/>
                    </w:rPr>
                    <w:t>夜间</w:t>
                  </w:r>
                </w:p>
              </w:tc>
              <w:tc>
                <w:tcPr>
                  <w:tcW w:w="2452" w:type="pct"/>
                  <w:vMerge w:val="continue"/>
                  <w:tcBorders>
                    <w:bottom w:val="single" w:color="000000" w:sz="12" w:space="0"/>
                    <w:right w:val="nil"/>
                  </w:tcBorders>
                  <w:noWrap w:val="0"/>
                  <w:vAlign w:val="center"/>
                </w:tcPr>
                <w:p w14:paraId="2FE0606F">
                  <w:pPr>
                    <w:widowControl/>
                    <w:adjustRightInd w:val="0"/>
                    <w:snapToGrid w:val="0"/>
                    <w:jc w:val="center"/>
                    <w:rPr>
                      <w:b/>
                      <w:bCs/>
                      <w:color w:val="auto"/>
                      <w:szCs w:val="21"/>
                    </w:rPr>
                  </w:pPr>
                </w:p>
              </w:tc>
            </w:tr>
            <w:tr w14:paraId="2A83D7B1">
              <w:tblPrEx>
                <w:tblBorders>
                  <w:top w:val="single" w:color="000000" w:sz="4" w:space="0"/>
                  <w:left w:val="single" w:color="000000" w:sz="4" w:space="0"/>
                  <w:bottom w:val="single" w:color="000000" w:sz="4" w:space="0"/>
                  <w:right w:val="single" w:color="000000" w:sz="4" w:space="0"/>
                  <w:insideH w:val="single" w:color="000000" w:sz="6" w:space="0"/>
                  <w:insideV w:val="single" w:color="000000" w:sz="6" w:space="0"/>
                </w:tblBorders>
                <w:tblCellMar>
                  <w:top w:w="0" w:type="dxa"/>
                  <w:left w:w="0" w:type="dxa"/>
                  <w:bottom w:w="0" w:type="dxa"/>
                  <w:right w:w="0" w:type="dxa"/>
                </w:tblCellMar>
              </w:tblPrEx>
              <w:tc>
                <w:tcPr>
                  <w:tcW w:w="1372" w:type="pct"/>
                  <w:tcBorders>
                    <w:top w:val="single" w:color="000000" w:sz="12" w:space="0"/>
                    <w:left w:val="nil"/>
                    <w:bottom w:val="single" w:color="000000" w:sz="12" w:space="0"/>
                    <w:tl2br w:val="nil"/>
                    <w:tr2bl w:val="nil"/>
                  </w:tcBorders>
                  <w:noWrap w:val="0"/>
                  <w:vAlign w:val="center"/>
                </w:tcPr>
                <w:p w14:paraId="72DE5376">
                  <w:pPr>
                    <w:widowControl/>
                    <w:adjustRightInd w:val="0"/>
                    <w:snapToGrid w:val="0"/>
                    <w:jc w:val="center"/>
                    <w:rPr>
                      <w:color w:val="auto"/>
                      <w:szCs w:val="21"/>
                    </w:rPr>
                  </w:pPr>
                  <w:r>
                    <w:rPr>
                      <w:rFonts w:hint="eastAsia"/>
                      <w:color w:val="auto"/>
                      <w:szCs w:val="21"/>
                    </w:rPr>
                    <w:t>70</w:t>
                  </w:r>
                </w:p>
              </w:tc>
              <w:tc>
                <w:tcPr>
                  <w:tcW w:w="1175" w:type="pct"/>
                  <w:tcBorders>
                    <w:top w:val="single" w:color="000000" w:sz="12" w:space="0"/>
                    <w:bottom w:val="single" w:color="000000" w:sz="12" w:space="0"/>
                    <w:tl2br w:val="nil"/>
                    <w:tr2bl w:val="nil"/>
                  </w:tcBorders>
                  <w:noWrap w:val="0"/>
                  <w:vAlign w:val="center"/>
                </w:tcPr>
                <w:p w14:paraId="3F7E867F">
                  <w:pPr>
                    <w:widowControl/>
                    <w:adjustRightInd w:val="0"/>
                    <w:snapToGrid w:val="0"/>
                    <w:jc w:val="center"/>
                    <w:rPr>
                      <w:color w:val="auto"/>
                      <w:szCs w:val="21"/>
                    </w:rPr>
                  </w:pPr>
                  <w:r>
                    <w:rPr>
                      <w:color w:val="auto"/>
                      <w:szCs w:val="21"/>
                    </w:rPr>
                    <w:t>55</w:t>
                  </w:r>
                </w:p>
              </w:tc>
              <w:tc>
                <w:tcPr>
                  <w:tcW w:w="2452" w:type="pct"/>
                  <w:tcBorders>
                    <w:top w:val="single" w:color="000000" w:sz="12" w:space="0"/>
                    <w:bottom w:val="single" w:color="000000" w:sz="12" w:space="0"/>
                    <w:right w:val="nil"/>
                    <w:tl2br w:val="nil"/>
                    <w:tr2bl w:val="nil"/>
                  </w:tcBorders>
                  <w:noWrap w:val="0"/>
                  <w:vAlign w:val="center"/>
                </w:tcPr>
                <w:p w14:paraId="7AAEB26F">
                  <w:pPr>
                    <w:widowControl/>
                    <w:adjustRightInd w:val="0"/>
                    <w:snapToGrid w:val="0"/>
                    <w:jc w:val="both"/>
                    <w:rPr>
                      <w:color w:val="auto"/>
                      <w:szCs w:val="21"/>
                    </w:rPr>
                  </w:pPr>
                  <w:r>
                    <w:rPr>
                      <w:rFonts w:hint="eastAsia" w:hAnsi="宋体"/>
                      <w:color w:val="auto"/>
                      <w:szCs w:val="21"/>
                    </w:rPr>
                    <w:t>《建筑施工场界环境噪声排放标准》（</w:t>
                  </w:r>
                  <w:r>
                    <w:rPr>
                      <w:color w:val="auto"/>
                      <w:szCs w:val="21"/>
                    </w:rPr>
                    <w:t>GB12523-2011</w:t>
                  </w:r>
                  <w:r>
                    <w:rPr>
                      <w:rFonts w:hint="eastAsia" w:hAnsi="宋体"/>
                      <w:color w:val="auto"/>
                      <w:szCs w:val="21"/>
                    </w:rPr>
                    <w:t>）</w:t>
                  </w:r>
                </w:p>
              </w:tc>
            </w:tr>
          </w:tbl>
          <w:p w14:paraId="0F82BAC9">
            <w:pPr>
              <w:pStyle w:val="30"/>
              <w:ind w:firstLine="0" w:firstLineChars="0"/>
              <w:rPr>
                <w:rFonts w:hint="default" w:ascii="Times New Roman" w:hAnsi="Times New Roman"/>
                <w:color w:val="auto"/>
              </w:rPr>
            </w:pPr>
            <w:r>
              <w:rPr>
                <w:rFonts w:ascii="Times New Roman" w:hAnsi="Times New Roman"/>
                <w:color w:val="auto"/>
              </w:rPr>
              <w:t>表3</w:t>
            </w:r>
            <w:r>
              <w:rPr>
                <w:rFonts w:hint="eastAsia" w:ascii="Times New Roman" w:hAnsi="Times New Roman"/>
                <w:color w:val="auto"/>
                <w:lang w:val="en-US" w:eastAsia="zh-CN"/>
              </w:rPr>
              <w:t xml:space="preserve">-9  </w:t>
            </w:r>
            <w:r>
              <w:rPr>
                <w:rFonts w:ascii="Times New Roman" w:hAnsi="Times New Roman"/>
                <w:color w:val="auto"/>
              </w:rPr>
              <w:t>工业企业厂界环境噪声排放标准</w:t>
            </w:r>
          </w:p>
          <w:tbl>
            <w:tblPr>
              <w:tblStyle w:val="23"/>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0" w:type="dxa"/>
                <w:bottom w:w="0" w:type="dxa"/>
                <w:right w:w="0" w:type="dxa"/>
              </w:tblCellMar>
            </w:tblPr>
            <w:tblGrid>
              <w:gridCol w:w="1254"/>
              <w:gridCol w:w="1404"/>
              <w:gridCol w:w="1401"/>
              <w:gridCol w:w="3915"/>
            </w:tblGrid>
            <w:tr w14:paraId="49BE417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c>
                <w:tcPr>
                  <w:tcW w:w="786" w:type="pct"/>
                  <w:vMerge w:val="restart"/>
                  <w:noWrap w:val="0"/>
                  <w:vAlign w:val="center"/>
                </w:tcPr>
                <w:p w14:paraId="2E179066">
                  <w:pPr>
                    <w:widowControl/>
                    <w:adjustRightInd w:val="0"/>
                    <w:snapToGrid w:val="0"/>
                    <w:jc w:val="center"/>
                    <w:rPr>
                      <w:b/>
                      <w:bCs/>
                      <w:color w:val="auto"/>
                      <w:szCs w:val="21"/>
                    </w:rPr>
                  </w:pPr>
                  <w:r>
                    <w:rPr>
                      <w:rFonts w:hint="eastAsia" w:hAnsi="宋体"/>
                      <w:b/>
                      <w:bCs/>
                      <w:color w:val="auto"/>
                      <w:szCs w:val="21"/>
                    </w:rPr>
                    <w:t>功能区类别</w:t>
                  </w:r>
                </w:p>
              </w:tc>
              <w:tc>
                <w:tcPr>
                  <w:tcW w:w="1758" w:type="pct"/>
                  <w:gridSpan w:val="2"/>
                  <w:noWrap w:val="0"/>
                  <w:vAlign w:val="center"/>
                </w:tcPr>
                <w:p w14:paraId="16073BA4">
                  <w:pPr>
                    <w:widowControl/>
                    <w:adjustRightInd w:val="0"/>
                    <w:snapToGrid w:val="0"/>
                    <w:jc w:val="center"/>
                    <w:rPr>
                      <w:b/>
                      <w:bCs/>
                      <w:color w:val="auto"/>
                      <w:szCs w:val="21"/>
                    </w:rPr>
                  </w:pPr>
                  <w:r>
                    <w:rPr>
                      <w:rFonts w:hint="eastAsia" w:hAnsi="宋体"/>
                      <w:b/>
                      <w:bCs/>
                      <w:color w:val="auto"/>
                      <w:szCs w:val="21"/>
                    </w:rPr>
                    <w:t>标准值</w:t>
                  </w:r>
                  <w:r>
                    <w:rPr>
                      <w:b/>
                      <w:bCs/>
                      <w:color w:val="auto"/>
                      <w:szCs w:val="21"/>
                    </w:rPr>
                    <w:t>dB</w:t>
                  </w:r>
                  <w:r>
                    <w:rPr>
                      <w:rFonts w:hint="eastAsia" w:hAnsi="宋体"/>
                      <w:b/>
                      <w:bCs/>
                      <w:color w:val="auto"/>
                      <w:szCs w:val="21"/>
                    </w:rPr>
                    <w:t>（</w:t>
                  </w:r>
                  <w:r>
                    <w:rPr>
                      <w:b/>
                      <w:bCs/>
                      <w:color w:val="auto"/>
                      <w:szCs w:val="21"/>
                    </w:rPr>
                    <w:t>A</w:t>
                  </w:r>
                  <w:r>
                    <w:rPr>
                      <w:rFonts w:hint="eastAsia" w:hAnsi="宋体"/>
                      <w:b/>
                      <w:bCs/>
                      <w:color w:val="auto"/>
                      <w:szCs w:val="21"/>
                    </w:rPr>
                    <w:t>）</w:t>
                  </w:r>
                </w:p>
              </w:tc>
              <w:tc>
                <w:tcPr>
                  <w:tcW w:w="2454" w:type="pct"/>
                  <w:vMerge w:val="restart"/>
                  <w:noWrap w:val="0"/>
                  <w:vAlign w:val="center"/>
                </w:tcPr>
                <w:p w14:paraId="0A0ABBF9">
                  <w:pPr>
                    <w:widowControl/>
                    <w:adjustRightInd w:val="0"/>
                    <w:snapToGrid w:val="0"/>
                    <w:jc w:val="center"/>
                    <w:rPr>
                      <w:b/>
                      <w:bCs/>
                      <w:color w:val="auto"/>
                      <w:szCs w:val="21"/>
                    </w:rPr>
                  </w:pPr>
                  <w:r>
                    <w:rPr>
                      <w:rFonts w:hint="eastAsia" w:hAnsi="宋体"/>
                      <w:b/>
                      <w:bCs/>
                      <w:color w:val="auto"/>
                      <w:szCs w:val="21"/>
                    </w:rPr>
                    <w:t>标准来源</w:t>
                  </w:r>
                </w:p>
              </w:tc>
            </w:tr>
            <w:tr w14:paraId="463C673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33" w:hRule="atLeast"/>
              </w:trPr>
              <w:tc>
                <w:tcPr>
                  <w:tcW w:w="786" w:type="pct"/>
                  <w:vMerge w:val="continue"/>
                  <w:tcBorders>
                    <w:bottom w:val="single" w:color="000000" w:sz="12" w:space="0"/>
                  </w:tcBorders>
                  <w:noWrap w:val="0"/>
                  <w:vAlign w:val="center"/>
                </w:tcPr>
                <w:p w14:paraId="07464DB6">
                  <w:pPr>
                    <w:widowControl/>
                    <w:adjustRightInd w:val="0"/>
                    <w:snapToGrid w:val="0"/>
                    <w:jc w:val="center"/>
                    <w:rPr>
                      <w:color w:val="auto"/>
                      <w:szCs w:val="21"/>
                    </w:rPr>
                  </w:pPr>
                </w:p>
              </w:tc>
              <w:tc>
                <w:tcPr>
                  <w:tcW w:w="880" w:type="pct"/>
                  <w:tcBorders>
                    <w:bottom w:val="single" w:color="000000" w:sz="12" w:space="0"/>
                  </w:tcBorders>
                  <w:noWrap w:val="0"/>
                  <w:vAlign w:val="center"/>
                </w:tcPr>
                <w:p w14:paraId="7D10D49E">
                  <w:pPr>
                    <w:widowControl/>
                    <w:adjustRightInd w:val="0"/>
                    <w:snapToGrid w:val="0"/>
                    <w:jc w:val="center"/>
                    <w:rPr>
                      <w:b/>
                      <w:bCs/>
                      <w:color w:val="auto"/>
                      <w:szCs w:val="21"/>
                    </w:rPr>
                  </w:pPr>
                  <w:r>
                    <w:rPr>
                      <w:rFonts w:hint="eastAsia" w:hAnsi="宋体"/>
                      <w:b/>
                      <w:bCs/>
                      <w:color w:val="auto"/>
                      <w:szCs w:val="21"/>
                    </w:rPr>
                    <w:t>昼间</w:t>
                  </w:r>
                </w:p>
              </w:tc>
              <w:tc>
                <w:tcPr>
                  <w:tcW w:w="877" w:type="pct"/>
                  <w:tcBorders>
                    <w:bottom w:val="single" w:color="000000" w:sz="12" w:space="0"/>
                  </w:tcBorders>
                  <w:noWrap w:val="0"/>
                  <w:vAlign w:val="center"/>
                </w:tcPr>
                <w:p w14:paraId="62AC999E">
                  <w:pPr>
                    <w:widowControl/>
                    <w:adjustRightInd w:val="0"/>
                    <w:snapToGrid w:val="0"/>
                    <w:jc w:val="center"/>
                    <w:rPr>
                      <w:b/>
                      <w:bCs/>
                      <w:color w:val="auto"/>
                      <w:szCs w:val="21"/>
                    </w:rPr>
                  </w:pPr>
                  <w:r>
                    <w:rPr>
                      <w:rFonts w:hint="eastAsia" w:hAnsi="宋体"/>
                      <w:b/>
                      <w:bCs/>
                      <w:color w:val="auto"/>
                      <w:szCs w:val="21"/>
                    </w:rPr>
                    <w:t>夜间</w:t>
                  </w:r>
                </w:p>
              </w:tc>
              <w:tc>
                <w:tcPr>
                  <w:tcW w:w="2454" w:type="pct"/>
                  <w:vMerge w:val="continue"/>
                  <w:tcBorders>
                    <w:bottom w:val="single" w:color="000000" w:sz="12" w:space="0"/>
                  </w:tcBorders>
                  <w:noWrap w:val="0"/>
                  <w:vAlign w:val="center"/>
                </w:tcPr>
                <w:p w14:paraId="748D7E3B">
                  <w:pPr>
                    <w:widowControl/>
                    <w:adjustRightInd w:val="0"/>
                    <w:snapToGrid w:val="0"/>
                    <w:jc w:val="center"/>
                    <w:rPr>
                      <w:color w:val="auto"/>
                      <w:szCs w:val="21"/>
                    </w:rPr>
                  </w:pPr>
                </w:p>
              </w:tc>
            </w:tr>
            <w:tr w14:paraId="125939C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c>
                <w:tcPr>
                  <w:tcW w:w="786" w:type="pct"/>
                  <w:tcBorders>
                    <w:top w:val="single" w:color="000000" w:sz="12" w:space="0"/>
                    <w:tl2br w:val="nil"/>
                    <w:tr2bl w:val="nil"/>
                  </w:tcBorders>
                  <w:noWrap w:val="0"/>
                  <w:vAlign w:val="center"/>
                </w:tcPr>
                <w:p w14:paraId="094679B7">
                  <w:pPr>
                    <w:widowControl/>
                    <w:adjustRightInd w:val="0"/>
                    <w:snapToGrid w:val="0"/>
                    <w:jc w:val="center"/>
                    <w:rPr>
                      <w:color w:val="auto"/>
                      <w:szCs w:val="21"/>
                    </w:rPr>
                  </w:pPr>
                  <w:r>
                    <w:rPr>
                      <w:rFonts w:hint="eastAsia"/>
                      <w:color w:val="auto"/>
                      <w:szCs w:val="21"/>
                      <w:lang w:val="en-US" w:eastAsia="zh-CN"/>
                    </w:rPr>
                    <w:t>3</w:t>
                  </w:r>
                  <w:r>
                    <w:rPr>
                      <w:rFonts w:hint="eastAsia"/>
                      <w:color w:val="auto"/>
                      <w:szCs w:val="21"/>
                    </w:rPr>
                    <w:t>类</w:t>
                  </w:r>
                </w:p>
              </w:tc>
              <w:tc>
                <w:tcPr>
                  <w:tcW w:w="880" w:type="pct"/>
                  <w:tcBorders>
                    <w:top w:val="single" w:color="000000" w:sz="12" w:space="0"/>
                    <w:tl2br w:val="nil"/>
                    <w:tr2bl w:val="nil"/>
                  </w:tcBorders>
                  <w:noWrap w:val="0"/>
                  <w:vAlign w:val="center"/>
                </w:tcPr>
                <w:p w14:paraId="69FE9B83">
                  <w:pPr>
                    <w:widowControl/>
                    <w:adjustRightInd w:val="0"/>
                    <w:snapToGrid w:val="0"/>
                    <w:jc w:val="center"/>
                    <w:rPr>
                      <w:rFonts w:hint="eastAsia" w:eastAsia="宋体"/>
                      <w:color w:val="auto"/>
                      <w:szCs w:val="21"/>
                      <w:lang w:val="en-US" w:eastAsia="zh-CN"/>
                    </w:rPr>
                  </w:pPr>
                  <w:r>
                    <w:rPr>
                      <w:rFonts w:hint="eastAsia"/>
                      <w:color w:val="auto"/>
                      <w:szCs w:val="21"/>
                    </w:rPr>
                    <w:t>6</w:t>
                  </w:r>
                  <w:r>
                    <w:rPr>
                      <w:rFonts w:hint="eastAsia"/>
                      <w:color w:val="auto"/>
                      <w:szCs w:val="21"/>
                      <w:lang w:val="en-US" w:eastAsia="zh-CN"/>
                    </w:rPr>
                    <w:t>5</w:t>
                  </w:r>
                </w:p>
              </w:tc>
              <w:tc>
                <w:tcPr>
                  <w:tcW w:w="877" w:type="pct"/>
                  <w:tcBorders>
                    <w:top w:val="single" w:color="000000" w:sz="12" w:space="0"/>
                    <w:tl2br w:val="nil"/>
                    <w:tr2bl w:val="nil"/>
                  </w:tcBorders>
                  <w:noWrap w:val="0"/>
                  <w:vAlign w:val="center"/>
                </w:tcPr>
                <w:p w14:paraId="1CED99E1">
                  <w:pPr>
                    <w:widowControl/>
                    <w:adjustRightInd w:val="0"/>
                    <w:snapToGrid w:val="0"/>
                    <w:jc w:val="center"/>
                    <w:rPr>
                      <w:rFonts w:hint="eastAsia" w:eastAsia="宋体"/>
                      <w:color w:val="auto"/>
                      <w:szCs w:val="21"/>
                      <w:lang w:val="en-US" w:eastAsia="zh-CN"/>
                    </w:rPr>
                  </w:pPr>
                  <w:r>
                    <w:rPr>
                      <w:rFonts w:hint="eastAsia"/>
                      <w:color w:val="auto"/>
                      <w:szCs w:val="21"/>
                    </w:rPr>
                    <w:t>5</w:t>
                  </w:r>
                  <w:r>
                    <w:rPr>
                      <w:rFonts w:hint="eastAsia"/>
                      <w:color w:val="auto"/>
                      <w:szCs w:val="21"/>
                      <w:lang w:val="en-US" w:eastAsia="zh-CN"/>
                    </w:rPr>
                    <w:t>5</w:t>
                  </w:r>
                </w:p>
              </w:tc>
              <w:tc>
                <w:tcPr>
                  <w:tcW w:w="2454" w:type="pct"/>
                  <w:tcBorders>
                    <w:top w:val="single" w:color="000000" w:sz="12" w:space="0"/>
                    <w:tl2br w:val="nil"/>
                    <w:tr2bl w:val="nil"/>
                  </w:tcBorders>
                  <w:noWrap w:val="0"/>
                  <w:vAlign w:val="center"/>
                </w:tcPr>
                <w:p w14:paraId="6931ED02">
                  <w:pPr>
                    <w:widowControl/>
                    <w:adjustRightInd w:val="0"/>
                    <w:snapToGrid w:val="0"/>
                    <w:jc w:val="both"/>
                    <w:rPr>
                      <w:color w:val="auto"/>
                      <w:szCs w:val="21"/>
                    </w:rPr>
                  </w:pPr>
                  <w:r>
                    <w:rPr>
                      <w:rFonts w:hint="eastAsia" w:hAnsi="宋体"/>
                      <w:color w:val="auto"/>
                      <w:szCs w:val="21"/>
                    </w:rPr>
                    <w:t>《工业企业厂界环境噪声排放标准》（</w:t>
                  </w:r>
                  <w:r>
                    <w:rPr>
                      <w:color w:val="auto"/>
                      <w:szCs w:val="21"/>
                    </w:rPr>
                    <w:t>GB12348-20</w:t>
                  </w:r>
                  <w:r>
                    <w:rPr>
                      <w:rFonts w:hint="eastAsia"/>
                      <w:color w:val="auto"/>
                      <w:szCs w:val="21"/>
                    </w:rPr>
                    <w:t>08</w:t>
                  </w:r>
                  <w:r>
                    <w:rPr>
                      <w:rFonts w:hint="eastAsia" w:hAnsi="宋体"/>
                      <w:color w:val="auto"/>
                      <w:szCs w:val="21"/>
                    </w:rPr>
                    <w:t>）中</w:t>
                  </w:r>
                  <w:r>
                    <w:rPr>
                      <w:rFonts w:hint="eastAsia" w:hAnsi="宋体"/>
                      <w:color w:val="auto"/>
                      <w:szCs w:val="21"/>
                      <w:lang w:val="en-US" w:eastAsia="zh-CN"/>
                    </w:rPr>
                    <w:t>3</w:t>
                  </w:r>
                  <w:r>
                    <w:rPr>
                      <w:rFonts w:hint="eastAsia" w:hAnsi="宋体"/>
                      <w:color w:val="auto"/>
                      <w:szCs w:val="21"/>
                    </w:rPr>
                    <w:t>类标准</w:t>
                  </w:r>
                </w:p>
              </w:tc>
            </w:tr>
          </w:tbl>
          <w:p w14:paraId="1BF1EF49">
            <w:pPr>
              <w:widowControl/>
              <w:spacing w:line="360" w:lineRule="auto"/>
              <w:jc w:val="left"/>
              <w:rPr>
                <w:b/>
                <w:bCs/>
                <w:color w:val="auto"/>
                <w:sz w:val="24"/>
              </w:rPr>
            </w:pPr>
            <w:r>
              <w:rPr>
                <w:b/>
                <w:bCs/>
                <w:color w:val="auto"/>
                <w:kern w:val="0"/>
                <w:sz w:val="24"/>
                <w:lang w:bidi="ar"/>
              </w:rPr>
              <w:t>4.固体废物</w:t>
            </w:r>
          </w:p>
          <w:p w14:paraId="08334A6C">
            <w:pPr>
              <w:widowControl/>
              <w:spacing w:line="360" w:lineRule="auto"/>
              <w:ind w:firstLine="480" w:firstLineChars="200"/>
              <w:jc w:val="both"/>
              <w:rPr>
                <w:rFonts w:ascii="宋体" w:hAnsi="宋体" w:cs="宋体"/>
                <w:color w:val="auto"/>
                <w:kern w:val="0"/>
                <w:szCs w:val="21"/>
              </w:rPr>
            </w:pPr>
            <w:r>
              <w:rPr>
                <w:color w:val="auto"/>
                <w:kern w:val="0"/>
                <w:sz w:val="24"/>
                <w:lang w:bidi="ar"/>
              </w:rPr>
              <w:t>项目一般固废执行《一般工业固体废物贮存和填埋污染控制标准》(GB18599-2020)。危险废物贮存应符合《危险废物贮存污染控制标准》（GB18597-20</w:t>
            </w:r>
            <w:r>
              <w:rPr>
                <w:rFonts w:hint="eastAsia"/>
                <w:color w:val="auto"/>
                <w:kern w:val="0"/>
                <w:sz w:val="24"/>
                <w:lang w:bidi="ar"/>
              </w:rPr>
              <w:t>23</w:t>
            </w:r>
            <w:r>
              <w:rPr>
                <w:color w:val="auto"/>
                <w:kern w:val="0"/>
                <w:sz w:val="24"/>
                <w:lang w:bidi="ar"/>
              </w:rPr>
              <w:t>），《危险废物收集贮存运输技术规范》（HJ2025-2012）要求。</w:t>
            </w:r>
          </w:p>
          <w:p w14:paraId="3646F191">
            <w:pPr>
              <w:pStyle w:val="10"/>
              <w:rPr>
                <w:rFonts w:ascii="宋体" w:hAnsi="宋体" w:cs="宋体"/>
                <w:color w:val="auto"/>
                <w:kern w:val="0"/>
                <w:szCs w:val="21"/>
              </w:rPr>
            </w:pPr>
          </w:p>
          <w:p w14:paraId="06407A70">
            <w:pPr>
              <w:pStyle w:val="20"/>
              <w:rPr>
                <w:rFonts w:ascii="宋体" w:hAnsi="宋体" w:cs="宋体"/>
                <w:color w:val="auto"/>
                <w:kern w:val="0"/>
                <w:szCs w:val="21"/>
              </w:rPr>
            </w:pPr>
          </w:p>
          <w:p w14:paraId="122EA18E">
            <w:pPr>
              <w:pStyle w:val="20"/>
              <w:rPr>
                <w:rFonts w:ascii="宋体" w:hAnsi="宋体" w:cs="宋体"/>
                <w:color w:val="auto"/>
                <w:kern w:val="0"/>
                <w:szCs w:val="21"/>
              </w:rPr>
            </w:pPr>
          </w:p>
          <w:p w14:paraId="70C97A5A">
            <w:pPr>
              <w:pStyle w:val="20"/>
              <w:rPr>
                <w:rFonts w:ascii="宋体" w:hAnsi="宋体" w:cs="宋体"/>
                <w:color w:val="auto"/>
                <w:kern w:val="0"/>
                <w:szCs w:val="21"/>
              </w:rPr>
            </w:pPr>
          </w:p>
          <w:p w14:paraId="1CD6FA58">
            <w:pPr>
              <w:pStyle w:val="20"/>
              <w:rPr>
                <w:rFonts w:ascii="宋体" w:hAnsi="宋体" w:cs="宋体"/>
                <w:color w:val="auto"/>
                <w:kern w:val="0"/>
                <w:szCs w:val="21"/>
              </w:rPr>
            </w:pPr>
          </w:p>
        </w:tc>
      </w:tr>
      <w:tr w14:paraId="2010B2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14:paraId="3E6D056C">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总量</w:t>
            </w:r>
          </w:p>
          <w:p w14:paraId="1984F61E">
            <w:pPr>
              <w:adjustRightInd w:val="0"/>
              <w:snapToGrid w:val="0"/>
              <w:jc w:val="center"/>
              <w:rPr>
                <w:rFonts w:hint="eastAsia" w:ascii="宋体" w:hAnsi="宋体" w:cs="宋体"/>
                <w:color w:val="auto"/>
                <w:kern w:val="0"/>
                <w:szCs w:val="21"/>
              </w:rPr>
            </w:pPr>
            <w:r>
              <w:rPr>
                <w:rFonts w:hint="eastAsia" w:ascii="宋体" w:hAnsi="宋体" w:cs="宋体"/>
                <w:color w:val="auto"/>
                <w:kern w:val="0"/>
                <w:szCs w:val="21"/>
              </w:rPr>
              <w:t>控制</w:t>
            </w:r>
          </w:p>
          <w:p w14:paraId="399BBF5F">
            <w:pPr>
              <w:adjustRightInd w:val="0"/>
              <w:snapToGrid w:val="0"/>
              <w:jc w:val="center"/>
              <w:rPr>
                <w:rFonts w:ascii="宋体" w:hAnsi="宋体" w:cs="宋体"/>
                <w:color w:val="auto"/>
                <w:kern w:val="0"/>
                <w:szCs w:val="21"/>
              </w:rPr>
            </w:pPr>
            <w:r>
              <w:rPr>
                <w:rFonts w:hint="eastAsia" w:ascii="宋体" w:hAnsi="宋体" w:cs="宋体"/>
                <w:color w:val="auto"/>
                <w:kern w:val="0"/>
                <w:szCs w:val="21"/>
              </w:rPr>
              <w:t>指标</w:t>
            </w:r>
          </w:p>
        </w:tc>
        <w:tc>
          <w:tcPr>
            <w:tcW w:w="8190" w:type="dxa"/>
            <w:noWrap w:val="0"/>
            <w:vAlign w:val="center"/>
          </w:tcPr>
          <w:p w14:paraId="64F961DA">
            <w:pPr>
              <w:adjustRightInd w:val="0"/>
              <w:snapToGrid w:val="0"/>
              <w:spacing w:line="360" w:lineRule="auto"/>
              <w:ind w:firstLine="480" w:firstLineChars="200"/>
              <w:rPr>
                <w:rFonts w:hint="eastAsia" w:ascii="宋体" w:hAnsi="宋体" w:eastAsia="宋体" w:cs="宋体"/>
                <w:color w:val="auto"/>
                <w:kern w:val="0"/>
                <w:szCs w:val="21"/>
                <w:lang w:val="en-US" w:eastAsia="zh-CN"/>
              </w:rPr>
            </w:pPr>
            <w:r>
              <w:rPr>
                <w:rFonts w:hint="eastAsia" w:ascii="Times New Roman" w:hAnsi="Times New Roman" w:eastAsia="宋体" w:cs="Times New Roman"/>
                <w:color w:val="auto"/>
                <w:kern w:val="0"/>
                <w:sz w:val="24"/>
                <w:lang w:bidi="ar"/>
              </w:rPr>
              <w:t>根据国家总量控制相关要求，结合本项目厂址区域环境质量现状、外排污染物特征，本项目总量控制指标为</w:t>
            </w:r>
            <w:r>
              <w:rPr>
                <w:rFonts w:hint="eastAsia" w:ascii="Times New Roman" w:hAnsi="Times New Roman" w:eastAsia="宋体" w:cs="Times New Roman"/>
                <w:color w:val="auto"/>
                <w:kern w:val="0"/>
                <w:sz w:val="24"/>
                <w:lang w:val="en-US" w:eastAsia="zh-CN" w:bidi="ar"/>
              </w:rPr>
              <w:t>锅炉燃烧废气</w:t>
            </w:r>
            <w:r>
              <w:rPr>
                <w:rFonts w:ascii="Times New Roman" w:hAnsi="Times New Roman" w:eastAsia="宋体" w:cs="Times New Roman"/>
                <w:color w:val="auto"/>
                <w:kern w:val="0"/>
                <w:sz w:val="24"/>
                <w:lang w:bidi="ar"/>
              </w:rPr>
              <w:t>SO</w:t>
            </w:r>
            <w:r>
              <w:rPr>
                <w:rFonts w:ascii="Times New Roman" w:hAnsi="Times New Roman" w:eastAsia="宋体" w:cs="Times New Roman"/>
                <w:color w:val="auto"/>
                <w:kern w:val="0"/>
                <w:sz w:val="24"/>
                <w:vertAlign w:val="subscript"/>
                <w:lang w:bidi="ar"/>
              </w:rPr>
              <w:t>2</w:t>
            </w:r>
            <w:r>
              <w:rPr>
                <w:rFonts w:hint="eastAsia" w:ascii="Times New Roman" w:hAnsi="Times New Roman" w:eastAsia="宋体" w:cs="Times New Roman"/>
                <w:color w:val="auto"/>
                <w:kern w:val="0"/>
                <w:sz w:val="24"/>
                <w:lang w:bidi="ar"/>
              </w:rPr>
              <w:t>排放量：</w:t>
            </w:r>
            <w:r>
              <w:rPr>
                <w:rFonts w:hint="eastAsia" w:cs="Times New Roman"/>
                <w:color w:val="auto"/>
                <w:kern w:val="0"/>
                <w:sz w:val="24"/>
                <w:lang w:val="en-US" w:eastAsia="zh-CN" w:bidi="ar"/>
              </w:rPr>
              <w:t>0.024</w:t>
            </w:r>
            <w:r>
              <w:rPr>
                <w:rFonts w:ascii="Times New Roman" w:hAnsi="Times New Roman" w:eastAsia="宋体" w:cs="Times New Roman"/>
                <w:color w:val="auto"/>
                <w:kern w:val="0"/>
                <w:sz w:val="24"/>
                <w:lang w:bidi="ar"/>
              </w:rPr>
              <w:t>t/a；NOx</w:t>
            </w:r>
            <w:r>
              <w:rPr>
                <w:rFonts w:hint="eastAsia" w:ascii="Times New Roman" w:hAnsi="Times New Roman" w:eastAsia="宋体" w:cs="Times New Roman"/>
                <w:color w:val="auto"/>
                <w:kern w:val="0"/>
                <w:sz w:val="24"/>
                <w:lang w:bidi="ar"/>
              </w:rPr>
              <w:t>排放量：</w:t>
            </w:r>
            <w:r>
              <w:rPr>
                <w:rFonts w:hint="eastAsia" w:cs="Times New Roman"/>
                <w:color w:val="auto"/>
                <w:kern w:val="0"/>
                <w:sz w:val="24"/>
                <w:lang w:val="en-US" w:eastAsia="zh-CN" w:bidi="ar"/>
              </w:rPr>
              <w:t>0.139</w:t>
            </w:r>
            <w:r>
              <w:rPr>
                <w:rFonts w:ascii="Times New Roman" w:hAnsi="Times New Roman" w:eastAsia="宋体" w:cs="Times New Roman"/>
                <w:color w:val="auto"/>
                <w:kern w:val="0"/>
                <w:sz w:val="24"/>
                <w:lang w:bidi="ar"/>
              </w:rPr>
              <w:t>t/a；颗粒物</w:t>
            </w:r>
            <w:r>
              <w:rPr>
                <w:rFonts w:hint="eastAsia" w:ascii="Times New Roman" w:hAnsi="Times New Roman" w:eastAsia="宋体" w:cs="Times New Roman"/>
                <w:color w:val="auto"/>
                <w:kern w:val="0"/>
                <w:sz w:val="24"/>
                <w:lang w:bidi="ar"/>
              </w:rPr>
              <w:t>排放量：</w:t>
            </w:r>
            <w:r>
              <w:rPr>
                <w:rFonts w:hint="eastAsia" w:cs="Times New Roman"/>
                <w:color w:val="auto"/>
                <w:kern w:val="0"/>
                <w:sz w:val="24"/>
                <w:lang w:val="en-US" w:eastAsia="zh-CN" w:bidi="ar"/>
              </w:rPr>
              <w:t>1.187</w:t>
            </w:r>
            <w:r>
              <w:rPr>
                <w:rFonts w:hint="eastAsia" w:ascii="Times New Roman" w:hAnsi="Times New Roman" w:eastAsia="宋体" w:cs="Times New Roman"/>
                <w:color w:val="auto"/>
                <w:kern w:val="0"/>
                <w:sz w:val="24"/>
                <w:lang w:val="en-US" w:eastAsia="zh-CN" w:bidi="ar"/>
              </w:rPr>
              <w:t>t</w:t>
            </w:r>
            <w:r>
              <w:rPr>
                <w:rFonts w:ascii="Times New Roman" w:hAnsi="Times New Roman" w:eastAsia="宋体" w:cs="Times New Roman"/>
                <w:color w:val="auto"/>
                <w:kern w:val="0"/>
                <w:sz w:val="24"/>
                <w:lang w:bidi="ar"/>
              </w:rPr>
              <w:t>/a</w:t>
            </w:r>
            <w:r>
              <w:rPr>
                <w:rFonts w:hint="eastAsia" w:ascii="Times New Roman" w:hAnsi="Times New Roman" w:eastAsia="宋体" w:cs="Times New Roman"/>
                <w:color w:val="auto"/>
                <w:kern w:val="0"/>
                <w:sz w:val="24"/>
                <w:lang w:eastAsia="zh-CN" w:bidi="ar"/>
              </w:rPr>
              <w:t>。</w:t>
            </w:r>
            <w:r>
              <w:rPr>
                <w:rFonts w:hint="eastAsia"/>
                <w:color w:val="auto"/>
                <w:sz w:val="24"/>
                <w:szCs w:val="32"/>
                <w:highlight w:val="none"/>
              </w:rPr>
              <w:t>由于所在地为不达标区域，本项目总量控制指标实行倍量替代，其替代量为</w:t>
            </w:r>
            <w:r>
              <w:rPr>
                <w:rFonts w:ascii="Times New Roman" w:hAnsi="Times New Roman" w:eastAsia="宋体" w:cs="Times New Roman"/>
                <w:color w:val="auto"/>
                <w:kern w:val="0"/>
                <w:sz w:val="24"/>
                <w:lang w:bidi="ar"/>
              </w:rPr>
              <w:t>SO</w:t>
            </w:r>
            <w:r>
              <w:rPr>
                <w:rFonts w:ascii="Times New Roman" w:hAnsi="Times New Roman" w:eastAsia="宋体" w:cs="Times New Roman"/>
                <w:color w:val="auto"/>
                <w:kern w:val="0"/>
                <w:sz w:val="24"/>
                <w:vertAlign w:val="subscript"/>
                <w:lang w:bidi="ar"/>
              </w:rPr>
              <w:t>2</w:t>
            </w:r>
            <w:r>
              <w:rPr>
                <w:rFonts w:hint="eastAsia" w:ascii="Times New Roman" w:hAnsi="Times New Roman" w:cs="Times New Roman"/>
                <w:color w:val="auto"/>
                <w:sz w:val="24"/>
                <w:szCs w:val="32"/>
                <w:highlight w:val="none"/>
                <w:vertAlign w:val="baseline"/>
                <w:lang w:val="en-US" w:eastAsia="zh-CN"/>
              </w:rPr>
              <w:t>：</w:t>
            </w:r>
            <w:r>
              <w:rPr>
                <w:rFonts w:hint="eastAsia" w:cs="Times New Roman"/>
                <w:color w:val="auto"/>
                <w:sz w:val="24"/>
                <w:szCs w:val="32"/>
                <w:highlight w:val="none"/>
                <w:vertAlign w:val="baseline"/>
                <w:lang w:val="en-US" w:eastAsia="zh-CN"/>
              </w:rPr>
              <w:t>0.048</w:t>
            </w:r>
            <w:r>
              <w:rPr>
                <w:rFonts w:hint="eastAsia"/>
                <w:color w:val="auto"/>
                <w:sz w:val="24"/>
                <w:szCs w:val="32"/>
                <w:highlight w:val="none"/>
              </w:rPr>
              <w:t>t/a</w:t>
            </w:r>
            <w:r>
              <w:rPr>
                <w:rFonts w:hint="eastAsia"/>
                <w:color w:val="auto"/>
                <w:sz w:val="24"/>
                <w:szCs w:val="32"/>
                <w:highlight w:val="none"/>
                <w:lang w:val="en-US" w:eastAsia="zh-CN"/>
              </w:rPr>
              <w:t>，</w:t>
            </w:r>
            <w:r>
              <w:rPr>
                <w:rFonts w:ascii="Times New Roman" w:hAnsi="Times New Roman" w:eastAsia="宋体" w:cs="Times New Roman"/>
                <w:color w:val="auto"/>
                <w:kern w:val="0"/>
                <w:sz w:val="24"/>
                <w:lang w:bidi="ar"/>
              </w:rPr>
              <w:t>NOx</w:t>
            </w:r>
            <w:r>
              <w:rPr>
                <w:rFonts w:hint="eastAsia" w:ascii="Times New Roman" w:hAnsi="Times New Roman" w:eastAsia="宋体" w:cs="Times New Roman"/>
                <w:color w:val="auto"/>
                <w:kern w:val="0"/>
                <w:sz w:val="24"/>
                <w:lang w:bidi="ar"/>
              </w:rPr>
              <w:t>：</w:t>
            </w:r>
            <w:r>
              <w:rPr>
                <w:rFonts w:hint="eastAsia" w:cs="Times New Roman"/>
                <w:color w:val="auto"/>
                <w:kern w:val="0"/>
                <w:sz w:val="24"/>
                <w:lang w:val="en-US" w:eastAsia="zh-CN" w:bidi="ar"/>
              </w:rPr>
              <w:t>0.278</w:t>
            </w:r>
            <w:r>
              <w:rPr>
                <w:rFonts w:ascii="Times New Roman" w:hAnsi="Times New Roman" w:eastAsia="宋体" w:cs="Times New Roman"/>
                <w:color w:val="auto"/>
                <w:kern w:val="0"/>
                <w:sz w:val="24"/>
                <w:lang w:bidi="ar"/>
              </w:rPr>
              <w:t>t/a</w:t>
            </w:r>
            <w:r>
              <w:rPr>
                <w:rFonts w:hint="eastAsia" w:ascii="Times New Roman" w:hAnsi="Times New Roman" w:eastAsia="宋体" w:cs="Times New Roman"/>
                <w:color w:val="auto"/>
                <w:kern w:val="0"/>
                <w:sz w:val="24"/>
                <w:lang w:eastAsia="zh-CN" w:bidi="ar"/>
              </w:rPr>
              <w:t>，</w:t>
            </w:r>
            <w:r>
              <w:rPr>
                <w:rFonts w:ascii="Times New Roman" w:hAnsi="Times New Roman" w:eastAsia="宋体" w:cs="Times New Roman"/>
                <w:color w:val="auto"/>
                <w:kern w:val="0"/>
                <w:sz w:val="24"/>
                <w:lang w:bidi="ar"/>
              </w:rPr>
              <w:t>颗粒物</w:t>
            </w:r>
            <w:r>
              <w:rPr>
                <w:rFonts w:hint="eastAsia" w:ascii="Times New Roman" w:hAnsi="Times New Roman" w:eastAsia="宋体" w:cs="Times New Roman"/>
                <w:color w:val="auto"/>
                <w:kern w:val="0"/>
                <w:sz w:val="24"/>
                <w:lang w:bidi="ar"/>
              </w:rPr>
              <w:t>：</w:t>
            </w:r>
            <w:r>
              <w:rPr>
                <w:rFonts w:hint="eastAsia" w:cs="Times New Roman"/>
                <w:color w:val="auto"/>
                <w:kern w:val="0"/>
                <w:sz w:val="24"/>
                <w:lang w:val="en-US" w:eastAsia="zh-CN" w:bidi="ar"/>
              </w:rPr>
              <w:t>2.374</w:t>
            </w:r>
            <w:r>
              <w:rPr>
                <w:rFonts w:hint="eastAsia" w:ascii="Times New Roman" w:hAnsi="Times New Roman" w:eastAsia="宋体" w:cs="Times New Roman"/>
                <w:color w:val="auto"/>
                <w:kern w:val="0"/>
                <w:sz w:val="24"/>
                <w:lang w:val="en-US" w:eastAsia="zh-CN" w:bidi="ar"/>
              </w:rPr>
              <w:t>t</w:t>
            </w:r>
            <w:r>
              <w:rPr>
                <w:rFonts w:ascii="Times New Roman" w:hAnsi="Times New Roman" w:eastAsia="宋体" w:cs="Times New Roman"/>
                <w:color w:val="auto"/>
                <w:kern w:val="0"/>
                <w:sz w:val="24"/>
                <w:lang w:bidi="ar"/>
              </w:rPr>
              <w:t>/a</w:t>
            </w:r>
            <w:r>
              <w:rPr>
                <w:rFonts w:hint="eastAsia"/>
                <w:color w:val="auto"/>
                <w:sz w:val="24"/>
                <w:szCs w:val="32"/>
                <w:highlight w:val="none"/>
              </w:rPr>
              <w:t>。</w:t>
            </w:r>
          </w:p>
        </w:tc>
      </w:tr>
    </w:tbl>
    <w:p w14:paraId="40B802DE">
      <w:pPr>
        <w:pStyle w:val="21"/>
        <w:jc w:val="center"/>
        <w:outlineLvl w:val="0"/>
        <w:rPr>
          <w:rFonts w:ascii="黑体" w:hAnsi="黑体" w:eastAsia="黑体"/>
          <w:snapToGrid w:val="0"/>
          <w:color w:val="auto"/>
          <w:sz w:val="30"/>
          <w:szCs w:val="30"/>
        </w:rPr>
      </w:pPr>
      <w:r>
        <w:rPr>
          <w:rFonts w:ascii="黑体" w:hAnsi="黑体" w:eastAsia="黑体"/>
          <w:snapToGrid w:val="0"/>
          <w:color w:val="auto"/>
          <w:sz w:val="36"/>
          <w:szCs w:val="36"/>
        </w:rPr>
        <w:br w:type="page"/>
      </w:r>
      <w:r>
        <w:rPr>
          <w:rFonts w:hint="eastAsia" w:ascii="黑体" w:hAnsi="黑体" w:eastAsia="黑体"/>
          <w:snapToGrid w:val="0"/>
          <w:color w:val="auto"/>
          <w:sz w:val="30"/>
          <w:szCs w:val="30"/>
        </w:rPr>
        <w:t>四、主要环境影响和保护措施</w:t>
      </w:r>
    </w:p>
    <w:tbl>
      <w:tblPr>
        <w:tblStyle w:val="2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4"/>
        <w:gridCol w:w="8357"/>
      </w:tblGrid>
      <w:tr w14:paraId="110BB4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89" w:hRule="atLeast"/>
          <w:jc w:val="center"/>
        </w:trPr>
        <w:tc>
          <w:tcPr>
            <w:tcW w:w="624" w:type="dxa"/>
            <w:noWrap w:val="0"/>
            <w:tcMar>
              <w:left w:w="28" w:type="dxa"/>
              <w:right w:w="28" w:type="dxa"/>
            </w:tcMar>
            <w:vAlign w:val="center"/>
          </w:tcPr>
          <w:p w14:paraId="68F80D4E">
            <w:pPr>
              <w:pStyle w:val="21"/>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施工</w:t>
            </w:r>
          </w:p>
          <w:p w14:paraId="3C8BF98A">
            <w:pPr>
              <w:pStyle w:val="21"/>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期环</w:t>
            </w:r>
          </w:p>
          <w:p w14:paraId="1CEA5569">
            <w:pPr>
              <w:pStyle w:val="21"/>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境保</w:t>
            </w:r>
          </w:p>
          <w:p w14:paraId="13C13AD9">
            <w:pPr>
              <w:pStyle w:val="21"/>
              <w:adjustRightInd w:val="0"/>
              <w:snapToGrid w:val="0"/>
              <w:spacing w:before="0" w:beforeAutospacing="0" w:after="0" w:afterAutospacing="0"/>
              <w:jc w:val="center"/>
              <w:rPr>
                <w:rFonts w:hint="eastAsia" w:cs="宋体"/>
                <w:color w:val="auto"/>
                <w:kern w:val="2"/>
                <w:sz w:val="21"/>
                <w:szCs w:val="21"/>
              </w:rPr>
            </w:pPr>
            <w:r>
              <w:rPr>
                <w:rFonts w:hint="eastAsia" w:cs="宋体"/>
                <w:color w:val="auto"/>
                <w:kern w:val="2"/>
                <w:sz w:val="21"/>
                <w:szCs w:val="21"/>
              </w:rPr>
              <w:t>护措</w:t>
            </w:r>
          </w:p>
          <w:p w14:paraId="7B72E0A1">
            <w:pPr>
              <w:pStyle w:val="21"/>
              <w:adjustRightInd w:val="0"/>
              <w:snapToGrid w:val="0"/>
              <w:spacing w:before="0" w:beforeAutospacing="0" w:after="0" w:afterAutospacing="0"/>
              <w:jc w:val="center"/>
              <w:rPr>
                <w:rFonts w:hint="eastAsia" w:cs="宋体"/>
                <w:bCs/>
                <w:color w:val="auto"/>
                <w:kern w:val="2"/>
                <w:sz w:val="21"/>
                <w:szCs w:val="21"/>
              </w:rPr>
            </w:pPr>
            <w:r>
              <w:rPr>
                <w:rFonts w:hint="eastAsia" w:cs="宋体"/>
                <w:color w:val="auto"/>
                <w:kern w:val="2"/>
                <w:sz w:val="21"/>
                <w:szCs w:val="21"/>
              </w:rPr>
              <w:t>施</w:t>
            </w:r>
          </w:p>
        </w:tc>
        <w:tc>
          <w:tcPr>
            <w:tcW w:w="8357" w:type="dxa"/>
            <w:noWrap w:val="0"/>
            <w:vAlign w:val="center"/>
          </w:tcPr>
          <w:p w14:paraId="6BCF554A">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宋体" w:hAnsi="宋体" w:eastAsia="宋体" w:cs="宋体"/>
                <w:color w:val="auto"/>
                <w:spacing w:val="-1"/>
                <w:lang w:val="en-US"/>
              </w:rPr>
            </w:pPr>
            <w:r>
              <w:rPr>
                <w:rFonts w:ascii="宋体" w:hAnsi="宋体" w:eastAsia="宋体" w:cs="宋体"/>
                <w:color w:val="auto"/>
                <w:spacing w:val="-1"/>
              </w:rPr>
              <w:t>因本项目为租用</w:t>
            </w:r>
            <w:r>
              <w:rPr>
                <w:rFonts w:hint="default" w:ascii="宋体" w:hAnsi="宋体" w:eastAsia="宋体" w:cs="宋体"/>
                <w:color w:val="auto"/>
                <w:spacing w:val="-1"/>
                <w:lang w:eastAsia="zh-Hans"/>
              </w:rPr>
              <w:t>吉木萨尔县北庭工业园</w:t>
            </w:r>
            <w:r>
              <w:rPr>
                <w:rFonts w:hint="eastAsia" w:ascii="宋体" w:hAnsi="宋体" w:eastAsia="宋体" w:cs="宋体"/>
                <w:color w:val="auto"/>
                <w:spacing w:val="-1"/>
                <w:lang w:val="en-US" w:eastAsia="zh-CN"/>
              </w:rPr>
              <w:t>原</w:t>
            </w:r>
            <w:r>
              <w:rPr>
                <w:rFonts w:hint="default" w:ascii="宋体" w:hAnsi="宋体" w:eastAsia="宋体" w:cs="宋体"/>
                <w:color w:val="auto"/>
                <w:spacing w:val="-1"/>
                <w:lang w:eastAsia="zh-Hans"/>
              </w:rPr>
              <w:t>善成厂区内</w:t>
            </w:r>
            <w:r>
              <w:rPr>
                <w:rFonts w:ascii="宋体" w:hAnsi="宋体" w:eastAsia="宋体" w:cs="宋体"/>
                <w:color w:val="auto"/>
                <w:spacing w:val="-1"/>
              </w:rPr>
              <w:t>现有场地、厂房进行建设，大部分施工已完成，目前主要为设备运输、安装和部分改造，施工期排放的粉尘均属无组织排放，</w:t>
            </w:r>
            <w:r>
              <w:rPr>
                <w:rFonts w:hint="eastAsia" w:ascii="宋体" w:hAnsi="宋体" w:eastAsia="宋体" w:cs="宋体"/>
                <w:color w:val="auto"/>
                <w:spacing w:val="-1"/>
                <w:lang w:val="en-US" w:eastAsia="zh-CN"/>
              </w:rPr>
              <w:t>计划施工时间为1月，完工时间为6月，计划投产时间为6月。</w:t>
            </w:r>
            <w:r>
              <w:rPr>
                <w:rFonts w:ascii="宋体" w:hAnsi="宋体" w:eastAsia="宋体" w:cs="宋体"/>
                <w:color w:val="auto"/>
                <w:spacing w:val="-1"/>
              </w:rPr>
              <w:t>施工期</w:t>
            </w:r>
            <w:r>
              <w:rPr>
                <w:rFonts w:hint="eastAsia" w:ascii="宋体" w:hAnsi="宋体" w:eastAsia="宋体" w:cs="宋体"/>
                <w:color w:val="auto"/>
                <w:spacing w:val="-1"/>
                <w:lang w:val="en-US" w:eastAsia="zh-CN"/>
              </w:rPr>
              <w:t>为六个月</w:t>
            </w:r>
            <w:r>
              <w:rPr>
                <w:rFonts w:hint="eastAsia" w:cs="宋体"/>
                <w:color w:val="auto"/>
                <w:spacing w:val="-1"/>
                <w:lang w:val="en-US" w:eastAsia="zh-CN"/>
              </w:rPr>
              <w:t>。</w:t>
            </w:r>
          </w:p>
          <w:p w14:paraId="67B99BE8">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rPr>
                <w:rFonts w:hint="default" w:ascii="Times New Roman" w:hAnsi="Times New Roman" w:cs="Times New Roman"/>
                <w:b/>
                <w:bCs w:val="0"/>
                <w:color w:val="auto"/>
                <w:spacing w:val="-10"/>
                <w:sz w:val="24"/>
                <w:szCs w:val="24"/>
              </w:rPr>
            </w:pPr>
            <w:r>
              <w:rPr>
                <w:rFonts w:hint="default" w:ascii="Times New Roman" w:hAnsi="Times New Roman" w:cs="Times New Roman"/>
                <w:b/>
                <w:bCs w:val="0"/>
                <w:color w:val="auto"/>
                <w:spacing w:val="-10"/>
                <w:sz w:val="24"/>
                <w:szCs w:val="24"/>
              </w:rPr>
              <w:t>1.大气环境影响分析</w:t>
            </w:r>
          </w:p>
          <w:p w14:paraId="76AD03E3">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（1）施工扬尘影响分析</w:t>
            </w:r>
          </w:p>
          <w:p w14:paraId="145A35D1">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因本项目施工期</w:t>
            </w:r>
            <w:r>
              <w:rPr>
                <w:rFonts w:hint="eastAsia" w:cs="宋体"/>
                <w:color w:val="auto"/>
                <w:spacing w:val="-1"/>
                <w:lang w:val="en-US" w:eastAsia="zh-CN"/>
              </w:rPr>
              <w:t>为六个月，</w:t>
            </w:r>
            <w:r>
              <w:rPr>
                <w:rFonts w:ascii="宋体" w:hAnsi="宋体" w:eastAsia="宋体" w:cs="宋体"/>
                <w:color w:val="auto"/>
                <w:spacing w:val="-1"/>
              </w:rPr>
              <w:t>必须采取一些必要的管理措施与工程措施，施工期对大气影响较小。</w:t>
            </w:r>
          </w:p>
          <w:p w14:paraId="1D5C3214">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（2）施工扬尘防护措施</w:t>
            </w:r>
          </w:p>
          <w:p w14:paraId="3631EA6E">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①必须湿法作业，定时对施工现场进行洒水处理；必须配齐保洁人员，定时清扫现场；</w:t>
            </w:r>
          </w:p>
          <w:p w14:paraId="6265E2C0">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②施工期间，应在物料、渣土、垃圾运输车辆的出口内侧设置洗车平台，车辆驶离工地前，应在洗车平台清洗轮胎及车身，不得带泥上路。洗车平台四周应设置防溢座、废水收集池等其它防治设施，收集洗车、施工以及降水过程中产生的废水和泥浆。工地出口处铺装道路上可见粘带泥土不得超过</w:t>
            </w:r>
            <w:r>
              <w:rPr>
                <w:rFonts w:hint="default" w:ascii="Times New Roman" w:hAnsi="Times New Roman" w:eastAsia="宋体" w:cs="Times New Roman"/>
                <w:color w:val="auto"/>
                <w:spacing w:val="-1"/>
              </w:rPr>
              <w:t>10</w:t>
            </w:r>
            <w:r>
              <w:rPr>
                <w:rFonts w:ascii="宋体" w:hAnsi="宋体" w:eastAsia="宋体" w:cs="宋体"/>
                <w:color w:val="auto"/>
                <w:spacing w:val="-1"/>
              </w:rPr>
              <w:t>米，并应及时清扫冲洗。</w:t>
            </w:r>
          </w:p>
          <w:p w14:paraId="20B64C65">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③可采用吸尘或水冲洗的方法清洁施工工地道路积尘，不得在未实施洒水等抑尘措施情况下进行直接清扫。通过落实上述措施后对项目周边环境影响较小。故项目的施工、运输扬尘对环境的影响较小。</w:t>
            </w:r>
          </w:p>
          <w:p w14:paraId="556F6350">
            <w:pPr>
              <w:adjustRightInd w:val="0"/>
              <w:snapToGrid w:val="0"/>
              <w:spacing w:line="360" w:lineRule="auto"/>
              <w:jc w:val="left"/>
              <w:rPr>
                <w:rFonts w:hint="default" w:ascii="Times New Roman" w:hAnsi="Times New Roman" w:cs="Times New Roman"/>
                <w:b/>
                <w:bCs w:val="0"/>
                <w:color w:val="auto"/>
                <w:spacing w:val="-10"/>
                <w:sz w:val="24"/>
                <w:szCs w:val="24"/>
              </w:rPr>
            </w:pPr>
            <w:r>
              <w:rPr>
                <w:rFonts w:hint="default" w:ascii="Times New Roman" w:hAnsi="Times New Roman" w:cs="Times New Roman"/>
                <w:b/>
                <w:bCs w:val="0"/>
                <w:color w:val="auto"/>
                <w:spacing w:val="-10"/>
                <w:sz w:val="24"/>
                <w:szCs w:val="24"/>
              </w:rPr>
              <w:t>2.水环境影响分析</w:t>
            </w:r>
          </w:p>
          <w:p w14:paraId="415BD0FB">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（1）施工期水环境影响分析</w:t>
            </w:r>
          </w:p>
          <w:p w14:paraId="6319E10D">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施工期产生的废水主要来自施工人员的生活污水以及生产废水。生产废水主要为设备车辆冲洗水，这些废水中主要含泥沙和</w:t>
            </w:r>
            <w:r>
              <w:rPr>
                <w:rFonts w:hint="default" w:ascii="Times New Roman" w:hAnsi="Times New Roman" w:eastAsia="宋体" w:cs="Times New Roman"/>
                <w:color w:val="auto"/>
                <w:spacing w:val="-1"/>
              </w:rPr>
              <w:t>SS</w:t>
            </w:r>
            <w:r>
              <w:rPr>
                <w:rFonts w:ascii="宋体" w:hAnsi="宋体" w:eastAsia="宋体" w:cs="宋体"/>
                <w:color w:val="auto"/>
                <w:spacing w:val="-1"/>
              </w:rPr>
              <w:t>，基本无其他有机污染物。</w:t>
            </w:r>
          </w:p>
          <w:p w14:paraId="460DAC2C">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（2）水污染防治措施</w:t>
            </w:r>
          </w:p>
          <w:p w14:paraId="66D6C2D8">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ascii="宋体" w:hAnsi="宋体" w:eastAsia="宋体" w:cs="宋体"/>
                <w:color w:val="auto"/>
                <w:spacing w:val="-1"/>
              </w:rPr>
            </w:pPr>
            <w:r>
              <w:rPr>
                <w:rFonts w:ascii="宋体" w:hAnsi="宋体" w:eastAsia="宋体" w:cs="宋体"/>
                <w:color w:val="auto"/>
                <w:spacing w:val="-1"/>
              </w:rPr>
              <w:t>同时为了防止对环境的污染，建设单位应与施工单位密切配合，采取以下措施：</w:t>
            </w:r>
          </w:p>
          <w:p w14:paraId="170A241D">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ascii="宋体" w:hAnsi="宋体" w:eastAsia="宋体" w:cs="宋体"/>
                <w:color w:val="auto"/>
                <w:spacing w:val="-1"/>
              </w:rPr>
              <w:t>①施工期间，施工单位应严格执行《建设工程施工场地文明施工及环境管</w:t>
            </w:r>
            <w:r>
              <w:rPr>
                <w:rFonts w:hint="eastAsia" w:ascii="宋体" w:hAnsi="宋体" w:eastAsia="宋体" w:cs="宋体"/>
                <w:color w:val="auto"/>
                <w:spacing w:val="-1"/>
                <w:lang w:val="en-US" w:eastAsia="zh-CN"/>
              </w:rPr>
              <w:t>理暂行规定》，对排水进行收集处理，严禁乱排、乱流污染道路环境；</w:t>
            </w:r>
          </w:p>
          <w:p w14:paraId="05FC43C5">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②加强施工机械设备的维修保养，避免在施工过程中燃料油的跑、冒、滴、漏；</w:t>
            </w:r>
          </w:p>
          <w:p w14:paraId="6A2129D1">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③施工时产生的泥水未经处理不得随意排放，不得污染现场及周围环境；</w:t>
            </w:r>
          </w:p>
          <w:p w14:paraId="01385E21">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宋体" w:hAnsi="宋体" w:eastAsia="宋体" w:cs="宋体"/>
                <w:color w:val="auto"/>
                <w:spacing w:val="-1"/>
                <w:lang w:val="en-US" w:eastAsia="zh-CN"/>
              </w:rPr>
            </w:pPr>
            <w:r>
              <w:rPr>
                <w:rFonts w:hint="eastAsia" w:ascii="宋体" w:hAnsi="宋体" w:eastAsia="宋体" w:cs="宋体"/>
                <w:color w:val="auto"/>
                <w:spacing w:val="-1"/>
                <w:lang w:val="en-US" w:eastAsia="zh-CN"/>
              </w:rPr>
              <w:t>④不得随意在施工区域内冲洗汽车，对施工机械进行检修和清洗时必须定点，清洗污水应根据废水性质进行隔渣、隔油和沉淀处理后回用；</w:t>
            </w:r>
            <w:r>
              <w:rPr>
                <w:rFonts w:hint="eastAsia" w:cs="宋体"/>
                <w:color w:val="auto"/>
                <w:spacing w:val="-1"/>
                <w:lang w:val="en-US" w:eastAsia="zh-CN"/>
              </w:rPr>
              <w:t>施工前先建设沉淀池，清洗废水排入沉淀池后循环使用。</w:t>
            </w:r>
          </w:p>
          <w:p w14:paraId="01639C2F">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⑤施工人员的生活污水，不得随地倾倒，以防污染地下水，生活污水排入园区下水管网</w:t>
            </w:r>
            <w:r>
              <w:rPr>
                <w:rFonts w:hint="eastAsia" w:cs="宋体"/>
                <w:color w:val="auto"/>
                <w:spacing w:val="-1"/>
                <w:lang w:val="en-US" w:eastAsia="zh-CN"/>
              </w:rPr>
              <w:t>，</w:t>
            </w:r>
            <w:r>
              <w:rPr>
                <w:rFonts w:hint="default" w:ascii="宋体" w:hAnsi="宋体" w:eastAsia="宋体" w:cs="宋体"/>
                <w:color w:val="auto"/>
                <w:spacing w:val="-1"/>
                <w:lang w:val="en-US" w:eastAsia="zh-CN"/>
              </w:rPr>
              <w:t>最终排入</w:t>
            </w:r>
            <w:r>
              <w:rPr>
                <w:rFonts w:hint="eastAsia" w:ascii="宋体" w:hAnsi="宋体" w:eastAsia="宋体" w:cs="宋体"/>
                <w:color w:val="auto"/>
                <w:spacing w:val="-1"/>
                <w:lang w:val="en-US" w:eastAsia="zh-CN"/>
              </w:rPr>
              <w:t>吉木萨尔县第二污水处理厂</w:t>
            </w:r>
            <w:r>
              <w:rPr>
                <w:rFonts w:hint="default" w:ascii="宋体" w:hAnsi="宋体" w:eastAsia="宋体" w:cs="宋体"/>
                <w:color w:val="auto"/>
                <w:spacing w:val="-1"/>
                <w:lang w:val="en-US" w:eastAsia="zh-CN"/>
              </w:rPr>
              <w:t>进行处理</w:t>
            </w:r>
            <w:r>
              <w:rPr>
                <w:rFonts w:hint="eastAsia" w:ascii="Times New Roman" w:hAnsi="Times New Roman" w:cs="Times New Roman"/>
                <w:color w:val="auto"/>
                <w:sz w:val="21"/>
                <w:szCs w:val="21"/>
                <w:highlight w:val="none"/>
                <w:lang w:val="en-US" w:eastAsia="zh-CN"/>
              </w:rPr>
              <w:t>。</w:t>
            </w:r>
          </w:p>
          <w:p w14:paraId="02ABB24F">
            <w:pPr>
              <w:adjustRightInd w:val="0"/>
              <w:snapToGrid w:val="0"/>
              <w:spacing w:line="360" w:lineRule="auto"/>
              <w:jc w:val="left"/>
              <w:rPr>
                <w:rFonts w:hint="default" w:ascii="Times New Roman" w:hAnsi="Times New Roman" w:cs="Times New Roman"/>
                <w:b/>
                <w:bCs w:val="0"/>
                <w:color w:val="auto"/>
                <w:spacing w:val="-10"/>
                <w:sz w:val="24"/>
                <w:szCs w:val="24"/>
              </w:rPr>
            </w:pPr>
            <w:r>
              <w:rPr>
                <w:rFonts w:hint="default" w:ascii="Times New Roman" w:hAnsi="Times New Roman" w:cs="Times New Roman"/>
                <w:b/>
                <w:bCs w:val="0"/>
                <w:color w:val="auto"/>
                <w:spacing w:val="-10"/>
                <w:sz w:val="24"/>
                <w:szCs w:val="24"/>
              </w:rPr>
              <w:t>3.噪声环境影响分析</w:t>
            </w:r>
          </w:p>
          <w:p w14:paraId="69625583">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（1）施工期噪声影响分析</w:t>
            </w:r>
          </w:p>
          <w:p w14:paraId="44392B9E">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本项目施工期噪声主要来源于运输车辆、挖掘机等机械设备。建筑施工噪声为间断性噪声，声级值较高。根据本项目特征及施工机械产噪机理、特征，其对周围环境的影响有三个特点：</w:t>
            </w:r>
          </w:p>
          <w:p w14:paraId="4CFCBFA9">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①本工程非特殊工程，不需特殊的施工机械，施工过程中使用的施工机械所产生的噪声主要属于中低频噪声。</w:t>
            </w:r>
          </w:p>
          <w:p w14:paraId="5D78DE71">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②安装期大部分声源在室内，施工期声源皆在室外，影响范围较远。</w:t>
            </w:r>
          </w:p>
          <w:p w14:paraId="3853E893">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③施工噪声污染特点是短期和暂时性的，一旦施工停止，施工噪声影响将随之消失。</w:t>
            </w:r>
          </w:p>
          <w:p w14:paraId="13B65E3E">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综合分析，施工噪声具有阶段性、临时性和不固定性，不同的施工设备产生的噪声强度不同，在多台机械设备同时作业时，各台设备产生的噪声会产生叠加，根据类比调查，叠加后的噪声增值约为3～8dB（A）。施工单位应加强施工期噪声的控制，避免高噪声设备同时施工，在施工作业中必须合理安排各类施工机械的作业时间，尤其是夜间（22：00～次日6：00）严禁强噪声机械进行施工，同时对不同施工阶段，应按《建筑施工场界环境噪声排放标准》（G B12523-2011）对施工场界进行噪声控制，以减少施工期噪声对周围环境的影响。</w:t>
            </w:r>
          </w:p>
          <w:p w14:paraId="7AEACB05">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（2）施工噪声防护措施</w:t>
            </w:r>
          </w:p>
          <w:p w14:paraId="34049D8E">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①工地四周修建临时隔声墙。</w:t>
            </w:r>
          </w:p>
          <w:p w14:paraId="070E0737">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②合理安排施工作业时间，严禁在12：00～14：00和22：00～6：00期间施工。施工时必须选择产噪小的施工机械和工况，并做好隔声，消声处理，确保工地场界外噪声符合标准限值。</w:t>
            </w:r>
          </w:p>
          <w:p w14:paraId="1BAB4829">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③尽量选用低噪声机械设备或带隔声、消声的设备。</w:t>
            </w:r>
          </w:p>
          <w:p w14:paraId="20595704">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④对高噪声设备安装挡板、底座等设施进行隔音降噪。</w:t>
            </w:r>
          </w:p>
          <w:p w14:paraId="3C131A7F">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⑤做好施工机械的维护和保养，有效降低机械设备运转的噪声源强。</w:t>
            </w:r>
          </w:p>
          <w:p w14:paraId="46824B18">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⑥合理安排强噪声施工机械的工作频次，合理调配车辆来往行车密度。</w:t>
            </w:r>
          </w:p>
          <w:p w14:paraId="5B09AF51">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eastAsia="宋体" w:cs="Times New Roman"/>
                <w:color w:val="auto"/>
                <w:spacing w:val="-1"/>
                <w:lang w:val="en-US" w:eastAsia="zh-CN"/>
              </w:rPr>
            </w:pPr>
            <w:r>
              <w:rPr>
                <w:rFonts w:hint="default" w:ascii="Times New Roman" w:hAnsi="Times New Roman" w:eastAsia="宋体" w:cs="Times New Roman"/>
                <w:color w:val="auto"/>
                <w:spacing w:val="-1"/>
                <w:lang w:val="en-US" w:eastAsia="zh-CN"/>
              </w:rPr>
              <w:t>⑦做好劳动保护工作，为强噪声源施工机械操作人员配备必要的防护耳塞或耳罩。施工期的噪声影响是暂时的，将随着施工的结束而消失，在做好施工期的噪声防护的情况下，其影响较小。</w:t>
            </w:r>
          </w:p>
          <w:p w14:paraId="6E9565A3">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Times New Roman" w:hAnsi="Times New Roman" w:cs="Times New Roman"/>
                <w:b/>
                <w:bCs w:val="0"/>
                <w:color w:val="auto"/>
                <w:spacing w:val="-10"/>
                <w:sz w:val="24"/>
                <w:szCs w:val="24"/>
              </w:rPr>
            </w:pPr>
            <w:r>
              <w:rPr>
                <w:rFonts w:hint="default" w:ascii="Times New Roman" w:hAnsi="Times New Roman" w:cs="Times New Roman"/>
                <w:b/>
                <w:bCs w:val="0"/>
                <w:color w:val="auto"/>
                <w:spacing w:val="-10"/>
                <w:sz w:val="24"/>
                <w:szCs w:val="24"/>
              </w:rPr>
              <w:t>4.固体废物环境影响分析</w:t>
            </w:r>
          </w:p>
          <w:p w14:paraId="25449DC7">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宋体" w:hAnsi="宋体" w:eastAsia="宋体" w:cs="宋体"/>
                <w:color w:val="auto"/>
                <w:spacing w:val="-1"/>
                <w:lang w:val="en-US" w:eastAsia="zh-CN"/>
              </w:rPr>
            </w:pPr>
            <w:r>
              <w:rPr>
                <w:rFonts w:hint="default" w:ascii="宋体" w:hAnsi="宋体" w:eastAsia="宋体" w:cs="宋体"/>
                <w:color w:val="auto"/>
                <w:spacing w:val="-1"/>
                <w:lang w:val="en-US" w:eastAsia="zh-CN"/>
              </w:rPr>
              <w:t>施工期固体废物主要来自于施工过程中产生的</w:t>
            </w:r>
            <w:r>
              <w:rPr>
                <w:rFonts w:hint="eastAsia" w:ascii="宋体" w:hAnsi="宋体" w:eastAsia="宋体" w:cs="宋体"/>
                <w:color w:val="auto"/>
                <w:spacing w:val="-1"/>
                <w:lang w:val="en-US" w:eastAsia="zh-CN"/>
              </w:rPr>
              <w:t>包装材料</w:t>
            </w:r>
            <w:r>
              <w:rPr>
                <w:rFonts w:hint="default" w:ascii="宋体" w:hAnsi="宋体" w:eastAsia="宋体" w:cs="宋体"/>
                <w:color w:val="auto"/>
                <w:spacing w:val="-1"/>
                <w:lang w:val="en-US" w:eastAsia="zh-CN"/>
              </w:rPr>
              <w:t>以及施工人员产生的生活垃圾</w:t>
            </w:r>
            <w:r>
              <w:rPr>
                <w:rFonts w:hint="eastAsia" w:cs="宋体"/>
                <w:color w:val="auto"/>
                <w:spacing w:val="-1"/>
                <w:lang w:val="en-US" w:eastAsia="zh-CN"/>
              </w:rPr>
              <w:t>和建筑垃圾</w:t>
            </w:r>
            <w:r>
              <w:rPr>
                <w:rFonts w:hint="default" w:ascii="宋体" w:hAnsi="宋体" w:eastAsia="宋体" w:cs="宋体"/>
                <w:color w:val="auto"/>
                <w:spacing w:val="-1"/>
                <w:lang w:val="en-US" w:eastAsia="zh-CN"/>
              </w:rPr>
              <w:t>。</w:t>
            </w:r>
          </w:p>
          <w:p w14:paraId="5216D005">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①包装材料：项目工程建设、装修过程产生的装饰材料包装等包装袋，可回收利用的作为废品出售，不可回收利用的作为不可重复利用建筑垃圾处理。</w:t>
            </w:r>
          </w:p>
          <w:p w14:paraId="11DF2500">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②生活垃圾：禁止乱堆乱放，集中收集后定期清运，能够全部处理。生活来及收集后由环卫部门统一收集后清运至当地垃圾填埋场集中处置。</w:t>
            </w:r>
          </w:p>
          <w:p w14:paraId="6D506597">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宋体" w:hAnsi="宋体" w:eastAsia="宋体" w:cs="宋体"/>
                <w:color w:val="auto"/>
                <w:spacing w:val="-1"/>
                <w:lang w:val="en-US" w:eastAsia="zh-CN"/>
              </w:rPr>
            </w:pPr>
            <w:r>
              <w:rPr>
                <w:rFonts w:hint="eastAsia" w:cs="宋体"/>
                <w:color w:val="auto"/>
                <w:spacing w:val="-1"/>
                <w:lang w:val="en-US" w:eastAsia="zh-CN"/>
              </w:rPr>
              <w:t>③建筑垃圾：禁止建筑垃圾随意堆放及处置。施工完毕后，统一收集所有建筑垃圾拉运至北三台固废垃圾填埋场。</w:t>
            </w:r>
          </w:p>
          <w:p w14:paraId="13C67387">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default" w:ascii="宋体" w:hAnsi="宋体" w:eastAsia="宋体" w:cs="宋体"/>
                <w:color w:val="auto"/>
                <w:spacing w:val="-1"/>
                <w:lang w:val="en-US" w:eastAsia="zh-CN"/>
              </w:rPr>
            </w:pPr>
            <w:r>
              <w:rPr>
                <w:rFonts w:hint="default" w:ascii="宋体" w:hAnsi="宋体" w:eastAsia="宋体" w:cs="宋体"/>
                <w:color w:val="auto"/>
                <w:spacing w:val="-1"/>
                <w:lang w:val="en-US" w:eastAsia="zh-CN"/>
              </w:rPr>
              <w:t>综上所述，采取以上措施后，项目施工期产生的固体废物对周围环境影响较小。</w:t>
            </w:r>
          </w:p>
          <w:p w14:paraId="29BECBA9">
            <w:pPr>
              <w:topLinePunct/>
              <w:adjustRightInd w:val="0"/>
              <w:spacing w:line="520" w:lineRule="exact"/>
              <w:ind w:firstLine="482" w:firstLineChars="200"/>
              <w:rPr>
                <w:b/>
                <w:color w:val="auto"/>
                <w:sz w:val="24"/>
              </w:rPr>
            </w:pPr>
            <w:r>
              <w:rPr>
                <w:b/>
                <w:color w:val="auto"/>
                <w:sz w:val="24"/>
              </w:rPr>
              <w:t>5</w:t>
            </w:r>
            <w:r>
              <w:rPr>
                <w:rFonts w:hint="eastAsia"/>
                <w:b/>
                <w:color w:val="auto"/>
                <w:sz w:val="24"/>
              </w:rPr>
              <w:t>.</w:t>
            </w:r>
            <w:r>
              <w:rPr>
                <w:b/>
                <w:color w:val="auto"/>
                <w:sz w:val="24"/>
              </w:rPr>
              <w:t>生态</w:t>
            </w:r>
          </w:p>
          <w:p w14:paraId="6EF9ACED">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工程在施工建设过程中，生态影响主要表现为占用土地。项目所在区域无保护动植物，因此主要是对土壤环境的影响：施工期对土壤环境的影响主要是永久性占用土地及土地使用功能的改变，对土壤的机械扰动造成土壤物理特征和结构的改变。各类管线（给排水管道、通信和电力线路）的开挖敷设等基础设施建设的临时用地，也将对土壤环境造成影响，主要表现在地基开挖，设施修筑及地面的平整紧压等对土壤的扰动和堆积覆盖。</w:t>
            </w:r>
          </w:p>
          <w:p w14:paraId="4EBAA03E">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bookmarkStart w:id="0" w:name="_Toc277949383"/>
            <w:r>
              <w:rPr>
                <w:rFonts w:hint="eastAsia" w:ascii="宋体" w:hAnsi="宋体" w:eastAsia="宋体" w:cs="宋体"/>
                <w:color w:val="auto"/>
                <w:spacing w:val="-1"/>
                <w:lang w:val="en-US" w:eastAsia="zh-CN"/>
              </w:rPr>
              <w:t>（1）施工期的环境管理</w:t>
            </w:r>
            <w:bookmarkEnd w:id="0"/>
            <w:r>
              <w:rPr>
                <w:rFonts w:hint="eastAsia" w:ascii="宋体" w:hAnsi="宋体" w:eastAsia="宋体" w:cs="宋体"/>
                <w:color w:val="auto"/>
                <w:spacing w:val="-1"/>
                <w:lang w:val="en-US" w:eastAsia="zh-CN"/>
              </w:rPr>
              <w:t>及监理</w:t>
            </w:r>
          </w:p>
          <w:p w14:paraId="314D8A36">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施工承包商在进行工程承包时，应将施工期的环境污染控制列入承包内容，并在工程开工前和施工过程中制定相应的环保防治措施和工程计划。</w:t>
            </w:r>
          </w:p>
          <w:p w14:paraId="5740C7F1">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宋体" w:hAnsi="宋体" w:eastAsia="宋体" w:cs="宋体"/>
                <w:color w:val="auto"/>
                <w:spacing w:val="-1"/>
                <w:lang w:val="en-US" w:eastAsia="zh-CN"/>
              </w:rPr>
            </w:pPr>
            <w:r>
              <w:rPr>
                <w:rFonts w:hint="eastAsia" w:ascii="宋体" w:hAnsi="宋体" w:eastAsia="宋体" w:cs="宋体"/>
                <w:color w:val="auto"/>
                <w:spacing w:val="-1"/>
                <w:lang w:val="en-US" w:eastAsia="zh-CN"/>
              </w:rPr>
              <w:t>项目施工时应向当地</w:t>
            </w:r>
            <w:r>
              <w:rPr>
                <w:rFonts w:hint="eastAsia" w:cs="宋体"/>
                <w:color w:val="auto"/>
                <w:spacing w:val="-1"/>
                <w:lang w:val="en-US" w:eastAsia="zh-CN"/>
              </w:rPr>
              <w:t>生态环境部</w:t>
            </w:r>
            <w:r>
              <w:rPr>
                <w:rFonts w:hint="eastAsia" w:ascii="宋体" w:hAnsi="宋体" w:eastAsia="宋体" w:cs="宋体"/>
                <w:color w:val="auto"/>
                <w:spacing w:val="-1"/>
                <w:lang w:val="en-US" w:eastAsia="zh-CN"/>
              </w:rPr>
              <w:t>门及其他有关主管部门申报；设专人负责管理并培训施工人员，以正确的工作方法控制施工过程中产生的不利环境影响；必要时，还需对施工人员进行环境保护知识培训，以确保项目施工期各项环保控制措施的落实。工程监理单位有责任配合当地环保主管机构，在做好工程监理的同时、做好环境监理，以保证环境工程能与主体工程同时施工及同时运行，并使项目建设施工影响范围的环境质量得到充分有效保证。</w:t>
            </w:r>
          </w:p>
          <w:p w14:paraId="52868791">
            <w:pPr>
              <w:pStyle w:val="36"/>
              <w:keepNext w:val="0"/>
              <w:keepLines w:val="0"/>
              <w:pageBreakBefore w:val="0"/>
              <w:widowControl w:val="0"/>
              <w:kinsoku/>
              <w:wordWrap/>
              <w:overflowPunct/>
              <w:topLinePunct w:val="0"/>
              <w:autoSpaceDE/>
              <w:autoSpaceDN/>
              <w:bidi w:val="0"/>
              <w:spacing w:line="360" w:lineRule="auto"/>
              <w:ind w:left="110" w:right="103" w:firstLine="477"/>
              <w:textAlignment w:val="auto"/>
              <w:rPr>
                <w:rFonts w:hint="eastAsia" w:ascii="Times New Roman" w:hAnsi="Times New Roman" w:cs="Times New Roman"/>
                <w:bCs/>
                <w:color w:val="auto"/>
                <w:spacing w:val="-10"/>
                <w:sz w:val="24"/>
                <w:szCs w:val="24"/>
                <w:lang w:val="en-US" w:eastAsia="zh-CN"/>
              </w:rPr>
            </w:pPr>
            <w:r>
              <w:rPr>
                <w:rFonts w:hint="eastAsia" w:ascii="宋体" w:hAnsi="宋体" w:eastAsia="宋体" w:cs="宋体"/>
                <w:color w:val="auto"/>
                <w:spacing w:val="-1"/>
                <w:lang w:val="en-US" w:eastAsia="zh-CN"/>
              </w:rPr>
              <w:t>综上所述，项目建设将会对项目所在区域的大气环境、水环境、声环境产生一定程度的影响，但均属局部，短期不利影响，通过采取有效的预防和治理措施后，其影响程度将会大大降低，其影响范围也将减小，且随施工结束消失。</w:t>
            </w:r>
          </w:p>
        </w:tc>
      </w:tr>
    </w:tbl>
    <w:p w14:paraId="6D338786">
      <w:pPr>
        <w:rPr>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3"/>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4"/>
        <w:gridCol w:w="8357"/>
      </w:tblGrid>
      <w:tr w14:paraId="3033CC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20" w:hRule="atLeast"/>
          <w:jc w:val="center"/>
        </w:trPr>
        <w:tc>
          <w:tcPr>
            <w:tcW w:w="624" w:type="dxa"/>
            <w:noWrap w:val="0"/>
            <w:tcMar>
              <w:left w:w="28" w:type="dxa"/>
              <w:right w:w="28" w:type="dxa"/>
            </w:tcMar>
            <w:vAlign w:val="center"/>
          </w:tcPr>
          <w:p w14:paraId="5DACCC62">
            <w:pPr>
              <w:adjustRightInd w:val="0"/>
              <w:snapToGrid w:val="0"/>
              <w:jc w:val="center"/>
              <w:rPr>
                <w:rFonts w:hint="eastAsia" w:ascii="宋体" w:hAnsi="宋体" w:cs="宋体"/>
                <w:bCs/>
                <w:color w:val="auto"/>
                <w:szCs w:val="21"/>
              </w:rPr>
            </w:pPr>
            <w:r>
              <w:rPr>
                <w:rFonts w:hint="eastAsia" w:ascii="宋体" w:hAnsi="宋体" w:cs="宋体"/>
                <w:bCs/>
                <w:color w:val="auto"/>
                <w:szCs w:val="21"/>
              </w:rPr>
              <w:t>运营</w:t>
            </w:r>
          </w:p>
          <w:p w14:paraId="213D1B36">
            <w:pPr>
              <w:adjustRightInd w:val="0"/>
              <w:snapToGrid w:val="0"/>
              <w:jc w:val="center"/>
              <w:rPr>
                <w:rFonts w:hint="eastAsia" w:ascii="宋体" w:hAnsi="宋体" w:cs="宋体"/>
                <w:bCs/>
                <w:color w:val="auto"/>
                <w:szCs w:val="21"/>
              </w:rPr>
            </w:pPr>
            <w:r>
              <w:rPr>
                <w:rFonts w:hint="eastAsia" w:ascii="宋体" w:hAnsi="宋体" w:cs="宋体"/>
                <w:bCs/>
                <w:color w:val="auto"/>
                <w:szCs w:val="21"/>
              </w:rPr>
              <w:t>期环</w:t>
            </w:r>
          </w:p>
          <w:p w14:paraId="344EDA13">
            <w:pPr>
              <w:adjustRightInd w:val="0"/>
              <w:snapToGrid w:val="0"/>
              <w:jc w:val="center"/>
              <w:rPr>
                <w:rFonts w:hint="eastAsia" w:ascii="宋体" w:hAnsi="宋体" w:cs="宋体"/>
                <w:bCs/>
                <w:color w:val="auto"/>
                <w:szCs w:val="21"/>
              </w:rPr>
            </w:pPr>
            <w:r>
              <w:rPr>
                <w:rFonts w:hint="eastAsia" w:ascii="宋体" w:hAnsi="宋体" w:cs="宋体"/>
                <w:bCs/>
                <w:color w:val="auto"/>
                <w:szCs w:val="21"/>
              </w:rPr>
              <w:t>境影</w:t>
            </w:r>
          </w:p>
          <w:p w14:paraId="1AB2C50C">
            <w:pPr>
              <w:adjustRightInd w:val="0"/>
              <w:snapToGrid w:val="0"/>
              <w:jc w:val="center"/>
              <w:rPr>
                <w:rFonts w:hint="eastAsia" w:ascii="宋体" w:hAnsi="宋体" w:cs="宋体"/>
                <w:bCs/>
                <w:color w:val="auto"/>
                <w:szCs w:val="21"/>
              </w:rPr>
            </w:pPr>
            <w:r>
              <w:rPr>
                <w:rFonts w:hint="eastAsia" w:ascii="宋体" w:hAnsi="宋体" w:cs="宋体"/>
                <w:bCs/>
                <w:color w:val="auto"/>
                <w:szCs w:val="21"/>
              </w:rPr>
              <w:t>响和</w:t>
            </w:r>
          </w:p>
          <w:p w14:paraId="201BB7E5">
            <w:pPr>
              <w:adjustRightInd w:val="0"/>
              <w:snapToGrid w:val="0"/>
              <w:jc w:val="center"/>
              <w:rPr>
                <w:rFonts w:hint="eastAsia" w:ascii="宋体" w:hAnsi="宋体" w:cs="宋体"/>
                <w:bCs/>
                <w:color w:val="auto"/>
                <w:szCs w:val="21"/>
              </w:rPr>
            </w:pPr>
            <w:r>
              <w:rPr>
                <w:rFonts w:hint="eastAsia" w:ascii="宋体" w:hAnsi="宋体" w:cs="宋体"/>
                <w:bCs/>
                <w:color w:val="auto"/>
                <w:szCs w:val="21"/>
              </w:rPr>
              <w:t>保护</w:t>
            </w:r>
          </w:p>
          <w:p w14:paraId="7A2B4955">
            <w:pPr>
              <w:adjustRightInd w:val="0"/>
              <w:snapToGrid w:val="0"/>
              <w:jc w:val="center"/>
              <w:rPr>
                <w:rFonts w:ascii="宋体" w:hAnsi="宋体" w:cs="宋体"/>
                <w:bCs/>
                <w:color w:val="auto"/>
                <w:szCs w:val="21"/>
              </w:rPr>
            </w:pPr>
            <w:r>
              <w:rPr>
                <w:rFonts w:hint="eastAsia" w:ascii="宋体" w:hAnsi="宋体" w:cs="宋体"/>
                <w:bCs/>
                <w:color w:val="auto"/>
                <w:szCs w:val="21"/>
              </w:rPr>
              <w:t>措施</w:t>
            </w:r>
          </w:p>
        </w:tc>
        <w:tc>
          <w:tcPr>
            <w:tcW w:w="8357" w:type="dxa"/>
            <w:noWrap w:val="0"/>
            <w:vAlign w:val="center"/>
          </w:tcPr>
          <w:p w14:paraId="4C6F8405">
            <w:pPr>
              <w:numPr>
                <w:ilvl w:val="0"/>
                <w:numId w:val="0"/>
              </w:numPr>
              <w:adjustRightInd w:val="0"/>
              <w:snapToGrid w:val="0"/>
              <w:spacing w:line="360" w:lineRule="auto"/>
              <w:rPr>
                <w:rFonts w:hint="eastAsia" w:ascii="宋体" w:hAnsi="宋体" w:cs="宋体"/>
                <w:b/>
                <w:bCs w:val="0"/>
                <w:color w:val="auto"/>
                <w:spacing w:val="-10"/>
                <w:sz w:val="24"/>
                <w:szCs w:val="24"/>
                <w:lang w:val="en-US" w:eastAsia="zh-CN"/>
              </w:rPr>
            </w:pPr>
            <w:r>
              <w:rPr>
                <w:rFonts w:hint="default" w:ascii="Times New Roman" w:hAnsi="Times New Roman" w:cs="Times New Roman"/>
                <w:b/>
                <w:bCs w:val="0"/>
                <w:color w:val="auto"/>
                <w:spacing w:val="-10"/>
                <w:kern w:val="2"/>
                <w:sz w:val="24"/>
                <w:szCs w:val="24"/>
                <w:lang w:val="en-US" w:eastAsia="zh-CN" w:bidi="ar-SA"/>
              </w:rPr>
              <w:t>1.</w:t>
            </w:r>
            <w:r>
              <w:rPr>
                <w:rFonts w:hint="eastAsia" w:ascii="宋体" w:hAnsi="宋体" w:cs="宋体"/>
                <w:b/>
                <w:bCs w:val="0"/>
                <w:color w:val="auto"/>
                <w:spacing w:val="-10"/>
                <w:sz w:val="24"/>
                <w:szCs w:val="24"/>
                <w:lang w:val="en-US" w:eastAsia="zh-CN"/>
              </w:rPr>
              <w:t>废气</w:t>
            </w:r>
          </w:p>
          <w:p w14:paraId="1FE487C4">
            <w:pPr>
              <w:pStyle w:val="4"/>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jc w:val="both"/>
              <w:textAlignment w:val="auto"/>
              <w:rPr>
                <w:rFonts w:hint="default"/>
                <w:color w:val="auto"/>
                <w:sz w:val="24"/>
                <w:szCs w:val="24"/>
                <w:lang w:val="en-US" w:eastAsia="zh-CN"/>
              </w:rPr>
            </w:pPr>
            <w:r>
              <w:rPr>
                <w:rFonts w:hint="default"/>
                <w:color w:val="auto"/>
                <w:sz w:val="24"/>
                <w:szCs w:val="24"/>
                <w:lang w:val="en-US" w:eastAsia="zh-CN"/>
              </w:rPr>
              <w:t>本项目营运期废气污染物主要为搅拌废气、锅炉废气、</w:t>
            </w:r>
            <w:r>
              <w:rPr>
                <w:rFonts w:hint="eastAsia"/>
                <w:color w:val="auto"/>
                <w:sz w:val="24"/>
                <w:szCs w:val="24"/>
                <w:lang w:val="en-US" w:eastAsia="zh-CN"/>
              </w:rPr>
              <w:t>焊接烟尘、</w:t>
            </w:r>
            <w:r>
              <w:rPr>
                <w:rFonts w:hint="default"/>
                <w:color w:val="auto"/>
                <w:sz w:val="24"/>
                <w:szCs w:val="24"/>
                <w:lang w:val="en-US" w:eastAsia="zh-CN"/>
              </w:rPr>
              <w:t>物料储存废气、</w:t>
            </w:r>
            <w:r>
              <w:rPr>
                <w:rFonts w:hint="eastAsia"/>
                <w:color w:val="auto"/>
                <w:sz w:val="24"/>
                <w:szCs w:val="24"/>
                <w:lang w:val="en-US" w:eastAsia="zh-CN"/>
              </w:rPr>
              <w:t>食堂油烟</w:t>
            </w:r>
            <w:r>
              <w:rPr>
                <w:rFonts w:hint="default"/>
                <w:color w:val="auto"/>
                <w:sz w:val="24"/>
                <w:szCs w:val="24"/>
                <w:lang w:val="en-US" w:eastAsia="zh-CN"/>
              </w:rPr>
              <w:t>。</w:t>
            </w:r>
          </w:p>
          <w:p w14:paraId="59F0A2E9">
            <w:pPr>
              <w:widowControl/>
              <w:spacing w:line="360" w:lineRule="auto"/>
              <w:jc w:val="left"/>
              <w:rPr>
                <w:color w:val="auto"/>
              </w:rPr>
            </w:pPr>
            <w:r>
              <w:rPr>
                <w:b/>
                <w:bCs/>
                <w:color w:val="auto"/>
                <w:sz w:val="24"/>
              </w:rPr>
              <w:t>1.1有组织废气</w:t>
            </w:r>
          </w:p>
          <w:p w14:paraId="122BD10B">
            <w:pPr>
              <w:pStyle w:val="20"/>
              <w:ind w:left="0" w:leftChars="0" w:firstLine="480" w:firstLineChars="200"/>
              <w:jc w:val="both"/>
              <w:rPr>
                <w:rFonts w:hint="default"/>
                <w:color w:val="auto"/>
                <w:lang w:val="en-US" w:eastAsia="zh-CN"/>
              </w:rPr>
            </w:pPr>
            <w:r>
              <w:rPr>
                <w:rFonts w:hint="eastAsia"/>
                <w:color w:val="auto"/>
                <w:lang w:val="en-US" w:eastAsia="zh-CN"/>
              </w:rPr>
              <w:t>（1）</w:t>
            </w:r>
            <w:r>
              <w:rPr>
                <w:rFonts w:hint="eastAsia"/>
                <w:color w:val="auto"/>
                <w:sz w:val="24"/>
                <w:szCs w:val="24"/>
                <w:lang w:val="en-US" w:eastAsia="zh-CN"/>
              </w:rPr>
              <w:t>燃气锅炉废气</w:t>
            </w:r>
          </w:p>
          <w:p w14:paraId="69D99BB8">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left="0" w:leftChars="0" w:right="0" w:rightChars="0"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本项目生产运行过程中产生的废气主要为</w:t>
            </w:r>
            <w:r>
              <w:rPr>
                <w:rFonts w:hint="eastAsia" w:cs="Times New Roman"/>
                <w:color w:val="auto"/>
                <w:sz w:val="24"/>
                <w:szCs w:val="24"/>
                <w:lang w:val="en-US" w:eastAsia="zh-CN"/>
              </w:rPr>
              <w:t>燃气</w:t>
            </w:r>
            <w:r>
              <w:rPr>
                <w:rFonts w:hint="eastAsia" w:ascii="Times New Roman" w:hAnsi="Times New Roman" w:eastAsia="宋体" w:cs="Times New Roman"/>
                <w:color w:val="auto"/>
                <w:sz w:val="24"/>
                <w:szCs w:val="24"/>
                <w:lang w:val="en-US" w:eastAsia="zh-CN"/>
              </w:rPr>
              <w:t>锅炉燃烧产生的废气，主</w:t>
            </w:r>
          </w:p>
          <w:p w14:paraId="7F1E4535">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right="0" w:rightChars="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要污染物为颗粒物、SO</w:t>
            </w:r>
            <w:r>
              <w:rPr>
                <w:rFonts w:hint="eastAsia" w:ascii="Times New Roman" w:hAnsi="Times New Roman" w:eastAsia="宋体" w:cs="Times New Roman"/>
                <w:color w:val="auto"/>
                <w:sz w:val="24"/>
                <w:szCs w:val="24"/>
                <w:vertAlign w:val="subscript"/>
                <w:lang w:val="en-US" w:eastAsia="zh-CN"/>
              </w:rPr>
              <w:t>2</w:t>
            </w:r>
            <w:r>
              <w:rPr>
                <w:rFonts w:hint="eastAsia" w:ascii="Times New Roman" w:hAnsi="Times New Roman" w:eastAsia="宋体" w:cs="Times New Roman"/>
                <w:color w:val="auto"/>
                <w:sz w:val="24"/>
                <w:szCs w:val="24"/>
                <w:lang w:val="en-US" w:eastAsia="zh-CN"/>
              </w:rPr>
              <w:t>、NOx等。</w:t>
            </w:r>
          </w:p>
          <w:p w14:paraId="3979EFA0">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left="0" w:leftChars="0" w:right="0" w:rightChars="0" w:firstLine="480" w:firstLineChars="200"/>
              <w:jc w:val="both"/>
              <w:textAlignment w:val="auto"/>
              <w:rPr>
                <w:rFonts w:hint="eastAsia"/>
                <w:color w:val="auto"/>
                <w:sz w:val="24"/>
                <w:szCs w:val="24"/>
                <w:lang w:val="en-US" w:eastAsia="zh-CN"/>
              </w:rPr>
            </w:pPr>
            <w:r>
              <w:rPr>
                <w:rFonts w:hint="eastAsia"/>
                <w:color w:val="auto"/>
                <w:sz w:val="24"/>
                <w:szCs w:val="24"/>
                <w:lang w:val="en-US" w:eastAsia="zh-CN"/>
              </w:rPr>
              <w:t>①烟气量</w:t>
            </w:r>
          </w:p>
          <w:p w14:paraId="3152B707">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left="0" w:leftChars="0" w:right="0" w:rightChars="0" w:firstLine="480" w:firstLineChars="200"/>
              <w:jc w:val="both"/>
              <w:textAlignment w:val="auto"/>
              <w:rPr>
                <w:rFonts w:hint="eastAsia"/>
                <w:color w:val="auto"/>
                <w:sz w:val="24"/>
                <w:szCs w:val="24"/>
                <w:lang w:val="en-US" w:eastAsia="zh-CN"/>
              </w:rPr>
            </w:pPr>
            <w:r>
              <w:rPr>
                <w:rFonts w:hint="eastAsia"/>
                <w:color w:val="auto"/>
                <w:sz w:val="24"/>
                <w:szCs w:val="24"/>
                <w:lang w:val="en-US" w:eastAsia="zh-CN"/>
              </w:rPr>
              <w:t>根据《排污许可证申请与核发技术规范锅炉》（HJ953-2018）表5基准烟气量取值表燃气锅炉－天然气可知：</w:t>
            </w:r>
          </w:p>
          <w:p w14:paraId="6A61667C">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left="0" w:leftChars="0" w:right="0" w:rightChars="0" w:firstLine="480" w:firstLineChars="200"/>
              <w:jc w:val="center"/>
              <w:textAlignment w:val="auto"/>
              <w:rPr>
                <w:rFonts w:hint="eastAsia"/>
                <w:color w:val="auto"/>
                <w:sz w:val="24"/>
                <w:szCs w:val="24"/>
                <w:lang w:val="en-US" w:eastAsia="zh-CN"/>
              </w:rPr>
            </w:pPr>
            <w:r>
              <w:rPr>
                <w:rFonts w:hint="eastAsia"/>
                <w:color w:val="auto"/>
                <w:sz w:val="24"/>
                <w:szCs w:val="24"/>
                <w:lang w:val="en-US" w:eastAsia="zh-CN"/>
              </w:rPr>
              <w:t>Vgy=0.285Qnet+0.343</w:t>
            </w:r>
          </w:p>
          <w:p w14:paraId="2F055EF3">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left="0" w:leftChars="0" w:right="0" w:rightChars="0" w:firstLine="480" w:firstLineChars="200"/>
              <w:jc w:val="both"/>
              <w:textAlignment w:val="auto"/>
              <w:rPr>
                <w:rFonts w:hint="eastAsia"/>
                <w:color w:val="auto"/>
                <w:sz w:val="24"/>
                <w:szCs w:val="24"/>
                <w:lang w:val="en-US" w:eastAsia="zh-CN"/>
              </w:rPr>
            </w:pPr>
            <w:r>
              <w:rPr>
                <w:rFonts w:hint="eastAsia"/>
                <w:color w:val="auto"/>
                <w:sz w:val="24"/>
                <w:szCs w:val="24"/>
                <w:lang w:val="en-US" w:eastAsia="zh-CN"/>
              </w:rPr>
              <w:t>未投运或投运不满一年的锅炉按设计燃料低位发热量进行选取，Qnet取值</w:t>
            </w:r>
          </w:p>
          <w:p w14:paraId="60A18BF4">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right="0" w:rightChars="0"/>
              <w:jc w:val="both"/>
              <w:textAlignment w:val="auto"/>
              <w:rPr>
                <w:rFonts w:hint="eastAsia"/>
                <w:color w:val="auto"/>
                <w:sz w:val="24"/>
                <w:szCs w:val="24"/>
                <w:lang w:val="en-US" w:eastAsia="zh-CN"/>
              </w:rPr>
            </w:pPr>
            <w:r>
              <w:rPr>
                <w:rFonts w:hint="eastAsia"/>
                <w:color w:val="auto"/>
                <w:sz w:val="24"/>
                <w:szCs w:val="24"/>
                <w:lang w:val="en-US" w:eastAsia="zh-CN"/>
              </w:rPr>
              <w:t>为50MJ/m</w:t>
            </w:r>
            <w:r>
              <w:rPr>
                <w:rFonts w:hint="eastAsia"/>
                <w:color w:val="auto"/>
                <w:sz w:val="24"/>
                <w:szCs w:val="24"/>
                <w:vertAlign w:val="superscript"/>
                <w:lang w:val="en-US" w:eastAsia="zh-CN"/>
              </w:rPr>
              <w:t>3</w:t>
            </w:r>
            <w:r>
              <w:rPr>
                <w:rFonts w:hint="eastAsia"/>
                <w:color w:val="auto"/>
                <w:sz w:val="24"/>
                <w:szCs w:val="24"/>
                <w:lang w:val="en-US" w:eastAsia="zh-CN"/>
              </w:rPr>
              <w:t>。</w:t>
            </w:r>
          </w:p>
          <w:p w14:paraId="4E9290FA">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right="0" w:rightChars="0"/>
              <w:jc w:val="center"/>
              <w:textAlignment w:val="auto"/>
              <w:rPr>
                <w:rFonts w:hint="eastAsia"/>
                <w:color w:val="auto"/>
                <w:sz w:val="24"/>
                <w:szCs w:val="24"/>
                <w:lang w:val="en-US" w:eastAsia="zh-CN"/>
              </w:rPr>
            </w:pPr>
            <w:r>
              <w:rPr>
                <w:rFonts w:hint="eastAsia"/>
                <w:color w:val="auto"/>
                <w:sz w:val="24"/>
                <w:szCs w:val="24"/>
                <w:lang w:val="en-US" w:eastAsia="zh-CN"/>
              </w:rPr>
              <w:t>Vgy=0.285×50+0.343=14.593Nm</w:t>
            </w:r>
            <w:r>
              <w:rPr>
                <w:rFonts w:hint="eastAsia"/>
                <w:color w:val="auto"/>
                <w:sz w:val="24"/>
                <w:szCs w:val="24"/>
                <w:vertAlign w:val="superscript"/>
                <w:lang w:val="en-US" w:eastAsia="zh-CN"/>
              </w:rPr>
              <w:t>3</w:t>
            </w:r>
            <w:r>
              <w:rPr>
                <w:rFonts w:hint="eastAsia"/>
                <w:color w:val="auto"/>
                <w:sz w:val="24"/>
                <w:szCs w:val="24"/>
                <w:lang w:val="en-US" w:eastAsia="zh-CN"/>
              </w:rPr>
              <w:t>/m</w:t>
            </w:r>
            <w:r>
              <w:rPr>
                <w:rFonts w:hint="eastAsia"/>
                <w:color w:val="auto"/>
                <w:sz w:val="24"/>
                <w:szCs w:val="24"/>
                <w:vertAlign w:val="superscript"/>
                <w:lang w:val="en-US" w:eastAsia="zh-CN"/>
              </w:rPr>
              <w:t>3</w:t>
            </w:r>
          </w:p>
          <w:p w14:paraId="6CF7C863">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right="0" w:rightChars="0" w:firstLine="480" w:firstLineChars="200"/>
              <w:jc w:val="both"/>
              <w:textAlignment w:val="auto"/>
              <w:rPr>
                <w:rFonts w:hint="eastAsia"/>
                <w:color w:val="auto"/>
                <w:sz w:val="24"/>
                <w:szCs w:val="24"/>
                <w:lang w:val="en-US" w:eastAsia="zh-CN"/>
              </w:rPr>
            </w:pPr>
            <w:r>
              <w:rPr>
                <w:rFonts w:hint="eastAsia"/>
                <w:color w:val="auto"/>
                <w:sz w:val="24"/>
                <w:szCs w:val="24"/>
                <w:lang w:val="en-US" w:eastAsia="zh-CN"/>
              </w:rPr>
              <w:t>本项目烟气排放量=20万m</w:t>
            </w:r>
            <w:r>
              <w:rPr>
                <w:rFonts w:hint="eastAsia"/>
                <w:color w:val="auto"/>
                <w:sz w:val="24"/>
                <w:szCs w:val="24"/>
                <w:vertAlign w:val="superscript"/>
                <w:lang w:val="en-US" w:eastAsia="zh-CN"/>
              </w:rPr>
              <w:t>3</w:t>
            </w:r>
            <w:r>
              <w:rPr>
                <w:rFonts w:hint="eastAsia"/>
                <w:color w:val="auto"/>
                <w:sz w:val="24"/>
                <w:szCs w:val="24"/>
                <w:lang w:val="en-US" w:eastAsia="zh-CN"/>
              </w:rPr>
              <w:t>/a×14.593Nm</w:t>
            </w:r>
            <w:r>
              <w:rPr>
                <w:rFonts w:hint="eastAsia"/>
                <w:color w:val="auto"/>
                <w:sz w:val="24"/>
                <w:szCs w:val="24"/>
                <w:vertAlign w:val="superscript"/>
                <w:lang w:val="en-US" w:eastAsia="zh-CN"/>
              </w:rPr>
              <w:t>3</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eastAsia"/>
                <w:color w:val="auto"/>
                <w:sz w:val="24"/>
                <w:szCs w:val="24"/>
                <w:lang w:val="en-US" w:eastAsia="zh-CN"/>
              </w:rPr>
              <w:t>=2918600m</w:t>
            </w:r>
            <w:r>
              <w:rPr>
                <w:rFonts w:hint="eastAsia"/>
                <w:color w:val="auto"/>
                <w:sz w:val="24"/>
                <w:szCs w:val="24"/>
                <w:vertAlign w:val="superscript"/>
                <w:lang w:val="en-US" w:eastAsia="zh-CN"/>
              </w:rPr>
              <w:t>3</w:t>
            </w:r>
            <w:r>
              <w:rPr>
                <w:rFonts w:hint="eastAsia"/>
                <w:color w:val="auto"/>
                <w:sz w:val="24"/>
                <w:szCs w:val="24"/>
                <w:lang w:val="en-US" w:eastAsia="zh-CN"/>
              </w:rPr>
              <w:t>/a。</w:t>
            </w:r>
          </w:p>
          <w:p w14:paraId="7FA7F244">
            <w:pPr>
              <w:keepNext w:val="0"/>
              <w:keepLines w:val="0"/>
              <w:pageBreakBefore w:val="0"/>
              <w:widowControl w:val="0"/>
              <w:shd w:val="clear" w:color="auto" w:fill="auto"/>
              <w:kinsoku/>
              <w:wordWrap/>
              <w:overflowPunct/>
              <w:autoSpaceDE/>
              <w:autoSpaceDN/>
              <w:bidi w:val="0"/>
              <w:snapToGrid w:val="0"/>
              <w:spacing w:beforeAutospacing="0" w:afterAutospacing="0" w:line="360" w:lineRule="auto"/>
              <w:ind w:right="0" w:rightChars="0" w:firstLine="480" w:firstLineChars="200"/>
              <w:jc w:val="both"/>
              <w:textAlignment w:val="auto"/>
              <w:rPr>
                <w:rFonts w:hint="eastAsia"/>
                <w:color w:val="auto"/>
                <w:sz w:val="24"/>
                <w:szCs w:val="24"/>
                <w:lang w:val="en-US" w:eastAsia="zh-CN"/>
              </w:rPr>
            </w:pPr>
            <w:r>
              <w:rPr>
                <w:rFonts w:hint="eastAsia"/>
                <w:color w:val="auto"/>
                <w:sz w:val="24"/>
                <w:szCs w:val="24"/>
                <w:lang w:val="en-US" w:eastAsia="zh-CN"/>
              </w:rPr>
              <w:t>②SO</w:t>
            </w:r>
            <w:r>
              <w:rPr>
                <w:rFonts w:hint="eastAsia"/>
                <w:color w:val="auto"/>
                <w:sz w:val="24"/>
                <w:szCs w:val="24"/>
                <w:vertAlign w:val="subscript"/>
                <w:lang w:val="en-US" w:eastAsia="zh-CN"/>
              </w:rPr>
              <w:t>2</w:t>
            </w:r>
            <w:r>
              <w:rPr>
                <w:rFonts w:hint="eastAsia"/>
                <w:color w:val="auto"/>
                <w:sz w:val="24"/>
                <w:szCs w:val="24"/>
                <w:lang w:val="en-US" w:eastAsia="zh-CN"/>
              </w:rPr>
              <w:t>、NOx、颗粒物</w:t>
            </w:r>
          </w:p>
          <w:p w14:paraId="02F97341">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firstLine="480" w:firstLineChars="200"/>
              <w:jc w:val="both"/>
              <w:textAlignment w:val="auto"/>
              <w:rPr>
                <w:rFonts w:hint="default" w:ascii="Times New Roman" w:hAnsi="Times New Roman" w:cs="Times New Roman"/>
                <w:color w:val="auto"/>
                <w:sz w:val="24"/>
                <w:szCs w:val="24"/>
                <w:lang w:val="en-US" w:eastAsia="zh-CN"/>
              </w:rPr>
            </w:pPr>
            <w:r>
              <w:rPr>
                <w:rFonts w:hint="eastAsia"/>
                <w:color w:val="auto"/>
                <w:sz w:val="24"/>
                <w:szCs w:val="24"/>
                <w:lang w:val="en-US" w:eastAsia="zh-CN"/>
              </w:rPr>
              <w:t>项目产生的废气主要为燃气锅炉产生的烟气，污染物产排系数参照《</w:t>
            </w:r>
            <w:r>
              <w:rPr>
                <w:rFonts w:hint="eastAsia"/>
                <w:bCs/>
                <w:color w:val="auto"/>
                <w:sz w:val="24"/>
              </w:rPr>
              <w:t>排放源统计调查产排污核算方法和系数手册（2021年）</w:t>
            </w:r>
            <w:r>
              <w:rPr>
                <w:rFonts w:hint="default" w:ascii="Times New Roman" w:hAnsi="Times New Roman" w:cs="Times New Roman"/>
                <w:color w:val="auto"/>
                <w:sz w:val="24"/>
                <w:szCs w:val="24"/>
                <w:lang w:val="en-US" w:eastAsia="zh-CN"/>
              </w:rPr>
              <w:t>》中4430 工业锅炉（热力生产和供应行业）产污系数表-燃气工业锅炉</w:t>
            </w:r>
            <w:r>
              <w:rPr>
                <w:rFonts w:hint="eastAsia" w:cs="Times New Roman"/>
                <w:color w:val="auto"/>
                <w:sz w:val="24"/>
                <w:szCs w:val="24"/>
                <w:lang w:val="en-US" w:eastAsia="zh-CN"/>
              </w:rPr>
              <w:t>，</w:t>
            </w:r>
            <w:r>
              <w:rPr>
                <w:rFonts w:hint="default" w:ascii="Times New Roman" w:hAnsi="Times New Roman" w:cs="Times New Roman"/>
                <w:color w:val="auto"/>
                <w:sz w:val="24"/>
                <w:szCs w:val="24"/>
                <w:lang w:val="en-US" w:eastAsia="zh-CN"/>
              </w:rPr>
              <w:t>燃气锅炉-天然气对应的产污系数，</w:t>
            </w:r>
            <w:r>
              <w:rPr>
                <w:rFonts w:hint="eastAsia"/>
                <w:bCs/>
                <w:color w:val="auto"/>
                <w:sz w:val="24"/>
              </w:rPr>
              <w:t>颗粒物产污系数依据《环境影响评价工程师职业资格登记培训教材 社会区域类》中天然气燃烧烟尘产生系数为1.4kg/万m</w:t>
            </w:r>
            <w:r>
              <w:rPr>
                <w:rFonts w:hint="eastAsia"/>
                <w:bCs/>
                <w:color w:val="auto"/>
                <w:sz w:val="24"/>
                <w:vertAlign w:val="superscript"/>
              </w:rPr>
              <w:t>3</w:t>
            </w:r>
            <w:r>
              <w:rPr>
                <w:rFonts w:hint="eastAsia"/>
                <w:bCs/>
                <w:color w:val="auto"/>
                <w:sz w:val="24"/>
              </w:rPr>
              <w:t>天然气</w:t>
            </w:r>
            <w:r>
              <w:rPr>
                <w:rFonts w:hint="eastAsia"/>
                <w:bCs/>
                <w:color w:val="auto"/>
                <w:sz w:val="24"/>
                <w:lang w:eastAsia="zh-CN"/>
              </w:rPr>
              <w:t>，</w:t>
            </w:r>
            <w:r>
              <w:rPr>
                <w:rFonts w:hint="default" w:ascii="Times New Roman" w:hAnsi="Times New Roman" w:cs="Times New Roman"/>
                <w:color w:val="auto"/>
                <w:sz w:val="24"/>
                <w:szCs w:val="24"/>
                <w:lang w:val="en-US" w:eastAsia="zh-CN"/>
              </w:rPr>
              <w:t>产污系数情况见下表。</w:t>
            </w:r>
          </w:p>
          <w:p w14:paraId="4B7B5283">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lang w:val="en-US" w:eastAsia="zh-CN"/>
              </w:rPr>
              <w:t>表4-</w:t>
            </w:r>
            <w:r>
              <w:rPr>
                <w:rFonts w:hint="eastAsia" w:cs="Times New Roman"/>
                <w:b/>
                <w:bCs/>
                <w:color w:val="auto"/>
                <w:sz w:val="21"/>
                <w:szCs w:val="21"/>
                <w:lang w:val="en-US" w:eastAsia="zh-CN"/>
              </w:rPr>
              <w:t>1</w:t>
            </w:r>
            <w:r>
              <w:rPr>
                <w:rFonts w:hint="default" w:ascii="Times New Roman" w:hAnsi="Times New Roman" w:cs="Times New Roman"/>
                <w:b/>
                <w:bCs/>
                <w:color w:val="auto"/>
                <w:sz w:val="21"/>
                <w:szCs w:val="21"/>
                <w:lang w:val="en-US" w:eastAsia="zh-CN"/>
              </w:rPr>
              <w:t xml:space="preserve">  天然气燃料污染系数</w:t>
            </w:r>
          </w:p>
          <w:tbl>
            <w:tblPr>
              <w:tblStyle w:val="24"/>
              <w:tblW w:w="814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1282"/>
              <w:gridCol w:w="1746"/>
              <w:gridCol w:w="2550"/>
              <w:gridCol w:w="1312"/>
            </w:tblGrid>
            <w:tr w14:paraId="4A230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51" w:type="dxa"/>
                  <w:tcBorders>
                    <w:top w:val="single" w:color="000000" w:sz="12" w:space="0"/>
                    <w:left w:val="nil"/>
                    <w:bottom w:val="single" w:color="000000" w:sz="12" w:space="0"/>
                  </w:tcBorders>
                  <w:vAlign w:val="center"/>
                </w:tcPr>
                <w:p w14:paraId="37939A1D">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燃料规模</w:t>
                  </w:r>
                </w:p>
              </w:tc>
              <w:tc>
                <w:tcPr>
                  <w:tcW w:w="1282" w:type="dxa"/>
                  <w:tcBorders>
                    <w:top w:val="single" w:color="000000" w:sz="12" w:space="0"/>
                    <w:bottom w:val="single" w:color="000000" w:sz="12" w:space="0"/>
                  </w:tcBorders>
                  <w:vAlign w:val="center"/>
                </w:tcPr>
                <w:p w14:paraId="5A3A279B">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污染物</w:t>
                  </w:r>
                </w:p>
              </w:tc>
              <w:tc>
                <w:tcPr>
                  <w:tcW w:w="1746" w:type="dxa"/>
                  <w:tcBorders>
                    <w:top w:val="single" w:color="000000" w:sz="12" w:space="0"/>
                    <w:bottom w:val="single" w:color="000000" w:sz="12" w:space="0"/>
                  </w:tcBorders>
                  <w:vAlign w:val="center"/>
                </w:tcPr>
                <w:p w14:paraId="00A84603">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单位</w:t>
                  </w:r>
                </w:p>
              </w:tc>
              <w:tc>
                <w:tcPr>
                  <w:tcW w:w="2550" w:type="dxa"/>
                  <w:tcBorders>
                    <w:top w:val="single" w:color="000000" w:sz="12" w:space="0"/>
                    <w:bottom w:val="single" w:color="000000" w:sz="12" w:space="0"/>
                  </w:tcBorders>
                  <w:vAlign w:val="center"/>
                </w:tcPr>
                <w:p w14:paraId="748EB26E">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排污系数</w:t>
                  </w:r>
                </w:p>
              </w:tc>
              <w:tc>
                <w:tcPr>
                  <w:tcW w:w="1312" w:type="dxa"/>
                  <w:tcBorders>
                    <w:top w:val="single" w:color="000000" w:sz="12" w:space="0"/>
                    <w:bottom w:val="single" w:color="000000" w:sz="12" w:space="0"/>
                    <w:right w:val="nil"/>
                  </w:tcBorders>
                  <w:vAlign w:val="center"/>
                </w:tcPr>
                <w:p w14:paraId="175C3D4E">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规模等级</w:t>
                  </w:r>
                </w:p>
              </w:tc>
            </w:tr>
            <w:tr w14:paraId="4E9C4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vMerge w:val="restart"/>
                  <w:tcBorders>
                    <w:top w:val="single" w:color="000000" w:sz="12" w:space="0"/>
                    <w:left w:val="nil"/>
                    <w:bottom w:val="single" w:color="000000" w:sz="12" w:space="0"/>
                  </w:tcBorders>
                  <w:vAlign w:val="center"/>
                </w:tcPr>
                <w:p w14:paraId="5F2B51EC">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天然气</w:t>
                  </w:r>
                </w:p>
              </w:tc>
              <w:tc>
                <w:tcPr>
                  <w:tcW w:w="1282" w:type="dxa"/>
                  <w:tcBorders>
                    <w:top w:val="single" w:color="000000" w:sz="12" w:space="0"/>
                  </w:tcBorders>
                  <w:vAlign w:val="center"/>
                </w:tcPr>
                <w:p w14:paraId="71C4F68C">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二氧化硫</w:t>
                  </w:r>
                </w:p>
              </w:tc>
              <w:tc>
                <w:tcPr>
                  <w:tcW w:w="1746" w:type="dxa"/>
                  <w:tcBorders>
                    <w:top w:val="single" w:color="000000" w:sz="12" w:space="0"/>
                  </w:tcBorders>
                  <w:vAlign w:val="center"/>
                </w:tcPr>
                <w:p w14:paraId="24EC92FE">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k</w:t>
                  </w:r>
                  <w:r>
                    <w:rPr>
                      <w:rFonts w:hint="default" w:ascii="Times New Roman" w:hAnsi="Times New Roman" w:cs="Times New Roman"/>
                      <w:b w:val="0"/>
                      <w:bCs w:val="0"/>
                      <w:color w:val="auto"/>
                      <w:sz w:val="21"/>
                      <w:szCs w:val="21"/>
                      <w:vertAlign w:val="baseline"/>
                      <w:lang w:val="en-US" w:eastAsia="zh-CN"/>
                    </w:rPr>
                    <w:t>g/万m</w:t>
                  </w:r>
                  <w:r>
                    <w:rPr>
                      <w:rFonts w:hint="default" w:ascii="Times New Roman" w:hAnsi="Times New Roman" w:cs="Times New Roman"/>
                      <w:b w:val="0"/>
                      <w:bCs w:val="0"/>
                      <w:color w:val="auto"/>
                      <w:sz w:val="21"/>
                      <w:szCs w:val="21"/>
                      <w:vertAlign w:val="superscript"/>
                      <w:lang w:val="en-US" w:eastAsia="zh-CN"/>
                    </w:rPr>
                    <w:t>3</w:t>
                  </w:r>
                  <w:r>
                    <w:rPr>
                      <w:rFonts w:hint="default" w:ascii="Times New Roman" w:hAnsi="Times New Roman" w:cs="Times New Roman"/>
                      <w:b w:val="0"/>
                      <w:bCs w:val="0"/>
                      <w:color w:val="auto"/>
                      <w:sz w:val="21"/>
                      <w:szCs w:val="21"/>
                      <w:vertAlign w:val="baseline"/>
                      <w:lang w:val="en-US" w:eastAsia="zh-CN"/>
                    </w:rPr>
                    <w:t>燃料</w:t>
                  </w:r>
                </w:p>
              </w:tc>
              <w:tc>
                <w:tcPr>
                  <w:tcW w:w="2550" w:type="dxa"/>
                  <w:tcBorders>
                    <w:top w:val="single" w:color="000000" w:sz="12" w:space="0"/>
                  </w:tcBorders>
                  <w:vAlign w:val="center"/>
                </w:tcPr>
                <w:p w14:paraId="029CA53A">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0.02S（S取值60）</w:t>
                  </w:r>
                </w:p>
              </w:tc>
              <w:tc>
                <w:tcPr>
                  <w:tcW w:w="1312" w:type="dxa"/>
                  <w:vMerge w:val="restart"/>
                  <w:tcBorders>
                    <w:top w:val="single" w:color="000000" w:sz="12" w:space="0"/>
                    <w:bottom w:val="single" w:color="000000" w:sz="12" w:space="0"/>
                    <w:right w:val="nil"/>
                  </w:tcBorders>
                  <w:vAlign w:val="center"/>
                </w:tcPr>
                <w:p w14:paraId="23FFF18B">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所有规模</w:t>
                  </w:r>
                </w:p>
              </w:tc>
            </w:tr>
            <w:tr w14:paraId="6670A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vMerge w:val="continue"/>
                  <w:tcBorders>
                    <w:top w:val="single" w:color="000000" w:sz="12" w:space="0"/>
                    <w:left w:val="nil"/>
                    <w:bottom w:val="single" w:color="000000" w:sz="12" w:space="0"/>
                  </w:tcBorders>
                  <w:vAlign w:val="center"/>
                </w:tcPr>
                <w:p w14:paraId="7673A39E">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p>
              </w:tc>
              <w:tc>
                <w:tcPr>
                  <w:tcW w:w="1282" w:type="dxa"/>
                  <w:vAlign w:val="center"/>
                </w:tcPr>
                <w:p w14:paraId="47EE24BE">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氮氧化物</w:t>
                  </w:r>
                </w:p>
              </w:tc>
              <w:tc>
                <w:tcPr>
                  <w:tcW w:w="1746" w:type="dxa"/>
                  <w:vAlign w:val="center"/>
                </w:tcPr>
                <w:p w14:paraId="2EFBE976">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k</w:t>
                  </w:r>
                  <w:r>
                    <w:rPr>
                      <w:rFonts w:hint="default" w:ascii="Times New Roman" w:hAnsi="Times New Roman" w:cs="Times New Roman"/>
                      <w:b w:val="0"/>
                      <w:bCs w:val="0"/>
                      <w:color w:val="auto"/>
                      <w:sz w:val="21"/>
                      <w:szCs w:val="21"/>
                      <w:vertAlign w:val="baseline"/>
                      <w:lang w:val="en-US" w:eastAsia="zh-CN"/>
                    </w:rPr>
                    <w:t>g/万m</w:t>
                  </w:r>
                  <w:r>
                    <w:rPr>
                      <w:rFonts w:hint="default" w:ascii="Times New Roman" w:hAnsi="Times New Roman" w:cs="Times New Roman"/>
                      <w:b w:val="0"/>
                      <w:bCs w:val="0"/>
                      <w:color w:val="auto"/>
                      <w:sz w:val="21"/>
                      <w:szCs w:val="21"/>
                      <w:vertAlign w:val="superscript"/>
                      <w:lang w:val="en-US" w:eastAsia="zh-CN"/>
                    </w:rPr>
                    <w:t>3</w:t>
                  </w:r>
                  <w:r>
                    <w:rPr>
                      <w:rFonts w:hint="default" w:ascii="Times New Roman" w:hAnsi="Times New Roman" w:cs="Times New Roman"/>
                      <w:b w:val="0"/>
                      <w:bCs w:val="0"/>
                      <w:color w:val="auto"/>
                      <w:sz w:val="21"/>
                      <w:szCs w:val="21"/>
                      <w:vertAlign w:val="baseline"/>
                      <w:lang w:val="en-US" w:eastAsia="zh-CN"/>
                    </w:rPr>
                    <w:t>燃料</w:t>
                  </w:r>
                </w:p>
              </w:tc>
              <w:tc>
                <w:tcPr>
                  <w:tcW w:w="2550" w:type="dxa"/>
                  <w:vAlign w:val="center"/>
                </w:tcPr>
                <w:p w14:paraId="30167389">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6.97（低氮燃烧-国内领先）</w:t>
                  </w:r>
                </w:p>
              </w:tc>
              <w:tc>
                <w:tcPr>
                  <w:tcW w:w="1312" w:type="dxa"/>
                  <w:vMerge w:val="continue"/>
                  <w:tcBorders>
                    <w:top w:val="single" w:color="000000" w:sz="12" w:space="0"/>
                    <w:bottom w:val="single" w:color="000000" w:sz="12" w:space="0"/>
                    <w:right w:val="nil"/>
                  </w:tcBorders>
                  <w:vAlign w:val="center"/>
                </w:tcPr>
                <w:p w14:paraId="7DF2AE7B">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p>
              </w:tc>
            </w:tr>
            <w:tr w14:paraId="3507A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dxa"/>
                  <w:vMerge w:val="continue"/>
                  <w:tcBorders>
                    <w:top w:val="single" w:color="000000" w:sz="12" w:space="0"/>
                    <w:left w:val="nil"/>
                    <w:bottom w:val="single" w:color="000000" w:sz="12" w:space="0"/>
                  </w:tcBorders>
                  <w:vAlign w:val="center"/>
                </w:tcPr>
                <w:p w14:paraId="35BFB2DE">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p>
              </w:tc>
              <w:tc>
                <w:tcPr>
                  <w:tcW w:w="1282" w:type="dxa"/>
                  <w:tcBorders>
                    <w:bottom w:val="single" w:color="000000" w:sz="12" w:space="0"/>
                  </w:tcBorders>
                  <w:vAlign w:val="center"/>
                </w:tcPr>
                <w:p w14:paraId="5F6A2A02">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颗粒物</w:t>
                  </w:r>
                </w:p>
              </w:tc>
              <w:tc>
                <w:tcPr>
                  <w:tcW w:w="1746" w:type="dxa"/>
                  <w:tcBorders>
                    <w:bottom w:val="single" w:color="000000" w:sz="12" w:space="0"/>
                  </w:tcBorders>
                  <w:vAlign w:val="center"/>
                </w:tcPr>
                <w:p w14:paraId="57EFF857">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k</w:t>
                  </w:r>
                  <w:r>
                    <w:rPr>
                      <w:rFonts w:hint="default" w:ascii="Times New Roman" w:hAnsi="Times New Roman" w:cs="Times New Roman"/>
                      <w:b w:val="0"/>
                      <w:bCs w:val="0"/>
                      <w:color w:val="auto"/>
                      <w:sz w:val="21"/>
                      <w:szCs w:val="21"/>
                      <w:vertAlign w:val="baseline"/>
                      <w:lang w:val="en-US" w:eastAsia="zh-CN"/>
                    </w:rPr>
                    <w:t>g/万m</w:t>
                  </w:r>
                  <w:r>
                    <w:rPr>
                      <w:rFonts w:hint="default" w:ascii="Times New Roman" w:hAnsi="Times New Roman" w:cs="Times New Roman"/>
                      <w:b w:val="0"/>
                      <w:bCs w:val="0"/>
                      <w:color w:val="auto"/>
                      <w:sz w:val="21"/>
                      <w:szCs w:val="21"/>
                      <w:vertAlign w:val="superscript"/>
                      <w:lang w:val="en-US" w:eastAsia="zh-CN"/>
                    </w:rPr>
                    <w:t>3</w:t>
                  </w:r>
                  <w:r>
                    <w:rPr>
                      <w:rFonts w:hint="default" w:ascii="Times New Roman" w:hAnsi="Times New Roman" w:cs="Times New Roman"/>
                      <w:b w:val="0"/>
                      <w:bCs w:val="0"/>
                      <w:color w:val="auto"/>
                      <w:sz w:val="21"/>
                      <w:szCs w:val="21"/>
                      <w:vertAlign w:val="baseline"/>
                      <w:lang w:val="en-US" w:eastAsia="zh-CN"/>
                    </w:rPr>
                    <w:t>燃料</w:t>
                  </w:r>
                </w:p>
              </w:tc>
              <w:tc>
                <w:tcPr>
                  <w:tcW w:w="2550" w:type="dxa"/>
                  <w:tcBorders>
                    <w:bottom w:val="single" w:color="000000" w:sz="12" w:space="0"/>
                  </w:tcBorders>
                  <w:vAlign w:val="center"/>
                </w:tcPr>
                <w:p w14:paraId="4F95B379">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1.4</w:t>
                  </w:r>
                </w:p>
              </w:tc>
              <w:tc>
                <w:tcPr>
                  <w:tcW w:w="1312" w:type="dxa"/>
                  <w:vMerge w:val="continue"/>
                  <w:tcBorders>
                    <w:top w:val="single" w:color="000000" w:sz="12" w:space="0"/>
                    <w:bottom w:val="single" w:color="000000" w:sz="12" w:space="0"/>
                    <w:right w:val="nil"/>
                  </w:tcBorders>
                  <w:vAlign w:val="center"/>
                </w:tcPr>
                <w:p w14:paraId="473C47ED">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cs="Times New Roman"/>
                      <w:b w:val="0"/>
                      <w:bCs w:val="0"/>
                      <w:color w:val="auto"/>
                      <w:sz w:val="21"/>
                      <w:szCs w:val="21"/>
                      <w:vertAlign w:val="baseline"/>
                      <w:lang w:val="en-US" w:eastAsia="zh-CN"/>
                    </w:rPr>
                  </w:pPr>
                </w:p>
              </w:tc>
            </w:tr>
          </w:tbl>
          <w:p w14:paraId="144E3B65">
            <w:pPr>
              <w:pStyle w:val="36"/>
              <w:spacing w:before="25" w:line="229" w:lineRule="auto"/>
              <w:ind w:left="108" w:right="57" w:hanging="2"/>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注：</w:t>
            </w:r>
            <w:r>
              <w:rPr>
                <w:rFonts w:hint="default" w:ascii="Times New Roman" w:hAnsi="Times New Roman" w:cs="Times New Roman"/>
                <w:color w:val="auto"/>
                <w:sz w:val="18"/>
                <w:szCs w:val="18"/>
              </w:rPr>
              <w:t>4、产污系数表中气体燃料的二氧化硫的产污系</w:t>
            </w:r>
            <w:r>
              <w:rPr>
                <w:rFonts w:hint="default" w:ascii="Times New Roman" w:hAnsi="Times New Roman" w:cs="Times New Roman"/>
                <w:color w:val="auto"/>
                <w:spacing w:val="-1"/>
                <w:sz w:val="18"/>
                <w:szCs w:val="18"/>
              </w:rPr>
              <w:t>数是以含硫量（S）的形式表示的，其中含硫量（S）是指气体燃料中的硫含量，单位为毫克/立方米。</w:t>
            </w:r>
            <w:r>
              <w:rPr>
                <w:rFonts w:hint="default" w:ascii="Times New Roman" w:hAnsi="Times New Roman" w:cs="Times New Roman"/>
                <w:color w:val="auto"/>
                <w:spacing w:val="-1"/>
                <w:sz w:val="18"/>
                <w:szCs w:val="18"/>
                <w:lang w:val="en-US" w:eastAsia="zh-CN"/>
              </w:rPr>
              <w:t>根据业主提供的资料，天然气为一类天然气，含硫量≤60，本项目取60，</w:t>
            </w:r>
            <w:r>
              <w:rPr>
                <w:rFonts w:hint="default" w:ascii="Times New Roman" w:hAnsi="Times New Roman" w:cs="Times New Roman"/>
                <w:color w:val="auto"/>
                <w:spacing w:val="-1"/>
                <w:sz w:val="18"/>
                <w:szCs w:val="18"/>
              </w:rPr>
              <w:t>燃料中含硫量(S)为</w:t>
            </w:r>
            <w:r>
              <w:rPr>
                <w:rFonts w:hint="default" w:ascii="Times New Roman" w:hAnsi="Times New Roman" w:cs="Times New Roman"/>
                <w:color w:val="auto"/>
                <w:spacing w:val="-24"/>
                <w:sz w:val="18"/>
                <w:szCs w:val="18"/>
                <w:lang w:val="en-US" w:eastAsia="zh-CN"/>
              </w:rPr>
              <w:t>60</w:t>
            </w:r>
            <w:r>
              <w:rPr>
                <w:rFonts w:hint="default" w:ascii="Times New Roman" w:hAnsi="Times New Roman" w:cs="Times New Roman"/>
                <w:color w:val="auto"/>
                <w:spacing w:val="-1"/>
                <w:sz w:val="18"/>
                <w:szCs w:val="18"/>
              </w:rPr>
              <w:t>毫克/立方米，则S=</w:t>
            </w:r>
            <w:r>
              <w:rPr>
                <w:rFonts w:hint="default" w:ascii="Times New Roman" w:hAnsi="Times New Roman" w:cs="Times New Roman"/>
                <w:color w:val="auto"/>
                <w:spacing w:val="-1"/>
                <w:sz w:val="18"/>
                <w:szCs w:val="18"/>
                <w:lang w:val="en-US" w:eastAsia="zh-CN"/>
              </w:rPr>
              <w:t>60</w:t>
            </w:r>
            <w:r>
              <w:rPr>
                <w:rFonts w:hint="default" w:ascii="Times New Roman" w:hAnsi="Times New Roman" w:cs="Times New Roman"/>
                <w:color w:val="auto"/>
                <w:spacing w:val="-1"/>
                <w:sz w:val="18"/>
                <w:szCs w:val="18"/>
              </w:rPr>
              <w:t>。</w:t>
            </w:r>
          </w:p>
          <w:p w14:paraId="7DAF23B1">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firstLine="480" w:firstLineChars="200"/>
              <w:jc w:val="both"/>
              <w:textAlignment w:val="auto"/>
              <w:rPr>
                <w:rFonts w:hint="default"/>
                <w:bCs/>
                <w:color w:val="auto"/>
                <w:sz w:val="24"/>
              </w:rPr>
            </w:pPr>
            <w:r>
              <w:rPr>
                <w:rFonts w:hint="default"/>
                <w:bCs/>
                <w:color w:val="auto"/>
                <w:sz w:val="24"/>
              </w:rPr>
              <w:t>根据建设单位提供数据，天然气的消耗量为</w:t>
            </w:r>
            <w:r>
              <w:rPr>
                <w:rFonts w:hint="default"/>
                <w:bCs/>
                <w:color w:val="auto"/>
                <w:sz w:val="24"/>
                <w:lang w:val="en-US" w:eastAsia="zh-CN"/>
              </w:rPr>
              <w:t>20</w:t>
            </w:r>
            <w:r>
              <w:rPr>
                <w:rFonts w:hint="default"/>
                <w:bCs/>
                <w:color w:val="auto"/>
                <w:sz w:val="24"/>
              </w:rPr>
              <w:t>万m</w:t>
            </w:r>
            <w:r>
              <w:rPr>
                <w:rFonts w:hint="default"/>
                <w:bCs/>
                <w:color w:val="auto"/>
                <w:sz w:val="24"/>
                <w:vertAlign w:val="superscript"/>
              </w:rPr>
              <w:t>3</w:t>
            </w:r>
            <w:r>
              <w:rPr>
                <w:rFonts w:hint="default"/>
                <w:bCs/>
                <w:color w:val="auto"/>
                <w:sz w:val="24"/>
              </w:rPr>
              <w:t>/a。由此计算天然气</w:t>
            </w:r>
          </w:p>
          <w:p w14:paraId="3ABE2E54">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jc w:val="both"/>
              <w:textAlignment w:val="auto"/>
              <w:rPr>
                <w:rFonts w:hint="default"/>
                <w:bCs/>
                <w:color w:val="auto"/>
                <w:sz w:val="24"/>
              </w:rPr>
            </w:pPr>
            <w:r>
              <w:rPr>
                <w:rFonts w:hint="default"/>
                <w:bCs/>
                <w:color w:val="auto"/>
                <w:sz w:val="24"/>
              </w:rPr>
              <w:t>燃烧污染物产生量见下表。</w:t>
            </w:r>
          </w:p>
          <w:p w14:paraId="2D5E404D">
            <w:pPr>
              <w:pStyle w:val="3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0"/>
                <w:szCs w:val="20"/>
                <w:lang w:val="en-US" w:eastAsia="zh-CN"/>
              </w:rPr>
            </w:pPr>
            <w:r>
              <w:rPr>
                <w:rFonts w:hint="default" w:ascii="Times New Roman" w:hAnsi="Times New Roman" w:cs="Times New Roman"/>
                <w:b/>
                <w:bCs/>
                <w:color w:val="auto"/>
                <w:sz w:val="20"/>
                <w:szCs w:val="20"/>
                <w:lang w:val="en-US" w:eastAsia="zh-CN"/>
              </w:rPr>
              <w:t>表4-</w:t>
            </w:r>
            <w:r>
              <w:rPr>
                <w:rFonts w:hint="eastAsia" w:ascii="Times New Roman" w:hAnsi="Times New Roman" w:cs="Times New Roman"/>
                <w:b/>
                <w:bCs/>
                <w:color w:val="auto"/>
                <w:sz w:val="20"/>
                <w:szCs w:val="20"/>
                <w:lang w:val="en-US" w:eastAsia="zh-CN"/>
              </w:rPr>
              <w:t>2</w:t>
            </w:r>
            <w:r>
              <w:rPr>
                <w:rFonts w:hint="default" w:ascii="Times New Roman" w:hAnsi="Times New Roman" w:cs="Times New Roman"/>
                <w:b/>
                <w:bCs/>
                <w:color w:val="auto"/>
                <w:sz w:val="20"/>
                <w:szCs w:val="20"/>
                <w:lang w:val="en-US" w:eastAsia="zh-CN"/>
              </w:rPr>
              <w:t xml:space="preserve">  天然气废气源强一览表</w:t>
            </w:r>
          </w:p>
          <w:p w14:paraId="77EA3C30">
            <w:pPr>
              <w:spacing w:line="129" w:lineRule="exact"/>
              <w:rPr>
                <w:rFonts w:hint="default" w:ascii="Times New Roman" w:hAnsi="Times New Roman" w:cs="Times New Roman"/>
                <w:color w:val="auto"/>
              </w:rPr>
            </w:pPr>
          </w:p>
          <w:tbl>
            <w:tblPr>
              <w:tblStyle w:val="37"/>
              <w:tblW w:w="8178" w:type="dxa"/>
              <w:tblInd w:w="-9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28"/>
              <w:gridCol w:w="1065"/>
              <w:gridCol w:w="1816"/>
              <w:gridCol w:w="1841"/>
              <w:gridCol w:w="1728"/>
            </w:tblGrid>
            <w:tr w14:paraId="3E04AE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9" w:hRule="atLeast"/>
              </w:trPr>
              <w:tc>
                <w:tcPr>
                  <w:tcW w:w="1728" w:type="dxa"/>
                  <w:tcBorders>
                    <w:top w:val="single" w:color="000000" w:sz="10" w:space="0"/>
                    <w:left w:val="nil"/>
                    <w:bottom w:val="single" w:color="000000" w:sz="10" w:space="0"/>
                  </w:tcBorders>
                  <w:vAlign w:val="center"/>
                </w:tcPr>
                <w:p w14:paraId="3183675A">
                  <w:pPr>
                    <w:pStyle w:val="36"/>
                    <w:spacing w:before="130" w:line="229" w:lineRule="auto"/>
                    <w:jc w:val="center"/>
                    <w:rPr>
                      <w:rFonts w:hint="default" w:ascii="Times New Roman" w:hAnsi="Times New Roman" w:eastAsia="宋体" w:cs="Times New Roman"/>
                      <w:b/>
                      <w:bCs/>
                      <w:color w:val="auto"/>
                      <w:sz w:val="20"/>
                      <w:szCs w:val="20"/>
                      <w:lang w:val="en-US" w:eastAsia="zh-CN"/>
                    </w:rPr>
                  </w:pPr>
                  <w:r>
                    <w:rPr>
                      <w:rFonts w:hint="default" w:ascii="Times New Roman" w:hAnsi="Times New Roman" w:cs="Times New Roman"/>
                      <w:b/>
                      <w:bCs/>
                      <w:color w:val="auto"/>
                      <w:sz w:val="20"/>
                      <w:szCs w:val="20"/>
                      <w:lang w:val="en-US" w:eastAsia="zh-CN"/>
                    </w:rPr>
                    <w:t>污染物</w:t>
                  </w:r>
                </w:p>
              </w:tc>
              <w:tc>
                <w:tcPr>
                  <w:tcW w:w="1065" w:type="dxa"/>
                  <w:tcBorders>
                    <w:top w:val="single" w:color="000000" w:sz="10" w:space="0"/>
                    <w:bottom w:val="single" w:color="000000" w:sz="10" w:space="0"/>
                  </w:tcBorders>
                  <w:vAlign w:val="center"/>
                </w:tcPr>
                <w:p w14:paraId="0A86F92E">
                  <w:pPr>
                    <w:pStyle w:val="36"/>
                    <w:spacing w:before="130" w:line="228" w:lineRule="auto"/>
                    <w:jc w:val="center"/>
                    <w:rPr>
                      <w:rFonts w:hint="default" w:ascii="Times New Roman" w:hAnsi="Times New Roman" w:eastAsia="宋体" w:cs="Times New Roman"/>
                      <w:b/>
                      <w:bCs/>
                      <w:color w:val="auto"/>
                      <w:sz w:val="20"/>
                      <w:szCs w:val="20"/>
                      <w:lang w:val="en-US" w:eastAsia="zh-CN"/>
                    </w:rPr>
                  </w:pPr>
                  <w:r>
                    <w:rPr>
                      <w:rFonts w:hint="default" w:ascii="Times New Roman" w:hAnsi="Times New Roman" w:cs="Times New Roman"/>
                      <w:b/>
                      <w:bCs/>
                      <w:color w:val="auto"/>
                      <w:sz w:val="20"/>
                      <w:szCs w:val="20"/>
                      <w:lang w:val="en-US" w:eastAsia="zh-CN"/>
                    </w:rPr>
                    <w:t>产物环节</w:t>
                  </w:r>
                </w:p>
              </w:tc>
              <w:tc>
                <w:tcPr>
                  <w:tcW w:w="1816" w:type="dxa"/>
                  <w:tcBorders>
                    <w:top w:val="single" w:color="000000" w:sz="10" w:space="0"/>
                    <w:bottom w:val="single" w:color="000000" w:sz="10" w:space="0"/>
                  </w:tcBorders>
                  <w:vAlign w:val="center"/>
                </w:tcPr>
                <w:p w14:paraId="2010F4C4">
                  <w:pPr>
                    <w:pStyle w:val="36"/>
                    <w:spacing w:before="130" w:line="228" w:lineRule="auto"/>
                    <w:jc w:val="center"/>
                    <w:rPr>
                      <w:rFonts w:hint="default" w:ascii="Times New Roman" w:hAnsi="Times New Roman" w:eastAsia="宋体" w:cs="Times New Roman"/>
                      <w:b/>
                      <w:bCs/>
                      <w:color w:val="auto"/>
                      <w:sz w:val="20"/>
                      <w:szCs w:val="20"/>
                      <w:lang w:val="en-US" w:eastAsia="zh-CN"/>
                    </w:rPr>
                  </w:pPr>
                  <w:r>
                    <w:rPr>
                      <w:rFonts w:hint="default" w:ascii="Times New Roman" w:hAnsi="Times New Roman" w:cs="Times New Roman"/>
                      <w:b/>
                      <w:bCs/>
                      <w:color w:val="auto"/>
                      <w:sz w:val="20"/>
                      <w:szCs w:val="20"/>
                      <w:lang w:val="en-US" w:eastAsia="zh-CN"/>
                    </w:rPr>
                    <w:t>燃料规模</w:t>
                  </w:r>
                </w:p>
              </w:tc>
              <w:tc>
                <w:tcPr>
                  <w:tcW w:w="1841" w:type="dxa"/>
                  <w:tcBorders>
                    <w:top w:val="single" w:color="000000" w:sz="10" w:space="0"/>
                    <w:bottom w:val="single" w:color="000000" w:sz="10" w:space="0"/>
                  </w:tcBorders>
                  <w:vAlign w:val="center"/>
                </w:tcPr>
                <w:p w14:paraId="71B135A7">
                  <w:pPr>
                    <w:pStyle w:val="36"/>
                    <w:spacing w:before="130" w:line="228" w:lineRule="auto"/>
                    <w:jc w:val="center"/>
                    <w:rPr>
                      <w:rFonts w:hint="default" w:ascii="Times New Roman" w:hAnsi="Times New Roman" w:eastAsia="宋体" w:cs="Times New Roman"/>
                      <w:b/>
                      <w:bCs/>
                      <w:color w:val="auto"/>
                      <w:sz w:val="20"/>
                      <w:szCs w:val="20"/>
                      <w:lang w:val="en-US" w:eastAsia="zh-CN"/>
                    </w:rPr>
                  </w:pPr>
                  <w:r>
                    <w:rPr>
                      <w:rFonts w:hint="default" w:ascii="Times New Roman" w:hAnsi="Times New Roman" w:cs="Times New Roman"/>
                      <w:b/>
                      <w:bCs/>
                      <w:color w:val="auto"/>
                      <w:sz w:val="20"/>
                      <w:szCs w:val="20"/>
                      <w:lang w:val="en-US" w:eastAsia="zh-CN"/>
                    </w:rPr>
                    <w:t>产物系数</w:t>
                  </w:r>
                </w:p>
              </w:tc>
              <w:tc>
                <w:tcPr>
                  <w:tcW w:w="1728" w:type="dxa"/>
                  <w:tcBorders>
                    <w:top w:val="single" w:color="000000" w:sz="10" w:space="0"/>
                    <w:bottom w:val="single" w:color="000000" w:sz="10" w:space="0"/>
                    <w:right w:val="nil"/>
                  </w:tcBorders>
                  <w:vAlign w:val="center"/>
                </w:tcPr>
                <w:p w14:paraId="3E130ADA">
                  <w:pPr>
                    <w:pStyle w:val="36"/>
                    <w:spacing w:before="130" w:line="228" w:lineRule="auto"/>
                    <w:jc w:val="center"/>
                    <w:rPr>
                      <w:rFonts w:hint="default" w:ascii="Times New Roman" w:hAnsi="Times New Roman" w:eastAsia="宋体" w:cs="Times New Roman"/>
                      <w:b/>
                      <w:bCs/>
                      <w:color w:val="auto"/>
                      <w:sz w:val="20"/>
                      <w:szCs w:val="20"/>
                      <w:lang w:val="en-US" w:eastAsia="zh-CN"/>
                    </w:rPr>
                  </w:pPr>
                  <w:r>
                    <w:rPr>
                      <w:rFonts w:hint="default" w:ascii="Times New Roman" w:hAnsi="Times New Roman" w:eastAsia="宋体" w:cs="Times New Roman"/>
                      <w:b/>
                      <w:bCs/>
                      <w:color w:val="auto"/>
                      <w:sz w:val="20"/>
                      <w:szCs w:val="20"/>
                      <w:lang w:val="en-US" w:eastAsia="zh-CN"/>
                    </w:rPr>
                    <w:t>产生量（t/a）</w:t>
                  </w:r>
                </w:p>
              </w:tc>
            </w:tr>
            <w:tr w14:paraId="0F9C7E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4" w:hRule="atLeast"/>
              </w:trPr>
              <w:tc>
                <w:tcPr>
                  <w:tcW w:w="1728" w:type="dxa"/>
                  <w:tcBorders>
                    <w:top w:val="single" w:color="000000" w:sz="10" w:space="0"/>
                    <w:left w:val="nil"/>
                  </w:tcBorders>
                  <w:vAlign w:val="center"/>
                </w:tcPr>
                <w:p w14:paraId="0DEAB938">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二氧化硫</w:t>
                  </w:r>
                </w:p>
              </w:tc>
              <w:tc>
                <w:tcPr>
                  <w:tcW w:w="1065" w:type="dxa"/>
                  <w:vMerge w:val="restart"/>
                  <w:tcBorders>
                    <w:top w:val="single" w:color="000000" w:sz="10" w:space="0"/>
                    <w:bottom w:val="nil"/>
                  </w:tcBorders>
                  <w:vAlign w:val="center"/>
                </w:tcPr>
                <w:p w14:paraId="61F72CB5">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燃气</w:t>
                  </w:r>
                  <w:r>
                    <w:rPr>
                      <w:rFonts w:hint="default" w:ascii="Times New Roman" w:hAnsi="Times New Roman" w:eastAsia="宋体" w:cs="Times New Roman"/>
                      <w:b w:val="0"/>
                      <w:bCs w:val="0"/>
                      <w:color w:val="auto"/>
                      <w:sz w:val="21"/>
                      <w:szCs w:val="21"/>
                      <w:vertAlign w:val="baseline"/>
                      <w:lang w:val="en-US" w:eastAsia="zh-CN"/>
                    </w:rPr>
                    <w:t>锅炉</w:t>
                  </w:r>
                </w:p>
              </w:tc>
              <w:tc>
                <w:tcPr>
                  <w:tcW w:w="1816" w:type="dxa"/>
                  <w:vMerge w:val="restart"/>
                  <w:tcBorders>
                    <w:top w:val="single" w:color="000000" w:sz="10" w:space="0"/>
                    <w:bottom w:val="nil"/>
                  </w:tcBorders>
                  <w:vAlign w:val="center"/>
                </w:tcPr>
                <w:p w14:paraId="597030F4">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天然气20万m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/a</w:t>
                  </w:r>
                </w:p>
              </w:tc>
              <w:tc>
                <w:tcPr>
                  <w:tcW w:w="1841" w:type="dxa"/>
                  <w:tcBorders>
                    <w:top w:val="single" w:color="000000" w:sz="10" w:space="0"/>
                  </w:tcBorders>
                  <w:vAlign w:val="center"/>
                </w:tcPr>
                <w:p w14:paraId="062C2DD4">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1.2Kg/万m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燃料</w:t>
                  </w:r>
                </w:p>
              </w:tc>
              <w:tc>
                <w:tcPr>
                  <w:tcW w:w="1728" w:type="dxa"/>
                  <w:tcBorders>
                    <w:top w:val="single" w:color="000000" w:sz="10" w:space="0"/>
                    <w:right w:val="nil"/>
                  </w:tcBorders>
                  <w:vAlign w:val="center"/>
                </w:tcPr>
                <w:p w14:paraId="25471543">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0.024</w:t>
                  </w:r>
                </w:p>
              </w:tc>
            </w:tr>
            <w:tr w14:paraId="686682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 w:hRule="atLeast"/>
              </w:trPr>
              <w:tc>
                <w:tcPr>
                  <w:tcW w:w="1728" w:type="dxa"/>
                  <w:tcBorders>
                    <w:left w:val="nil"/>
                  </w:tcBorders>
                  <w:vAlign w:val="center"/>
                </w:tcPr>
                <w:p w14:paraId="7B5C7744">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氮氧化物</w:t>
                  </w:r>
                </w:p>
              </w:tc>
              <w:tc>
                <w:tcPr>
                  <w:tcW w:w="1065" w:type="dxa"/>
                  <w:vMerge w:val="continue"/>
                  <w:tcBorders>
                    <w:top w:val="nil"/>
                    <w:bottom w:val="nil"/>
                  </w:tcBorders>
                  <w:vAlign w:val="center"/>
                </w:tcPr>
                <w:p w14:paraId="7A656E61">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816" w:type="dxa"/>
                  <w:vMerge w:val="continue"/>
                  <w:tcBorders>
                    <w:top w:val="nil"/>
                    <w:bottom w:val="nil"/>
                  </w:tcBorders>
                  <w:vAlign w:val="center"/>
                </w:tcPr>
                <w:p w14:paraId="0A8B4814">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841" w:type="dxa"/>
                  <w:vAlign w:val="center"/>
                </w:tcPr>
                <w:p w14:paraId="442666E7">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6.97</w:t>
                  </w:r>
                  <w:r>
                    <w:rPr>
                      <w:rFonts w:hint="default" w:ascii="Times New Roman" w:hAnsi="Times New Roman" w:eastAsia="宋体" w:cs="Times New Roman"/>
                      <w:b w:val="0"/>
                      <w:bCs w:val="0"/>
                      <w:color w:val="auto"/>
                      <w:sz w:val="21"/>
                      <w:szCs w:val="21"/>
                      <w:vertAlign w:val="baseline"/>
                      <w:lang w:val="en-US" w:eastAsia="zh-CN"/>
                    </w:rPr>
                    <w:t>Kg/万m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燃料</w:t>
                  </w:r>
                </w:p>
              </w:tc>
              <w:tc>
                <w:tcPr>
                  <w:tcW w:w="1728" w:type="dxa"/>
                  <w:tcBorders>
                    <w:right w:val="nil"/>
                  </w:tcBorders>
                  <w:vAlign w:val="center"/>
                </w:tcPr>
                <w:p w14:paraId="37AEBF71">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0.139</w:t>
                  </w:r>
                </w:p>
              </w:tc>
            </w:tr>
            <w:tr w14:paraId="088FA0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 w:hRule="atLeast"/>
              </w:trPr>
              <w:tc>
                <w:tcPr>
                  <w:tcW w:w="1728" w:type="dxa"/>
                  <w:tcBorders>
                    <w:left w:val="nil"/>
                    <w:bottom w:val="single" w:color="000000" w:sz="10" w:space="0"/>
                  </w:tcBorders>
                  <w:vAlign w:val="center"/>
                </w:tcPr>
                <w:p w14:paraId="54D01594">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颗粒物</w:t>
                  </w:r>
                </w:p>
              </w:tc>
              <w:tc>
                <w:tcPr>
                  <w:tcW w:w="1065" w:type="dxa"/>
                  <w:vMerge w:val="continue"/>
                  <w:tcBorders>
                    <w:top w:val="nil"/>
                    <w:bottom w:val="single" w:color="000000" w:sz="10" w:space="0"/>
                  </w:tcBorders>
                  <w:vAlign w:val="center"/>
                </w:tcPr>
                <w:p w14:paraId="006E74F9">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816" w:type="dxa"/>
                  <w:vMerge w:val="continue"/>
                  <w:tcBorders>
                    <w:top w:val="nil"/>
                    <w:bottom w:val="single" w:color="000000" w:sz="10" w:space="0"/>
                  </w:tcBorders>
                  <w:vAlign w:val="center"/>
                </w:tcPr>
                <w:p w14:paraId="7F10E318">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841" w:type="dxa"/>
                  <w:tcBorders>
                    <w:bottom w:val="single" w:color="000000" w:sz="10" w:space="0"/>
                  </w:tcBorders>
                  <w:vAlign w:val="center"/>
                </w:tcPr>
                <w:p w14:paraId="05C18497">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1.4Kg/万m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燃料</w:t>
                  </w:r>
                </w:p>
              </w:tc>
              <w:tc>
                <w:tcPr>
                  <w:tcW w:w="1728" w:type="dxa"/>
                  <w:tcBorders>
                    <w:bottom w:val="single" w:color="000000" w:sz="10" w:space="0"/>
                    <w:right w:val="nil"/>
                  </w:tcBorders>
                  <w:vAlign w:val="center"/>
                </w:tcPr>
                <w:p w14:paraId="36A2C2F1">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0.028</w:t>
                  </w:r>
                </w:p>
              </w:tc>
            </w:tr>
          </w:tbl>
          <w:p w14:paraId="742638FE">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本项目全年生产天数为180天，三班工作制度，每班8小时，年生产时间</w:t>
            </w:r>
          </w:p>
          <w:p w14:paraId="6DFF8089">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为1440h。</w:t>
            </w:r>
            <w:r>
              <w:rPr>
                <w:rFonts w:hint="eastAsia" w:ascii="Times New Roman" w:hAnsi="Times New Roman" w:eastAsia="宋体" w:cs="Times New Roman"/>
                <w:color w:val="auto"/>
                <w:sz w:val="24"/>
                <w:szCs w:val="24"/>
                <w:lang w:val="en-US" w:eastAsia="zh-CN"/>
              </w:rPr>
              <w:t>排放浓度=排放量/烟气排放量，</w:t>
            </w:r>
            <w:r>
              <w:rPr>
                <w:rFonts w:hint="default" w:ascii="Times New Roman" w:hAnsi="Times New Roman" w:eastAsia="宋体" w:cs="Times New Roman"/>
                <w:color w:val="auto"/>
                <w:sz w:val="24"/>
                <w:szCs w:val="24"/>
                <w:lang w:val="en-US" w:eastAsia="zh-CN"/>
              </w:rPr>
              <w:t>本项目废气排放情况见下表。</w:t>
            </w:r>
          </w:p>
          <w:p w14:paraId="6D2FB977">
            <w:pPr>
              <w:pStyle w:val="36"/>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0"/>
                <w:szCs w:val="20"/>
                <w:lang w:val="en-US" w:eastAsia="zh-CN"/>
              </w:rPr>
            </w:pPr>
            <w:r>
              <w:rPr>
                <w:rFonts w:hint="default" w:ascii="Times New Roman" w:hAnsi="Times New Roman" w:cs="Times New Roman"/>
                <w:b/>
                <w:bCs/>
                <w:color w:val="auto"/>
                <w:sz w:val="20"/>
                <w:szCs w:val="20"/>
                <w:lang w:val="en-US" w:eastAsia="zh-CN"/>
              </w:rPr>
              <w:t>表4-3  天然气废气源强一览表</w:t>
            </w:r>
          </w:p>
          <w:tbl>
            <w:tblPr>
              <w:tblStyle w:val="24"/>
              <w:tblW w:w="8141"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1252"/>
              <w:gridCol w:w="1163"/>
              <w:gridCol w:w="1163"/>
              <w:gridCol w:w="1163"/>
              <w:gridCol w:w="1163"/>
              <w:gridCol w:w="1163"/>
            </w:tblGrid>
            <w:tr w14:paraId="2A4D3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74" w:type="dxa"/>
                  <w:tcBorders>
                    <w:top w:val="single" w:color="000000" w:sz="12" w:space="0"/>
                    <w:left w:val="nil"/>
                    <w:bottom w:val="single" w:color="000000" w:sz="12" w:space="0"/>
                  </w:tcBorders>
                  <w:vAlign w:val="center"/>
                </w:tcPr>
                <w:p w14:paraId="66350370">
                  <w:pPr>
                    <w:pStyle w:val="36"/>
                    <w:spacing w:before="130" w:line="229" w:lineRule="auto"/>
                    <w:jc w:val="center"/>
                    <w:rPr>
                      <w:rFonts w:hint="eastAsia" w:ascii="Times New Roman" w:hAnsi="Times New Roman" w:eastAsia="宋体" w:cs="Times New Roman"/>
                      <w:b/>
                      <w:bCs/>
                      <w:color w:val="auto"/>
                      <w:sz w:val="20"/>
                      <w:szCs w:val="20"/>
                      <w:lang w:val="en-US" w:eastAsia="zh-CN"/>
                    </w:rPr>
                  </w:pPr>
                  <w:r>
                    <w:rPr>
                      <w:rFonts w:hint="eastAsia" w:ascii="Times New Roman" w:hAnsi="Times New Roman" w:eastAsia="宋体" w:cs="Times New Roman"/>
                      <w:b/>
                      <w:bCs/>
                      <w:color w:val="auto"/>
                      <w:sz w:val="20"/>
                      <w:szCs w:val="20"/>
                      <w:lang w:val="en-US" w:eastAsia="zh-CN"/>
                    </w:rPr>
                    <w:t>污染物</w:t>
                  </w:r>
                </w:p>
              </w:tc>
              <w:tc>
                <w:tcPr>
                  <w:tcW w:w="1252" w:type="dxa"/>
                  <w:tcBorders>
                    <w:top w:val="single" w:color="000000" w:sz="12" w:space="0"/>
                    <w:bottom w:val="single" w:color="000000" w:sz="12" w:space="0"/>
                  </w:tcBorders>
                  <w:vAlign w:val="center"/>
                </w:tcPr>
                <w:p w14:paraId="4167B866">
                  <w:pPr>
                    <w:pStyle w:val="36"/>
                    <w:spacing w:before="130" w:line="229" w:lineRule="auto"/>
                    <w:jc w:val="center"/>
                    <w:rPr>
                      <w:rFonts w:hint="default" w:ascii="Times New Roman" w:hAnsi="Times New Roman" w:eastAsia="宋体" w:cs="Times New Roman"/>
                      <w:b/>
                      <w:bCs/>
                      <w:color w:val="auto"/>
                      <w:sz w:val="20"/>
                      <w:szCs w:val="20"/>
                      <w:lang w:val="en-US" w:eastAsia="zh-CN"/>
                    </w:rPr>
                  </w:pPr>
                  <w:r>
                    <w:rPr>
                      <w:rFonts w:hint="eastAsia" w:ascii="Times New Roman" w:hAnsi="Times New Roman" w:eastAsia="宋体" w:cs="Times New Roman"/>
                      <w:b/>
                      <w:bCs/>
                      <w:color w:val="auto"/>
                      <w:sz w:val="20"/>
                      <w:szCs w:val="20"/>
                      <w:lang w:val="en-US" w:eastAsia="zh-CN"/>
                    </w:rPr>
                    <w:t>产生量t/a</w:t>
                  </w:r>
                </w:p>
              </w:tc>
              <w:tc>
                <w:tcPr>
                  <w:tcW w:w="1163" w:type="dxa"/>
                  <w:tcBorders>
                    <w:top w:val="single" w:color="000000" w:sz="12" w:space="0"/>
                    <w:bottom w:val="single" w:color="000000" w:sz="12" w:space="0"/>
                  </w:tcBorders>
                  <w:vAlign w:val="center"/>
                </w:tcPr>
                <w:p w14:paraId="27F98F8A">
                  <w:pPr>
                    <w:pStyle w:val="36"/>
                    <w:spacing w:before="130" w:line="229" w:lineRule="auto"/>
                    <w:jc w:val="center"/>
                    <w:rPr>
                      <w:rFonts w:hint="eastAsia" w:ascii="Times New Roman" w:hAnsi="Times New Roman" w:eastAsia="宋体" w:cs="Times New Roman"/>
                      <w:b/>
                      <w:bCs/>
                      <w:color w:val="auto"/>
                      <w:sz w:val="20"/>
                      <w:szCs w:val="20"/>
                      <w:lang w:val="en-US" w:eastAsia="zh-CN"/>
                    </w:rPr>
                  </w:pPr>
                  <w:r>
                    <w:rPr>
                      <w:rFonts w:hint="eastAsia" w:ascii="Times New Roman" w:hAnsi="Times New Roman" w:eastAsia="宋体" w:cs="Times New Roman"/>
                      <w:b/>
                      <w:bCs/>
                      <w:color w:val="auto"/>
                      <w:sz w:val="20"/>
                      <w:szCs w:val="20"/>
                      <w:lang w:val="en-US" w:eastAsia="zh-CN"/>
                    </w:rPr>
                    <w:t>排污系数</w:t>
                  </w:r>
                </w:p>
              </w:tc>
              <w:tc>
                <w:tcPr>
                  <w:tcW w:w="1163" w:type="dxa"/>
                  <w:tcBorders>
                    <w:top w:val="single" w:color="000000" w:sz="12" w:space="0"/>
                    <w:bottom w:val="single" w:color="000000" w:sz="12" w:space="0"/>
                  </w:tcBorders>
                  <w:vAlign w:val="center"/>
                </w:tcPr>
                <w:p w14:paraId="412751FD">
                  <w:pPr>
                    <w:pStyle w:val="36"/>
                    <w:spacing w:before="130" w:line="229" w:lineRule="auto"/>
                    <w:jc w:val="center"/>
                    <w:rPr>
                      <w:rFonts w:hint="eastAsia" w:ascii="Times New Roman" w:hAnsi="Times New Roman" w:eastAsia="宋体" w:cs="Times New Roman"/>
                      <w:b/>
                      <w:bCs/>
                      <w:color w:val="auto"/>
                      <w:sz w:val="20"/>
                      <w:szCs w:val="20"/>
                      <w:lang w:val="en-US" w:eastAsia="zh-CN"/>
                    </w:rPr>
                  </w:pPr>
                  <w:r>
                    <w:rPr>
                      <w:rFonts w:hint="eastAsia" w:ascii="Times New Roman" w:hAnsi="Times New Roman" w:eastAsia="宋体" w:cs="Times New Roman"/>
                      <w:b/>
                      <w:bCs/>
                      <w:color w:val="auto"/>
                      <w:sz w:val="20"/>
                      <w:szCs w:val="20"/>
                      <w:lang w:val="en-US" w:eastAsia="zh-CN"/>
                    </w:rPr>
                    <w:t>治理工艺</w:t>
                  </w:r>
                </w:p>
              </w:tc>
              <w:tc>
                <w:tcPr>
                  <w:tcW w:w="1163" w:type="dxa"/>
                  <w:tcBorders>
                    <w:top w:val="single" w:color="000000" w:sz="12" w:space="0"/>
                    <w:bottom w:val="single" w:color="000000" w:sz="12" w:space="0"/>
                  </w:tcBorders>
                  <w:vAlign w:val="center"/>
                </w:tcPr>
                <w:p w14:paraId="18FA299C">
                  <w:pPr>
                    <w:pStyle w:val="36"/>
                    <w:spacing w:before="130" w:line="229" w:lineRule="auto"/>
                    <w:jc w:val="center"/>
                    <w:rPr>
                      <w:rFonts w:hint="default" w:ascii="Times New Roman" w:hAnsi="Times New Roman" w:eastAsia="宋体" w:cs="Times New Roman"/>
                      <w:b/>
                      <w:bCs/>
                      <w:color w:val="auto"/>
                      <w:sz w:val="20"/>
                      <w:szCs w:val="20"/>
                      <w:lang w:val="en-US" w:eastAsia="zh-CN"/>
                    </w:rPr>
                  </w:pPr>
                  <w:r>
                    <w:rPr>
                      <w:rFonts w:hint="eastAsia" w:ascii="Times New Roman" w:hAnsi="Times New Roman" w:eastAsia="宋体" w:cs="Times New Roman"/>
                      <w:b/>
                      <w:bCs/>
                      <w:color w:val="auto"/>
                      <w:sz w:val="20"/>
                      <w:szCs w:val="20"/>
                      <w:lang w:val="en-US" w:eastAsia="zh-CN"/>
                    </w:rPr>
                    <w:t>排放量t/a</w:t>
                  </w:r>
                </w:p>
              </w:tc>
              <w:tc>
                <w:tcPr>
                  <w:tcW w:w="1163" w:type="dxa"/>
                  <w:tcBorders>
                    <w:top w:val="single" w:color="000000" w:sz="12" w:space="0"/>
                    <w:bottom w:val="single" w:color="000000" w:sz="12" w:space="0"/>
                  </w:tcBorders>
                  <w:vAlign w:val="center"/>
                </w:tcPr>
                <w:p w14:paraId="64A39708">
                  <w:pPr>
                    <w:pStyle w:val="36"/>
                    <w:spacing w:before="130" w:line="229" w:lineRule="auto"/>
                    <w:jc w:val="center"/>
                    <w:rPr>
                      <w:rFonts w:hint="default" w:ascii="Times New Roman" w:hAnsi="Times New Roman" w:eastAsia="宋体" w:cs="Times New Roman"/>
                      <w:b/>
                      <w:bCs/>
                      <w:color w:val="auto"/>
                      <w:sz w:val="20"/>
                      <w:szCs w:val="20"/>
                      <w:lang w:val="en-US" w:eastAsia="zh-CN"/>
                    </w:rPr>
                  </w:pPr>
                  <w:r>
                    <w:rPr>
                      <w:rFonts w:hint="eastAsia" w:ascii="Times New Roman" w:hAnsi="Times New Roman" w:eastAsia="宋体" w:cs="Times New Roman"/>
                      <w:b/>
                      <w:bCs/>
                      <w:color w:val="auto"/>
                      <w:sz w:val="20"/>
                      <w:szCs w:val="20"/>
                      <w:lang w:val="en-US" w:eastAsia="zh-CN"/>
                    </w:rPr>
                    <w:t>排放速率kg/h</w:t>
                  </w:r>
                </w:p>
              </w:tc>
              <w:tc>
                <w:tcPr>
                  <w:tcW w:w="1163" w:type="dxa"/>
                  <w:tcBorders>
                    <w:top w:val="single" w:color="000000" w:sz="12" w:space="0"/>
                    <w:bottom w:val="single" w:color="000000" w:sz="12" w:space="0"/>
                    <w:right w:val="nil"/>
                  </w:tcBorders>
                  <w:vAlign w:val="center"/>
                </w:tcPr>
                <w:p w14:paraId="785539A5">
                  <w:pPr>
                    <w:pStyle w:val="36"/>
                    <w:spacing w:before="130" w:line="229" w:lineRule="auto"/>
                    <w:jc w:val="center"/>
                    <w:rPr>
                      <w:rFonts w:hint="default" w:ascii="Times New Roman" w:hAnsi="Times New Roman" w:eastAsia="宋体" w:cs="Times New Roman"/>
                      <w:b/>
                      <w:bCs/>
                      <w:color w:val="auto"/>
                      <w:sz w:val="20"/>
                      <w:szCs w:val="20"/>
                      <w:lang w:val="en-US" w:eastAsia="zh-CN"/>
                    </w:rPr>
                  </w:pPr>
                  <w:r>
                    <w:rPr>
                      <w:rFonts w:hint="eastAsia" w:ascii="Times New Roman" w:hAnsi="Times New Roman" w:eastAsia="宋体" w:cs="Times New Roman"/>
                      <w:b/>
                      <w:bCs/>
                      <w:color w:val="auto"/>
                      <w:sz w:val="20"/>
                      <w:szCs w:val="20"/>
                      <w:lang w:val="en-US" w:eastAsia="zh-CN"/>
                    </w:rPr>
                    <w:t>排放浓度mg/m</w:t>
                  </w:r>
                  <w:r>
                    <w:rPr>
                      <w:rFonts w:hint="eastAsia" w:ascii="Times New Roman" w:hAnsi="Times New Roman" w:eastAsia="宋体" w:cs="Times New Roman"/>
                      <w:b/>
                      <w:bCs/>
                      <w:color w:val="auto"/>
                      <w:sz w:val="20"/>
                      <w:szCs w:val="20"/>
                      <w:vertAlign w:val="superscript"/>
                      <w:lang w:val="en-US" w:eastAsia="zh-CN"/>
                    </w:rPr>
                    <w:t>3</w:t>
                  </w:r>
                </w:p>
              </w:tc>
            </w:tr>
            <w:tr w14:paraId="41919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4" w:type="dxa"/>
                  <w:tcBorders>
                    <w:top w:val="single" w:color="000000" w:sz="12" w:space="0"/>
                    <w:left w:val="nil"/>
                  </w:tcBorders>
                  <w:vAlign w:val="center"/>
                </w:tcPr>
                <w:p w14:paraId="506077EB">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二氧化硫</w:t>
                  </w:r>
                </w:p>
              </w:tc>
              <w:tc>
                <w:tcPr>
                  <w:tcW w:w="1252" w:type="dxa"/>
                  <w:tcBorders>
                    <w:top w:val="single" w:color="000000" w:sz="12" w:space="0"/>
                  </w:tcBorders>
                  <w:vAlign w:val="center"/>
                </w:tcPr>
                <w:p w14:paraId="15E3B473">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0.024</w:t>
                  </w:r>
                </w:p>
              </w:tc>
              <w:tc>
                <w:tcPr>
                  <w:tcW w:w="1163" w:type="dxa"/>
                  <w:tcBorders>
                    <w:top w:val="single" w:color="000000" w:sz="12" w:space="0"/>
                  </w:tcBorders>
                  <w:vAlign w:val="center"/>
                </w:tcPr>
                <w:p w14:paraId="799C0ADF">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1.2k</w:t>
                  </w:r>
                  <w:r>
                    <w:rPr>
                      <w:rFonts w:hint="default" w:ascii="Times New Roman" w:hAnsi="Times New Roman" w:eastAsia="宋体" w:cs="Times New Roman"/>
                      <w:b w:val="0"/>
                      <w:bCs w:val="0"/>
                      <w:color w:val="auto"/>
                      <w:sz w:val="21"/>
                      <w:szCs w:val="21"/>
                      <w:vertAlign w:val="baseline"/>
                      <w:lang w:val="en-US" w:eastAsia="zh-CN"/>
                    </w:rPr>
                    <w:t>g/万m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燃料</w:t>
                  </w:r>
                </w:p>
              </w:tc>
              <w:tc>
                <w:tcPr>
                  <w:tcW w:w="1163" w:type="dxa"/>
                  <w:tcBorders>
                    <w:top w:val="single" w:color="000000" w:sz="12" w:space="0"/>
                  </w:tcBorders>
                  <w:vAlign w:val="center"/>
                </w:tcPr>
                <w:p w14:paraId="2675B9CC">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1163" w:type="dxa"/>
                  <w:tcBorders>
                    <w:top w:val="single" w:color="000000" w:sz="12" w:space="0"/>
                  </w:tcBorders>
                  <w:vAlign w:val="center"/>
                </w:tcPr>
                <w:p w14:paraId="2ACAFE25">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0.024</w:t>
                  </w:r>
                </w:p>
              </w:tc>
              <w:tc>
                <w:tcPr>
                  <w:tcW w:w="1163" w:type="dxa"/>
                  <w:tcBorders>
                    <w:top w:val="single" w:color="000000" w:sz="12" w:space="0"/>
                  </w:tcBorders>
                  <w:vAlign w:val="center"/>
                </w:tcPr>
                <w:p w14:paraId="0DD21FD6">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0.017</w:t>
                  </w:r>
                </w:p>
              </w:tc>
              <w:tc>
                <w:tcPr>
                  <w:tcW w:w="1163" w:type="dxa"/>
                  <w:tcBorders>
                    <w:top w:val="single" w:color="000000" w:sz="12" w:space="0"/>
                    <w:right w:val="nil"/>
                  </w:tcBorders>
                  <w:vAlign w:val="center"/>
                </w:tcPr>
                <w:p w14:paraId="1C6C1480">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8.22</w:t>
                  </w:r>
                </w:p>
              </w:tc>
            </w:tr>
            <w:tr w14:paraId="006F4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4" w:type="dxa"/>
                  <w:tcBorders>
                    <w:left w:val="nil"/>
                  </w:tcBorders>
                  <w:vAlign w:val="center"/>
                </w:tcPr>
                <w:p w14:paraId="18636B79">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氮氧化物</w:t>
                  </w:r>
                </w:p>
              </w:tc>
              <w:tc>
                <w:tcPr>
                  <w:tcW w:w="1252" w:type="dxa"/>
                  <w:vAlign w:val="center"/>
                </w:tcPr>
                <w:p w14:paraId="0AE600ED">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0.139</w:t>
                  </w:r>
                </w:p>
              </w:tc>
              <w:tc>
                <w:tcPr>
                  <w:tcW w:w="1163" w:type="dxa"/>
                  <w:vAlign w:val="center"/>
                </w:tcPr>
                <w:p w14:paraId="75BF2D9A">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6.97k</w:t>
                  </w:r>
                  <w:r>
                    <w:rPr>
                      <w:rFonts w:hint="default" w:ascii="Times New Roman" w:hAnsi="Times New Roman" w:eastAsia="宋体" w:cs="Times New Roman"/>
                      <w:b w:val="0"/>
                      <w:bCs w:val="0"/>
                      <w:color w:val="auto"/>
                      <w:sz w:val="21"/>
                      <w:szCs w:val="21"/>
                      <w:vertAlign w:val="baseline"/>
                      <w:lang w:val="en-US" w:eastAsia="zh-CN"/>
                    </w:rPr>
                    <w:t>g/万m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燃料</w:t>
                  </w:r>
                </w:p>
              </w:tc>
              <w:tc>
                <w:tcPr>
                  <w:tcW w:w="1163" w:type="dxa"/>
                  <w:vAlign w:val="center"/>
                </w:tcPr>
                <w:p w14:paraId="5A6C4FBF">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低氮燃烧器+烟气外循环</w:t>
                  </w:r>
                </w:p>
              </w:tc>
              <w:tc>
                <w:tcPr>
                  <w:tcW w:w="1163" w:type="dxa"/>
                  <w:vAlign w:val="center"/>
                </w:tcPr>
                <w:p w14:paraId="25BE0A1A">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0.139</w:t>
                  </w:r>
                </w:p>
              </w:tc>
              <w:tc>
                <w:tcPr>
                  <w:tcW w:w="1163" w:type="dxa"/>
                  <w:vAlign w:val="center"/>
                </w:tcPr>
                <w:p w14:paraId="1AB004AC">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0.097</w:t>
                  </w:r>
                </w:p>
              </w:tc>
              <w:tc>
                <w:tcPr>
                  <w:tcW w:w="1163" w:type="dxa"/>
                  <w:tcBorders>
                    <w:right w:val="nil"/>
                  </w:tcBorders>
                  <w:vAlign w:val="center"/>
                </w:tcPr>
                <w:p w14:paraId="12DB9D06">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47.62</w:t>
                  </w:r>
                </w:p>
              </w:tc>
            </w:tr>
            <w:tr w14:paraId="6904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4" w:type="dxa"/>
                  <w:tcBorders>
                    <w:left w:val="nil"/>
                    <w:bottom w:val="single" w:color="000000" w:sz="12" w:space="0"/>
                  </w:tcBorders>
                  <w:vAlign w:val="center"/>
                </w:tcPr>
                <w:p w14:paraId="0FD82157">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颗粒物</w:t>
                  </w:r>
                </w:p>
              </w:tc>
              <w:tc>
                <w:tcPr>
                  <w:tcW w:w="1252" w:type="dxa"/>
                  <w:tcBorders>
                    <w:bottom w:val="single" w:color="000000" w:sz="12" w:space="0"/>
                  </w:tcBorders>
                  <w:vAlign w:val="center"/>
                </w:tcPr>
                <w:p w14:paraId="644A91A3">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w:t>
                  </w:r>
                  <w:r>
                    <w:rPr>
                      <w:rFonts w:hint="eastAsia" w:cs="Times New Roman"/>
                      <w:b w:val="0"/>
                      <w:bCs w:val="0"/>
                      <w:color w:val="auto"/>
                      <w:sz w:val="21"/>
                      <w:szCs w:val="21"/>
                      <w:vertAlign w:val="baseline"/>
                      <w:lang w:val="en-US" w:eastAsia="zh-CN"/>
                    </w:rPr>
                    <w:t>28</w:t>
                  </w:r>
                </w:p>
              </w:tc>
              <w:tc>
                <w:tcPr>
                  <w:tcW w:w="1163" w:type="dxa"/>
                  <w:tcBorders>
                    <w:bottom w:val="single" w:color="000000" w:sz="12" w:space="0"/>
                  </w:tcBorders>
                  <w:vAlign w:val="center"/>
                </w:tcPr>
                <w:p w14:paraId="107CFAB3">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1.4k</w:t>
                  </w:r>
                  <w:r>
                    <w:rPr>
                      <w:rFonts w:hint="default" w:ascii="Times New Roman" w:hAnsi="Times New Roman" w:eastAsia="宋体" w:cs="Times New Roman"/>
                      <w:b w:val="0"/>
                      <w:bCs w:val="0"/>
                      <w:color w:val="auto"/>
                      <w:sz w:val="21"/>
                      <w:szCs w:val="21"/>
                      <w:vertAlign w:val="baseline"/>
                      <w:lang w:val="en-US" w:eastAsia="zh-CN"/>
                    </w:rPr>
                    <w:t>g/万m</w:t>
                  </w:r>
                  <w:r>
                    <w:rPr>
                      <w:rFonts w:hint="default" w:ascii="Times New Roman" w:hAnsi="Times New Roman" w:eastAsia="宋体" w:cs="Times New Roman"/>
                      <w:b w:val="0"/>
                      <w:bCs w:val="0"/>
                      <w:color w:val="auto"/>
                      <w:sz w:val="21"/>
                      <w:szCs w:val="21"/>
                      <w:vertAlign w:val="superscript"/>
                      <w:lang w:val="en-US" w:eastAsia="zh-CN"/>
                    </w:rPr>
                    <w:t>3</w:t>
                  </w:r>
                  <w:r>
                    <w:rPr>
                      <w:rFonts w:hint="default" w:ascii="Times New Roman" w:hAnsi="Times New Roman" w:eastAsia="宋体" w:cs="Times New Roman"/>
                      <w:b w:val="0"/>
                      <w:bCs w:val="0"/>
                      <w:color w:val="auto"/>
                      <w:sz w:val="21"/>
                      <w:szCs w:val="21"/>
                      <w:vertAlign w:val="baseline"/>
                      <w:lang w:val="en-US" w:eastAsia="zh-CN"/>
                    </w:rPr>
                    <w:t>燃料</w:t>
                  </w:r>
                </w:p>
              </w:tc>
              <w:tc>
                <w:tcPr>
                  <w:tcW w:w="1163" w:type="dxa"/>
                  <w:tcBorders>
                    <w:bottom w:val="single" w:color="000000" w:sz="12" w:space="0"/>
                  </w:tcBorders>
                  <w:vAlign w:val="center"/>
                </w:tcPr>
                <w:p w14:paraId="4321D693">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w:t>
                  </w:r>
                </w:p>
              </w:tc>
              <w:tc>
                <w:tcPr>
                  <w:tcW w:w="1163" w:type="dxa"/>
                  <w:tcBorders>
                    <w:bottom w:val="single" w:color="000000" w:sz="12" w:space="0"/>
                  </w:tcBorders>
                  <w:vAlign w:val="center"/>
                </w:tcPr>
                <w:p w14:paraId="637A81B1">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0.028</w:t>
                  </w:r>
                </w:p>
              </w:tc>
              <w:tc>
                <w:tcPr>
                  <w:tcW w:w="1163" w:type="dxa"/>
                  <w:tcBorders>
                    <w:bottom w:val="single" w:color="000000" w:sz="12" w:space="0"/>
                  </w:tcBorders>
                  <w:vAlign w:val="center"/>
                </w:tcPr>
                <w:p w14:paraId="33FB001F">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0.02</w:t>
                  </w:r>
                </w:p>
              </w:tc>
              <w:tc>
                <w:tcPr>
                  <w:tcW w:w="1163" w:type="dxa"/>
                  <w:tcBorders>
                    <w:bottom w:val="single" w:color="000000" w:sz="12" w:space="0"/>
                    <w:right w:val="nil"/>
                  </w:tcBorders>
                  <w:vAlign w:val="center"/>
                </w:tcPr>
                <w:p w14:paraId="7111ADB0">
                  <w:pPr>
                    <w:keepNext w:val="0"/>
                    <w:keepLines w:val="0"/>
                    <w:pageBreakBefore w:val="0"/>
                    <w:widowControl w:val="0"/>
                    <w:kinsoku/>
                    <w:wordWrap/>
                    <w:overflowPunct/>
                    <w:autoSpaceDE/>
                    <w:autoSpaceDN/>
                    <w:bidi w:val="0"/>
                    <w:snapToGrid w:val="0"/>
                    <w:spacing w:beforeAutospacing="0" w:afterAutospacing="0" w:line="240" w:lineRule="auto"/>
                    <w:ind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9.59</w:t>
                  </w:r>
                </w:p>
              </w:tc>
            </w:tr>
          </w:tbl>
          <w:p w14:paraId="39D24C24">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由上表可知，二氧化硫排放量为0.</w:t>
            </w:r>
            <w:r>
              <w:rPr>
                <w:rFonts w:hint="eastAsia" w:ascii="Times New Roman" w:hAnsi="Times New Roman" w:eastAsia="宋体" w:cs="Times New Roman"/>
                <w:color w:val="auto"/>
                <w:sz w:val="24"/>
                <w:szCs w:val="24"/>
                <w:lang w:val="en-US" w:eastAsia="zh-CN"/>
              </w:rPr>
              <w:t>024</w:t>
            </w:r>
            <w:r>
              <w:rPr>
                <w:rFonts w:hint="default" w:ascii="Times New Roman" w:hAnsi="Times New Roman" w:eastAsia="宋体" w:cs="Times New Roman"/>
                <w:color w:val="auto"/>
                <w:sz w:val="24"/>
                <w:szCs w:val="24"/>
                <w:lang w:val="en-US" w:eastAsia="zh-CN"/>
              </w:rPr>
              <w:t>t/a，排放浓度</w:t>
            </w:r>
            <w:r>
              <w:rPr>
                <w:rFonts w:hint="eastAsia" w:ascii="Times New Roman" w:hAnsi="Times New Roman" w:eastAsia="宋体" w:cs="Times New Roman"/>
                <w:color w:val="auto"/>
                <w:sz w:val="24"/>
                <w:szCs w:val="24"/>
                <w:lang w:val="en-US" w:eastAsia="zh-CN"/>
              </w:rPr>
              <w:t>8.22</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，颗粒物排放量为</w:t>
            </w:r>
            <w:r>
              <w:rPr>
                <w:rFonts w:hint="eastAsia" w:ascii="Times New Roman" w:hAnsi="Times New Roman" w:eastAsia="宋体" w:cs="Times New Roman"/>
                <w:color w:val="auto"/>
                <w:sz w:val="24"/>
                <w:szCs w:val="24"/>
                <w:lang w:val="en-US" w:eastAsia="zh-CN"/>
              </w:rPr>
              <w:t>0.028</w:t>
            </w:r>
            <w:r>
              <w:rPr>
                <w:rFonts w:hint="default" w:ascii="Times New Roman" w:hAnsi="Times New Roman" w:eastAsia="宋体" w:cs="Times New Roman"/>
                <w:color w:val="auto"/>
                <w:sz w:val="24"/>
                <w:szCs w:val="24"/>
                <w:lang w:val="en-US" w:eastAsia="zh-CN"/>
              </w:rPr>
              <w:t>t/a，排放浓度</w:t>
            </w:r>
            <w:r>
              <w:rPr>
                <w:rFonts w:hint="eastAsia" w:cs="Times New Roman"/>
                <w:color w:val="auto"/>
                <w:sz w:val="24"/>
                <w:szCs w:val="24"/>
                <w:lang w:val="en-US" w:eastAsia="zh-CN"/>
              </w:rPr>
              <w:t>9.59</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，氮氧化物排放量为</w:t>
            </w:r>
            <w:r>
              <w:rPr>
                <w:rFonts w:hint="eastAsia" w:ascii="Times New Roman" w:hAnsi="Times New Roman" w:eastAsia="宋体" w:cs="Times New Roman"/>
                <w:color w:val="auto"/>
                <w:sz w:val="24"/>
                <w:szCs w:val="24"/>
                <w:lang w:val="en-US" w:eastAsia="zh-CN"/>
              </w:rPr>
              <w:t>0.139</w:t>
            </w:r>
            <w:r>
              <w:rPr>
                <w:rFonts w:hint="default" w:ascii="Times New Roman" w:hAnsi="Times New Roman" w:eastAsia="宋体" w:cs="Times New Roman"/>
                <w:color w:val="auto"/>
                <w:sz w:val="24"/>
                <w:szCs w:val="24"/>
                <w:lang w:val="en-US" w:eastAsia="zh-CN"/>
              </w:rPr>
              <w:t>t/a，排放浓度</w:t>
            </w:r>
            <w:r>
              <w:rPr>
                <w:rFonts w:hint="eastAsia" w:ascii="Times New Roman" w:hAnsi="Times New Roman" w:eastAsia="宋体" w:cs="Times New Roman"/>
                <w:color w:val="auto"/>
                <w:sz w:val="24"/>
                <w:szCs w:val="24"/>
                <w:lang w:val="en-US" w:eastAsia="zh-CN"/>
              </w:rPr>
              <w:t>47.62</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p>
          <w:p w14:paraId="2FA0585A">
            <w:pPr>
              <w:keepNext w:val="0"/>
              <w:keepLines w:val="0"/>
              <w:pageBreakBefore w:val="0"/>
              <w:widowControl w:val="0"/>
              <w:shd w:val="clear" w:color="auto" w:fill="auto"/>
              <w:kinsoku/>
              <w:wordWrap/>
              <w:overflowPunct/>
              <w:topLinePunct w:val="0"/>
              <w:autoSpaceDE/>
              <w:autoSpaceDN/>
              <w:bidi w:val="0"/>
              <w:adjustRightInd/>
              <w:snapToGrid w:val="0"/>
              <w:spacing w:beforeAutospacing="0" w:afterAutospacing="0" w:line="360" w:lineRule="auto"/>
              <w:ind w:right="0" w:rightChars="0" w:firstLine="480" w:firstLineChars="200"/>
              <w:jc w:val="both"/>
              <w:textAlignment w:val="auto"/>
              <w:rPr>
                <w:rFonts w:hint="default"/>
                <w:color w:val="auto"/>
                <w:highlight w:val="none"/>
                <w:lang w:val="en-US" w:eastAsia="zh-CN"/>
              </w:rPr>
            </w:pPr>
            <w:r>
              <w:rPr>
                <w:rFonts w:hint="default" w:ascii="Times New Roman" w:hAnsi="Times New Roman" w:eastAsia="宋体" w:cs="Times New Roman"/>
                <w:color w:val="auto"/>
                <w:sz w:val="24"/>
                <w:szCs w:val="24"/>
                <w:lang w:val="en-US" w:eastAsia="zh-CN"/>
              </w:rPr>
              <w:t>本项目锅炉颗粒物、SO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执行《锅炉大气污染物排放标准》（GB13271-2014）表</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大气污染物排放限值中</w:t>
            </w:r>
            <w:r>
              <w:rPr>
                <w:rFonts w:hint="eastAsia" w:cs="Times New Roman"/>
                <w:color w:val="auto"/>
                <w:sz w:val="24"/>
                <w:szCs w:val="24"/>
                <w:lang w:val="en-US" w:eastAsia="zh-CN"/>
              </w:rPr>
              <w:t>燃气</w:t>
            </w:r>
            <w:r>
              <w:rPr>
                <w:rFonts w:hint="default" w:ascii="Times New Roman" w:hAnsi="Times New Roman" w:eastAsia="宋体" w:cs="Times New Roman"/>
                <w:color w:val="auto"/>
                <w:sz w:val="24"/>
                <w:szCs w:val="24"/>
                <w:lang w:val="en-US" w:eastAsia="zh-CN"/>
              </w:rPr>
              <w:t>锅炉排放限值，颗粒物：</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lang w:val="en-US" w:eastAsia="zh-CN"/>
              </w:rPr>
              <w:t>0mg/m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，SO</w:t>
            </w:r>
            <w:r>
              <w:rPr>
                <w:rFonts w:hint="default" w:ascii="Times New Roman" w:hAnsi="Times New Roman" w:eastAsia="宋体" w:cs="Times New Roman"/>
                <w:color w:val="auto"/>
                <w:sz w:val="24"/>
                <w:szCs w:val="24"/>
                <w:vertAlign w:val="subscript"/>
                <w:lang w:val="en-US" w:eastAsia="zh-CN"/>
              </w:rPr>
              <w:t>2</w:t>
            </w:r>
            <w:r>
              <w:rPr>
                <w:rFonts w:hint="default"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0mg/m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；，NO</w:t>
            </w:r>
            <w:r>
              <w:rPr>
                <w:rFonts w:hint="default" w:ascii="Times New Roman" w:hAnsi="Times New Roman" w:eastAsia="宋体" w:cs="Times New Roman"/>
                <w:color w:val="auto"/>
                <w:sz w:val="24"/>
                <w:szCs w:val="24"/>
                <w:vertAlign w:val="subscript"/>
                <w:lang w:val="en-US" w:eastAsia="zh-CN"/>
              </w:rPr>
              <w:t>X</w:t>
            </w:r>
            <w:r>
              <w:rPr>
                <w:rFonts w:hint="default" w:ascii="Times New Roman" w:hAnsi="Times New Roman" w:eastAsia="宋体" w:cs="Times New Roman"/>
                <w:color w:val="auto"/>
                <w:sz w:val="24"/>
                <w:szCs w:val="24"/>
                <w:lang w:val="en-US" w:eastAsia="zh-CN"/>
              </w:rPr>
              <w:t>执行《关于开展自治州2022年度夏秋季大气污染防治“冬病夏治”有关工作的通知》中不高于50mg/m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执行，燃烧产生的废气经过</w:t>
            </w:r>
            <w:r>
              <w:rPr>
                <w:rFonts w:hint="eastAsia" w:cs="Times New Roman"/>
                <w:color w:val="auto"/>
                <w:sz w:val="24"/>
                <w:szCs w:val="24"/>
                <w:lang w:val="en-US" w:eastAsia="zh-CN"/>
              </w:rPr>
              <w:t>低氮燃烧处理后通过</w:t>
            </w:r>
            <w:r>
              <w:rPr>
                <w:rFonts w:hint="default" w:ascii="Times New Roman" w:hAnsi="Times New Roman" w:eastAsia="宋体" w:cs="Times New Roman"/>
                <w:color w:val="auto"/>
                <w:sz w:val="24"/>
                <w:szCs w:val="24"/>
                <w:lang w:val="en-US" w:eastAsia="zh-CN"/>
              </w:rPr>
              <w:t>15m高的排气筒排放（DA00</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w:t>
            </w:r>
          </w:p>
          <w:p w14:paraId="3541BF22">
            <w:pPr>
              <w:pStyle w:val="20"/>
              <w:numPr>
                <w:ilvl w:val="0"/>
                <w:numId w:val="0"/>
              </w:numPr>
              <w:ind w:firstLine="480" w:firstLineChars="200"/>
              <w:jc w:val="both"/>
              <w:rPr>
                <w:rFonts w:hint="eastAsia"/>
                <w:b w:val="0"/>
                <w:bCs w:val="0"/>
                <w:color w:val="auto"/>
                <w:lang w:val="en-US" w:eastAsia="zh-CN"/>
              </w:rPr>
            </w:pPr>
            <w:r>
              <w:rPr>
                <w:rFonts w:hint="eastAsia"/>
                <w:b w:val="0"/>
                <w:bCs w:val="0"/>
                <w:color w:val="auto"/>
                <w:kern w:val="2"/>
                <w:sz w:val="24"/>
                <w:szCs w:val="24"/>
                <w:lang w:val="en-US" w:eastAsia="zh-CN" w:bidi="ar-SA"/>
              </w:rPr>
              <w:t>（2）</w:t>
            </w:r>
            <w:r>
              <w:rPr>
                <w:rFonts w:hint="eastAsia"/>
                <w:b w:val="0"/>
                <w:bCs w:val="0"/>
                <w:color w:val="auto"/>
                <w:lang w:val="en-US" w:eastAsia="zh-CN"/>
              </w:rPr>
              <w:t>食堂油烟</w:t>
            </w:r>
          </w:p>
          <w:p w14:paraId="65E557A0">
            <w:pPr>
              <w:keepNext w:val="0"/>
              <w:keepLines w:val="0"/>
              <w:widowControl/>
              <w:suppressLineNumbers w:val="0"/>
              <w:spacing w:line="360" w:lineRule="auto"/>
              <w:ind w:firstLine="480" w:firstLineChars="20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本项目职工食堂</w:t>
            </w:r>
            <w:r>
              <w:rPr>
                <w:rFonts w:hint="eastAsia" w:ascii="Times New Roman" w:hAnsi="Times New Roman" w:eastAsia="宋体" w:cs="Times New Roman"/>
                <w:color w:val="auto"/>
                <w:sz w:val="24"/>
                <w:szCs w:val="24"/>
                <w:highlight w:val="none"/>
                <w:lang w:val="en-US" w:eastAsia="zh-CN"/>
              </w:rPr>
              <w:t>采用电能</w:t>
            </w:r>
            <w:r>
              <w:rPr>
                <w:rFonts w:hint="default" w:ascii="Times New Roman" w:hAnsi="Times New Roman" w:eastAsia="宋体" w:cs="Times New Roman"/>
                <w:color w:val="auto"/>
                <w:sz w:val="24"/>
                <w:szCs w:val="24"/>
                <w:highlight w:val="none"/>
                <w:lang w:val="en-US" w:eastAsia="zh-CN"/>
              </w:rPr>
              <w:t>，属于清洁能源，对项目所在区域环境空气质量影响很小。</w:t>
            </w:r>
          </w:p>
          <w:p w14:paraId="0F2A610C">
            <w:pPr>
              <w:keepNext w:val="0"/>
              <w:keepLines w:val="0"/>
              <w:widowControl/>
              <w:suppressLineNumbers w:val="0"/>
              <w:spacing w:line="360" w:lineRule="auto"/>
              <w:ind w:firstLine="480" w:firstLineChars="200"/>
              <w:jc w:val="both"/>
              <w:rPr>
                <w:rFonts w:hint="default"/>
                <w:b w:val="0"/>
                <w:bCs w:val="0"/>
                <w:color w:val="auto"/>
                <w:lang w:val="en-US" w:eastAsia="zh-CN"/>
              </w:rPr>
            </w:pPr>
            <w:r>
              <w:rPr>
                <w:rFonts w:hint="default" w:ascii="Times New Roman" w:hAnsi="Times New Roman" w:eastAsia="宋体" w:cs="Times New Roman"/>
                <w:color w:val="auto"/>
                <w:sz w:val="24"/>
                <w:szCs w:val="24"/>
                <w:highlight w:val="none"/>
                <w:lang w:val="en-US" w:eastAsia="zh-CN"/>
              </w:rPr>
              <w:t>本项目劳动定员</w:t>
            </w:r>
            <w:r>
              <w:rPr>
                <w:rFonts w:hint="eastAsia" w:ascii="Times New Roman" w:hAnsi="Times New Roman" w:eastAsia="宋体" w:cs="Times New Roman"/>
                <w:color w:val="auto"/>
                <w:sz w:val="24"/>
                <w:szCs w:val="24"/>
                <w:highlight w:val="none"/>
                <w:lang w:val="en-US" w:eastAsia="zh-CN"/>
              </w:rPr>
              <w:t>10</w:t>
            </w:r>
            <w:r>
              <w:rPr>
                <w:rFonts w:hint="eastAsia" w:ascii="Times New Roman" w:hAnsi="Times New Roman"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lang w:val="en-US" w:eastAsia="zh-CN"/>
              </w:rPr>
              <w:t>人。参考《中国居民膳食指南（2016年）》，食用耗油系数为</w:t>
            </w:r>
            <w:r>
              <w:rPr>
                <w:rFonts w:hint="eastAsia" w:ascii="Times New Roman" w:hAnsi="Times New Roman" w:eastAsia="宋体" w:cs="Times New Roman"/>
                <w:color w:val="auto"/>
                <w:sz w:val="24"/>
                <w:szCs w:val="24"/>
                <w:highlight w:val="none"/>
                <w:lang w:val="en-US" w:eastAsia="zh-CN"/>
              </w:rPr>
              <w:t>30g</w:t>
            </w:r>
            <w:r>
              <w:rPr>
                <w:rFonts w:hint="default" w:ascii="Times New Roman" w:hAnsi="Times New Roman" w:eastAsia="宋体" w:cs="Times New Roman"/>
                <w:color w:val="auto"/>
                <w:sz w:val="24"/>
                <w:szCs w:val="24"/>
                <w:highlight w:val="none"/>
                <w:lang w:val="en-US" w:eastAsia="zh-CN"/>
              </w:rPr>
              <w:t>/人·天，</w:t>
            </w:r>
            <w:r>
              <w:rPr>
                <w:rFonts w:hint="eastAsia" w:ascii="Times New Roman" w:hAnsi="Times New Roman" w:eastAsia="宋体" w:cs="Times New Roman"/>
                <w:color w:val="auto"/>
                <w:sz w:val="24"/>
                <w:szCs w:val="24"/>
                <w:highlight w:val="none"/>
                <w:lang w:val="en-US" w:eastAsia="zh-CN"/>
              </w:rPr>
              <w:t>本项目生产天数为180天，</w:t>
            </w:r>
            <w:r>
              <w:rPr>
                <w:rFonts w:hint="default" w:ascii="Times New Roman" w:hAnsi="Times New Roman" w:eastAsia="宋体" w:cs="Times New Roman"/>
                <w:color w:val="auto"/>
                <w:sz w:val="24"/>
                <w:szCs w:val="24"/>
                <w:highlight w:val="none"/>
                <w:lang w:val="en-US" w:eastAsia="zh-CN"/>
              </w:rPr>
              <w:t>则项目建成后食堂食用油用量约</w:t>
            </w:r>
            <w:r>
              <w:rPr>
                <w:rFonts w:hint="eastAsia" w:ascii="Times New Roman" w:hAnsi="Times New Roman" w:cs="Times New Roman"/>
                <w:color w:val="auto"/>
                <w:sz w:val="24"/>
                <w:szCs w:val="24"/>
                <w:highlight w:val="none"/>
                <w:lang w:val="en-US" w:eastAsia="zh-CN"/>
              </w:rPr>
              <w:t>0.54</w:t>
            </w:r>
            <w:r>
              <w:rPr>
                <w:rFonts w:hint="default" w:ascii="Times New Roman" w:hAnsi="Times New Roman" w:eastAsia="宋体" w:cs="Times New Roman"/>
                <w:color w:val="auto"/>
                <w:sz w:val="24"/>
                <w:szCs w:val="24"/>
                <w:highlight w:val="none"/>
                <w:lang w:val="en-US" w:eastAsia="zh-CN"/>
              </w:rPr>
              <w:t>t/a。根据不同的炒炸工况，油的挥发量不同，平均约占总耗油量的2%-4%，本项目取</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%，则项目建成后食堂油烟产生量为</w:t>
            </w:r>
            <w:r>
              <w:rPr>
                <w:rFonts w:hint="eastAsia" w:ascii="Times New Roman" w:hAnsi="Times New Roman" w:cs="Times New Roman"/>
                <w:color w:val="auto"/>
                <w:sz w:val="24"/>
                <w:szCs w:val="24"/>
                <w:highlight w:val="none"/>
                <w:lang w:val="en-US" w:eastAsia="zh-CN"/>
              </w:rPr>
              <w:t>0.0216</w:t>
            </w:r>
            <w:r>
              <w:rPr>
                <w:rFonts w:hint="default" w:ascii="Times New Roman" w:hAnsi="Times New Roman" w:eastAsia="宋体" w:cs="Times New Roman"/>
                <w:color w:val="auto"/>
                <w:sz w:val="24"/>
                <w:szCs w:val="24"/>
                <w:highlight w:val="none"/>
                <w:lang w:val="en-US" w:eastAsia="zh-CN"/>
              </w:rPr>
              <w:t>t/a，厨房每天烹饪一餐，烹饪时间按</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h计，则该项目油烟产生速率为</w:t>
            </w:r>
            <w:r>
              <w:rPr>
                <w:rFonts w:hint="eastAsia" w:ascii="Times New Roman" w:hAnsi="Times New Roman" w:eastAsia="宋体" w:cs="Times New Roman"/>
                <w:color w:val="auto"/>
                <w:sz w:val="24"/>
                <w:szCs w:val="24"/>
                <w:highlight w:val="none"/>
                <w:lang w:val="en-US" w:eastAsia="zh-CN"/>
              </w:rPr>
              <w:t>0.018</w:t>
            </w:r>
            <w:r>
              <w:rPr>
                <w:rFonts w:hint="default" w:ascii="Times New Roman" w:hAnsi="Times New Roman" w:eastAsia="宋体" w:cs="Times New Roman"/>
                <w:color w:val="auto"/>
                <w:sz w:val="24"/>
                <w:szCs w:val="24"/>
                <w:highlight w:val="none"/>
                <w:lang w:val="en-US" w:eastAsia="zh-CN"/>
              </w:rPr>
              <w:t>kg/h。本项目厨房设</w:t>
            </w:r>
            <w:r>
              <w:rPr>
                <w:rFonts w:hint="eastAsia"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val="en-US" w:eastAsia="zh-CN"/>
              </w:rPr>
              <w:t>个灶头设计风机风量约为</w:t>
            </w:r>
            <w:r>
              <w:rPr>
                <w:rFonts w:hint="eastAsia" w:ascii="Times New Roman" w:hAnsi="Times New Roman" w:eastAsia="宋体" w:cs="Times New Roman"/>
                <w:color w:val="auto"/>
                <w:sz w:val="24"/>
                <w:szCs w:val="24"/>
                <w:highlight w:val="none"/>
                <w:lang w:val="en-US" w:eastAsia="zh-CN"/>
              </w:rPr>
              <w:t>6000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/h，则油烟产生浓度约为</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超过</w:t>
            </w:r>
            <w:r>
              <w:rPr>
                <w:rFonts w:hint="default" w:ascii="Times New Roman" w:hAnsi="Times New Roman" w:eastAsia="宋体" w:cs="Times New Roman"/>
                <w:color w:val="auto"/>
                <w:sz w:val="24"/>
                <w:szCs w:val="24"/>
                <w:highlight w:val="none"/>
                <w:lang w:val="en-US" w:eastAsia="zh-CN"/>
              </w:rPr>
              <w:t>《饮食业油烟排放标准（试行）》（GB18483-2001）油烟最高允许排放浓度2.0mg/m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限值，须治理。根据建设单位提供的资料，本项目厨房配套设有油烟净化设施，净化效率约</w:t>
            </w:r>
            <w:r>
              <w:rPr>
                <w:rFonts w:hint="eastAsia" w:ascii="Times New Roman" w:hAnsi="Times New Roman" w:eastAsia="宋体" w:cs="Times New Roman"/>
                <w:color w:val="auto"/>
                <w:sz w:val="24"/>
                <w:szCs w:val="24"/>
                <w:highlight w:val="none"/>
                <w:lang w:val="en-US" w:eastAsia="zh-CN"/>
              </w:rPr>
              <w:t>60</w:t>
            </w:r>
            <w:r>
              <w:rPr>
                <w:rFonts w:hint="default" w:ascii="Times New Roman" w:hAnsi="Times New Roman" w:eastAsia="宋体" w:cs="Times New Roman"/>
                <w:color w:val="auto"/>
                <w:sz w:val="24"/>
                <w:szCs w:val="24"/>
                <w:highlight w:val="none"/>
                <w:lang w:val="en-US" w:eastAsia="zh-CN"/>
              </w:rPr>
              <w:t>%，则油烟排放浓度约为</w:t>
            </w:r>
            <w:r>
              <w:rPr>
                <w:rFonts w:hint="eastAsia" w:cs="Times New Roman"/>
                <w:color w:val="auto"/>
                <w:sz w:val="24"/>
                <w:szCs w:val="24"/>
                <w:highlight w:val="none"/>
                <w:lang w:val="en-US" w:eastAsia="zh-CN"/>
              </w:rPr>
              <w:t>1.2</w:t>
            </w:r>
            <w:r>
              <w:rPr>
                <w:rFonts w:hint="default" w:ascii="Times New Roman" w:hAnsi="Times New Roman" w:eastAsia="宋体" w:cs="Times New Roman"/>
                <w:color w:val="auto"/>
                <w:sz w:val="24"/>
                <w:szCs w:val="24"/>
                <w:highlight w:val="none"/>
                <w:lang w:val="en-US" w:eastAsia="zh-CN"/>
              </w:rPr>
              <w:t>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，食堂油烟排放量为</w:t>
            </w:r>
            <w:r>
              <w:rPr>
                <w:rFonts w:hint="eastAsia" w:ascii="Times New Roman" w:hAnsi="Times New Roman" w:eastAsia="宋体" w:cs="Times New Roman"/>
                <w:color w:val="auto"/>
                <w:sz w:val="24"/>
                <w:szCs w:val="24"/>
                <w:highlight w:val="none"/>
                <w:lang w:val="en-US" w:eastAsia="zh-CN"/>
              </w:rPr>
              <w:t>0.0</w:t>
            </w:r>
            <w:r>
              <w:rPr>
                <w:rFonts w:hint="eastAsia" w:cs="Times New Roman"/>
                <w:color w:val="auto"/>
                <w:sz w:val="24"/>
                <w:szCs w:val="24"/>
                <w:highlight w:val="none"/>
                <w:lang w:val="en-US" w:eastAsia="zh-CN"/>
              </w:rPr>
              <w:t>086</w:t>
            </w:r>
            <w:r>
              <w:rPr>
                <w:rFonts w:hint="default" w:ascii="Times New Roman" w:hAnsi="Times New Roman" w:eastAsia="宋体" w:cs="Times New Roman"/>
                <w:color w:val="auto"/>
                <w:sz w:val="24"/>
                <w:szCs w:val="24"/>
                <w:highlight w:val="none"/>
                <w:lang w:val="en-US" w:eastAsia="zh-CN"/>
              </w:rPr>
              <w:t>t/a，处理后烟气经专用烟道引到建筑物外排放，油烟排放浓度满足《饮食业油烟排放标准（试行）》（GB18483-2001）标准要求。</w:t>
            </w:r>
            <w:r>
              <w:rPr>
                <w:rFonts w:hint="eastAsia" w:ascii="Times New Roman" w:hAnsi="Times New Roman" w:cs="Times New Roman"/>
                <w:b w:val="0"/>
                <w:bCs w:val="0"/>
                <w:color w:val="auto"/>
                <w:sz w:val="24"/>
                <w:szCs w:val="24"/>
                <w:highlight w:val="none"/>
                <w:lang w:val="en-US" w:eastAsia="zh-CN"/>
              </w:rPr>
              <w:t>饮食业油烟排放标准</w:t>
            </w:r>
            <w:r>
              <w:rPr>
                <w:rFonts w:hint="eastAsia" w:cs="Times New Roman"/>
                <w:b w:val="0"/>
                <w:bCs w:val="0"/>
                <w:color w:val="auto"/>
                <w:sz w:val="24"/>
                <w:szCs w:val="24"/>
                <w:highlight w:val="none"/>
                <w:lang w:val="en-US" w:eastAsia="zh-CN"/>
              </w:rPr>
              <w:t>（试行）</w:t>
            </w:r>
            <w:r>
              <w:rPr>
                <w:rFonts w:hint="default" w:ascii="Times New Roman" w:hAnsi="Times New Roman" w:cs="Times New Roman"/>
                <w:b w:val="0"/>
                <w:bCs w:val="0"/>
                <w:color w:val="auto"/>
                <w:sz w:val="24"/>
                <w:szCs w:val="24"/>
                <w:highlight w:val="none"/>
                <w:lang w:val="en-US" w:eastAsia="zh-CN"/>
              </w:rPr>
              <w:t>》（GB18483-2001）</w:t>
            </w:r>
            <w:r>
              <w:rPr>
                <w:rFonts w:hint="eastAsia" w:cs="Times New Roman"/>
                <w:b w:val="0"/>
                <w:bCs w:val="0"/>
                <w:color w:val="auto"/>
                <w:sz w:val="24"/>
                <w:szCs w:val="24"/>
                <w:highlight w:val="none"/>
                <w:lang w:val="en-US" w:eastAsia="zh-CN"/>
              </w:rPr>
              <w:t>。</w:t>
            </w:r>
          </w:p>
          <w:p w14:paraId="47693C0E">
            <w:pPr>
              <w:pStyle w:val="20"/>
              <w:rPr>
                <w:rFonts w:hint="default"/>
                <w:b/>
                <w:bCs/>
                <w:color w:val="auto"/>
                <w:lang w:val="en-US" w:eastAsia="zh-CN"/>
              </w:rPr>
            </w:pPr>
            <w:r>
              <w:rPr>
                <w:rFonts w:hint="eastAsia"/>
                <w:b/>
                <w:bCs/>
                <w:color w:val="auto"/>
                <w:lang w:val="en-US" w:eastAsia="zh-CN"/>
              </w:rPr>
              <w:t>1.2无组织废气</w:t>
            </w:r>
          </w:p>
          <w:p w14:paraId="02A079C8">
            <w:pPr>
              <w:widowControl/>
              <w:spacing w:line="360" w:lineRule="auto"/>
              <w:ind w:firstLine="480" w:firstLineChars="200"/>
              <w:jc w:val="both"/>
              <w:rPr>
                <w:color w:val="auto"/>
                <w:sz w:val="24"/>
              </w:rPr>
            </w:pPr>
            <w:r>
              <w:rPr>
                <w:rFonts w:hint="eastAsia" w:ascii="宋体" w:hAnsi="宋体" w:cs="宋体"/>
                <w:color w:val="auto"/>
                <w:sz w:val="24"/>
              </w:rPr>
              <w:t>（1）</w:t>
            </w:r>
            <w:r>
              <w:rPr>
                <w:rFonts w:hint="eastAsia"/>
                <w:color w:val="auto"/>
                <w:sz w:val="24"/>
              </w:rPr>
              <w:t>搅拌废</w:t>
            </w:r>
            <w:r>
              <w:rPr>
                <w:color w:val="auto"/>
                <w:sz w:val="24"/>
              </w:rPr>
              <w:t>气</w:t>
            </w:r>
          </w:p>
          <w:p w14:paraId="0F69CE34">
            <w:pPr>
              <w:widowControl/>
              <w:spacing w:line="360" w:lineRule="auto"/>
              <w:ind w:firstLine="480" w:firstLineChars="200"/>
              <w:jc w:val="both"/>
              <w:rPr>
                <w:color w:val="auto"/>
                <w:sz w:val="24"/>
              </w:rPr>
            </w:pPr>
            <w:r>
              <w:rPr>
                <w:color w:val="auto"/>
                <w:sz w:val="24"/>
              </w:rPr>
              <w:t>原料水泥、砂石料在搅拌过程中产生粉尘，砂石料、水泥从筒仓中进入搅拌机与水进行混合搅拌，混合机连续运行，当粉料由管道通过计量泵进入搅拌机时，混合机呼吸孔会有粉尘产生。混合机产生的粉尘通过管道通入布袋除尘器（去尘效率99.</w:t>
            </w:r>
            <w:r>
              <w:rPr>
                <w:rFonts w:hint="eastAsia"/>
                <w:color w:val="auto"/>
                <w:sz w:val="24"/>
              </w:rPr>
              <w:t>7</w:t>
            </w:r>
            <w:r>
              <w:rPr>
                <w:color w:val="auto"/>
                <w:sz w:val="24"/>
              </w:rPr>
              <w:t>%）</w:t>
            </w:r>
            <w:r>
              <w:rPr>
                <w:rFonts w:hint="eastAsia"/>
                <w:color w:val="auto"/>
                <w:sz w:val="24"/>
                <w:lang w:val="en-US" w:eastAsia="zh-CN"/>
              </w:rPr>
              <w:t>处理后无组织排放</w:t>
            </w:r>
            <w:r>
              <w:rPr>
                <w:color w:val="auto"/>
                <w:sz w:val="24"/>
              </w:rPr>
              <w:t>。</w:t>
            </w:r>
          </w:p>
          <w:p w14:paraId="35D94AB5">
            <w:pPr>
              <w:widowControl/>
              <w:spacing w:line="360" w:lineRule="auto"/>
              <w:ind w:firstLine="480" w:firstLineChars="200"/>
              <w:jc w:val="both"/>
              <w:rPr>
                <w:rFonts w:hint="eastAsia" w:eastAsia="宋体"/>
                <w:color w:val="auto"/>
                <w:sz w:val="24"/>
                <w:lang w:eastAsia="zh-CN"/>
              </w:rPr>
            </w:pPr>
            <w:r>
              <w:rPr>
                <w:color w:val="auto"/>
                <w:sz w:val="24"/>
              </w:rPr>
              <w:t>搅拌产生的粉尘参照《排放源统计调查产排污核算方法和系数手册》</w:t>
            </w:r>
            <w:r>
              <w:rPr>
                <w:rFonts w:hint="eastAsia"/>
                <w:color w:val="auto"/>
                <w:sz w:val="24"/>
                <w:lang w:eastAsia="zh-CN"/>
              </w:rPr>
              <w:t>《</w:t>
            </w:r>
            <w:r>
              <w:rPr>
                <w:color w:val="auto"/>
                <w:sz w:val="24"/>
              </w:rPr>
              <w:t>3021</w:t>
            </w:r>
            <w:r>
              <w:rPr>
                <w:rFonts w:hint="eastAsia"/>
                <w:color w:val="auto"/>
                <w:sz w:val="24"/>
                <w:lang w:eastAsia="zh-CN"/>
              </w:rPr>
              <w:t>、</w:t>
            </w:r>
            <w:r>
              <w:rPr>
                <w:rFonts w:hint="eastAsia"/>
                <w:color w:val="auto"/>
                <w:sz w:val="24"/>
                <w:lang w:val="en-US" w:eastAsia="zh-CN"/>
              </w:rPr>
              <w:t>3022、3029</w:t>
            </w:r>
            <w:r>
              <w:rPr>
                <w:color w:val="auto"/>
                <w:sz w:val="24"/>
              </w:rPr>
              <w:t>水泥制品制造行业系数手册</w:t>
            </w:r>
            <w:r>
              <w:rPr>
                <w:rFonts w:hint="eastAsia"/>
                <w:color w:val="auto"/>
                <w:sz w:val="24"/>
                <w:lang w:eastAsia="zh-CN"/>
              </w:rPr>
              <w:t>》</w:t>
            </w:r>
            <w:r>
              <w:rPr>
                <w:color w:val="auto"/>
                <w:sz w:val="24"/>
              </w:rPr>
              <w:t>中“3021水泥制品制造（含3022砼结构构件</w:t>
            </w:r>
            <w:r>
              <w:rPr>
                <w:rFonts w:hint="eastAsia"/>
                <w:color w:val="auto"/>
                <w:sz w:val="24"/>
                <w:lang w:val="en-US" w:eastAsia="zh-CN"/>
              </w:rPr>
              <w:t>制造</w:t>
            </w:r>
            <w:r>
              <w:rPr>
                <w:color w:val="auto"/>
                <w:sz w:val="24"/>
              </w:rPr>
              <w:t>、3029其他水泥类似制品制造）行业系数</w:t>
            </w:r>
            <w:r>
              <w:rPr>
                <w:rFonts w:hint="eastAsia"/>
                <w:color w:val="auto"/>
                <w:sz w:val="24"/>
                <w:lang w:val="en-US" w:eastAsia="zh-CN"/>
              </w:rPr>
              <w:t>手册</w:t>
            </w:r>
            <w:r>
              <w:rPr>
                <w:color w:val="auto"/>
                <w:sz w:val="24"/>
              </w:rPr>
              <w:t>”</w:t>
            </w:r>
            <w:r>
              <w:rPr>
                <w:rFonts w:hint="eastAsia"/>
                <w:color w:val="auto"/>
                <w:sz w:val="24"/>
                <w:lang w:val="en-US" w:eastAsia="zh-CN"/>
              </w:rPr>
              <w:t>中混凝土制品</w:t>
            </w:r>
            <w:r>
              <w:rPr>
                <w:color w:val="auto"/>
                <w:sz w:val="24"/>
              </w:rPr>
              <w:t>，工业废气量产生系数为</w:t>
            </w:r>
            <w:r>
              <w:rPr>
                <w:rFonts w:hint="eastAsia"/>
                <w:color w:val="auto"/>
                <w:sz w:val="24"/>
              </w:rPr>
              <w:t>129</w:t>
            </w:r>
            <w:r>
              <w:rPr>
                <w:color w:val="auto"/>
                <w:sz w:val="24"/>
              </w:rPr>
              <w:t>标立方米/吨－产品，颗粒物产生系数为0.</w:t>
            </w:r>
            <w:r>
              <w:rPr>
                <w:rFonts w:hint="eastAsia"/>
                <w:color w:val="auto"/>
                <w:sz w:val="24"/>
              </w:rPr>
              <w:t>523</w:t>
            </w:r>
            <w:r>
              <w:rPr>
                <w:color w:val="auto"/>
                <w:sz w:val="24"/>
              </w:rPr>
              <w:t>千克/吨－产品。</w:t>
            </w:r>
            <w:r>
              <w:rPr>
                <w:rFonts w:hint="eastAsia"/>
                <w:color w:val="auto"/>
                <w:sz w:val="24"/>
              </w:rPr>
              <w:t>产物系数见表4-</w:t>
            </w:r>
            <w:r>
              <w:rPr>
                <w:rFonts w:hint="eastAsia"/>
                <w:color w:val="auto"/>
                <w:sz w:val="24"/>
                <w:lang w:val="en-US" w:eastAsia="zh-CN"/>
              </w:rPr>
              <w:t>4</w:t>
            </w:r>
            <w:r>
              <w:rPr>
                <w:rFonts w:hint="eastAsia"/>
                <w:color w:val="auto"/>
                <w:sz w:val="24"/>
                <w:lang w:eastAsia="zh-CN"/>
              </w:rPr>
              <w:t>。</w:t>
            </w:r>
          </w:p>
          <w:p w14:paraId="30F739A9">
            <w:pPr>
              <w:pStyle w:val="20"/>
              <w:spacing w:line="240" w:lineRule="auto"/>
              <w:ind w:left="0" w:leftChars="0" w:firstLine="0" w:firstLineChars="0"/>
              <w:jc w:val="center"/>
              <w:rPr>
                <w:rFonts w:hint="default"/>
                <w:b/>
                <w:bCs/>
                <w:color w:val="auto"/>
                <w:sz w:val="21"/>
                <w:szCs w:val="21"/>
                <w:lang w:val="en-US" w:eastAsia="zh-CN"/>
              </w:rPr>
            </w:pPr>
            <w:r>
              <w:rPr>
                <w:rFonts w:hint="eastAsia"/>
                <w:b/>
                <w:bCs/>
                <w:color w:val="auto"/>
                <w:sz w:val="21"/>
                <w:szCs w:val="21"/>
                <w:lang w:val="en-US" w:eastAsia="zh-CN"/>
              </w:rPr>
              <w:t>表4-4  产污系数表</w:t>
            </w:r>
          </w:p>
          <w:tbl>
            <w:tblPr>
              <w:tblStyle w:val="23"/>
              <w:tblW w:w="5000" w:type="pct"/>
              <w:jc w:val="center"/>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108" w:type="dxa"/>
                <w:bottom w:w="0" w:type="dxa"/>
                <w:right w:w="108" w:type="dxa"/>
              </w:tblCellMar>
            </w:tblPr>
            <w:tblGrid>
              <w:gridCol w:w="729"/>
              <w:gridCol w:w="804"/>
              <w:gridCol w:w="928"/>
              <w:gridCol w:w="687"/>
              <w:gridCol w:w="417"/>
              <w:gridCol w:w="819"/>
              <w:gridCol w:w="959"/>
              <w:gridCol w:w="776"/>
              <w:gridCol w:w="1008"/>
              <w:gridCol w:w="1004"/>
            </w:tblGrid>
            <w:tr w14:paraId="1CBBC106">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jc w:val="center"/>
              </w:trPr>
              <w:tc>
                <w:tcPr>
                  <w:tcW w:w="448" w:type="pct"/>
                  <w:tcBorders>
                    <w:top w:val="single" w:color="000000" w:sz="12" w:space="0"/>
                    <w:left w:val="nil"/>
                    <w:bottom w:val="single" w:color="auto" w:sz="12" w:space="0"/>
                  </w:tcBorders>
                  <w:noWrap w:val="0"/>
                  <w:vAlign w:val="center"/>
                </w:tcPr>
                <w:p w14:paraId="1207AA43">
                  <w:pPr>
                    <w:jc w:val="center"/>
                    <w:rPr>
                      <w:b/>
                      <w:color w:val="auto"/>
                      <w:szCs w:val="21"/>
                    </w:rPr>
                  </w:pPr>
                  <w:r>
                    <w:rPr>
                      <w:b/>
                      <w:color w:val="auto"/>
                      <w:szCs w:val="21"/>
                    </w:rPr>
                    <w:t>工段</w:t>
                  </w:r>
                </w:p>
                <w:p w14:paraId="31BDC79A">
                  <w:pPr>
                    <w:jc w:val="center"/>
                    <w:rPr>
                      <w:b/>
                      <w:color w:val="auto"/>
                      <w:szCs w:val="21"/>
                    </w:rPr>
                  </w:pPr>
                  <w:r>
                    <w:rPr>
                      <w:b/>
                      <w:color w:val="auto"/>
                      <w:szCs w:val="21"/>
                    </w:rPr>
                    <w:t>名称</w:t>
                  </w:r>
                </w:p>
              </w:tc>
              <w:tc>
                <w:tcPr>
                  <w:tcW w:w="494" w:type="pct"/>
                  <w:tcBorders>
                    <w:top w:val="single" w:color="000000" w:sz="12" w:space="0"/>
                    <w:bottom w:val="single" w:color="auto" w:sz="12" w:space="0"/>
                  </w:tcBorders>
                  <w:noWrap w:val="0"/>
                  <w:vAlign w:val="center"/>
                </w:tcPr>
                <w:p w14:paraId="5D4B1AAA">
                  <w:pPr>
                    <w:jc w:val="center"/>
                    <w:rPr>
                      <w:b/>
                      <w:color w:val="auto"/>
                      <w:szCs w:val="21"/>
                    </w:rPr>
                  </w:pPr>
                  <w:r>
                    <w:rPr>
                      <w:b/>
                      <w:color w:val="auto"/>
                      <w:szCs w:val="21"/>
                    </w:rPr>
                    <w:t>原料名称</w:t>
                  </w:r>
                </w:p>
              </w:tc>
              <w:tc>
                <w:tcPr>
                  <w:tcW w:w="570" w:type="pct"/>
                  <w:tcBorders>
                    <w:top w:val="single" w:color="000000" w:sz="12" w:space="0"/>
                    <w:bottom w:val="single" w:color="auto" w:sz="12" w:space="0"/>
                  </w:tcBorders>
                  <w:noWrap w:val="0"/>
                  <w:vAlign w:val="center"/>
                </w:tcPr>
                <w:p w14:paraId="347A182F">
                  <w:pPr>
                    <w:jc w:val="center"/>
                    <w:rPr>
                      <w:b/>
                      <w:color w:val="auto"/>
                      <w:szCs w:val="21"/>
                    </w:rPr>
                  </w:pPr>
                  <w:r>
                    <w:rPr>
                      <w:b/>
                      <w:color w:val="auto"/>
                      <w:szCs w:val="21"/>
                    </w:rPr>
                    <w:t>工艺名称</w:t>
                  </w:r>
                </w:p>
              </w:tc>
              <w:tc>
                <w:tcPr>
                  <w:tcW w:w="422" w:type="pct"/>
                  <w:tcBorders>
                    <w:top w:val="single" w:color="000000" w:sz="12" w:space="0"/>
                    <w:bottom w:val="single" w:color="auto" w:sz="12" w:space="0"/>
                  </w:tcBorders>
                  <w:noWrap w:val="0"/>
                  <w:vAlign w:val="center"/>
                </w:tcPr>
                <w:p w14:paraId="09DE228D">
                  <w:pPr>
                    <w:jc w:val="center"/>
                    <w:rPr>
                      <w:b/>
                      <w:color w:val="auto"/>
                      <w:szCs w:val="21"/>
                    </w:rPr>
                  </w:pPr>
                  <w:r>
                    <w:rPr>
                      <w:b/>
                      <w:color w:val="auto"/>
                      <w:szCs w:val="21"/>
                    </w:rPr>
                    <w:t>规模等级</w:t>
                  </w:r>
                </w:p>
              </w:tc>
              <w:tc>
                <w:tcPr>
                  <w:tcW w:w="759" w:type="pct"/>
                  <w:gridSpan w:val="2"/>
                  <w:tcBorders>
                    <w:top w:val="single" w:color="000000" w:sz="12" w:space="0"/>
                    <w:bottom w:val="single" w:color="auto" w:sz="12" w:space="0"/>
                  </w:tcBorders>
                  <w:noWrap w:val="0"/>
                  <w:vAlign w:val="center"/>
                </w:tcPr>
                <w:p w14:paraId="081D73B9">
                  <w:pPr>
                    <w:jc w:val="center"/>
                    <w:rPr>
                      <w:b/>
                      <w:color w:val="auto"/>
                      <w:szCs w:val="21"/>
                    </w:rPr>
                  </w:pPr>
                  <w:r>
                    <w:rPr>
                      <w:b/>
                      <w:color w:val="auto"/>
                      <w:szCs w:val="21"/>
                    </w:rPr>
                    <w:t>污染物指标</w:t>
                  </w:r>
                </w:p>
              </w:tc>
              <w:tc>
                <w:tcPr>
                  <w:tcW w:w="589" w:type="pct"/>
                  <w:tcBorders>
                    <w:top w:val="single" w:color="000000" w:sz="12" w:space="0"/>
                    <w:bottom w:val="single" w:color="auto" w:sz="12" w:space="0"/>
                  </w:tcBorders>
                  <w:noWrap w:val="0"/>
                  <w:vAlign w:val="center"/>
                </w:tcPr>
                <w:p w14:paraId="1B2D0AD6">
                  <w:pPr>
                    <w:jc w:val="center"/>
                    <w:rPr>
                      <w:b/>
                      <w:color w:val="auto"/>
                      <w:szCs w:val="21"/>
                    </w:rPr>
                  </w:pPr>
                  <w:r>
                    <w:rPr>
                      <w:b/>
                      <w:color w:val="auto"/>
                      <w:szCs w:val="21"/>
                    </w:rPr>
                    <w:t>单位</w:t>
                  </w:r>
                </w:p>
              </w:tc>
              <w:tc>
                <w:tcPr>
                  <w:tcW w:w="477" w:type="pct"/>
                  <w:tcBorders>
                    <w:top w:val="single" w:color="000000" w:sz="12" w:space="0"/>
                    <w:bottom w:val="single" w:color="auto" w:sz="12" w:space="0"/>
                  </w:tcBorders>
                  <w:noWrap w:val="0"/>
                  <w:vAlign w:val="center"/>
                </w:tcPr>
                <w:p w14:paraId="37185A77">
                  <w:pPr>
                    <w:jc w:val="center"/>
                    <w:rPr>
                      <w:b/>
                      <w:color w:val="auto"/>
                      <w:szCs w:val="21"/>
                    </w:rPr>
                  </w:pPr>
                  <w:r>
                    <w:rPr>
                      <w:b/>
                      <w:color w:val="auto"/>
                      <w:szCs w:val="21"/>
                    </w:rPr>
                    <w:t>产污</w:t>
                  </w:r>
                </w:p>
                <w:p w14:paraId="24947C50">
                  <w:pPr>
                    <w:jc w:val="center"/>
                    <w:rPr>
                      <w:b/>
                      <w:color w:val="auto"/>
                      <w:szCs w:val="21"/>
                    </w:rPr>
                  </w:pPr>
                  <w:r>
                    <w:rPr>
                      <w:b/>
                      <w:color w:val="auto"/>
                      <w:szCs w:val="21"/>
                    </w:rPr>
                    <w:t>系数</w:t>
                  </w:r>
                </w:p>
              </w:tc>
              <w:tc>
                <w:tcPr>
                  <w:tcW w:w="619" w:type="pct"/>
                  <w:tcBorders>
                    <w:top w:val="single" w:color="000000" w:sz="12" w:space="0"/>
                    <w:bottom w:val="single" w:color="auto" w:sz="12" w:space="0"/>
                  </w:tcBorders>
                  <w:noWrap w:val="0"/>
                  <w:vAlign w:val="center"/>
                </w:tcPr>
                <w:p w14:paraId="775936D1">
                  <w:pPr>
                    <w:jc w:val="center"/>
                    <w:rPr>
                      <w:b/>
                      <w:color w:val="auto"/>
                      <w:szCs w:val="21"/>
                    </w:rPr>
                  </w:pPr>
                  <w:r>
                    <w:rPr>
                      <w:b/>
                      <w:color w:val="auto"/>
                      <w:szCs w:val="21"/>
                    </w:rPr>
                    <w:t>末端治理技术名称</w:t>
                  </w:r>
                </w:p>
              </w:tc>
              <w:tc>
                <w:tcPr>
                  <w:tcW w:w="617" w:type="pct"/>
                  <w:tcBorders>
                    <w:top w:val="single" w:color="000000" w:sz="12" w:space="0"/>
                    <w:bottom w:val="single" w:color="auto" w:sz="12" w:space="0"/>
                    <w:right w:val="nil"/>
                  </w:tcBorders>
                  <w:noWrap w:val="0"/>
                  <w:vAlign w:val="center"/>
                </w:tcPr>
                <w:p w14:paraId="4DB555AF">
                  <w:pPr>
                    <w:jc w:val="center"/>
                    <w:rPr>
                      <w:b/>
                      <w:color w:val="auto"/>
                      <w:szCs w:val="21"/>
                    </w:rPr>
                  </w:pPr>
                  <w:r>
                    <w:rPr>
                      <w:b/>
                      <w:color w:val="auto"/>
                      <w:szCs w:val="21"/>
                    </w:rPr>
                    <w:t>末端治理技术效率</w:t>
                  </w:r>
                </w:p>
              </w:tc>
            </w:tr>
            <w:tr w14:paraId="3BC06199">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971" w:hRule="atLeast"/>
                <w:jc w:val="center"/>
              </w:trPr>
              <w:tc>
                <w:tcPr>
                  <w:tcW w:w="448" w:type="pct"/>
                  <w:vMerge w:val="restart"/>
                  <w:tcBorders>
                    <w:top w:val="single" w:color="auto" w:sz="12" w:space="0"/>
                    <w:left w:val="nil"/>
                    <w:tl2br w:val="nil"/>
                    <w:tr2bl w:val="nil"/>
                  </w:tcBorders>
                  <w:noWrap w:val="0"/>
                  <w:vAlign w:val="center"/>
                </w:tcPr>
                <w:p w14:paraId="589A95AD">
                  <w:pPr>
                    <w:jc w:val="both"/>
                    <w:rPr>
                      <w:bCs/>
                      <w:color w:val="auto"/>
                      <w:szCs w:val="21"/>
                    </w:rPr>
                  </w:pPr>
                  <w:r>
                    <w:rPr>
                      <w:rFonts w:hint="eastAsia"/>
                      <w:bCs/>
                      <w:color w:val="auto"/>
                      <w:szCs w:val="21"/>
                    </w:rPr>
                    <w:t>物料搅拌</w:t>
                  </w:r>
                </w:p>
              </w:tc>
              <w:tc>
                <w:tcPr>
                  <w:tcW w:w="494" w:type="pct"/>
                  <w:vMerge w:val="restart"/>
                  <w:tcBorders>
                    <w:top w:val="single" w:color="auto" w:sz="12" w:space="0"/>
                    <w:tl2br w:val="nil"/>
                    <w:tr2bl w:val="nil"/>
                  </w:tcBorders>
                  <w:noWrap w:val="0"/>
                  <w:vAlign w:val="center"/>
                </w:tcPr>
                <w:p w14:paraId="0F57E973">
                  <w:pPr>
                    <w:jc w:val="both"/>
                    <w:rPr>
                      <w:bCs/>
                      <w:color w:val="auto"/>
                      <w:szCs w:val="21"/>
                    </w:rPr>
                  </w:pPr>
                  <w:r>
                    <w:rPr>
                      <w:rFonts w:hint="eastAsia"/>
                      <w:bCs/>
                      <w:color w:val="auto"/>
                      <w:szCs w:val="21"/>
                    </w:rPr>
                    <w:t>水泥、沙子、石子、钢筋</w:t>
                  </w:r>
                </w:p>
              </w:tc>
              <w:tc>
                <w:tcPr>
                  <w:tcW w:w="570" w:type="pct"/>
                  <w:vMerge w:val="restart"/>
                  <w:tcBorders>
                    <w:top w:val="single" w:color="auto" w:sz="12" w:space="0"/>
                    <w:tl2br w:val="nil"/>
                    <w:tr2bl w:val="nil"/>
                  </w:tcBorders>
                  <w:noWrap w:val="0"/>
                  <w:vAlign w:val="center"/>
                </w:tcPr>
                <w:p w14:paraId="7FA338B6">
                  <w:pPr>
                    <w:jc w:val="both"/>
                    <w:rPr>
                      <w:bCs/>
                      <w:color w:val="auto"/>
                      <w:szCs w:val="21"/>
                    </w:rPr>
                  </w:pPr>
                  <w:r>
                    <w:rPr>
                      <w:rFonts w:hint="eastAsia"/>
                      <w:bCs/>
                      <w:color w:val="auto"/>
                      <w:szCs w:val="21"/>
                    </w:rPr>
                    <w:t>物料混合搅拌</w:t>
                  </w:r>
                </w:p>
              </w:tc>
              <w:tc>
                <w:tcPr>
                  <w:tcW w:w="422" w:type="pct"/>
                  <w:vMerge w:val="restart"/>
                  <w:tcBorders>
                    <w:top w:val="single" w:color="auto" w:sz="12" w:space="0"/>
                    <w:tl2br w:val="nil"/>
                    <w:tr2bl w:val="nil"/>
                  </w:tcBorders>
                  <w:noWrap w:val="0"/>
                  <w:vAlign w:val="center"/>
                </w:tcPr>
                <w:p w14:paraId="2D93623D">
                  <w:pPr>
                    <w:jc w:val="both"/>
                    <w:rPr>
                      <w:bCs/>
                      <w:color w:val="auto"/>
                      <w:szCs w:val="21"/>
                    </w:rPr>
                  </w:pPr>
                  <w:r>
                    <w:rPr>
                      <w:bCs/>
                      <w:color w:val="auto"/>
                      <w:szCs w:val="21"/>
                    </w:rPr>
                    <w:t>所有规模</w:t>
                  </w:r>
                </w:p>
              </w:tc>
              <w:tc>
                <w:tcPr>
                  <w:tcW w:w="256" w:type="pct"/>
                  <w:vMerge w:val="restart"/>
                  <w:tcBorders>
                    <w:top w:val="single" w:color="auto" w:sz="12" w:space="0"/>
                    <w:tl2br w:val="nil"/>
                    <w:tr2bl w:val="nil"/>
                  </w:tcBorders>
                  <w:noWrap w:val="0"/>
                  <w:vAlign w:val="center"/>
                </w:tcPr>
                <w:p w14:paraId="3F7ED925">
                  <w:pPr>
                    <w:jc w:val="both"/>
                    <w:rPr>
                      <w:bCs/>
                      <w:color w:val="auto"/>
                      <w:szCs w:val="21"/>
                    </w:rPr>
                  </w:pPr>
                  <w:r>
                    <w:rPr>
                      <w:bCs/>
                      <w:color w:val="auto"/>
                      <w:szCs w:val="21"/>
                    </w:rPr>
                    <w:t>废气</w:t>
                  </w:r>
                </w:p>
              </w:tc>
              <w:tc>
                <w:tcPr>
                  <w:tcW w:w="503" w:type="pct"/>
                  <w:tcBorders>
                    <w:top w:val="single" w:color="auto" w:sz="12" w:space="0"/>
                    <w:tl2br w:val="nil"/>
                    <w:tr2bl w:val="nil"/>
                  </w:tcBorders>
                  <w:noWrap w:val="0"/>
                  <w:vAlign w:val="center"/>
                </w:tcPr>
                <w:p w14:paraId="4AD4CE65">
                  <w:pPr>
                    <w:jc w:val="both"/>
                    <w:rPr>
                      <w:bCs/>
                      <w:color w:val="auto"/>
                      <w:szCs w:val="21"/>
                    </w:rPr>
                  </w:pPr>
                  <w:r>
                    <w:rPr>
                      <w:bCs/>
                      <w:color w:val="auto"/>
                      <w:szCs w:val="21"/>
                    </w:rPr>
                    <w:t>工业废气量</w:t>
                  </w:r>
                </w:p>
              </w:tc>
              <w:tc>
                <w:tcPr>
                  <w:tcW w:w="589" w:type="pct"/>
                  <w:tcBorders>
                    <w:top w:val="single" w:color="auto" w:sz="12" w:space="0"/>
                    <w:tl2br w:val="nil"/>
                    <w:tr2bl w:val="nil"/>
                  </w:tcBorders>
                  <w:noWrap w:val="0"/>
                  <w:vAlign w:val="center"/>
                </w:tcPr>
                <w:p w14:paraId="6B0CD3CB">
                  <w:pPr>
                    <w:jc w:val="both"/>
                    <w:rPr>
                      <w:bCs/>
                      <w:color w:val="auto"/>
                      <w:szCs w:val="21"/>
                    </w:rPr>
                  </w:pPr>
                  <w:r>
                    <w:rPr>
                      <w:rFonts w:hint="eastAsia"/>
                      <w:bCs/>
                      <w:color w:val="auto"/>
                      <w:szCs w:val="21"/>
                    </w:rPr>
                    <w:t>标</w:t>
                  </w:r>
                  <w:r>
                    <w:rPr>
                      <w:bCs/>
                      <w:color w:val="auto"/>
                      <w:szCs w:val="21"/>
                    </w:rPr>
                    <w:t>立方米/吨-</w:t>
                  </w:r>
                  <w:r>
                    <w:rPr>
                      <w:rFonts w:hint="eastAsia"/>
                      <w:bCs/>
                      <w:color w:val="auto"/>
                      <w:szCs w:val="21"/>
                    </w:rPr>
                    <w:t>产品</w:t>
                  </w:r>
                </w:p>
              </w:tc>
              <w:tc>
                <w:tcPr>
                  <w:tcW w:w="477" w:type="pct"/>
                  <w:tcBorders>
                    <w:top w:val="single" w:color="auto" w:sz="12" w:space="0"/>
                    <w:tl2br w:val="nil"/>
                    <w:tr2bl w:val="nil"/>
                  </w:tcBorders>
                  <w:noWrap w:val="0"/>
                  <w:vAlign w:val="center"/>
                </w:tcPr>
                <w:p w14:paraId="0F6B9A97">
                  <w:pPr>
                    <w:jc w:val="center"/>
                    <w:rPr>
                      <w:bCs/>
                      <w:color w:val="auto"/>
                      <w:szCs w:val="21"/>
                    </w:rPr>
                  </w:pPr>
                  <w:r>
                    <w:rPr>
                      <w:rFonts w:hint="eastAsia"/>
                      <w:bCs/>
                      <w:color w:val="auto"/>
                      <w:szCs w:val="21"/>
                    </w:rPr>
                    <w:t>129</w:t>
                  </w:r>
                </w:p>
              </w:tc>
              <w:tc>
                <w:tcPr>
                  <w:tcW w:w="619" w:type="pct"/>
                  <w:tcBorders>
                    <w:top w:val="single" w:color="auto" w:sz="12" w:space="0"/>
                    <w:tl2br w:val="nil"/>
                    <w:tr2bl w:val="nil"/>
                  </w:tcBorders>
                  <w:noWrap w:val="0"/>
                  <w:vAlign w:val="center"/>
                </w:tcPr>
                <w:p w14:paraId="7FF3ABA4">
                  <w:pPr>
                    <w:jc w:val="center"/>
                    <w:rPr>
                      <w:bCs/>
                      <w:color w:val="auto"/>
                      <w:szCs w:val="21"/>
                    </w:rPr>
                  </w:pPr>
                  <w:r>
                    <w:rPr>
                      <w:bCs/>
                      <w:color w:val="auto"/>
                      <w:szCs w:val="21"/>
                    </w:rPr>
                    <w:t>/</w:t>
                  </w:r>
                </w:p>
              </w:tc>
              <w:tc>
                <w:tcPr>
                  <w:tcW w:w="617" w:type="pct"/>
                  <w:tcBorders>
                    <w:top w:val="single" w:color="auto" w:sz="12" w:space="0"/>
                    <w:tl2br w:val="nil"/>
                    <w:tr2bl w:val="nil"/>
                  </w:tcBorders>
                  <w:noWrap w:val="0"/>
                  <w:vAlign w:val="center"/>
                </w:tcPr>
                <w:p w14:paraId="6DBAC048">
                  <w:pPr>
                    <w:jc w:val="center"/>
                    <w:rPr>
                      <w:bCs/>
                      <w:color w:val="auto"/>
                      <w:szCs w:val="21"/>
                    </w:rPr>
                  </w:pPr>
                  <w:r>
                    <w:rPr>
                      <w:bCs/>
                      <w:color w:val="auto"/>
                      <w:szCs w:val="21"/>
                    </w:rPr>
                    <w:t>/</w:t>
                  </w:r>
                </w:p>
              </w:tc>
            </w:tr>
            <w:tr w14:paraId="15475635">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108" w:type="dxa"/>
                  <w:bottom w:w="0" w:type="dxa"/>
                  <w:right w:w="108" w:type="dxa"/>
                </w:tblCellMar>
              </w:tblPrEx>
              <w:trPr>
                <w:trHeight w:val="971" w:hRule="atLeast"/>
                <w:jc w:val="center"/>
              </w:trPr>
              <w:tc>
                <w:tcPr>
                  <w:tcW w:w="448" w:type="pct"/>
                  <w:vMerge w:val="continue"/>
                  <w:tcBorders>
                    <w:left w:val="nil"/>
                    <w:bottom w:val="single" w:color="000000" w:sz="12" w:space="0"/>
                    <w:tl2br w:val="nil"/>
                    <w:tr2bl w:val="nil"/>
                  </w:tcBorders>
                  <w:noWrap w:val="0"/>
                  <w:vAlign w:val="center"/>
                </w:tcPr>
                <w:p w14:paraId="695B5137">
                  <w:pPr>
                    <w:jc w:val="both"/>
                    <w:rPr>
                      <w:bCs/>
                      <w:color w:val="auto"/>
                      <w:szCs w:val="21"/>
                    </w:rPr>
                  </w:pPr>
                </w:p>
              </w:tc>
              <w:tc>
                <w:tcPr>
                  <w:tcW w:w="494" w:type="pct"/>
                  <w:vMerge w:val="continue"/>
                  <w:tcBorders>
                    <w:bottom w:val="single" w:color="000000" w:sz="12" w:space="0"/>
                    <w:tl2br w:val="nil"/>
                    <w:tr2bl w:val="nil"/>
                  </w:tcBorders>
                  <w:noWrap w:val="0"/>
                  <w:vAlign w:val="center"/>
                </w:tcPr>
                <w:p w14:paraId="4D2DB316">
                  <w:pPr>
                    <w:jc w:val="both"/>
                    <w:rPr>
                      <w:bCs/>
                      <w:color w:val="auto"/>
                      <w:szCs w:val="21"/>
                    </w:rPr>
                  </w:pPr>
                </w:p>
              </w:tc>
              <w:tc>
                <w:tcPr>
                  <w:tcW w:w="570" w:type="pct"/>
                  <w:vMerge w:val="continue"/>
                  <w:tcBorders>
                    <w:bottom w:val="single" w:color="000000" w:sz="12" w:space="0"/>
                    <w:tl2br w:val="nil"/>
                    <w:tr2bl w:val="nil"/>
                  </w:tcBorders>
                  <w:noWrap w:val="0"/>
                  <w:vAlign w:val="center"/>
                </w:tcPr>
                <w:p w14:paraId="3E515725">
                  <w:pPr>
                    <w:jc w:val="both"/>
                    <w:rPr>
                      <w:bCs/>
                      <w:color w:val="auto"/>
                      <w:szCs w:val="21"/>
                    </w:rPr>
                  </w:pPr>
                </w:p>
              </w:tc>
              <w:tc>
                <w:tcPr>
                  <w:tcW w:w="422" w:type="pct"/>
                  <w:vMerge w:val="continue"/>
                  <w:tcBorders>
                    <w:bottom w:val="single" w:color="000000" w:sz="12" w:space="0"/>
                    <w:tl2br w:val="nil"/>
                    <w:tr2bl w:val="nil"/>
                  </w:tcBorders>
                  <w:noWrap w:val="0"/>
                  <w:vAlign w:val="center"/>
                </w:tcPr>
                <w:p w14:paraId="464F2477">
                  <w:pPr>
                    <w:jc w:val="both"/>
                    <w:rPr>
                      <w:bCs/>
                      <w:color w:val="auto"/>
                      <w:szCs w:val="21"/>
                    </w:rPr>
                  </w:pPr>
                </w:p>
              </w:tc>
              <w:tc>
                <w:tcPr>
                  <w:tcW w:w="256" w:type="pct"/>
                  <w:vMerge w:val="continue"/>
                  <w:tcBorders>
                    <w:bottom w:val="single" w:color="000000" w:sz="12" w:space="0"/>
                    <w:tl2br w:val="nil"/>
                    <w:tr2bl w:val="nil"/>
                  </w:tcBorders>
                  <w:noWrap w:val="0"/>
                  <w:vAlign w:val="center"/>
                </w:tcPr>
                <w:p w14:paraId="0BBE1C08">
                  <w:pPr>
                    <w:jc w:val="both"/>
                    <w:rPr>
                      <w:bCs/>
                      <w:color w:val="auto"/>
                      <w:szCs w:val="21"/>
                    </w:rPr>
                  </w:pPr>
                </w:p>
              </w:tc>
              <w:tc>
                <w:tcPr>
                  <w:tcW w:w="503" w:type="pct"/>
                  <w:tcBorders>
                    <w:bottom w:val="single" w:color="000000" w:sz="12" w:space="0"/>
                    <w:tl2br w:val="nil"/>
                    <w:tr2bl w:val="nil"/>
                  </w:tcBorders>
                  <w:noWrap w:val="0"/>
                  <w:vAlign w:val="center"/>
                </w:tcPr>
                <w:p w14:paraId="73BFF27A">
                  <w:pPr>
                    <w:jc w:val="both"/>
                    <w:rPr>
                      <w:bCs/>
                      <w:color w:val="auto"/>
                      <w:szCs w:val="21"/>
                    </w:rPr>
                  </w:pPr>
                  <w:r>
                    <w:rPr>
                      <w:rFonts w:hint="eastAsia"/>
                      <w:bCs/>
                      <w:color w:val="auto"/>
                      <w:szCs w:val="21"/>
                    </w:rPr>
                    <w:t>颗粒物</w:t>
                  </w:r>
                </w:p>
              </w:tc>
              <w:tc>
                <w:tcPr>
                  <w:tcW w:w="589" w:type="pct"/>
                  <w:tcBorders>
                    <w:bottom w:val="single" w:color="000000" w:sz="12" w:space="0"/>
                    <w:tl2br w:val="nil"/>
                    <w:tr2bl w:val="nil"/>
                  </w:tcBorders>
                  <w:noWrap w:val="0"/>
                  <w:vAlign w:val="center"/>
                </w:tcPr>
                <w:p w14:paraId="1E8077B5">
                  <w:pPr>
                    <w:jc w:val="both"/>
                    <w:rPr>
                      <w:bCs/>
                      <w:color w:val="auto"/>
                      <w:szCs w:val="21"/>
                    </w:rPr>
                  </w:pPr>
                  <w:r>
                    <w:rPr>
                      <w:bCs/>
                      <w:color w:val="auto"/>
                      <w:szCs w:val="21"/>
                    </w:rPr>
                    <w:t>千克/吨-</w:t>
                  </w:r>
                  <w:r>
                    <w:rPr>
                      <w:rFonts w:hint="eastAsia"/>
                      <w:bCs/>
                      <w:color w:val="auto"/>
                      <w:szCs w:val="21"/>
                    </w:rPr>
                    <w:t>产品</w:t>
                  </w:r>
                </w:p>
              </w:tc>
              <w:tc>
                <w:tcPr>
                  <w:tcW w:w="477" w:type="pct"/>
                  <w:tcBorders>
                    <w:bottom w:val="single" w:color="000000" w:sz="12" w:space="0"/>
                    <w:tl2br w:val="nil"/>
                    <w:tr2bl w:val="nil"/>
                  </w:tcBorders>
                  <w:noWrap w:val="0"/>
                  <w:vAlign w:val="center"/>
                </w:tcPr>
                <w:p w14:paraId="3B44BCB6">
                  <w:pPr>
                    <w:jc w:val="center"/>
                    <w:rPr>
                      <w:bCs/>
                      <w:color w:val="auto"/>
                      <w:szCs w:val="21"/>
                    </w:rPr>
                  </w:pPr>
                  <w:r>
                    <w:rPr>
                      <w:rFonts w:hint="eastAsia"/>
                      <w:bCs/>
                      <w:color w:val="auto"/>
                      <w:szCs w:val="21"/>
                    </w:rPr>
                    <w:t>0.523</w:t>
                  </w:r>
                </w:p>
              </w:tc>
              <w:tc>
                <w:tcPr>
                  <w:tcW w:w="619" w:type="pct"/>
                  <w:tcBorders>
                    <w:bottom w:val="single" w:color="000000" w:sz="12" w:space="0"/>
                    <w:tl2br w:val="nil"/>
                    <w:tr2bl w:val="nil"/>
                  </w:tcBorders>
                  <w:noWrap w:val="0"/>
                  <w:vAlign w:val="center"/>
                </w:tcPr>
                <w:p w14:paraId="3252C771">
                  <w:pPr>
                    <w:jc w:val="both"/>
                    <w:rPr>
                      <w:bCs/>
                      <w:color w:val="auto"/>
                      <w:szCs w:val="21"/>
                    </w:rPr>
                  </w:pPr>
                  <w:r>
                    <w:rPr>
                      <w:rFonts w:hint="eastAsia"/>
                      <w:bCs/>
                      <w:color w:val="auto"/>
                      <w:szCs w:val="21"/>
                    </w:rPr>
                    <w:t>袋式除尘</w:t>
                  </w:r>
                </w:p>
              </w:tc>
              <w:tc>
                <w:tcPr>
                  <w:tcW w:w="617" w:type="pct"/>
                  <w:tcBorders>
                    <w:bottom w:val="single" w:color="000000" w:sz="12" w:space="0"/>
                    <w:tl2br w:val="nil"/>
                    <w:tr2bl w:val="nil"/>
                  </w:tcBorders>
                  <w:noWrap w:val="0"/>
                  <w:vAlign w:val="center"/>
                </w:tcPr>
                <w:p w14:paraId="294D869D">
                  <w:pPr>
                    <w:jc w:val="center"/>
                    <w:rPr>
                      <w:bCs/>
                      <w:color w:val="auto"/>
                      <w:szCs w:val="21"/>
                    </w:rPr>
                  </w:pPr>
                  <w:r>
                    <w:rPr>
                      <w:rFonts w:hint="eastAsia"/>
                      <w:bCs/>
                      <w:color w:val="auto"/>
                      <w:szCs w:val="21"/>
                    </w:rPr>
                    <w:t>99.7</w:t>
                  </w:r>
                  <w:r>
                    <w:rPr>
                      <w:bCs/>
                      <w:color w:val="auto"/>
                      <w:szCs w:val="21"/>
                    </w:rPr>
                    <w:t>%</w:t>
                  </w:r>
                </w:p>
              </w:tc>
            </w:tr>
          </w:tbl>
          <w:p w14:paraId="155C2EA4">
            <w:pPr>
              <w:pStyle w:val="20"/>
              <w:ind w:left="0" w:leftChars="0" w:firstLine="480" w:firstLineChars="200"/>
              <w:jc w:val="both"/>
              <w:rPr>
                <w:rFonts w:hint="default"/>
                <w:color w:val="auto"/>
                <w:lang w:val="en-US" w:eastAsia="zh-CN"/>
              </w:rPr>
            </w:pPr>
            <w:r>
              <w:rPr>
                <w:rFonts w:hint="eastAsia"/>
                <w:color w:val="auto"/>
                <w:sz w:val="24"/>
                <w:szCs w:val="24"/>
                <w:highlight w:val="none"/>
              </w:rPr>
              <w:t>本</w:t>
            </w:r>
            <w:r>
              <w:rPr>
                <w:color w:val="auto"/>
                <w:sz w:val="24"/>
                <w:szCs w:val="24"/>
                <w:highlight w:val="none"/>
              </w:rPr>
              <w:t>项目生产</w:t>
            </w:r>
            <w:r>
              <w:rPr>
                <w:rFonts w:hint="eastAsia"/>
                <w:color w:val="auto"/>
                <w:sz w:val="24"/>
                <w:szCs w:val="24"/>
                <w:highlight w:val="none"/>
              </w:rPr>
              <w:t>水泥制品共</w:t>
            </w:r>
            <w:r>
              <w:rPr>
                <w:rFonts w:hint="eastAsia"/>
                <w:color w:val="auto"/>
                <w:sz w:val="24"/>
                <w:szCs w:val="24"/>
                <w:highlight w:val="none"/>
                <w:lang w:val="en-US" w:eastAsia="zh-CN"/>
              </w:rPr>
              <w:t>124800</w:t>
            </w:r>
            <w:r>
              <w:rPr>
                <w:color w:val="auto"/>
                <w:sz w:val="24"/>
                <w:szCs w:val="24"/>
                <w:highlight w:val="none"/>
              </w:rPr>
              <w:t>t/a，</w:t>
            </w:r>
            <w:r>
              <w:rPr>
                <w:rFonts w:hint="eastAsia"/>
                <w:color w:val="auto"/>
                <w:sz w:val="24"/>
                <w:szCs w:val="24"/>
                <w:highlight w:val="none"/>
              </w:rPr>
              <w:t>则</w:t>
            </w:r>
            <w:r>
              <w:rPr>
                <w:color w:val="auto"/>
                <w:sz w:val="24"/>
                <w:szCs w:val="24"/>
                <w:highlight w:val="none"/>
              </w:rPr>
              <w:t>颗粒物产生量：</w:t>
            </w:r>
            <w:r>
              <w:rPr>
                <w:rFonts w:hint="eastAsia"/>
                <w:color w:val="auto"/>
                <w:sz w:val="24"/>
                <w:szCs w:val="24"/>
                <w:highlight w:val="none"/>
                <w:lang w:val="en-US" w:eastAsia="zh-CN"/>
              </w:rPr>
              <w:t>65.27</w:t>
            </w:r>
            <w:r>
              <w:rPr>
                <w:color w:val="auto"/>
                <w:sz w:val="24"/>
                <w:szCs w:val="24"/>
                <w:highlight w:val="none"/>
              </w:rPr>
              <w:t>t/a；颗粒物经布袋除尘器（去尘效率99.</w:t>
            </w:r>
            <w:r>
              <w:rPr>
                <w:rFonts w:hint="eastAsia"/>
                <w:color w:val="auto"/>
                <w:sz w:val="24"/>
                <w:szCs w:val="24"/>
                <w:highlight w:val="none"/>
              </w:rPr>
              <w:t>7</w:t>
            </w:r>
            <w:r>
              <w:rPr>
                <w:color w:val="auto"/>
                <w:sz w:val="24"/>
                <w:szCs w:val="24"/>
                <w:highlight w:val="none"/>
              </w:rPr>
              <w:t>%）处理后</w:t>
            </w:r>
            <w:r>
              <w:rPr>
                <w:rFonts w:hint="eastAsia"/>
                <w:color w:val="auto"/>
                <w:sz w:val="24"/>
                <w:szCs w:val="24"/>
                <w:highlight w:val="none"/>
                <w:lang w:val="en-US" w:eastAsia="zh-CN"/>
              </w:rPr>
              <w:t>无组织排放</w:t>
            </w:r>
            <w:r>
              <w:rPr>
                <w:rFonts w:hint="eastAsia"/>
                <w:color w:val="auto"/>
                <w:sz w:val="24"/>
                <w:szCs w:val="24"/>
                <w:highlight w:val="none"/>
              </w:rPr>
              <w:t>。</w:t>
            </w:r>
            <w:r>
              <w:rPr>
                <w:color w:val="auto"/>
                <w:sz w:val="24"/>
                <w:szCs w:val="24"/>
                <w:highlight w:val="none"/>
              </w:rPr>
              <w:t>经计算，物料搅拌颗粒物的排放量：</w:t>
            </w:r>
            <w:r>
              <w:rPr>
                <w:rFonts w:hint="eastAsia"/>
                <w:color w:val="auto"/>
                <w:sz w:val="24"/>
                <w:szCs w:val="24"/>
                <w:highlight w:val="none"/>
              </w:rPr>
              <w:t>0.</w:t>
            </w:r>
            <w:r>
              <w:rPr>
                <w:rFonts w:hint="eastAsia"/>
                <w:color w:val="auto"/>
                <w:sz w:val="24"/>
                <w:szCs w:val="24"/>
                <w:highlight w:val="none"/>
                <w:lang w:val="en-US" w:eastAsia="zh-CN"/>
              </w:rPr>
              <w:t>196</w:t>
            </w:r>
            <w:r>
              <w:rPr>
                <w:color w:val="auto"/>
                <w:sz w:val="24"/>
                <w:szCs w:val="24"/>
                <w:highlight w:val="none"/>
              </w:rPr>
              <w:t>t/a，排放速率：</w:t>
            </w:r>
            <w:r>
              <w:rPr>
                <w:rFonts w:hint="eastAsia"/>
                <w:color w:val="auto"/>
                <w:sz w:val="24"/>
                <w:szCs w:val="24"/>
                <w:highlight w:val="none"/>
                <w:lang w:val="en-US" w:eastAsia="zh-CN"/>
              </w:rPr>
              <w:t>0.136</w:t>
            </w:r>
            <w:r>
              <w:rPr>
                <w:rFonts w:hint="eastAsia"/>
                <w:color w:val="auto"/>
                <w:sz w:val="24"/>
                <w:szCs w:val="24"/>
                <w:highlight w:val="none"/>
              </w:rPr>
              <w:t>k</w:t>
            </w:r>
            <w:r>
              <w:rPr>
                <w:color w:val="auto"/>
                <w:sz w:val="24"/>
                <w:szCs w:val="24"/>
                <w:highlight w:val="none"/>
              </w:rPr>
              <w:t>g/h。</w:t>
            </w:r>
          </w:p>
          <w:p w14:paraId="0257BDAD">
            <w:pPr>
              <w:pStyle w:val="20"/>
              <w:ind w:left="0" w:leftChars="0" w:firstLine="480" w:firstLineChars="200"/>
              <w:jc w:val="both"/>
              <w:rPr>
                <w:rFonts w:hint="default"/>
                <w:color w:val="auto"/>
                <w:lang w:val="en-US" w:eastAsia="zh-CN"/>
              </w:rPr>
            </w:pPr>
            <w:r>
              <w:rPr>
                <w:rFonts w:hint="default"/>
                <w:color w:val="auto"/>
                <w:lang w:val="en-US" w:eastAsia="zh-CN"/>
              </w:rPr>
              <w:t>（</w:t>
            </w:r>
            <w:r>
              <w:rPr>
                <w:rFonts w:hint="eastAsia"/>
                <w:color w:val="auto"/>
                <w:lang w:val="en-US" w:eastAsia="zh-CN"/>
              </w:rPr>
              <w:t>2</w:t>
            </w:r>
            <w:r>
              <w:rPr>
                <w:rFonts w:hint="default"/>
                <w:color w:val="auto"/>
                <w:lang w:val="en-US" w:eastAsia="zh-CN"/>
              </w:rPr>
              <w:t>）焊接烟尘</w:t>
            </w:r>
          </w:p>
          <w:p w14:paraId="4578B4B7">
            <w:pPr>
              <w:pStyle w:val="20"/>
              <w:numPr>
                <w:ilvl w:val="0"/>
                <w:numId w:val="0"/>
              </w:numPr>
              <w:ind w:left="0" w:leftChars="0" w:firstLine="480" w:firstLineChars="200"/>
              <w:jc w:val="both"/>
              <w:rPr>
                <w:rFonts w:hint="default"/>
                <w:color w:val="auto"/>
                <w:lang w:val="en-US" w:eastAsia="zh-CN"/>
              </w:rPr>
            </w:pPr>
            <w:r>
              <w:rPr>
                <w:rFonts w:hint="default"/>
                <w:color w:val="auto"/>
                <w:lang w:val="en-US" w:eastAsia="zh-CN"/>
              </w:rPr>
              <w:t>本项目焊接烟气主要产生于钢筋加工区钢筋焊接成型工序，主要污染物为焊接烟尘，由于本项目</w:t>
            </w:r>
            <w:r>
              <w:rPr>
                <w:rFonts w:hint="eastAsia"/>
                <w:color w:val="auto"/>
                <w:lang w:val="en-US" w:eastAsia="zh-CN"/>
              </w:rPr>
              <w:t>焊丝使用量较少且</w:t>
            </w:r>
            <w:r>
              <w:rPr>
                <w:rFonts w:hint="default"/>
                <w:color w:val="auto"/>
                <w:lang w:val="en-US" w:eastAsia="zh-CN"/>
              </w:rPr>
              <w:t>钢筋笼焊接工艺为滚焊机焊接，采用对焊机焊接工艺（对焊机的电极分别装在固定平板和滑动平板上，滑动平板可沿机身上的导轨移动，电流通过变压器次级线圈传到电极上，当推动压力机构使两根钢筋端头接触到一起后，造成短路电阻产生热量，加热钢筋端头，当加热到高塑性后，再加力挤压，使两端头达到牢固地对接），故焊接烟气产生量较少，</w:t>
            </w:r>
            <w:r>
              <w:rPr>
                <w:rFonts w:hint="eastAsia"/>
                <w:color w:val="auto"/>
                <w:lang w:val="en-US" w:eastAsia="zh-CN"/>
              </w:rPr>
              <w:t>且本施工过程在全封闭车间内进行，对附近环境影响较小。所以本</w:t>
            </w:r>
            <w:r>
              <w:rPr>
                <w:rFonts w:hint="default"/>
                <w:color w:val="auto"/>
                <w:lang w:val="en-US" w:eastAsia="zh-CN"/>
              </w:rPr>
              <w:t>次评价不对其进行定量分析。</w:t>
            </w:r>
          </w:p>
          <w:p w14:paraId="6FB23A87">
            <w:pPr>
              <w:pStyle w:val="20"/>
              <w:numPr>
                <w:ilvl w:val="0"/>
                <w:numId w:val="0"/>
              </w:numPr>
              <w:ind w:left="0" w:leftChars="0" w:firstLine="480" w:firstLineChars="200"/>
              <w:jc w:val="both"/>
              <w:rPr>
                <w:rFonts w:hint="eastAsia"/>
                <w:color w:val="auto"/>
                <w:highlight w:val="yellow"/>
                <w:lang w:val="en-US" w:eastAsia="zh-CN"/>
              </w:rPr>
            </w:pPr>
            <w:r>
              <w:rPr>
                <w:rFonts w:hint="eastAsia"/>
                <w:color w:val="auto"/>
                <w:kern w:val="2"/>
                <w:sz w:val="24"/>
                <w:szCs w:val="24"/>
                <w:lang w:val="en-US" w:eastAsia="zh-CN" w:bidi="ar-SA"/>
              </w:rPr>
              <w:t>（3）</w:t>
            </w:r>
            <w:r>
              <w:rPr>
                <w:rFonts w:hint="eastAsia"/>
                <w:color w:val="auto"/>
                <w:highlight w:val="none"/>
                <w:lang w:val="en-US" w:eastAsia="zh-CN"/>
              </w:rPr>
              <w:t>物料储存废气</w:t>
            </w:r>
          </w:p>
          <w:p w14:paraId="32F5D95F">
            <w:pPr>
              <w:pStyle w:val="20"/>
              <w:ind w:left="0" w:leftChars="0" w:firstLine="480" w:firstLineChars="200"/>
              <w:jc w:val="both"/>
              <w:rPr>
                <w:rFonts w:hint="default"/>
                <w:color w:val="auto"/>
                <w:lang w:val="en-US" w:eastAsia="zh-CN"/>
              </w:rPr>
            </w:pPr>
            <w:r>
              <w:rPr>
                <w:rFonts w:hint="default"/>
                <w:color w:val="auto"/>
                <w:lang w:val="en-US" w:eastAsia="zh-CN"/>
              </w:rPr>
              <w:t>本项目外购的水泥存储在水泥筒仓内，本项目共设有1个水泥筒仓，筒仓均设有离地呼吸孔一个，呼吸孔口安装滤筒进行过滤除尘，废气经滤筒过滤除尘后排放。</w:t>
            </w:r>
          </w:p>
          <w:p w14:paraId="7C9B9826">
            <w:pPr>
              <w:pStyle w:val="20"/>
              <w:ind w:left="0" w:leftChars="0" w:firstLine="480" w:firstLineChars="200"/>
              <w:jc w:val="both"/>
              <w:rPr>
                <w:rFonts w:hint="default"/>
                <w:color w:val="auto"/>
                <w:lang w:val="en-US" w:eastAsia="zh-CN"/>
              </w:rPr>
            </w:pPr>
            <w:r>
              <w:rPr>
                <w:rFonts w:hint="default"/>
                <w:color w:val="auto"/>
                <w:lang w:val="en-US" w:eastAsia="zh-CN"/>
              </w:rPr>
              <w:t>根据《排放源统计调查产排污核算方法和系数手册》（3021水泥制品制造（含3022水泥制品制造、3029其他水泥类似制品制造）行业系数手册）中“3021水泥制品制造（含3022砼结构构件、3029其他水泥类似制品制造）行业系数表”，颗粒物产污系数为0.19千克/吨-产品。</w:t>
            </w:r>
          </w:p>
          <w:p w14:paraId="07C6E00E">
            <w:pPr>
              <w:pStyle w:val="44"/>
              <w:ind w:firstLine="0" w:firstLineChars="0"/>
              <w:jc w:val="center"/>
              <w:rPr>
                <w:rFonts w:ascii="Times New Roman" w:hAnsi="Times New Roman" w:eastAsia="宋体"/>
                <w:b/>
                <w:bCs w:val="0"/>
                <w:color w:val="auto"/>
              </w:rPr>
            </w:pPr>
            <w:r>
              <w:rPr>
                <w:rFonts w:ascii="Times New Roman" w:hAnsi="Times New Roman" w:eastAsia="宋体"/>
                <w:b/>
                <w:bCs w:val="0"/>
                <w:color w:val="auto"/>
              </w:rPr>
              <w:t>表4-</w:t>
            </w:r>
            <w:r>
              <w:rPr>
                <w:rFonts w:hint="eastAsia" w:ascii="Times New Roman" w:hAnsi="Times New Roman" w:eastAsia="宋体"/>
                <w:b/>
                <w:bCs w:val="0"/>
                <w:color w:val="auto"/>
                <w:lang w:val="en-US" w:eastAsia="zh-CN"/>
              </w:rPr>
              <w:t>5</w:t>
            </w:r>
            <w:r>
              <w:rPr>
                <w:rFonts w:ascii="Times New Roman" w:hAnsi="Times New Roman" w:eastAsia="宋体"/>
                <w:b/>
                <w:bCs w:val="0"/>
                <w:color w:val="auto"/>
              </w:rPr>
              <w:t>产污系数表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734"/>
              <w:gridCol w:w="750"/>
              <w:gridCol w:w="757"/>
              <w:gridCol w:w="594"/>
              <w:gridCol w:w="894"/>
              <w:gridCol w:w="827"/>
              <w:gridCol w:w="833"/>
              <w:gridCol w:w="1008"/>
              <w:gridCol w:w="1006"/>
            </w:tblGrid>
            <w:tr w14:paraId="3AD59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7" w:type="pct"/>
                  <w:tcBorders>
                    <w:top w:val="single" w:color="000000" w:sz="12" w:space="0"/>
                    <w:left w:val="nil"/>
                    <w:bottom w:val="single" w:color="auto" w:sz="12" w:space="0"/>
                  </w:tcBorders>
                  <w:noWrap w:val="0"/>
                  <w:vAlign w:val="center"/>
                </w:tcPr>
                <w:p w14:paraId="7DDC3CF9">
                  <w:pPr>
                    <w:jc w:val="center"/>
                    <w:rPr>
                      <w:b/>
                      <w:color w:val="auto"/>
                      <w:szCs w:val="21"/>
                    </w:rPr>
                  </w:pPr>
                  <w:r>
                    <w:rPr>
                      <w:b/>
                      <w:color w:val="auto"/>
                      <w:szCs w:val="21"/>
                    </w:rPr>
                    <w:t>工段</w:t>
                  </w:r>
                </w:p>
                <w:p w14:paraId="339746D8">
                  <w:pPr>
                    <w:jc w:val="center"/>
                    <w:rPr>
                      <w:b/>
                      <w:color w:val="auto"/>
                      <w:szCs w:val="21"/>
                    </w:rPr>
                  </w:pPr>
                  <w:r>
                    <w:rPr>
                      <w:b/>
                      <w:color w:val="auto"/>
                      <w:szCs w:val="21"/>
                    </w:rPr>
                    <w:t>名称</w:t>
                  </w:r>
                </w:p>
              </w:tc>
              <w:tc>
                <w:tcPr>
                  <w:tcW w:w="451" w:type="pct"/>
                  <w:tcBorders>
                    <w:top w:val="single" w:color="000000" w:sz="12" w:space="0"/>
                    <w:bottom w:val="single" w:color="auto" w:sz="12" w:space="0"/>
                  </w:tcBorders>
                  <w:noWrap w:val="0"/>
                  <w:vAlign w:val="center"/>
                </w:tcPr>
                <w:p w14:paraId="10D9F0FB">
                  <w:pPr>
                    <w:jc w:val="center"/>
                    <w:rPr>
                      <w:b/>
                      <w:color w:val="auto"/>
                      <w:szCs w:val="21"/>
                    </w:rPr>
                  </w:pPr>
                  <w:r>
                    <w:rPr>
                      <w:b/>
                      <w:color w:val="auto"/>
                      <w:szCs w:val="21"/>
                    </w:rPr>
                    <w:t>原料名称</w:t>
                  </w:r>
                </w:p>
              </w:tc>
              <w:tc>
                <w:tcPr>
                  <w:tcW w:w="461" w:type="pct"/>
                  <w:tcBorders>
                    <w:top w:val="single" w:color="000000" w:sz="12" w:space="0"/>
                    <w:bottom w:val="single" w:color="auto" w:sz="12" w:space="0"/>
                  </w:tcBorders>
                  <w:noWrap w:val="0"/>
                  <w:vAlign w:val="center"/>
                </w:tcPr>
                <w:p w14:paraId="56B01361">
                  <w:pPr>
                    <w:jc w:val="center"/>
                    <w:rPr>
                      <w:b/>
                      <w:color w:val="auto"/>
                      <w:szCs w:val="21"/>
                    </w:rPr>
                  </w:pPr>
                  <w:r>
                    <w:rPr>
                      <w:b/>
                      <w:color w:val="auto"/>
                      <w:szCs w:val="21"/>
                    </w:rPr>
                    <w:t>工艺名称</w:t>
                  </w:r>
                </w:p>
              </w:tc>
              <w:tc>
                <w:tcPr>
                  <w:tcW w:w="465" w:type="pct"/>
                  <w:tcBorders>
                    <w:top w:val="single" w:color="000000" w:sz="12" w:space="0"/>
                    <w:bottom w:val="single" w:color="auto" w:sz="12" w:space="0"/>
                  </w:tcBorders>
                  <w:noWrap w:val="0"/>
                  <w:vAlign w:val="center"/>
                </w:tcPr>
                <w:p w14:paraId="369B1B6D">
                  <w:pPr>
                    <w:jc w:val="center"/>
                    <w:rPr>
                      <w:b/>
                      <w:color w:val="auto"/>
                      <w:szCs w:val="21"/>
                    </w:rPr>
                  </w:pPr>
                  <w:r>
                    <w:rPr>
                      <w:b/>
                      <w:color w:val="auto"/>
                      <w:szCs w:val="21"/>
                    </w:rPr>
                    <w:t>规模等级</w:t>
                  </w:r>
                </w:p>
              </w:tc>
              <w:tc>
                <w:tcPr>
                  <w:tcW w:w="915" w:type="pct"/>
                  <w:gridSpan w:val="2"/>
                  <w:tcBorders>
                    <w:top w:val="single" w:color="000000" w:sz="12" w:space="0"/>
                    <w:bottom w:val="single" w:color="auto" w:sz="12" w:space="0"/>
                  </w:tcBorders>
                  <w:noWrap w:val="0"/>
                  <w:vAlign w:val="center"/>
                </w:tcPr>
                <w:p w14:paraId="280AF679">
                  <w:pPr>
                    <w:jc w:val="center"/>
                    <w:rPr>
                      <w:b/>
                      <w:color w:val="auto"/>
                      <w:szCs w:val="21"/>
                    </w:rPr>
                  </w:pPr>
                  <w:r>
                    <w:rPr>
                      <w:b/>
                      <w:color w:val="auto"/>
                      <w:szCs w:val="21"/>
                    </w:rPr>
                    <w:t>污染物指标</w:t>
                  </w:r>
                </w:p>
              </w:tc>
              <w:tc>
                <w:tcPr>
                  <w:tcW w:w="508" w:type="pct"/>
                  <w:tcBorders>
                    <w:top w:val="single" w:color="000000" w:sz="12" w:space="0"/>
                    <w:bottom w:val="single" w:color="auto" w:sz="12" w:space="0"/>
                  </w:tcBorders>
                  <w:noWrap w:val="0"/>
                  <w:vAlign w:val="center"/>
                </w:tcPr>
                <w:p w14:paraId="0C87BDD4">
                  <w:pPr>
                    <w:jc w:val="center"/>
                    <w:rPr>
                      <w:b/>
                      <w:color w:val="auto"/>
                      <w:szCs w:val="21"/>
                    </w:rPr>
                  </w:pPr>
                  <w:r>
                    <w:rPr>
                      <w:b/>
                      <w:color w:val="auto"/>
                      <w:szCs w:val="21"/>
                    </w:rPr>
                    <w:t>单位</w:t>
                  </w:r>
                </w:p>
              </w:tc>
              <w:tc>
                <w:tcPr>
                  <w:tcW w:w="512" w:type="pct"/>
                  <w:tcBorders>
                    <w:top w:val="single" w:color="000000" w:sz="12" w:space="0"/>
                    <w:bottom w:val="single" w:color="auto" w:sz="12" w:space="0"/>
                  </w:tcBorders>
                  <w:noWrap w:val="0"/>
                  <w:vAlign w:val="center"/>
                </w:tcPr>
                <w:p w14:paraId="468E0F44">
                  <w:pPr>
                    <w:jc w:val="center"/>
                    <w:rPr>
                      <w:b/>
                      <w:color w:val="auto"/>
                      <w:szCs w:val="21"/>
                    </w:rPr>
                  </w:pPr>
                  <w:r>
                    <w:rPr>
                      <w:b/>
                      <w:color w:val="auto"/>
                      <w:szCs w:val="21"/>
                    </w:rPr>
                    <w:t>产污</w:t>
                  </w:r>
                </w:p>
                <w:p w14:paraId="5C08A9D9">
                  <w:pPr>
                    <w:jc w:val="center"/>
                    <w:rPr>
                      <w:b/>
                      <w:color w:val="auto"/>
                      <w:szCs w:val="21"/>
                    </w:rPr>
                  </w:pPr>
                  <w:r>
                    <w:rPr>
                      <w:b/>
                      <w:color w:val="auto"/>
                      <w:szCs w:val="21"/>
                    </w:rPr>
                    <w:t>系数</w:t>
                  </w:r>
                </w:p>
              </w:tc>
              <w:tc>
                <w:tcPr>
                  <w:tcW w:w="619" w:type="pct"/>
                  <w:tcBorders>
                    <w:top w:val="single" w:color="000000" w:sz="12" w:space="0"/>
                    <w:bottom w:val="single" w:color="auto" w:sz="12" w:space="0"/>
                  </w:tcBorders>
                  <w:noWrap w:val="0"/>
                  <w:vAlign w:val="center"/>
                </w:tcPr>
                <w:p w14:paraId="11EF368E">
                  <w:pPr>
                    <w:jc w:val="center"/>
                    <w:rPr>
                      <w:b/>
                      <w:color w:val="auto"/>
                      <w:szCs w:val="21"/>
                    </w:rPr>
                  </w:pPr>
                  <w:r>
                    <w:rPr>
                      <w:b/>
                      <w:color w:val="auto"/>
                      <w:szCs w:val="21"/>
                    </w:rPr>
                    <w:t>末端治理技术名称</w:t>
                  </w:r>
                </w:p>
              </w:tc>
              <w:tc>
                <w:tcPr>
                  <w:tcW w:w="618" w:type="pct"/>
                  <w:tcBorders>
                    <w:top w:val="single" w:color="000000" w:sz="12" w:space="0"/>
                    <w:bottom w:val="single" w:color="auto" w:sz="12" w:space="0"/>
                    <w:right w:val="nil"/>
                  </w:tcBorders>
                  <w:noWrap w:val="0"/>
                  <w:vAlign w:val="center"/>
                </w:tcPr>
                <w:p w14:paraId="376E02F3">
                  <w:pPr>
                    <w:jc w:val="center"/>
                    <w:rPr>
                      <w:b/>
                      <w:color w:val="auto"/>
                      <w:szCs w:val="21"/>
                    </w:rPr>
                  </w:pPr>
                  <w:r>
                    <w:rPr>
                      <w:b/>
                      <w:color w:val="auto"/>
                      <w:szCs w:val="21"/>
                    </w:rPr>
                    <w:t>末端治理技术效率</w:t>
                  </w:r>
                </w:p>
              </w:tc>
            </w:tr>
            <w:tr w14:paraId="6131F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1" w:hRule="atLeast"/>
                <w:jc w:val="center"/>
              </w:trPr>
              <w:tc>
                <w:tcPr>
                  <w:tcW w:w="447" w:type="pct"/>
                  <w:vMerge w:val="restart"/>
                  <w:tcBorders>
                    <w:top w:val="single" w:color="auto" w:sz="12" w:space="0"/>
                    <w:left w:val="nil"/>
                    <w:tl2br w:val="nil"/>
                    <w:tr2bl w:val="nil"/>
                  </w:tcBorders>
                  <w:noWrap w:val="0"/>
                  <w:vAlign w:val="center"/>
                </w:tcPr>
                <w:p w14:paraId="71CD0CAD">
                  <w:pPr>
                    <w:jc w:val="center"/>
                    <w:rPr>
                      <w:bCs/>
                      <w:color w:val="auto"/>
                      <w:sz w:val="21"/>
                      <w:szCs w:val="21"/>
                    </w:rPr>
                  </w:pPr>
                  <w:r>
                    <w:rPr>
                      <w:rFonts w:hint="eastAsia"/>
                      <w:bCs/>
                      <w:color w:val="auto"/>
                      <w:sz w:val="21"/>
                      <w:szCs w:val="21"/>
                    </w:rPr>
                    <w:t>物料输送</w:t>
                  </w:r>
                </w:p>
              </w:tc>
              <w:tc>
                <w:tcPr>
                  <w:tcW w:w="451" w:type="pct"/>
                  <w:vMerge w:val="restart"/>
                  <w:tcBorders>
                    <w:top w:val="single" w:color="auto" w:sz="12" w:space="0"/>
                    <w:tl2br w:val="nil"/>
                    <w:tr2bl w:val="nil"/>
                  </w:tcBorders>
                  <w:noWrap w:val="0"/>
                  <w:vAlign w:val="center"/>
                </w:tcPr>
                <w:p w14:paraId="12BCC4C6">
                  <w:pPr>
                    <w:jc w:val="center"/>
                    <w:rPr>
                      <w:bCs/>
                      <w:color w:val="auto"/>
                      <w:sz w:val="21"/>
                      <w:szCs w:val="21"/>
                    </w:rPr>
                  </w:pPr>
                  <w:r>
                    <w:rPr>
                      <w:rFonts w:ascii="宋体" w:hAnsi="宋体" w:cs="宋体"/>
                      <w:color w:val="auto"/>
                      <w:sz w:val="21"/>
                      <w:szCs w:val="21"/>
                    </w:rPr>
                    <w:t>水泥、砂子、石子、钢筋</w:t>
                  </w:r>
                </w:p>
              </w:tc>
              <w:tc>
                <w:tcPr>
                  <w:tcW w:w="461" w:type="pct"/>
                  <w:vMerge w:val="restart"/>
                  <w:tcBorders>
                    <w:top w:val="single" w:color="auto" w:sz="12" w:space="0"/>
                    <w:tl2br w:val="nil"/>
                    <w:tr2bl w:val="nil"/>
                  </w:tcBorders>
                  <w:noWrap w:val="0"/>
                  <w:vAlign w:val="center"/>
                </w:tcPr>
                <w:p w14:paraId="75E3950E">
                  <w:pPr>
                    <w:jc w:val="center"/>
                    <w:rPr>
                      <w:bCs/>
                      <w:color w:val="auto"/>
                      <w:sz w:val="21"/>
                      <w:szCs w:val="21"/>
                    </w:rPr>
                  </w:pPr>
                  <w:r>
                    <w:rPr>
                      <w:rFonts w:ascii="宋体" w:hAnsi="宋体" w:cs="宋体"/>
                      <w:color w:val="auto"/>
                      <w:sz w:val="21"/>
                      <w:szCs w:val="21"/>
                    </w:rPr>
                    <w:t>物料输送储存</w:t>
                  </w:r>
                </w:p>
              </w:tc>
              <w:tc>
                <w:tcPr>
                  <w:tcW w:w="465" w:type="pct"/>
                  <w:vMerge w:val="restart"/>
                  <w:tcBorders>
                    <w:top w:val="single" w:color="auto" w:sz="12" w:space="0"/>
                    <w:tl2br w:val="nil"/>
                    <w:tr2bl w:val="nil"/>
                  </w:tcBorders>
                  <w:noWrap w:val="0"/>
                  <w:vAlign w:val="center"/>
                </w:tcPr>
                <w:p w14:paraId="4DEFFF4B">
                  <w:pPr>
                    <w:jc w:val="center"/>
                    <w:rPr>
                      <w:bCs/>
                      <w:color w:val="auto"/>
                      <w:sz w:val="21"/>
                      <w:szCs w:val="21"/>
                    </w:rPr>
                  </w:pPr>
                  <w:r>
                    <w:rPr>
                      <w:bCs/>
                      <w:color w:val="auto"/>
                      <w:sz w:val="21"/>
                      <w:szCs w:val="21"/>
                    </w:rPr>
                    <w:t>所有规模</w:t>
                  </w:r>
                </w:p>
              </w:tc>
              <w:tc>
                <w:tcPr>
                  <w:tcW w:w="365" w:type="pct"/>
                  <w:vMerge w:val="restart"/>
                  <w:tcBorders>
                    <w:top w:val="single" w:color="auto" w:sz="12" w:space="0"/>
                    <w:tl2br w:val="nil"/>
                    <w:tr2bl w:val="nil"/>
                  </w:tcBorders>
                  <w:noWrap w:val="0"/>
                  <w:vAlign w:val="center"/>
                </w:tcPr>
                <w:p w14:paraId="12D4A767">
                  <w:pPr>
                    <w:jc w:val="center"/>
                    <w:rPr>
                      <w:bCs/>
                      <w:color w:val="auto"/>
                      <w:sz w:val="21"/>
                      <w:szCs w:val="21"/>
                    </w:rPr>
                  </w:pPr>
                  <w:r>
                    <w:rPr>
                      <w:bCs/>
                      <w:color w:val="auto"/>
                      <w:sz w:val="21"/>
                      <w:szCs w:val="21"/>
                    </w:rPr>
                    <w:t>废气</w:t>
                  </w:r>
                </w:p>
              </w:tc>
              <w:tc>
                <w:tcPr>
                  <w:tcW w:w="549" w:type="pct"/>
                  <w:tcBorders>
                    <w:top w:val="single" w:color="auto" w:sz="12" w:space="0"/>
                    <w:tl2br w:val="nil"/>
                    <w:tr2bl w:val="nil"/>
                  </w:tcBorders>
                  <w:noWrap w:val="0"/>
                  <w:vAlign w:val="center"/>
                </w:tcPr>
                <w:p w14:paraId="2BC252C5">
                  <w:pPr>
                    <w:jc w:val="center"/>
                    <w:rPr>
                      <w:bCs/>
                      <w:color w:val="auto"/>
                      <w:sz w:val="21"/>
                      <w:szCs w:val="21"/>
                    </w:rPr>
                  </w:pPr>
                  <w:r>
                    <w:rPr>
                      <w:bCs/>
                      <w:color w:val="auto"/>
                      <w:sz w:val="21"/>
                      <w:szCs w:val="21"/>
                    </w:rPr>
                    <w:t>工业废气量</w:t>
                  </w:r>
                </w:p>
              </w:tc>
              <w:tc>
                <w:tcPr>
                  <w:tcW w:w="508" w:type="pct"/>
                  <w:tcBorders>
                    <w:top w:val="single" w:color="auto" w:sz="12" w:space="0"/>
                    <w:tl2br w:val="nil"/>
                    <w:tr2bl w:val="nil"/>
                  </w:tcBorders>
                  <w:noWrap w:val="0"/>
                  <w:vAlign w:val="center"/>
                </w:tcPr>
                <w:p w14:paraId="28152483">
                  <w:pPr>
                    <w:jc w:val="center"/>
                    <w:rPr>
                      <w:bCs/>
                      <w:color w:val="auto"/>
                      <w:sz w:val="21"/>
                      <w:szCs w:val="21"/>
                    </w:rPr>
                  </w:pPr>
                  <w:r>
                    <w:rPr>
                      <w:rFonts w:hint="eastAsia"/>
                      <w:bCs/>
                      <w:color w:val="auto"/>
                      <w:sz w:val="21"/>
                      <w:szCs w:val="21"/>
                    </w:rPr>
                    <w:t>标</w:t>
                  </w:r>
                  <w:r>
                    <w:rPr>
                      <w:bCs/>
                      <w:color w:val="auto"/>
                      <w:sz w:val="21"/>
                      <w:szCs w:val="21"/>
                    </w:rPr>
                    <w:t>立方米/吨-</w:t>
                  </w:r>
                  <w:r>
                    <w:rPr>
                      <w:rFonts w:hint="eastAsia"/>
                      <w:bCs/>
                      <w:color w:val="auto"/>
                      <w:sz w:val="21"/>
                      <w:szCs w:val="21"/>
                    </w:rPr>
                    <w:t>产品</w:t>
                  </w:r>
                </w:p>
              </w:tc>
              <w:tc>
                <w:tcPr>
                  <w:tcW w:w="512" w:type="pct"/>
                  <w:tcBorders>
                    <w:top w:val="single" w:color="auto" w:sz="12" w:space="0"/>
                    <w:tl2br w:val="nil"/>
                    <w:tr2bl w:val="nil"/>
                  </w:tcBorders>
                  <w:noWrap w:val="0"/>
                  <w:vAlign w:val="center"/>
                </w:tcPr>
                <w:p w14:paraId="38B1D7D4">
                  <w:pPr>
                    <w:jc w:val="center"/>
                    <w:rPr>
                      <w:bCs/>
                      <w:color w:val="auto"/>
                      <w:sz w:val="21"/>
                      <w:szCs w:val="21"/>
                    </w:rPr>
                  </w:pPr>
                  <w:r>
                    <w:rPr>
                      <w:rFonts w:hint="eastAsia"/>
                      <w:bCs/>
                      <w:color w:val="auto"/>
                      <w:sz w:val="21"/>
                      <w:szCs w:val="21"/>
                    </w:rPr>
                    <w:t>41.8</w:t>
                  </w:r>
                </w:p>
              </w:tc>
              <w:tc>
                <w:tcPr>
                  <w:tcW w:w="619" w:type="pct"/>
                  <w:tcBorders>
                    <w:top w:val="single" w:color="auto" w:sz="12" w:space="0"/>
                    <w:tl2br w:val="nil"/>
                    <w:tr2bl w:val="nil"/>
                  </w:tcBorders>
                  <w:noWrap w:val="0"/>
                  <w:vAlign w:val="center"/>
                </w:tcPr>
                <w:p w14:paraId="1D4F6A50">
                  <w:pPr>
                    <w:jc w:val="center"/>
                    <w:rPr>
                      <w:bCs/>
                      <w:color w:val="auto"/>
                      <w:sz w:val="21"/>
                      <w:szCs w:val="21"/>
                    </w:rPr>
                  </w:pPr>
                  <w:r>
                    <w:rPr>
                      <w:bCs/>
                      <w:color w:val="auto"/>
                      <w:sz w:val="21"/>
                      <w:szCs w:val="21"/>
                    </w:rPr>
                    <w:t>/</w:t>
                  </w:r>
                </w:p>
              </w:tc>
              <w:tc>
                <w:tcPr>
                  <w:tcW w:w="618" w:type="pct"/>
                  <w:tcBorders>
                    <w:top w:val="single" w:color="auto" w:sz="12" w:space="0"/>
                    <w:right w:val="nil"/>
                    <w:tl2br w:val="nil"/>
                    <w:tr2bl w:val="nil"/>
                  </w:tcBorders>
                  <w:noWrap w:val="0"/>
                  <w:vAlign w:val="center"/>
                </w:tcPr>
                <w:p w14:paraId="136B2CA3">
                  <w:pPr>
                    <w:jc w:val="center"/>
                    <w:rPr>
                      <w:bCs/>
                      <w:color w:val="auto"/>
                      <w:sz w:val="21"/>
                      <w:szCs w:val="21"/>
                    </w:rPr>
                  </w:pPr>
                  <w:r>
                    <w:rPr>
                      <w:bCs/>
                      <w:color w:val="auto"/>
                      <w:sz w:val="21"/>
                      <w:szCs w:val="21"/>
                    </w:rPr>
                    <w:t>/</w:t>
                  </w:r>
                </w:p>
              </w:tc>
            </w:tr>
            <w:tr w14:paraId="70D05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1" w:hRule="atLeast"/>
                <w:jc w:val="center"/>
              </w:trPr>
              <w:tc>
                <w:tcPr>
                  <w:tcW w:w="447" w:type="pct"/>
                  <w:vMerge w:val="continue"/>
                  <w:tcBorders>
                    <w:left w:val="nil"/>
                    <w:bottom w:val="single" w:color="000000" w:sz="12" w:space="0"/>
                    <w:tl2br w:val="nil"/>
                    <w:tr2bl w:val="nil"/>
                  </w:tcBorders>
                  <w:noWrap w:val="0"/>
                  <w:vAlign w:val="center"/>
                </w:tcPr>
                <w:p w14:paraId="1588AE68">
                  <w:pPr>
                    <w:jc w:val="center"/>
                    <w:rPr>
                      <w:bCs/>
                      <w:color w:val="auto"/>
                      <w:sz w:val="21"/>
                      <w:szCs w:val="21"/>
                    </w:rPr>
                  </w:pPr>
                </w:p>
              </w:tc>
              <w:tc>
                <w:tcPr>
                  <w:tcW w:w="451" w:type="pct"/>
                  <w:vMerge w:val="continue"/>
                  <w:tcBorders>
                    <w:bottom w:val="single" w:color="000000" w:sz="12" w:space="0"/>
                    <w:tl2br w:val="nil"/>
                    <w:tr2bl w:val="nil"/>
                  </w:tcBorders>
                  <w:noWrap w:val="0"/>
                  <w:vAlign w:val="center"/>
                </w:tcPr>
                <w:p w14:paraId="3B32EA5F">
                  <w:pPr>
                    <w:jc w:val="center"/>
                    <w:rPr>
                      <w:bCs/>
                      <w:color w:val="auto"/>
                      <w:sz w:val="21"/>
                      <w:szCs w:val="21"/>
                    </w:rPr>
                  </w:pPr>
                </w:p>
              </w:tc>
              <w:tc>
                <w:tcPr>
                  <w:tcW w:w="461" w:type="pct"/>
                  <w:vMerge w:val="continue"/>
                  <w:tcBorders>
                    <w:bottom w:val="single" w:color="000000" w:sz="12" w:space="0"/>
                    <w:tl2br w:val="nil"/>
                    <w:tr2bl w:val="nil"/>
                  </w:tcBorders>
                  <w:noWrap w:val="0"/>
                  <w:vAlign w:val="center"/>
                </w:tcPr>
                <w:p w14:paraId="209C0651">
                  <w:pPr>
                    <w:jc w:val="center"/>
                    <w:rPr>
                      <w:bCs/>
                      <w:color w:val="auto"/>
                      <w:sz w:val="21"/>
                      <w:szCs w:val="21"/>
                    </w:rPr>
                  </w:pPr>
                </w:p>
              </w:tc>
              <w:tc>
                <w:tcPr>
                  <w:tcW w:w="465" w:type="pct"/>
                  <w:vMerge w:val="continue"/>
                  <w:tcBorders>
                    <w:bottom w:val="single" w:color="000000" w:sz="12" w:space="0"/>
                    <w:tl2br w:val="nil"/>
                    <w:tr2bl w:val="nil"/>
                  </w:tcBorders>
                  <w:noWrap w:val="0"/>
                  <w:vAlign w:val="center"/>
                </w:tcPr>
                <w:p w14:paraId="6D040E35">
                  <w:pPr>
                    <w:jc w:val="center"/>
                    <w:rPr>
                      <w:bCs/>
                      <w:color w:val="auto"/>
                      <w:sz w:val="21"/>
                      <w:szCs w:val="21"/>
                    </w:rPr>
                  </w:pPr>
                </w:p>
              </w:tc>
              <w:tc>
                <w:tcPr>
                  <w:tcW w:w="365" w:type="pct"/>
                  <w:vMerge w:val="continue"/>
                  <w:tcBorders>
                    <w:bottom w:val="single" w:color="000000" w:sz="12" w:space="0"/>
                    <w:tl2br w:val="nil"/>
                    <w:tr2bl w:val="nil"/>
                  </w:tcBorders>
                  <w:noWrap w:val="0"/>
                  <w:vAlign w:val="center"/>
                </w:tcPr>
                <w:p w14:paraId="6780E515">
                  <w:pPr>
                    <w:jc w:val="center"/>
                    <w:rPr>
                      <w:bCs/>
                      <w:color w:val="auto"/>
                      <w:sz w:val="21"/>
                      <w:szCs w:val="21"/>
                    </w:rPr>
                  </w:pPr>
                </w:p>
              </w:tc>
              <w:tc>
                <w:tcPr>
                  <w:tcW w:w="549" w:type="pct"/>
                  <w:tcBorders>
                    <w:bottom w:val="single" w:color="000000" w:sz="12" w:space="0"/>
                    <w:tl2br w:val="nil"/>
                    <w:tr2bl w:val="nil"/>
                  </w:tcBorders>
                  <w:noWrap w:val="0"/>
                  <w:vAlign w:val="center"/>
                </w:tcPr>
                <w:p w14:paraId="324445A8">
                  <w:pPr>
                    <w:jc w:val="center"/>
                    <w:rPr>
                      <w:bCs/>
                      <w:color w:val="auto"/>
                      <w:sz w:val="21"/>
                      <w:szCs w:val="21"/>
                    </w:rPr>
                  </w:pPr>
                  <w:r>
                    <w:rPr>
                      <w:rFonts w:hint="eastAsia"/>
                      <w:bCs/>
                      <w:color w:val="auto"/>
                      <w:sz w:val="21"/>
                      <w:szCs w:val="21"/>
                    </w:rPr>
                    <w:t>颗粒物</w:t>
                  </w:r>
                </w:p>
              </w:tc>
              <w:tc>
                <w:tcPr>
                  <w:tcW w:w="508" w:type="pct"/>
                  <w:tcBorders>
                    <w:bottom w:val="single" w:color="000000" w:sz="12" w:space="0"/>
                    <w:tl2br w:val="nil"/>
                    <w:tr2bl w:val="nil"/>
                  </w:tcBorders>
                  <w:noWrap w:val="0"/>
                  <w:vAlign w:val="center"/>
                </w:tcPr>
                <w:p w14:paraId="2DBE3930">
                  <w:pPr>
                    <w:jc w:val="center"/>
                    <w:rPr>
                      <w:bCs/>
                      <w:color w:val="auto"/>
                      <w:sz w:val="21"/>
                      <w:szCs w:val="21"/>
                    </w:rPr>
                  </w:pPr>
                  <w:r>
                    <w:rPr>
                      <w:bCs/>
                      <w:color w:val="auto"/>
                      <w:sz w:val="21"/>
                      <w:szCs w:val="21"/>
                    </w:rPr>
                    <w:t>千克/吨-</w:t>
                  </w:r>
                  <w:r>
                    <w:rPr>
                      <w:rFonts w:hint="eastAsia"/>
                      <w:bCs/>
                      <w:color w:val="auto"/>
                      <w:sz w:val="21"/>
                      <w:szCs w:val="21"/>
                    </w:rPr>
                    <w:t>产品</w:t>
                  </w:r>
                </w:p>
              </w:tc>
              <w:tc>
                <w:tcPr>
                  <w:tcW w:w="512" w:type="pct"/>
                  <w:tcBorders>
                    <w:bottom w:val="single" w:color="000000" w:sz="12" w:space="0"/>
                    <w:tl2br w:val="nil"/>
                    <w:tr2bl w:val="nil"/>
                  </w:tcBorders>
                  <w:noWrap w:val="0"/>
                  <w:vAlign w:val="center"/>
                </w:tcPr>
                <w:p w14:paraId="7BB1506E">
                  <w:pPr>
                    <w:jc w:val="center"/>
                    <w:rPr>
                      <w:bCs/>
                      <w:color w:val="auto"/>
                      <w:sz w:val="21"/>
                      <w:szCs w:val="21"/>
                    </w:rPr>
                  </w:pPr>
                  <w:r>
                    <w:rPr>
                      <w:rFonts w:hint="eastAsia"/>
                      <w:bCs/>
                      <w:color w:val="auto"/>
                      <w:sz w:val="21"/>
                      <w:szCs w:val="21"/>
                    </w:rPr>
                    <w:t>0.19</w:t>
                  </w:r>
                </w:p>
              </w:tc>
              <w:tc>
                <w:tcPr>
                  <w:tcW w:w="619" w:type="pct"/>
                  <w:tcBorders>
                    <w:bottom w:val="single" w:color="000000" w:sz="12" w:space="0"/>
                    <w:tl2br w:val="nil"/>
                    <w:tr2bl w:val="nil"/>
                  </w:tcBorders>
                  <w:noWrap w:val="0"/>
                  <w:vAlign w:val="center"/>
                </w:tcPr>
                <w:p w14:paraId="0CDFC030">
                  <w:pPr>
                    <w:jc w:val="center"/>
                    <w:rPr>
                      <w:bCs/>
                      <w:color w:val="auto"/>
                      <w:sz w:val="21"/>
                      <w:szCs w:val="21"/>
                    </w:rPr>
                  </w:pPr>
                  <w:r>
                    <w:rPr>
                      <w:rFonts w:hint="eastAsia"/>
                      <w:bCs/>
                      <w:color w:val="auto"/>
                      <w:sz w:val="21"/>
                      <w:szCs w:val="21"/>
                    </w:rPr>
                    <w:t>袋式除尘</w:t>
                  </w:r>
                </w:p>
              </w:tc>
              <w:tc>
                <w:tcPr>
                  <w:tcW w:w="618" w:type="pct"/>
                  <w:tcBorders>
                    <w:bottom w:val="single" w:color="000000" w:sz="12" w:space="0"/>
                    <w:right w:val="nil"/>
                    <w:tl2br w:val="nil"/>
                    <w:tr2bl w:val="nil"/>
                  </w:tcBorders>
                  <w:noWrap w:val="0"/>
                  <w:vAlign w:val="center"/>
                </w:tcPr>
                <w:p w14:paraId="29F4E100">
                  <w:pPr>
                    <w:jc w:val="center"/>
                    <w:rPr>
                      <w:bCs/>
                      <w:color w:val="auto"/>
                      <w:sz w:val="21"/>
                      <w:szCs w:val="21"/>
                    </w:rPr>
                  </w:pPr>
                  <w:r>
                    <w:rPr>
                      <w:rFonts w:hint="eastAsia"/>
                      <w:bCs/>
                      <w:color w:val="auto"/>
                      <w:sz w:val="21"/>
                      <w:szCs w:val="21"/>
                    </w:rPr>
                    <w:t>99.7</w:t>
                  </w:r>
                  <w:r>
                    <w:rPr>
                      <w:bCs/>
                      <w:color w:val="auto"/>
                      <w:sz w:val="21"/>
                      <w:szCs w:val="21"/>
                    </w:rPr>
                    <w:t>%</w:t>
                  </w:r>
                </w:p>
              </w:tc>
            </w:tr>
          </w:tbl>
          <w:p w14:paraId="03145065">
            <w:pPr>
              <w:pStyle w:val="20"/>
              <w:ind w:left="0" w:leftChars="0" w:firstLine="480" w:firstLineChars="200"/>
              <w:jc w:val="both"/>
              <w:rPr>
                <w:rFonts w:hint="default"/>
                <w:color w:val="auto"/>
                <w:lang w:val="en-US" w:eastAsia="zh-CN"/>
              </w:rPr>
            </w:pPr>
            <w:r>
              <w:rPr>
                <w:rFonts w:hint="default"/>
                <w:color w:val="auto"/>
                <w:lang w:val="en-US" w:eastAsia="zh-CN"/>
              </w:rPr>
              <w:t>本项目水泥制品产品量为</w:t>
            </w:r>
            <w:r>
              <w:rPr>
                <w:rFonts w:hint="eastAsia"/>
                <w:color w:val="auto"/>
                <w:lang w:val="en-US" w:eastAsia="zh-CN"/>
              </w:rPr>
              <w:t>124800</w:t>
            </w:r>
            <w:r>
              <w:rPr>
                <w:rFonts w:hint="default"/>
                <w:color w:val="auto"/>
                <w:lang w:val="en-US" w:eastAsia="zh-CN"/>
              </w:rPr>
              <w:t>t/a，筒仓产生的颗粒物总量为</w:t>
            </w:r>
            <w:r>
              <w:rPr>
                <w:rFonts w:hint="eastAsia"/>
                <w:color w:val="auto"/>
                <w:lang w:val="en-US" w:eastAsia="zh-CN"/>
              </w:rPr>
              <w:t>23.71</w:t>
            </w:r>
            <w:r>
              <w:rPr>
                <w:rFonts w:hint="default"/>
                <w:color w:val="auto"/>
                <w:lang w:val="en-US" w:eastAsia="zh-CN"/>
              </w:rPr>
              <w:t>t/a，产生速率</w:t>
            </w:r>
            <w:r>
              <w:rPr>
                <w:rFonts w:hint="eastAsia"/>
                <w:color w:val="auto"/>
                <w:lang w:val="en-US" w:eastAsia="zh-CN"/>
              </w:rPr>
              <w:t>16.47</w:t>
            </w:r>
            <w:r>
              <w:rPr>
                <w:rFonts w:hint="default"/>
                <w:color w:val="auto"/>
                <w:lang w:val="en-US" w:eastAsia="zh-CN"/>
              </w:rPr>
              <w:t>kg/h，筒仓粉尘滤筒（去尘效率99%）处理后排放，筒仓颗粒物的排放量为0.</w:t>
            </w:r>
            <w:r>
              <w:rPr>
                <w:rFonts w:hint="eastAsia"/>
                <w:color w:val="auto"/>
                <w:lang w:val="en-US" w:eastAsia="zh-CN"/>
              </w:rPr>
              <w:t>237</w:t>
            </w:r>
            <w:r>
              <w:rPr>
                <w:rFonts w:hint="default"/>
                <w:color w:val="auto"/>
                <w:lang w:val="en-US" w:eastAsia="zh-CN"/>
              </w:rPr>
              <w:t>t/a，排放速率为0.</w:t>
            </w:r>
            <w:r>
              <w:rPr>
                <w:rFonts w:hint="eastAsia"/>
                <w:color w:val="auto"/>
                <w:lang w:val="en-US" w:eastAsia="zh-CN"/>
              </w:rPr>
              <w:t>165</w:t>
            </w:r>
            <w:r>
              <w:rPr>
                <w:rFonts w:hint="default"/>
                <w:color w:val="auto"/>
                <w:lang w:val="en-US" w:eastAsia="zh-CN"/>
              </w:rPr>
              <w:t>kg/h。</w:t>
            </w:r>
          </w:p>
          <w:p w14:paraId="00FBABCD">
            <w:pPr>
              <w:pStyle w:val="20"/>
              <w:ind w:left="0" w:leftChars="0" w:firstLine="480" w:firstLineChars="200"/>
              <w:jc w:val="both"/>
              <w:rPr>
                <w:rFonts w:hint="default"/>
                <w:color w:val="auto"/>
                <w:lang w:val="en-US" w:eastAsia="zh-CN"/>
              </w:rPr>
            </w:pPr>
            <w:r>
              <w:rPr>
                <w:rFonts w:hint="default"/>
                <w:color w:val="auto"/>
                <w:lang w:val="en-US" w:eastAsia="zh-CN"/>
              </w:rPr>
              <w:t>（</w:t>
            </w:r>
            <w:r>
              <w:rPr>
                <w:rFonts w:hint="eastAsia"/>
                <w:color w:val="auto"/>
                <w:lang w:val="en-US" w:eastAsia="zh-CN"/>
              </w:rPr>
              <w:t>4</w:t>
            </w:r>
            <w:r>
              <w:rPr>
                <w:rFonts w:hint="default"/>
                <w:color w:val="auto"/>
                <w:lang w:val="en-US" w:eastAsia="zh-CN"/>
              </w:rPr>
              <w:t>）运输扬尘</w:t>
            </w:r>
          </w:p>
          <w:p w14:paraId="1FDC0A25">
            <w:pPr>
              <w:pStyle w:val="20"/>
              <w:ind w:left="0" w:leftChars="0" w:firstLine="480" w:firstLineChars="200"/>
              <w:jc w:val="both"/>
              <w:rPr>
                <w:rFonts w:hint="default"/>
                <w:color w:val="auto"/>
                <w:lang w:val="en-US" w:eastAsia="zh-CN"/>
              </w:rPr>
            </w:pPr>
            <w:r>
              <w:rPr>
                <w:rFonts w:hint="default"/>
                <w:color w:val="auto"/>
                <w:lang w:val="en-US" w:eastAsia="zh-CN"/>
              </w:rPr>
              <w:t>运输车辆在行驶过程中会产生少量扬尘,扬尘的产生和车速及自身车重及表面粉尘量有关，建设单位车辆在厂内运输行驶限制车速，对厂区内地面定期派专人进行路面清扫、洒水，运输车辆出厂前对车辆轮胎进行冲洗，因此，运输车辆在站场内行驶产生的扬尘极少。车辆行驶产生的扬尘，在道路完全干燥的情况下，可按下列经验公式计算:</w:t>
            </w:r>
          </w:p>
          <w:p w14:paraId="5671764B">
            <w:pPr>
              <w:pStyle w:val="20"/>
              <w:ind w:left="0" w:leftChars="0" w:firstLine="480" w:firstLineChars="200"/>
              <w:jc w:val="center"/>
              <w:rPr>
                <w:rFonts w:hint="default"/>
                <w:color w:val="auto"/>
                <w:lang w:val="en-US" w:eastAsia="zh-CN"/>
              </w:rPr>
            </w:pPr>
            <w:r>
              <w:rPr>
                <w:rFonts w:hint="default"/>
                <w:color w:val="auto"/>
                <w:lang w:val="en-US" w:eastAsia="zh-CN"/>
              </w:rPr>
              <w:t>Q-0.123(V/5)(W/6.8)285(P/0.5)0.75L</w:t>
            </w:r>
          </w:p>
          <w:p w14:paraId="6F82AED3">
            <w:pPr>
              <w:pStyle w:val="20"/>
              <w:ind w:left="0" w:leftChars="0" w:firstLine="2640" w:firstLineChars="1100"/>
              <w:jc w:val="both"/>
              <w:rPr>
                <w:rFonts w:hint="default"/>
                <w:color w:val="auto"/>
                <w:lang w:val="en-US" w:eastAsia="zh-CN"/>
              </w:rPr>
            </w:pPr>
            <w:r>
              <w:rPr>
                <w:rFonts w:hint="default"/>
                <w:color w:val="auto"/>
                <w:lang w:val="en-US" w:eastAsia="zh-CN"/>
              </w:rPr>
              <w:t>式中:Q-汽车行驶时的扬尘，kg/辆;</w:t>
            </w:r>
          </w:p>
          <w:p w14:paraId="71C96148">
            <w:pPr>
              <w:pStyle w:val="20"/>
              <w:ind w:left="0" w:leftChars="0" w:firstLine="3120" w:firstLineChars="1300"/>
              <w:jc w:val="both"/>
              <w:rPr>
                <w:rFonts w:hint="default"/>
                <w:color w:val="auto"/>
                <w:lang w:val="en-US" w:eastAsia="zh-CN"/>
              </w:rPr>
            </w:pPr>
            <w:r>
              <w:rPr>
                <w:rFonts w:hint="default"/>
                <w:color w:val="auto"/>
                <w:lang w:val="en-US" w:eastAsia="zh-CN"/>
              </w:rPr>
              <w:t>V-汽车速度，km/h;</w:t>
            </w:r>
          </w:p>
          <w:p w14:paraId="5EC0282A">
            <w:pPr>
              <w:pStyle w:val="20"/>
              <w:ind w:left="0" w:leftChars="0" w:firstLine="3120" w:firstLineChars="1300"/>
              <w:jc w:val="both"/>
              <w:rPr>
                <w:rFonts w:hint="default"/>
                <w:color w:val="auto"/>
                <w:lang w:val="en-US" w:eastAsia="zh-CN"/>
              </w:rPr>
            </w:pPr>
            <w:r>
              <w:rPr>
                <w:rFonts w:hint="default"/>
                <w:color w:val="auto"/>
                <w:lang w:val="en-US" w:eastAsia="zh-CN"/>
              </w:rPr>
              <w:t>W-汽车载重量，t;</w:t>
            </w:r>
          </w:p>
          <w:p w14:paraId="064A776B">
            <w:pPr>
              <w:pStyle w:val="20"/>
              <w:ind w:firstLine="3120" w:firstLineChars="1300"/>
              <w:jc w:val="both"/>
              <w:rPr>
                <w:rFonts w:hint="default"/>
                <w:color w:val="auto"/>
                <w:lang w:val="en-US" w:eastAsia="zh-CN"/>
              </w:rPr>
            </w:pPr>
            <w:r>
              <w:rPr>
                <w:rFonts w:hint="default"/>
                <w:color w:val="auto"/>
                <w:lang w:val="en-US" w:eastAsia="zh-CN"/>
              </w:rPr>
              <w:t>P-道路表面颗粒物量，kg/m</w:t>
            </w:r>
            <w:r>
              <w:rPr>
                <w:rFonts w:hint="eastAsia"/>
                <w:color w:val="auto"/>
                <w:vertAlign w:val="superscript"/>
                <w:lang w:val="en-US" w:eastAsia="zh-CN"/>
              </w:rPr>
              <w:t>3</w:t>
            </w:r>
            <w:r>
              <w:rPr>
                <w:rFonts w:hint="default"/>
                <w:color w:val="auto"/>
                <w:lang w:val="en-US" w:eastAsia="zh-CN"/>
              </w:rPr>
              <w:t>;</w:t>
            </w:r>
          </w:p>
          <w:p w14:paraId="6121DE85">
            <w:pPr>
              <w:pStyle w:val="20"/>
              <w:ind w:firstLine="3120" w:firstLineChars="1300"/>
              <w:jc w:val="both"/>
              <w:rPr>
                <w:rFonts w:hint="default"/>
                <w:color w:val="auto"/>
                <w:lang w:val="en-US" w:eastAsia="zh-CN"/>
              </w:rPr>
            </w:pPr>
            <w:r>
              <w:rPr>
                <w:rFonts w:hint="default"/>
                <w:color w:val="auto"/>
                <w:lang w:val="en-US" w:eastAsia="zh-CN"/>
              </w:rPr>
              <w:t>L-道路长度，km。</w:t>
            </w:r>
          </w:p>
          <w:p w14:paraId="511B44E9">
            <w:pPr>
              <w:pStyle w:val="20"/>
              <w:ind w:left="0" w:leftChars="0" w:firstLine="480" w:firstLineChars="200"/>
              <w:jc w:val="both"/>
              <w:rPr>
                <w:rFonts w:hint="default"/>
                <w:color w:val="auto"/>
                <w:lang w:val="en-US" w:eastAsia="zh-CN"/>
              </w:rPr>
            </w:pPr>
            <w:r>
              <w:rPr>
                <w:rFonts w:hint="default"/>
                <w:color w:val="auto"/>
                <w:lang w:val="en-US" w:eastAsia="zh-CN"/>
              </w:rPr>
              <w:t>本项目车辆在厂区内行驶距离按300m计，平均每天发车空、重载各30辆次:空车重约10t，重车重约30t，以速度20km</w:t>
            </w:r>
            <w:r>
              <w:rPr>
                <w:rFonts w:hint="eastAsia"/>
                <w:color w:val="auto"/>
                <w:lang w:val="en-US" w:eastAsia="zh-CN"/>
              </w:rPr>
              <w:t>/h</w:t>
            </w:r>
            <w:r>
              <w:rPr>
                <w:rFonts w:hint="default"/>
                <w:color w:val="auto"/>
                <w:lang w:val="en-US" w:eastAsia="zh-CN"/>
              </w:rPr>
              <w:t>行驶，道路表面粉尘量约0.2kg/m</w:t>
            </w:r>
            <w:r>
              <w:rPr>
                <w:rFonts w:hint="eastAsia"/>
                <w:color w:val="auto"/>
                <w:vertAlign w:val="superscript"/>
                <w:lang w:val="en-US" w:eastAsia="zh-CN"/>
              </w:rPr>
              <w:t>2</w:t>
            </w:r>
            <w:r>
              <w:rPr>
                <w:rFonts w:hint="default"/>
                <w:color w:val="auto"/>
                <w:lang w:val="en-US" w:eastAsia="zh-CN"/>
              </w:rPr>
              <w:t>经计算汽车运输扬尘量为4.55t/a。</w:t>
            </w:r>
          </w:p>
          <w:p w14:paraId="784B7109">
            <w:pPr>
              <w:pStyle w:val="20"/>
              <w:ind w:left="0" w:leftChars="0" w:firstLine="480" w:firstLineChars="200"/>
              <w:jc w:val="both"/>
              <w:rPr>
                <w:rFonts w:hint="default"/>
                <w:color w:val="auto"/>
                <w:lang w:val="en-US" w:eastAsia="zh-CN"/>
              </w:rPr>
            </w:pPr>
            <w:r>
              <w:rPr>
                <w:rFonts w:hint="default"/>
                <w:color w:val="auto"/>
                <w:lang w:val="en-US" w:eastAsia="zh-CN"/>
              </w:rPr>
              <w:t>评价要求建设单位对场区道路地面进行硬化并洒水降尘,在厂区内设置1只高压水枪，同时设置专门的车辆清洗池，在运输车辆进出厂前对车辆轮胎进行冲洗，运输过程中粉料采用罐车密闭运输、砂石采用防尘网覆盖，严禁敞开式、半敞开式运输，杜绝沿途洒漏，同时加强管理，要求运输车辆减速慢行。采取上述措施后，汽车运输扬尘可减少90%左右，则项目汽车运输起尘排放量约为0.455t</w:t>
            </w:r>
            <w:r>
              <w:rPr>
                <w:rFonts w:hint="eastAsia"/>
                <w:color w:val="auto"/>
                <w:lang w:val="en-US" w:eastAsia="zh-CN"/>
              </w:rPr>
              <w:t>/</w:t>
            </w:r>
            <w:r>
              <w:rPr>
                <w:rFonts w:hint="default"/>
                <w:color w:val="auto"/>
                <w:lang w:val="en-US" w:eastAsia="zh-CN"/>
              </w:rPr>
              <w:t>a。</w:t>
            </w:r>
          </w:p>
          <w:p w14:paraId="6798E38B">
            <w:pPr>
              <w:pStyle w:val="20"/>
              <w:ind w:left="0" w:leftChars="0" w:firstLine="480" w:firstLineChars="200"/>
              <w:jc w:val="both"/>
              <w:rPr>
                <w:rFonts w:hint="default"/>
                <w:color w:val="auto"/>
                <w:lang w:val="en-US" w:eastAsia="zh-CN"/>
              </w:rPr>
            </w:pPr>
            <w:r>
              <w:rPr>
                <w:rFonts w:hint="default"/>
                <w:color w:val="auto"/>
                <w:lang w:val="en-US" w:eastAsia="zh-CN"/>
              </w:rPr>
              <w:t>本项目运输车辆主要是成品及原材料运输车,在启动及行驶过程中会产生汽车尾气，主要污染物是CO、HC、NOx。因汽车尾气属于分散流动源，主要污染物排放量也不大，且由于项目所处地区地势平坦、开阔，空气流畅，周围无高达建筑，项目汽车尾气极易随大气扩散，对环境影响不大。</w:t>
            </w:r>
          </w:p>
          <w:p w14:paraId="373A835A">
            <w:pPr>
              <w:pStyle w:val="20"/>
              <w:ind w:left="0" w:leftChars="0" w:firstLine="480" w:firstLineChars="200"/>
              <w:jc w:val="both"/>
              <w:rPr>
                <w:rFonts w:hint="default"/>
                <w:color w:val="auto"/>
                <w:lang w:val="en-US" w:eastAsia="zh-CN"/>
              </w:rPr>
            </w:pPr>
            <w:r>
              <w:rPr>
                <w:rFonts w:hint="default"/>
                <w:color w:val="auto"/>
                <w:lang w:val="en-US" w:eastAsia="zh-CN"/>
              </w:rPr>
              <w:t>（</w:t>
            </w:r>
            <w:r>
              <w:rPr>
                <w:rFonts w:hint="eastAsia"/>
                <w:color w:val="auto"/>
                <w:lang w:val="en-US" w:eastAsia="zh-CN"/>
              </w:rPr>
              <w:t>5</w:t>
            </w:r>
            <w:r>
              <w:rPr>
                <w:rFonts w:hint="default"/>
                <w:color w:val="auto"/>
                <w:lang w:val="en-US" w:eastAsia="zh-CN"/>
              </w:rPr>
              <w:t>）</w:t>
            </w:r>
            <w:r>
              <w:rPr>
                <w:rFonts w:hint="eastAsia"/>
                <w:color w:val="auto"/>
                <w:lang w:val="en-US" w:eastAsia="zh-CN"/>
              </w:rPr>
              <w:t>切割粉尘</w:t>
            </w:r>
          </w:p>
          <w:p w14:paraId="2D3F591F">
            <w:pPr>
              <w:pStyle w:val="20"/>
              <w:ind w:left="0" w:leftChars="0" w:firstLine="480" w:firstLineChars="200"/>
              <w:jc w:val="both"/>
              <w:rPr>
                <w:rFonts w:hint="default"/>
                <w:color w:val="auto"/>
                <w:lang w:val="en-US" w:eastAsia="zh-CN"/>
              </w:rPr>
            </w:pPr>
            <w:r>
              <w:rPr>
                <w:rFonts w:hint="default"/>
                <w:color w:val="auto"/>
                <w:lang w:val="en-US" w:eastAsia="zh-CN"/>
              </w:rPr>
              <w:t>本项目主要涉及切割工序的PCCP管配件生产线，涉及钢材原料使用量约为1</w:t>
            </w:r>
            <w:r>
              <w:rPr>
                <w:rFonts w:hint="eastAsia"/>
                <w:color w:val="auto"/>
                <w:lang w:val="en-US" w:eastAsia="zh-CN"/>
              </w:rPr>
              <w:t>805.4t/</w:t>
            </w:r>
            <w:r>
              <w:rPr>
                <w:rFonts w:hint="default"/>
                <w:color w:val="auto"/>
                <w:lang w:val="en-US" w:eastAsia="zh-CN"/>
              </w:rPr>
              <w:t>a，采用数控切割机和半自动切割机。根据《排放源统计调查产排污核算方法和系数手册》33金属制品业，下料，/可燃气切割，颗粒物产污系数为1.5千克/吨-原料，则该工艺颗粒物产生量为</w:t>
            </w:r>
            <w:r>
              <w:rPr>
                <w:rFonts w:hint="eastAsia"/>
                <w:color w:val="auto"/>
                <w:lang w:val="en-US" w:eastAsia="zh-CN"/>
              </w:rPr>
              <w:t>2.71</w:t>
            </w:r>
            <w:r>
              <w:rPr>
                <w:rFonts w:hint="default"/>
                <w:color w:val="auto"/>
                <w:lang w:val="en-US" w:eastAsia="zh-CN"/>
              </w:rPr>
              <w:t>t</w:t>
            </w:r>
            <w:r>
              <w:rPr>
                <w:rFonts w:hint="eastAsia"/>
                <w:color w:val="auto"/>
                <w:lang w:val="en-US" w:eastAsia="zh-CN"/>
              </w:rPr>
              <w:t>/</w:t>
            </w:r>
            <w:r>
              <w:rPr>
                <w:rFonts w:hint="default"/>
                <w:color w:val="auto"/>
                <w:lang w:val="en-US" w:eastAsia="zh-CN"/>
              </w:rPr>
              <w:t>a，产生速率</w:t>
            </w:r>
            <w:r>
              <w:rPr>
                <w:rFonts w:hint="eastAsia"/>
                <w:color w:val="auto"/>
                <w:lang w:val="en-US" w:eastAsia="zh-CN"/>
              </w:rPr>
              <w:t>1.882</w:t>
            </w:r>
            <w:r>
              <w:rPr>
                <w:rFonts w:hint="default"/>
                <w:color w:val="auto"/>
                <w:lang w:val="en-US" w:eastAsia="zh-CN"/>
              </w:rPr>
              <w:t>kg</w:t>
            </w:r>
            <w:r>
              <w:rPr>
                <w:rFonts w:hint="eastAsia"/>
                <w:color w:val="auto"/>
                <w:lang w:val="en-US" w:eastAsia="zh-CN"/>
              </w:rPr>
              <w:t>/</w:t>
            </w:r>
            <w:r>
              <w:rPr>
                <w:rFonts w:hint="default"/>
                <w:color w:val="auto"/>
                <w:lang w:val="en-US" w:eastAsia="zh-CN"/>
              </w:rPr>
              <w:t>h。切割粉尘主要以金属细颗粒物为主，质量和粒径相对较大，约90%的粉尘可在操作区域附近沉降，沉降的粉尘量约为</w:t>
            </w:r>
            <w:r>
              <w:rPr>
                <w:rFonts w:hint="eastAsia"/>
                <w:color w:val="auto"/>
                <w:lang w:val="en-US" w:eastAsia="zh-CN"/>
              </w:rPr>
              <w:t>2.439</w:t>
            </w:r>
            <w:r>
              <w:rPr>
                <w:rFonts w:hint="default"/>
                <w:color w:val="auto"/>
                <w:lang w:val="en-US" w:eastAsia="zh-CN"/>
              </w:rPr>
              <w:t>t</w:t>
            </w:r>
            <w:r>
              <w:rPr>
                <w:rFonts w:hint="eastAsia"/>
                <w:color w:val="auto"/>
                <w:lang w:val="en-US" w:eastAsia="zh-CN"/>
              </w:rPr>
              <w:t>/</w:t>
            </w:r>
            <w:r>
              <w:rPr>
                <w:rFonts w:hint="default"/>
                <w:color w:val="auto"/>
                <w:lang w:val="en-US" w:eastAsia="zh-CN"/>
              </w:rPr>
              <w:t>a，只有极少部分会扩散到空气中形成粉尘，排放量为0.2</w:t>
            </w:r>
            <w:r>
              <w:rPr>
                <w:rFonts w:hint="eastAsia"/>
                <w:color w:val="auto"/>
                <w:lang w:val="en-US" w:eastAsia="zh-CN"/>
              </w:rPr>
              <w:t>71</w:t>
            </w:r>
            <w:r>
              <w:rPr>
                <w:rFonts w:hint="default"/>
                <w:color w:val="auto"/>
                <w:lang w:val="en-US" w:eastAsia="zh-CN"/>
              </w:rPr>
              <w:t>t</w:t>
            </w:r>
            <w:r>
              <w:rPr>
                <w:rFonts w:hint="eastAsia"/>
                <w:color w:val="auto"/>
                <w:lang w:val="en-US" w:eastAsia="zh-CN"/>
              </w:rPr>
              <w:t>/</w:t>
            </w:r>
            <w:r>
              <w:rPr>
                <w:rFonts w:hint="default"/>
                <w:color w:val="auto"/>
                <w:lang w:val="en-US" w:eastAsia="zh-CN"/>
              </w:rPr>
              <w:t>a，排放速率约为</w:t>
            </w:r>
            <w:r>
              <w:rPr>
                <w:rFonts w:hint="eastAsia"/>
                <w:color w:val="auto"/>
                <w:lang w:val="en-US" w:eastAsia="zh-CN"/>
              </w:rPr>
              <w:t>0.188</w:t>
            </w:r>
            <w:r>
              <w:rPr>
                <w:rFonts w:hint="default"/>
                <w:color w:val="auto"/>
                <w:lang w:val="en-US" w:eastAsia="zh-CN"/>
              </w:rPr>
              <w:t>kg</w:t>
            </w:r>
            <w:r>
              <w:rPr>
                <w:rFonts w:hint="eastAsia"/>
                <w:color w:val="auto"/>
                <w:lang w:val="en-US" w:eastAsia="zh-CN"/>
              </w:rPr>
              <w:t>/h</w:t>
            </w:r>
            <w:r>
              <w:rPr>
                <w:rFonts w:hint="default"/>
                <w:color w:val="auto"/>
                <w:lang w:val="en-US" w:eastAsia="zh-CN"/>
              </w:rPr>
              <w:t>，以无组织形式排放，</w:t>
            </w:r>
            <w:r>
              <w:rPr>
                <w:rFonts w:hint="eastAsia"/>
                <w:color w:val="auto"/>
                <w:lang w:val="en-US" w:eastAsia="zh-CN"/>
              </w:rPr>
              <w:t>车间为全封闭车间</w:t>
            </w:r>
            <w:r>
              <w:rPr>
                <w:rFonts w:hint="default"/>
                <w:color w:val="auto"/>
                <w:lang w:val="en-US" w:eastAsia="zh-CN"/>
              </w:rPr>
              <w:t>，对区域环境空气质量的影响较小。</w:t>
            </w:r>
          </w:p>
          <w:p w14:paraId="64C450D4">
            <w:pPr>
              <w:pStyle w:val="20"/>
              <w:ind w:left="0" w:leftChars="0" w:firstLine="480" w:firstLineChars="200"/>
              <w:jc w:val="both"/>
              <w:rPr>
                <w:rFonts w:hint="eastAsia"/>
                <w:color w:val="auto"/>
                <w:lang w:val="en-US" w:eastAsia="zh-CN"/>
              </w:rPr>
            </w:pPr>
            <w:r>
              <w:rPr>
                <w:rFonts w:hint="eastAsia"/>
                <w:color w:val="auto"/>
                <w:lang w:val="en-US" w:eastAsia="zh-CN"/>
              </w:rPr>
              <w:t>（6）涂料废气</w:t>
            </w:r>
          </w:p>
          <w:p w14:paraId="6F4B1798">
            <w:pPr>
              <w:pStyle w:val="20"/>
              <w:ind w:left="0" w:leftChars="0" w:firstLine="480" w:firstLineChars="200"/>
              <w:jc w:val="both"/>
              <w:rPr>
                <w:rFonts w:hint="default"/>
                <w:color w:val="auto"/>
                <w:lang w:val="en-US" w:eastAsia="zh-CN"/>
              </w:rPr>
            </w:pPr>
            <w:r>
              <w:rPr>
                <w:rFonts w:hint="default"/>
                <w:color w:val="auto"/>
                <w:lang w:val="en-US" w:eastAsia="zh-CN"/>
              </w:rPr>
              <w:t>本项目</w:t>
            </w:r>
            <w:r>
              <w:rPr>
                <w:rFonts w:hint="eastAsia"/>
                <w:color w:val="auto"/>
                <w:lang w:val="en-US" w:eastAsia="zh-CN"/>
              </w:rPr>
              <w:t>涂料废气</w:t>
            </w:r>
            <w:r>
              <w:rPr>
                <w:rFonts w:hint="default"/>
                <w:color w:val="auto"/>
                <w:lang w:val="en-US" w:eastAsia="zh-CN"/>
              </w:rPr>
              <w:t>主要产生于</w:t>
            </w:r>
            <w:r>
              <w:rPr>
                <w:rFonts w:hint="eastAsia"/>
                <w:color w:val="auto"/>
                <w:lang w:val="en-US" w:eastAsia="zh-CN"/>
              </w:rPr>
              <w:t>防腐</w:t>
            </w:r>
            <w:r>
              <w:rPr>
                <w:rFonts w:hint="default"/>
                <w:color w:val="auto"/>
                <w:lang w:val="en-US" w:eastAsia="zh-CN"/>
              </w:rPr>
              <w:t>工序，</w:t>
            </w:r>
            <w:r>
              <w:rPr>
                <w:rFonts w:hint="eastAsia"/>
                <w:color w:val="auto"/>
                <w:lang w:val="en-US" w:eastAsia="zh-CN"/>
              </w:rPr>
              <w:t>本项目所使用的涂料为弹性聚氨酯，不属于挥发性有机物，因此</w:t>
            </w:r>
            <w:r>
              <w:rPr>
                <w:rFonts w:hint="default"/>
                <w:color w:val="auto"/>
                <w:lang w:val="en-US" w:eastAsia="zh-CN"/>
              </w:rPr>
              <w:t>主要污染物为</w:t>
            </w:r>
            <w:r>
              <w:rPr>
                <w:rFonts w:hint="eastAsia"/>
                <w:color w:val="auto"/>
                <w:lang w:val="en-US" w:eastAsia="zh-CN"/>
              </w:rPr>
              <w:t>喷涂过程中产生的颗粒物</w:t>
            </w:r>
            <w:r>
              <w:rPr>
                <w:rFonts w:hint="default"/>
                <w:color w:val="auto"/>
                <w:lang w:val="en-US" w:eastAsia="zh-CN"/>
              </w:rPr>
              <w:t>，由于本项目</w:t>
            </w:r>
            <w:r>
              <w:rPr>
                <w:rFonts w:hint="eastAsia"/>
                <w:color w:val="auto"/>
                <w:lang w:val="en-US" w:eastAsia="zh-CN"/>
              </w:rPr>
              <w:t>涂料使用量较少且在全封闭的厂房中进行</w:t>
            </w:r>
            <w:r>
              <w:rPr>
                <w:rFonts w:hint="default"/>
                <w:color w:val="auto"/>
                <w:lang w:val="en-US" w:eastAsia="zh-CN"/>
              </w:rPr>
              <w:t>，</w:t>
            </w:r>
            <w:r>
              <w:rPr>
                <w:rFonts w:hint="eastAsia"/>
                <w:color w:val="auto"/>
                <w:lang w:val="en-US" w:eastAsia="zh-CN"/>
              </w:rPr>
              <w:t>喷涂过程为机器喷涂</w:t>
            </w:r>
            <w:r>
              <w:rPr>
                <w:rFonts w:hint="default"/>
                <w:color w:val="auto"/>
                <w:lang w:val="en-US" w:eastAsia="zh-CN"/>
              </w:rPr>
              <w:t>，故</w:t>
            </w:r>
            <w:r>
              <w:rPr>
                <w:rFonts w:hint="eastAsia"/>
                <w:color w:val="auto"/>
                <w:lang w:val="en-US" w:eastAsia="zh-CN"/>
              </w:rPr>
              <w:t>喷涂过程中颗粒物的</w:t>
            </w:r>
            <w:r>
              <w:rPr>
                <w:rFonts w:hint="default"/>
                <w:color w:val="auto"/>
                <w:lang w:val="en-US" w:eastAsia="zh-CN"/>
              </w:rPr>
              <w:t>产生量较少，</w:t>
            </w:r>
            <w:r>
              <w:rPr>
                <w:rFonts w:hint="eastAsia"/>
                <w:color w:val="auto"/>
                <w:lang w:val="en-US" w:eastAsia="zh-CN"/>
              </w:rPr>
              <w:t>本</w:t>
            </w:r>
            <w:r>
              <w:rPr>
                <w:rFonts w:hint="default"/>
                <w:color w:val="auto"/>
                <w:lang w:val="en-US" w:eastAsia="zh-CN"/>
              </w:rPr>
              <w:t>次评价不对其进行定量分析。</w:t>
            </w:r>
          </w:p>
          <w:p w14:paraId="19659E26">
            <w:pPr>
              <w:pStyle w:val="20"/>
              <w:ind w:left="0" w:leftChars="0" w:firstLine="0" w:firstLineChars="0"/>
              <w:rPr>
                <w:rFonts w:hint="default"/>
                <w:b/>
                <w:bCs/>
                <w:color w:val="auto"/>
                <w:lang w:val="en-US" w:eastAsia="zh-CN"/>
              </w:rPr>
            </w:pPr>
            <w:r>
              <w:rPr>
                <w:rFonts w:hint="eastAsia"/>
                <w:b/>
                <w:bCs/>
                <w:color w:val="auto"/>
                <w:lang w:val="en-US" w:eastAsia="zh-CN"/>
              </w:rPr>
              <w:t>1.3非正常工况</w:t>
            </w:r>
          </w:p>
          <w:p w14:paraId="7D875DA7">
            <w:pPr>
              <w:pStyle w:val="20"/>
              <w:ind w:left="0" w:leftChars="0" w:firstLine="480" w:firstLineChars="200"/>
              <w:jc w:val="both"/>
              <w:rPr>
                <w:rFonts w:hint="default"/>
                <w:color w:val="auto"/>
                <w:lang w:val="en-US" w:eastAsia="zh-CN"/>
              </w:rPr>
            </w:pPr>
            <w:r>
              <w:rPr>
                <w:rFonts w:hint="default"/>
                <w:color w:val="auto"/>
                <w:lang w:val="en-US" w:eastAsia="zh-CN"/>
              </w:rPr>
              <w:t>根据《环境影响评价技术导则大气环境》（HJ2.2-2018）</w:t>
            </w:r>
            <w:r>
              <w:rPr>
                <w:rFonts w:hint="eastAsia"/>
                <w:color w:val="auto"/>
                <w:lang w:val="en-US" w:eastAsia="zh-CN"/>
              </w:rPr>
              <w:t>，</w:t>
            </w:r>
            <w:r>
              <w:rPr>
                <w:rFonts w:hint="default"/>
                <w:color w:val="auto"/>
                <w:lang w:val="en-US" w:eastAsia="zh-CN"/>
              </w:rPr>
              <w:t>非正常排放包括设备检修、污染物排放控制措施达不到应有效率、工艺设备运转异常等本项目非正常工况主要为</w:t>
            </w:r>
            <w:r>
              <w:rPr>
                <w:rFonts w:hint="eastAsia"/>
                <w:color w:val="auto"/>
                <w:lang w:val="en-US" w:eastAsia="zh-CN"/>
              </w:rPr>
              <w:t>搅拌</w:t>
            </w:r>
            <w:r>
              <w:rPr>
                <w:rFonts w:hint="default"/>
                <w:color w:val="auto"/>
                <w:lang w:val="en-US" w:eastAsia="zh-CN"/>
              </w:rPr>
              <w:t>除尘装置</w:t>
            </w:r>
            <w:r>
              <w:rPr>
                <w:rFonts w:hint="eastAsia"/>
                <w:color w:val="auto"/>
                <w:lang w:val="en-US" w:eastAsia="zh-CN"/>
              </w:rPr>
              <w:t>损坏和筒仓除尘设备损坏</w:t>
            </w:r>
            <w:r>
              <w:rPr>
                <w:rFonts w:hint="default"/>
                <w:color w:val="auto"/>
                <w:lang w:val="en-US" w:eastAsia="zh-CN"/>
              </w:rPr>
              <w:t>。在此情景下，</w:t>
            </w:r>
            <w:r>
              <w:rPr>
                <w:rFonts w:hint="eastAsia"/>
                <w:color w:val="auto"/>
                <w:lang w:val="en-US" w:eastAsia="zh-CN"/>
              </w:rPr>
              <w:t>废气处理设施全部失效，去除率为0，</w:t>
            </w:r>
            <w:r>
              <w:rPr>
                <w:rFonts w:hint="default"/>
                <w:color w:val="auto"/>
                <w:lang w:val="en-US" w:eastAsia="zh-CN"/>
              </w:rPr>
              <w:t>本项目废气污染物产生情况及排放情况，具体见表4-</w:t>
            </w:r>
            <w:r>
              <w:rPr>
                <w:rFonts w:hint="eastAsia"/>
                <w:color w:val="auto"/>
                <w:lang w:val="en-US" w:eastAsia="zh-CN"/>
              </w:rPr>
              <w:t>6</w:t>
            </w:r>
            <w:r>
              <w:rPr>
                <w:rFonts w:hint="default"/>
                <w:color w:val="auto"/>
                <w:lang w:val="en-US" w:eastAsia="zh-CN"/>
              </w:rPr>
              <w:t>。</w:t>
            </w:r>
          </w:p>
          <w:p w14:paraId="24199452">
            <w:pPr>
              <w:pStyle w:val="20"/>
              <w:spacing w:line="240" w:lineRule="auto"/>
              <w:ind w:left="0" w:leftChars="0" w:firstLine="0" w:firstLineChars="0"/>
              <w:jc w:val="center"/>
              <w:rPr>
                <w:rFonts w:hint="default"/>
                <w:color w:val="auto"/>
                <w:lang w:val="en-US" w:eastAsia="zh-CN"/>
              </w:rPr>
            </w:pPr>
            <w:r>
              <w:rPr>
                <w:rFonts w:hint="default"/>
                <w:b/>
                <w:bCs/>
                <w:color w:val="auto"/>
                <w:sz w:val="21"/>
                <w:szCs w:val="21"/>
                <w:lang w:val="en-US" w:eastAsia="zh-CN"/>
              </w:rPr>
              <w:t>表4-</w:t>
            </w:r>
            <w:r>
              <w:rPr>
                <w:rFonts w:hint="eastAsia"/>
                <w:b/>
                <w:bCs/>
                <w:color w:val="auto"/>
                <w:sz w:val="21"/>
                <w:szCs w:val="21"/>
                <w:lang w:val="en-US" w:eastAsia="zh-CN"/>
              </w:rPr>
              <w:t>6</w:t>
            </w:r>
            <w:r>
              <w:rPr>
                <w:rFonts w:hint="default"/>
                <w:b/>
                <w:bCs/>
                <w:color w:val="auto"/>
                <w:sz w:val="21"/>
                <w:szCs w:val="21"/>
                <w:lang w:val="en-US" w:eastAsia="zh-CN"/>
              </w:rPr>
              <w:t>本项目</w:t>
            </w:r>
            <w:r>
              <w:rPr>
                <w:rFonts w:hint="eastAsia"/>
                <w:b/>
                <w:bCs/>
                <w:color w:val="auto"/>
                <w:sz w:val="21"/>
                <w:szCs w:val="21"/>
                <w:lang w:val="en-US" w:eastAsia="zh-CN"/>
              </w:rPr>
              <w:t>非正常工况</w:t>
            </w:r>
            <w:r>
              <w:rPr>
                <w:rFonts w:hint="default"/>
                <w:b/>
                <w:bCs/>
                <w:color w:val="auto"/>
                <w:sz w:val="21"/>
                <w:szCs w:val="21"/>
                <w:lang w:val="en-US" w:eastAsia="zh-CN"/>
              </w:rPr>
              <w:t>废气产生、排放情况表</w:t>
            </w:r>
          </w:p>
          <w:tbl>
            <w:tblPr>
              <w:tblStyle w:val="24"/>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0"/>
              <w:gridCol w:w="882"/>
              <w:gridCol w:w="1764"/>
              <w:gridCol w:w="882"/>
              <w:gridCol w:w="882"/>
              <w:gridCol w:w="882"/>
              <w:gridCol w:w="882"/>
              <w:gridCol w:w="882"/>
            </w:tblGrid>
            <w:tr w14:paraId="271BA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trPr>
              <w:tc>
                <w:tcPr>
                  <w:tcW w:w="880" w:type="dxa"/>
                  <w:tcBorders>
                    <w:top w:val="single" w:color="000000" w:sz="12" w:space="0"/>
                    <w:left w:val="nil"/>
                  </w:tcBorders>
                  <w:noWrap w:val="0"/>
                  <w:vAlign w:val="center"/>
                </w:tcPr>
                <w:p w14:paraId="138C58E5">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污染源</w:t>
                  </w:r>
                </w:p>
              </w:tc>
              <w:tc>
                <w:tcPr>
                  <w:tcW w:w="882" w:type="dxa"/>
                  <w:tcBorders>
                    <w:top w:val="single" w:color="000000" w:sz="12" w:space="0"/>
                  </w:tcBorders>
                  <w:noWrap w:val="0"/>
                  <w:vAlign w:val="center"/>
                </w:tcPr>
                <w:p w14:paraId="06255130">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排放方式</w:t>
                  </w:r>
                </w:p>
              </w:tc>
              <w:tc>
                <w:tcPr>
                  <w:tcW w:w="1764" w:type="dxa"/>
                  <w:tcBorders>
                    <w:top w:val="single" w:color="000000" w:sz="12" w:space="0"/>
                    <w:bottom w:val="single" w:color="000000" w:sz="12" w:space="0"/>
                  </w:tcBorders>
                  <w:noWrap w:val="0"/>
                  <w:vAlign w:val="center"/>
                </w:tcPr>
                <w:p w14:paraId="35EB0E43">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产生速率（kg/h）</w:t>
                  </w:r>
                </w:p>
              </w:tc>
              <w:tc>
                <w:tcPr>
                  <w:tcW w:w="882" w:type="dxa"/>
                  <w:tcBorders>
                    <w:top w:val="single" w:color="000000" w:sz="12" w:space="0"/>
                  </w:tcBorders>
                  <w:noWrap w:val="0"/>
                  <w:vAlign w:val="center"/>
                </w:tcPr>
                <w:p w14:paraId="41BC1F83">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非正常工况原因</w:t>
                  </w:r>
                </w:p>
              </w:tc>
              <w:tc>
                <w:tcPr>
                  <w:tcW w:w="882" w:type="dxa"/>
                  <w:tcBorders>
                    <w:top w:val="single" w:color="000000" w:sz="12" w:space="0"/>
                  </w:tcBorders>
                  <w:noWrap w:val="0"/>
                  <w:vAlign w:val="center"/>
                </w:tcPr>
                <w:p w14:paraId="0B232292">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应对措施</w:t>
                  </w:r>
                </w:p>
              </w:tc>
              <w:tc>
                <w:tcPr>
                  <w:tcW w:w="882" w:type="dxa"/>
                  <w:tcBorders>
                    <w:top w:val="single" w:color="000000" w:sz="12" w:space="0"/>
                  </w:tcBorders>
                  <w:noWrap w:val="0"/>
                  <w:vAlign w:val="center"/>
                </w:tcPr>
                <w:p w14:paraId="12B139F1">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达标情况</w:t>
                  </w:r>
                </w:p>
              </w:tc>
              <w:tc>
                <w:tcPr>
                  <w:tcW w:w="882" w:type="dxa"/>
                  <w:tcBorders>
                    <w:top w:val="single" w:color="000000" w:sz="12" w:space="0"/>
                  </w:tcBorders>
                  <w:noWrap w:val="0"/>
                  <w:vAlign w:val="center"/>
                </w:tcPr>
                <w:p w14:paraId="71FCE237">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持续时间</w:t>
                  </w:r>
                </w:p>
              </w:tc>
              <w:tc>
                <w:tcPr>
                  <w:tcW w:w="882" w:type="dxa"/>
                  <w:tcBorders>
                    <w:top w:val="single" w:color="000000" w:sz="12" w:space="0"/>
                    <w:right w:val="nil"/>
                  </w:tcBorders>
                  <w:noWrap w:val="0"/>
                  <w:vAlign w:val="center"/>
                </w:tcPr>
                <w:p w14:paraId="49B88922">
                  <w:pPr>
                    <w:pStyle w:val="20"/>
                    <w:spacing w:line="240" w:lineRule="auto"/>
                    <w:ind w:left="0" w:leftChars="0" w:firstLine="0" w:firstLineChars="0"/>
                    <w:jc w:val="center"/>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发生频次</w:t>
                  </w:r>
                </w:p>
              </w:tc>
            </w:tr>
            <w:tr w14:paraId="35706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Borders>
                    <w:top w:val="single" w:color="000000" w:sz="12" w:space="0"/>
                    <w:left w:val="nil"/>
                    <w:bottom w:val="single" w:color="000000" w:sz="12" w:space="0"/>
                  </w:tcBorders>
                  <w:noWrap w:val="0"/>
                  <w:vAlign w:val="center"/>
                </w:tcPr>
                <w:p w14:paraId="77B0B250">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混合搅拌废气</w:t>
                  </w:r>
                </w:p>
              </w:tc>
              <w:tc>
                <w:tcPr>
                  <w:tcW w:w="882" w:type="dxa"/>
                  <w:tcBorders>
                    <w:top w:val="single" w:color="000000" w:sz="12" w:space="0"/>
                    <w:bottom w:val="single" w:color="000000" w:sz="12" w:space="0"/>
                  </w:tcBorders>
                  <w:noWrap w:val="0"/>
                  <w:vAlign w:val="center"/>
                </w:tcPr>
                <w:p w14:paraId="6859ABA1">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无</w:t>
                  </w:r>
                  <w:r>
                    <w:rPr>
                      <w:rFonts w:hint="default" w:ascii="Times New Roman" w:hAnsi="Times New Roman" w:eastAsia="宋体" w:cs="Times New Roman"/>
                      <w:color w:val="auto"/>
                      <w:sz w:val="21"/>
                      <w:szCs w:val="21"/>
                      <w:vertAlign w:val="baseline"/>
                      <w:lang w:val="en-US" w:eastAsia="zh-CN"/>
                    </w:rPr>
                    <w:t>组织</w:t>
                  </w:r>
                </w:p>
              </w:tc>
              <w:tc>
                <w:tcPr>
                  <w:tcW w:w="1764" w:type="dxa"/>
                  <w:tcBorders>
                    <w:top w:val="single" w:color="000000" w:sz="12" w:space="0"/>
                    <w:bottom w:val="single" w:color="000000" w:sz="12" w:space="0"/>
                  </w:tcBorders>
                  <w:noWrap w:val="0"/>
                  <w:vAlign w:val="center"/>
                </w:tcPr>
                <w:p w14:paraId="07B4E3BE">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45.33</w:t>
                  </w:r>
                </w:p>
              </w:tc>
              <w:tc>
                <w:tcPr>
                  <w:tcW w:w="882" w:type="dxa"/>
                  <w:tcBorders>
                    <w:top w:val="single" w:color="000000" w:sz="12" w:space="0"/>
                    <w:bottom w:val="single" w:color="000000" w:sz="12" w:space="0"/>
                  </w:tcBorders>
                  <w:noWrap w:val="0"/>
                  <w:vAlign w:val="center"/>
                </w:tcPr>
                <w:p w14:paraId="01AE8578">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搅拌除尘装置损坏</w:t>
                  </w:r>
                </w:p>
              </w:tc>
              <w:tc>
                <w:tcPr>
                  <w:tcW w:w="882" w:type="dxa"/>
                  <w:tcBorders>
                    <w:top w:val="single" w:color="000000" w:sz="12" w:space="0"/>
                    <w:bottom w:val="single" w:color="000000" w:sz="12" w:space="0"/>
                  </w:tcBorders>
                  <w:noWrap w:val="0"/>
                  <w:vAlign w:val="center"/>
                </w:tcPr>
                <w:p w14:paraId="78AAA6C8">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cs="Times New Roman"/>
                      <w:color w:val="auto"/>
                      <w:sz w:val="21"/>
                      <w:szCs w:val="21"/>
                      <w:vertAlign w:val="baseline"/>
                      <w:lang w:val="en-US" w:eastAsia="zh-CN"/>
                    </w:rPr>
                    <w:t>停止物料输送并及时检修</w:t>
                  </w:r>
                </w:p>
              </w:tc>
              <w:tc>
                <w:tcPr>
                  <w:tcW w:w="882" w:type="dxa"/>
                  <w:tcBorders>
                    <w:top w:val="single" w:color="000000" w:sz="12" w:space="0"/>
                    <w:bottom w:val="single" w:color="000000" w:sz="12" w:space="0"/>
                  </w:tcBorders>
                  <w:noWrap w:val="0"/>
                  <w:vAlign w:val="center"/>
                </w:tcPr>
                <w:p w14:paraId="413FEE1D">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超标</w:t>
                  </w:r>
                </w:p>
              </w:tc>
              <w:tc>
                <w:tcPr>
                  <w:tcW w:w="882" w:type="dxa"/>
                  <w:tcBorders>
                    <w:top w:val="single" w:color="000000" w:sz="12" w:space="0"/>
                    <w:bottom w:val="single" w:color="000000" w:sz="12" w:space="0"/>
                  </w:tcBorders>
                  <w:noWrap w:val="0"/>
                  <w:vAlign w:val="center"/>
                </w:tcPr>
                <w:p w14:paraId="4C01EEEB">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＜1h</w:t>
                  </w:r>
                </w:p>
              </w:tc>
              <w:tc>
                <w:tcPr>
                  <w:tcW w:w="882" w:type="dxa"/>
                  <w:tcBorders>
                    <w:top w:val="single" w:color="000000" w:sz="12" w:space="0"/>
                    <w:bottom w:val="single" w:color="000000" w:sz="12" w:space="0"/>
                    <w:right w:val="nil"/>
                  </w:tcBorders>
                  <w:noWrap w:val="0"/>
                  <w:vAlign w:val="center"/>
                </w:tcPr>
                <w:p w14:paraId="20881CF1">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1次/a</w:t>
                  </w:r>
                </w:p>
              </w:tc>
            </w:tr>
            <w:tr w14:paraId="340DA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dxa"/>
                  <w:tcBorders>
                    <w:top w:val="single" w:color="000000" w:sz="12" w:space="0"/>
                    <w:left w:val="nil"/>
                    <w:bottom w:val="single" w:color="000000" w:sz="12" w:space="0"/>
                  </w:tcBorders>
                  <w:noWrap w:val="0"/>
                  <w:vAlign w:val="center"/>
                </w:tcPr>
                <w:p w14:paraId="355AE248">
                  <w:pPr>
                    <w:pStyle w:val="20"/>
                    <w:spacing w:line="240" w:lineRule="auto"/>
                    <w:ind w:left="0" w:leftChars="0" w:firstLine="0" w:firstLineChars="0"/>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筒仓除尘器故障</w:t>
                  </w:r>
                </w:p>
              </w:tc>
              <w:tc>
                <w:tcPr>
                  <w:tcW w:w="882" w:type="dxa"/>
                  <w:tcBorders>
                    <w:top w:val="single" w:color="000000" w:sz="12" w:space="0"/>
                    <w:bottom w:val="single" w:color="000000" w:sz="12" w:space="0"/>
                  </w:tcBorders>
                  <w:noWrap w:val="0"/>
                  <w:vAlign w:val="center"/>
                </w:tcPr>
                <w:p w14:paraId="6373E781">
                  <w:pPr>
                    <w:pStyle w:val="20"/>
                    <w:spacing w:line="240" w:lineRule="auto"/>
                    <w:ind w:left="0" w:leftChars="0" w:firstLine="0" w:firstLineChars="0"/>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无组织</w:t>
                  </w:r>
                </w:p>
              </w:tc>
              <w:tc>
                <w:tcPr>
                  <w:tcW w:w="1764" w:type="dxa"/>
                  <w:tcBorders>
                    <w:top w:val="single" w:color="000000" w:sz="12" w:space="0"/>
                    <w:bottom w:val="single" w:color="000000" w:sz="12" w:space="0"/>
                  </w:tcBorders>
                  <w:noWrap w:val="0"/>
                  <w:vAlign w:val="center"/>
                </w:tcPr>
                <w:p w14:paraId="316772F7">
                  <w:pPr>
                    <w:pStyle w:val="20"/>
                    <w:spacing w:line="240" w:lineRule="auto"/>
                    <w:ind w:left="0" w:leftChars="0" w:firstLine="0" w:firstLineChars="0"/>
                    <w:jc w:val="center"/>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16.47</w:t>
                  </w:r>
                </w:p>
              </w:tc>
              <w:tc>
                <w:tcPr>
                  <w:tcW w:w="882" w:type="dxa"/>
                  <w:tcBorders>
                    <w:top w:val="single" w:color="000000" w:sz="12" w:space="0"/>
                    <w:bottom w:val="single" w:color="000000" w:sz="12" w:space="0"/>
                  </w:tcBorders>
                  <w:noWrap w:val="0"/>
                  <w:vAlign w:val="center"/>
                </w:tcPr>
                <w:p w14:paraId="4F59A6E3">
                  <w:pPr>
                    <w:pStyle w:val="20"/>
                    <w:spacing w:line="240" w:lineRule="auto"/>
                    <w:ind w:left="0" w:leftChars="0" w:firstLine="0" w:firstLineChars="0"/>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筒仓除尘设备损坏</w:t>
                  </w:r>
                </w:p>
              </w:tc>
              <w:tc>
                <w:tcPr>
                  <w:tcW w:w="882" w:type="dxa"/>
                  <w:tcBorders>
                    <w:top w:val="single" w:color="000000" w:sz="12" w:space="0"/>
                    <w:bottom w:val="single" w:color="000000" w:sz="12" w:space="0"/>
                  </w:tcBorders>
                  <w:noWrap w:val="0"/>
                  <w:vAlign w:val="center"/>
                </w:tcPr>
                <w:p w14:paraId="0D1E875E">
                  <w:pPr>
                    <w:pStyle w:val="20"/>
                    <w:spacing w:line="240" w:lineRule="auto"/>
                    <w:ind w:left="0" w:leftChars="0" w:firstLine="0" w:firstLineChars="0"/>
                    <w:jc w:val="center"/>
                    <w:rPr>
                      <w:rFonts w:hint="eastAsia" w:cs="Times New Roman"/>
                      <w:color w:val="auto"/>
                      <w:sz w:val="21"/>
                      <w:szCs w:val="21"/>
                      <w:vertAlign w:val="baseline"/>
                      <w:lang w:val="en-US" w:eastAsia="zh-CN"/>
                    </w:rPr>
                  </w:pPr>
                  <w:r>
                    <w:rPr>
                      <w:rFonts w:hint="eastAsia" w:cs="Times New Roman"/>
                      <w:color w:val="auto"/>
                      <w:sz w:val="21"/>
                      <w:szCs w:val="21"/>
                      <w:vertAlign w:val="baseline"/>
                      <w:lang w:val="en-US" w:eastAsia="zh-CN"/>
                    </w:rPr>
                    <w:t>停止物料输送并及时检修</w:t>
                  </w:r>
                </w:p>
              </w:tc>
              <w:tc>
                <w:tcPr>
                  <w:tcW w:w="882" w:type="dxa"/>
                  <w:tcBorders>
                    <w:top w:val="single" w:color="000000" w:sz="12" w:space="0"/>
                    <w:bottom w:val="single" w:color="000000" w:sz="12" w:space="0"/>
                  </w:tcBorders>
                  <w:noWrap w:val="0"/>
                  <w:vAlign w:val="center"/>
                </w:tcPr>
                <w:p w14:paraId="3EC36EC2">
                  <w:pPr>
                    <w:pStyle w:val="20"/>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超标</w:t>
                  </w:r>
                </w:p>
              </w:tc>
              <w:tc>
                <w:tcPr>
                  <w:tcW w:w="882" w:type="dxa"/>
                  <w:tcBorders>
                    <w:top w:val="single" w:color="000000" w:sz="12" w:space="0"/>
                    <w:bottom w:val="single" w:color="000000" w:sz="12" w:space="0"/>
                  </w:tcBorders>
                  <w:noWrap w:val="0"/>
                  <w:vAlign w:val="center"/>
                </w:tcPr>
                <w:p w14:paraId="2FD53792">
                  <w:pPr>
                    <w:pStyle w:val="20"/>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＜1h</w:t>
                  </w:r>
                </w:p>
              </w:tc>
              <w:tc>
                <w:tcPr>
                  <w:tcW w:w="882" w:type="dxa"/>
                  <w:tcBorders>
                    <w:top w:val="single" w:color="000000" w:sz="12" w:space="0"/>
                    <w:bottom w:val="single" w:color="000000" w:sz="12" w:space="0"/>
                    <w:right w:val="nil"/>
                  </w:tcBorders>
                  <w:noWrap w:val="0"/>
                  <w:vAlign w:val="center"/>
                </w:tcPr>
                <w:p w14:paraId="39C2F462">
                  <w:pPr>
                    <w:pStyle w:val="20"/>
                    <w:spacing w:line="240" w:lineRule="auto"/>
                    <w:ind w:left="0" w:leftChars="0" w:firstLine="0" w:firstLineChars="0"/>
                    <w:jc w:val="center"/>
                    <w:rPr>
                      <w:rFonts w:hint="eastAsia" w:ascii="Times New Roman" w:hAnsi="Times New Roman" w:eastAsia="宋体" w:cs="Times New Roman"/>
                      <w:color w:val="auto"/>
                      <w:sz w:val="21"/>
                      <w:szCs w:val="21"/>
                      <w:vertAlign w:val="baseline"/>
                      <w:lang w:val="en-US" w:eastAsia="zh-CN"/>
                    </w:rPr>
                  </w:pPr>
                  <w:r>
                    <w:rPr>
                      <w:rFonts w:hint="eastAsia" w:ascii="Times New Roman" w:hAnsi="Times New Roman" w:eastAsia="宋体" w:cs="Times New Roman"/>
                      <w:color w:val="auto"/>
                      <w:sz w:val="21"/>
                      <w:szCs w:val="21"/>
                      <w:vertAlign w:val="baseline"/>
                      <w:lang w:val="en-US" w:eastAsia="zh-CN"/>
                    </w:rPr>
                    <w:t>1次/a</w:t>
                  </w:r>
                </w:p>
              </w:tc>
            </w:tr>
          </w:tbl>
          <w:p w14:paraId="42B3D4BB">
            <w:pPr>
              <w:pStyle w:val="20"/>
              <w:spacing w:line="360" w:lineRule="auto"/>
              <w:ind w:left="0" w:leftChars="0" w:firstLine="480" w:firstLineChars="200"/>
              <w:jc w:val="both"/>
              <w:rPr>
                <w:rFonts w:hint="default"/>
                <w:color w:val="auto"/>
                <w:lang w:val="en-US" w:eastAsia="zh-CN"/>
              </w:rPr>
            </w:pPr>
            <w:r>
              <w:rPr>
                <w:rFonts w:hint="default"/>
                <w:color w:val="auto"/>
                <w:lang w:val="en-US" w:eastAsia="zh-CN"/>
              </w:rPr>
              <w:t>非正常工况下，运营单位要定时检修，保证环保设备的正常运营。为了进一步减少非正常工况废气污染物排放，拟采取以下措施：</w:t>
            </w:r>
          </w:p>
          <w:p w14:paraId="14BC656C">
            <w:pPr>
              <w:pStyle w:val="20"/>
              <w:spacing w:line="360" w:lineRule="auto"/>
              <w:ind w:left="0" w:leftChars="0" w:firstLine="480" w:firstLineChars="200"/>
              <w:jc w:val="both"/>
              <w:rPr>
                <w:rFonts w:hint="default"/>
                <w:color w:val="auto"/>
                <w:lang w:val="en-US" w:eastAsia="zh-CN"/>
              </w:rPr>
            </w:pPr>
            <w:r>
              <w:rPr>
                <w:rFonts w:hint="default"/>
                <w:color w:val="auto"/>
                <w:lang w:val="en-US" w:eastAsia="zh-CN"/>
              </w:rPr>
              <w:t>①双回路电源，防止突然断电引起非正常排放。</w:t>
            </w:r>
          </w:p>
          <w:p w14:paraId="0AD37B6F">
            <w:pPr>
              <w:pStyle w:val="20"/>
              <w:spacing w:line="360" w:lineRule="auto"/>
              <w:ind w:left="0" w:leftChars="0" w:firstLine="480" w:firstLineChars="200"/>
              <w:jc w:val="both"/>
              <w:rPr>
                <w:rFonts w:hint="default"/>
                <w:color w:val="auto"/>
                <w:lang w:val="en-US" w:eastAsia="zh-CN"/>
              </w:rPr>
            </w:pPr>
            <w:r>
              <w:rPr>
                <w:rFonts w:hint="default"/>
                <w:color w:val="auto"/>
                <w:lang w:val="en-US" w:eastAsia="zh-CN"/>
              </w:rPr>
              <w:t>②定期检查、维修、维护各种设备，尤其是布袋破损、风机运行等。</w:t>
            </w:r>
          </w:p>
          <w:p w14:paraId="10CF47F6">
            <w:pPr>
              <w:pStyle w:val="20"/>
              <w:spacing w:line="360" w:lineRule="auto"/>
              <w:ind w:left="0" w:leftChars="0" w:firstLine="480" w:firstLineChars="200"/>
              <w:jc w:val="both"/>
              <w:rPr>
                <w:rFonts w:hint="default"/>
                <w:color w:val="auto"/>
                <w:lang w:val="en-US" w:eastAsia="zh-CN"/>
              </w:rPr>
            </w:pPr>
            <w:r>
              <w:rPr>
                <w:rFonts w:hint="default"/>
                <w:color w:val="auto"/>
                <w:lang w:val="en-US" w:eastAsia="zh-CN"/>
              </w:rPr>
              <w:t>③加强管理和培训，防止因操作失误或玩忽职守引起非正常排放。</w:t>
            </w:r>
          </w:p>
          <w:p w14:paraId="4B0A1C53">
            <w:pPr>
              <w:pStyle w:val="20"/>
              <w:spacing w:line="360" w:lineRule="auto"/>
              <w:ind w:left="0" w:leftChars="0" w:firstLine="480" w:firstLineChars="200"/>
              <w:jc w:val="both"/>
              <w:rPr>
                <w:rFonts w:hint="default"/>
                <w:color w:val="auto"/>
                <w:lang w:val="en-US" w:eastAsia="zh-CN"/>
              </w:rPr>
            </w:pPr>
            <w:r>
              <w:rPr>
                <w:rFonts w:hint="default"/>
                <w:color w:val="auto"/>
                <w:lang w:val="en-US" w:eastAsia="zh-CN"/>
              </w:rPr>
              <w:t>④加强环境管理，在冬季等不利气象条件下，停产检修。</w:t>
            </w:r>
          </w:p>
          <w:p w14:paraId="2E91C6C9">
            <w:pPr>
              <w:pStyle w:val="20"/>
              <w:spacing w:line="360" w:lineRule="auto"/>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1.4环保治理措施可行性分析</w:t>
            </w:r>
          </w:p>
          <w:p w14:paraId="21AF9B9F">
            <w:pPr>
              <w:pStyle w:val="20"/>
              <w:ind w:left="0" w:leftChars="0" w:firstLine="480" w:firstLineChars="200"/>
              <w:jc w:val="both"/>
              <w:rPr>
                <w:rFonts w:hint="default"/>
                <w:color w:val="auto"/>
                <w:lang w:val="en-US" w:eastAsia="zh-CN"/>
              </w:rPr>
            </w:pPr>
            <w:r>
              <w:rPr>
                <w:rFonts w:hint="default"/>
                <w:color w:val="auto"/>
                <w:lang w:val="en-US" w:eastAsia="zh-CN"/>
              </w:rPr>
              <w:t>（1）布袋除尘的可行性分析</w:t>
            </w:r>
          </w:p>
          <w:p w14:paraId="426CDE36">
            <w:pPr>
              <w:pStyle w:val="20"/>
              <w:jc w:val="both"/>
              <w:rPr>
                <w:rFonts w:hint="default"/>
                <w:color w:val="auto"/>
                <w:lang w:val="en-US" w:eastAsia="zh-CN"/>
              </w:rPr>
            </w:pPr>
            <w:r>
              <w:rPr>
                <w:rFonts w:hint="default"/>
                <w:color w:val="auto"/>
                <w:lang w:val="en-US" w:eastAsia="zh-CN"/>
              </w:rPr>
              <w:t>本项目对搅拌产生的粉尘采用布袋除尘器处理，处理后尾气</w:t>
            </w:r>
            <w:r>
              <w:rPr>
                <w:rFonts w:hint="eastAsia"/>
                <w:color w:val="auto"/>
                <w:lang w:val="en-US" w:eastAsia="zh-CN"/>
              </w:rPr>
              <w:t>无组织</w:t>
            </w:r>
            <w:r>
              <w:rPr>
                <w:rFonts w:hint="default"/>
                <w:color w:val="auto"/>
                <w:lang w:val="en-US" w:eastAsia="zh-CN"/>
              </w:rPr>
              <w:t>排放。袋式除尘器工作原理：当含尘气体由进风口进入除尘器，首先碰到进出风口中间的斜板及挡板，气流便转向流入灰斗，同时气流速度放慢，由于惯性作用，使气体中粗颗粒粉尘直接流入灰斗。起到预先收尘的作用，进入灰斗的气流随后折而向上通过内部装有金属骨架的布袋，粉尘被捕集在布袋的外表面，净化后的气体进入布袋室上部清洁室，汇集到出风口排出。含尘气体通过布袋净化的过程中，随着时间的增加而积附在布袋上的粉尘越来越多，从而增加布袋阻力，致使处理风量逐渐减少。为了使除尘器正常工作，必须经常对布袋进行清灰，清灰时由控制仪顺序触发各控制阀并开启阀，气箱内的压缩空气由喷吹管各孔经文氏管喷射到各相应的布袋内，布袋瞬间急剧膨胀，使积附在布袋表面的粉尘脱落，得到再生。清下粉尘落入灰斗，经排灰系统排出机体，处理效率可达到99.7%。</w:t>
            </w:r>
          </w:p>
          <w:p w14:paraId="30FA6A46">
            <w:pPr>
              <w:pStyle w:val="20"/>
              <w:jc w:val="both"/>
              <w:rPr>
                <w:rFonts w:hint="default"/>
                <w:color w:val="auto"/>
                <w:lang w:val="en-US" w:eastAsia="zh-CN"/>
              </w:rPr>
            </w:pPr>
            <w:r>
              <w:rPr>
                <w:rFonts w:hint="eastAsia"/>
                <w:color w:val="auto"/>
                <w:lang w:val="en-US" w:eastAsia="zh-CN"/>
              </w:rPr>
              <w:t>布袋只有在净化效率不够或破损时更换，1.在脉冲除尘器运行过程中，如果发现布袋有堵塞现象，应立即停机进行清理。首先，关闭脉冲除尘器的电源，然后打开布袋室的门，将布袋取出。2.将布袋放入清水中浸泡一段时间，让粉尘软化。然后用手轻轻揉搓布袋，将粉尘洗掉。注意，水洗时要避免布袋受到强力拉扯，以免破损。3.将清洗后的布袋放在通风的地方自然晾干，或者用低温烘干机进行烘干。注意，烘干时要防止布袋受到高温的损伤。4.烘干后，检查布袋是否有破损、变形等现象。如果有，应立即更换新的布袋。5.将清洗干净的布袋重新安装到脉冲除尘器中，然后将布袋室的门关闭。6.开启脉冲除尘器的电源，进行试运行。观察布袋是否工作正常，是否有漏尘现象。如果有，应立即停机检查。若布袋无法使用，由厂家回收。</w:t>
            </w:r>
          </w:p>
          <w:p w14:paraId="3B52D08A">
            <w:pPr>
              <w:pStyle w:val="20"/>
              <w:ind w:left="0" w:leftChars="0" w:firstLine="480" w:firstLineChars="200"/>
              <w:jc w:val="both"/>
              <w:rPr>
                <w:rFonts w:hint="default"/>
                <w:color w:val="auto"/>
                <w:lang w:val="en-US" w:eastAsia="zh-CN"/>
              </w:rPr>
            </w:pPr>
            <w:r>
              <w:rPr>
                <w:rFonts w:hint="default"/>
                <w:color w:val="auto"/>
                <w:lang w:val="en-US" w:eastAsia="zh-CN"/>
              </w:rPr>
              <w:t>（</w:t>
            </w:r>
            <w:r>
              <w:rPr>
                <w:rFonts w:hint="eastAsia"/>
                <w:color w:val="auto"/>
                <w:lang w:val="en-US" w:eastAsia="zh-CN"/>
              </w:rPr>
              <w:t>2</w:t>
            </w:r>
            <w:r>
              <w:rPr>
                <w:rFonts w:hint="default"/>
                <w:color w:val="auto"/>
                <w:lang w:val="en-US" w:eastAsia="zh-CN"/>
              </w:rPr>
              <w:t>）</w:t>
            </w:r>
            <w:r>
              <w:rPr>
                <w:rFonts w:hint="eastAsia"/>
                <w:color w:val="auto"/>
                <w:lang w:val="en-US" w:eastAsia="zh-CN"/>
              </w:rPr>
              <w:t>低氮燃烧</w:t>
            </w:r>
            <w:r>
              <w:rPr>
                <w:rFonts w:hint="default"/>
                <w:color w:val="auto"/>
                <w:lang w:val="en-US" w:eastAsia="zh-CN"/>
              </w:rPr>
              <w:t>的可行性分析</w:t>
            </w:r>
          </w:p>
          <w:p w14:paraId="77691750">
            <w:pPr>
              <w:pStyle w:val="20"/>
              <w:jc w:val="both"/>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本项目燃气蒸汽发生器安装有低氮燃烧器以抑制氮氧化物的生成量。低氮燃烧器是通过改变燃烧设备的燃烧条件降低氮氧化物的形成，具体来说是通过调节燃烧温度、烟气中的氧的浓度、烟气在高温区的停留时间等方法来抑制氮氧化物的生成或者破坏已产生的氮氧化物。</w:t>
            </w:r>
          </w:p>
          <w:p w14:paraId="775C8312">
            <w:pPr>
              <w:pStyle w:val="20"/>
              <w:jc w:val="both"/>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本项目低氮燃烧器属于自身再循环燃烧器类型，即将发生器尾部低温烟气送入到助燃空气中，与助燃空气充分混合后参与燃烧，可以有效降低助燃空气中氧气的体积分数，从而降低混合初期燃烧剧烈程度及炉内燃烧温度，最终达到降低炉内热力型</w:t>
            </w:r>
            <w:r>
              <w:rPr>
                <w:rFonts w:hint="default" w:ascii="Times New Roman" w:hAnsi="Times New Roman" w:cs="Times New Roman"/>
                <w:color w:val="auto"/>
                <w:lang w:val="en-US" w:eastAsia="zh-CN"/>
              </w:rPr>
              <w:t>NOX</w:t>
            </w:r>
            <w:r>
              <w:rPr>
                <w:rFonts w:hint="eastAsia" w:ascii="Times New Roman" w:hAnsi="Times New Roman" w:cs="Times New Roman"/>
                <w:color w:val="auto"/>
                <w:lang w:val="en-US" w:eastAsia="zh-CN"/>
              </w:rPr>
              <w:t>生成的效果，本项目采用的低氮燃烧器具有抑制氧化氮和节能双重效果。根据《排污许可证申请与核发技术规范 锅炉》（</w:t>
            </w:r>
            <w:r>
              <w:rPr>
                <w:rFonts w:hint="default" w:ascii="Times New Roman" w:hAnsi="Times New Roman" w:cs="Times New Roman"/>
                <w:color w:val="auto"/>
                <w:lang w:val="en-US" w:eastAsia="zh-CN"/>
              </w:rPr>
              <w:t>HJ953-2018</w:t>
            </w:r>
            <w:r>
              <w:rPr>
                <w:rFonts w:hint="eastAsia" w:ascii="Times New Roman" w:hAnsi="Times New Roman" w:cs="Times New Roman"/>
                <w:color w:val="auto"/>
                <w:lang w:val="en-US" w:eastAsia="zh-CN"/>
              </w:rPr>
              <w:t>）中“表</w:t>
            </w:r>
            <w:r>
              <w:rPr>
                <w:rFonts w:hint="default" w:ascii="Times New Roman" w:hAnsi="Times New Roman" w:cs="Times New Roman"/>
                <w:color w:val="auto"/>
                <w:lang w:val="en-US" w:eastAsia="zh-CN"/>
              </w:rPr>
              <w:t>7</w:t>
            </w:r>
            <w:r>
              <w:rPr>
                <w:rFonts w:hint="eastAsia" w:ascii="Times New Roman" w:hAnsi="Times New Roman" w:cs="Times New Roman"/>
                <w:color w:val="auto"/>
                <w:lang w:val="en-US" w:eastAsia="zh-CN"/>
              </w:rPr>
              <w:t>锅炉烟气污染防治可行技术”，低氮燃烧技术为可行技术，本项目采用“低氮燃烧器”技术可行，产生的废气经处理后能够达标排放。</w:t>
            </w:r>
          </w:p>
          <w:p w14:paraId="1A53735F">
            <w:pPr>
              <w:pStyle w:val="20"/>
              <w:ind w:left="0" w:leftChars="0" w:firstLine="480" w:firstLineChars="200"/>
              <w:jc w:val="both"/>
              <w:rPr>
                <w:rFonts w:hint="default"/>
                <w:color w:val="auto"/>
                <w:highlight w:val="none"/>
                <w:lang w:val="en-US" w:eastAsia="zh-CN"/>
              </w:rPr>
            </w:pPr>
            <w:r>
              <w:rPr>
                <w:rFonts w:hint="default"/>
                <w:color w:val="auto"/>
                <w:highlight w:val="none"/>
                <w:lang w:val="en-US" w:eastAsia="zh-CN"/>
              </w:rPr>
              <w:t>本项目锅炉烟气经</w:t>
            </w:r>
            <w:r>
              <w:rPr>
                <w:rFonts w:hint="eastAsia"/>
                <w:color w:val="auto"/>
                <w:highlight w:val="none"/>
                <w:lang w:val="en-US" w:eastAsia="zh-CN"/>
              </w:rPr>
              <w:t>过低氮燃烧处理后通过</w:t>
            </w:r>
            <w:r>
              <w:rPr>
                <w:rFonts w:hint="default"/>
                <w:color w:val="auto"/>
                <w:highlight w:val="none"/>
                <w:lang w:val="en-US" w:eastAsia="zh-CN"/>
              </w:rPr>
              <w:t>15m高排气筒高空排放，根据计算结果本项目颗粒物SO</w:t>
            </w:r>
            <w:r>
              <w:rPr>
                <w:rFonts w:hint="default"/>
                <w:color w:val="auto"/>
                <w:highlight w:val="none"/>
                <w:vertAlign w:val="subscript"/>
                <w:lang w:val="en-US" w:eastAsia="zh-CN"/>
              </w:rPr>
              <w:t>2</w:t>
            </w:r>
            <w:r>
              <w:rPr>
                <w:rFonts w:hint="default"/>
                <w:color w:val="auto"/>
                <w:highlight w:val="none"/>
                <w:lang w:val="en-US" w:eastAsia="zh-CN"/>
              </w:rPr>
              <w:t>、NOx排放浓度分别为</w:t>
            </w:r>
            <w:r>
              <w:rPr>
                <w:rFonts w:hint="eastAsia"/>
                <w:color w:val="auto"/>
                <w:highlight w:val="none"/>
                <w:lang w:val="en-US" w:eastAsia="zh-CN"/>
              </w:rPr>
              <w:t>9.59</w:t>
            </w:r>
            <w:r>
              <w:rPr>
                <w:rFonts w:hint="default"/>
                <w:color w:val="auto"/>
                <w:highlight w:val="none"/>
                <w:lang w:val="en-US" w:eastAsia="zh-CN"/>
              </w:rPr>
              <w:t>mg/m</w:t>
            </w:r>
            <w:r>
              <w:rPr>
                <w:rFonts w:hint="default"/>
                <w:color w:val="auto"/>
                <w:highlight w:val="none"/>
                <w:vertAlign w:val="superscript"/>
                <w:lang w:val="en-US" w:eastAsia="zh-CN"/>
              </w:rPr>
              <w:t>3</w:t>
            </w:r>
            <w:r>
              <w:rPr>
                <w:rFonts w:hint="default"/>
                <w:color w:val="auto"/>
                <w:highlight w:val="none"/>
                <w:lang w:val="en-US" w:eastAsia="zh-CN"/>
              </w:rPr>
              <w:t>、</w:t>
            </w:r>
            <w:r>
              <w:rPr>
                <w:rFonts w:hint="eastAsia"/>
                <w:color w:val="auto"/>
                <w:highlight w:val="none"/>
                <w:lang w:val="en-US" w:eastAsia="zh-CN"/>
              </w:rPr>
              <w:t>8.22</w:t>
            </w:r>
            <w:r>
              <w:rPr>
                <w:rFonts w:hint="default"/>
                <w:color w:val="auto"/>
                <w:highlight w:val="none"/>
                <w:lang w:val="en-US" w:eastAsia="zh-CN"/>
              </w:rPr>
              <w:t>mg/m</w:t>
            </w:r>
            <w:r>
              <w:rPr>
                <w:rFonts w:hint="default"/>
                <w:color w:val="auto"/>
                <w:highlight w:val="none"/>
                <w:vertAlign w:val="superscript"/>
                <w:lang w:val="en-US" w:eastAsia="zh-CN"/>
              </w:rPr>
              <w:t>3</w:t>
            </w:r>
            <w:r>
              <w:rPr>
                <w:rFonts w:hint="default"/>
                <w:color w:val="auto"/>
                <w:highlight w:val="none"/>
                <w:lang w:val="en-US" w:eastAsia="zh-CN"/>
              </w:rPr>
              <w:t>、</w:t>
            </w:r>
            <w:r>
              <w:rPr>
                <w:rFonts w:hint="eastAsia"/>
                <w:color w:val="auto"/>
                <w:highlight w:val="none"/>
                <w:lang w:val="en-US" w:eastAsia="zh-CN"/>
              </w:rPr>
              <w:t>47.62</w:t>
            </w:r>
            <w:r>
              <w:rPr>
                <w:rFonts w:hint="default"/>
                <w:color w:val="auto"/>
                <w:highlight w:val="none"/>
                <w:lang w:val="en-US" w:eastAsia="zh-CN"/>
              </w:rPr>
              <w:t>mg/m</w:t>
            </w:r>
            <w:r>
              <w:rPr>
                <w:rFonts w:hint="default"/>
                <w:color w:val="auto"/>
                <w:highlight w:val="none"/>
                <w:vertAlign w:val="superscript"/>
                <w:lang w:val="en-US" w:eastAsia="zh-CN"/>
              </w:rPr>
              <w:t>3</w:t>
            </w:r>
            <w:r>
              <w:rPr>
                <w:rFonts w:hint="default"/>
                <w:color w:val="auto"/>
                <w:highlight w:val="none"/>
                <w:lang w:val="en-US" w:eastAsia="zh-CN"/>
              </w:rPr>
              <w:t>，满足《锅炉大气污染物排放标准》（GB13271-2014）中表</w:t>
            </w:r>
            <w:r>
              <w:rPr>
                <w:rFonts w:hint="eastAsia"/>
                <w:color w:val="auto"/>
                <w:highlight w:val="none"/>
                <w:lang w:val="en-US" w:eastAsia="zh-CN"/>
              </w:rPr>
              <w:t>2</w:t>
            </w:r>
            <w:r>
              <w:rPr>
                <w:rFonts w:hint="default"/>
                <w:color w:val="auto"/>
                <w:highlight w:val="none"/>
                <w:lang w:val="en-US" w:eastAsia="zh-CN"/>
              </w:rPr>
              <w:t>标准（颗粒</w:t>
            </w:r>
            <w:r>
              <w:rPr>
                <w:rFonts w:hint="eastAsia"/>
                <w:color w:val="auto"/>
                <w:highlight w:val="none"/>
                <w:lang w:val="en-US" w:eastAsia="zh-CN"/>
              </w:rPr>
              <w:t>物20</w:t>
            </w:r>
            <w:r>
              <w:rPr>
                <w:rFonts w:hint="default"/>
                <w:color w:val="auto"/>
                <w:highlight w:val="none"/>
                <w:lang w:val="en-US" w:eastAsia="zh-CN"/>
              </w:rPr>
              <w:t>mg/m</w:t>
            </w:r>
            <w:r>
              <w:rPr>
                <w:rFonts w:hint="default"/>
                <w:color w:val="auto"/>
                <w:highlight w:val="none"/>
                <w:vertAlign w:val="superscript"/>
                <w:lang w:val="en-US" w:eastAsia="zh-CN"/>
              </w:rPr>
              <w:t>3</w:t>
            </w:r>
            <w:r>
              <w:rPr>
                <w:rFonts w:hint="default"/>
                <w:color w:val="auto"/>
                <w:highlight w:val="none"/>
                <w:lang w:val="en-US" w:eastAsia="zh-CN"/>
              </w:rPr>
              <w:t>、SO</w:t>
            </w:r>
            <w:r>
              <w:rPr>
                <w:rFonts w:hint="default"/>
                <w:color w:val="auto"/>
                <w:highlight w:val="none"/>
                <w:vertAlign w:val="subscript"/>
                <w:lang w:val="en-US" w:eastAsia="zh-CN"/>
              </w:rPr>
              <w:t>2</w:t>
            </w:r>
            <w:r>
              <w:rPr>
                <w:rFonts w:hint="eastAsia"/>
                <w:color w:val="auto"/>
                <w:highlight w:val="none"/>
                <w:vertAlign w:val="baseline"/>
                <w:lang w:val="en-US" w:eastAsia="zh-CN"/>
              </w:rPr>
              <w:t>50</w:t>
            </w:r>
            <w:r>
              <w:rPr>
                <w:rFonts w:hint="default"/>
                <w:color w:val="auto"/>
                <w:highlight w:val="none"/>
                <w:lang w:val="en-US" w:eastAsia="zh-CN"/>
              </w:rPr>
              <w:t>mg/m</w:t>
            </w:r>
            <w:r>
              <w:rPr>
                <w:rFonts w:hint="default"/>
                <w:color w:val="auto"/>
                <w:highlight w:val="none"/>
                <w:vertAlign w:val="superscript"/>
                <w:lang w:val="en-US" w:eastAsia="zh-CN"/>
              </w:rPr>
              <w:t>3</w:t>
            </w:r>
            <w:r>
              <w:rPr>
                <w:rFonts w:hint="default"/>
                <w:color w:val="auto"/>
                <w:highlight w:val="none"/>
                <w:lang w:val="en-US" w:eastAsia="zh-CN"/>
              </w:rPr>
              <w:t>、NOx50mg/m</w:t>
            </w:r>
            <w:r>
              <w:rPr>
                <w:rFonts w:hint="default"/>
                <w:color w:val="auto"/>
                <w:highlight w:val="none"/>
                <w:vertAlign w:val="superscript"/>
                <w:lang w:val="en-US" w:eastAsia="zh-CN"/>
              </w:rPr>
              <w:t>3</w:t>
            </w:r>
            <w:r>
              <w:rPr>
                <w:rFonts w:hint="default"/>
                <w:color w:val="auto"/>
                <w:highlight w:val="none"/>
                <w:lang w:val="en-US" w:eastAsia="zh-CN"/>
              </w:rPr>
              <w:t>）。</w:t>
            </w:r>
          </w:p>
          <w:p w14:paraId="579F2E87">
            <w:pPr>
              <w:pStyle w:val="20"/>
              <w:ind w:left="0" w:leftChars="0" w:firstLine="480" w:firstLineChars="200"/>
              <w:jc w:val="both"/>
              <w:rPr>
                <w:rFonts w:hint="default"/>
                <w:color w:val="auto"/>
                <w:lang w:val="en-US" w:eastAsia="zh-CN"/>
              </w:rPr>
            </w:pPr>
            <w:r>
              <w:rPr>
                <w:rFonts w:hint="default"/>
                <w:color w:val="auto"/>
                <w:lang w:val="en-US" w:eastAsia="zh-CN"/>
              </w:rPr>
              <w:t>（</w:t>
            </w:r>
            <w:r>
              <w:rPr>
                <w:rFonts w:hint="eastAsia"/>
                <w:color w:val="auto"/>
                <w:lang w:val="en-US" w:eastAsia="zh-CN"/>
              </w:rPr>
              <w:t>3</w:t>
            </w:r>
            <w:r>
              <w:rPr>
                <w:rFonts w:hint="default"/>
                <w:color w:val="auto"/>
                <w:lang w:val="en-US" w:eastAsia="zh-CN"/>
              </w:rPr>
              <w:t>）</w:t>
            </w:r>
            <w:r>
              <w:rPr>
                <w:rFonts w:hint="eastAsia"/>
                <w:color w:val="auto"/>
                <w:lang w:val="en-US" w:eastAsia="zh-CN"/>
              </w:rPr>
              <w:t>焊接烟尘</w:t>
            </w:r>
            <w:r>
              <w:rPr>
                <w:rFonts w:hint="default"/>
                <w:color w:val="auto"/>
                <w:lang w:val="en-US" w:eastAsia="zh-CN"/>
              </w:rPr>
              <w:t>的可行性分析</w:t>
            </w:r>
          </w:p>
          <w:p w14:paraId="39D13B6A">
            <w:pPr>
              <w:keepNext w:val="0"/>
              <w:keepLines w:val="0"/>
              <w:widowControl/>
              <w:suppressLineNumbers w:val="0"/>
              <w:spacing w:line="360" w:lineRule="auto"/>
              <w:ind w:firstLine="480" w:firstLineChars="200"/>
              <w:jc w:val="left"/>
              <w:rPr>
                <w:rFonts w:hint="default"/>
                <w:color w:val="auto"/>
                <w:highlight w:val="none"/>
                <w:lang w:val="en-US" w:eastAsia="zh-CN"/>
              </w:rPr>
            </w:pPr>
            <w:r>
              <w:rPr>
                <w:rFonts w:hint="eastAsia" w:ascii="Times New Roman" w:hAnsi="Times New Roman" w:eastAsia="宋体" w:cs="Times New Roman"/>
                <w:color w:val="auto"/>
                <w:kern w:val="0"/>
                <w:sz w:val="24"/>
                <w:szCs w:val="24"/>
                <w:lang w:val="en-US" w:eastAsia="zh-CN" w:bidi="ar"/>
              </w:rPr>
              <w:t>本项目焊接过程中产生的粉尘采用移动式焊接烟尘净化器。移动式焊接烟尘净化器的工作原理：内部高压风机在吸气罩口处形成负压区域，焊接烟尘在负压的作用下由吸气臂进入焊接烟尘净化器设备主体，进风口处阻火器阻留焊接火花，烟尘气体进入焊接烟尘净化器设备主体净化室，高效过滤芯将微小烟雾粉尘颗粒过滤在焊接烟尘净化器设备净化室内，洁净气体经滤芯过滤净化后进入焊接烟雾净化器设备洁净室，洁净空气又经活性炭过滤器进一步吸附净化后经出风口排出。排出气体可达到国家要求的室内气体排放标准。移动式焊接烟尘净化器在机加行业中应用广泛，处理效率可靠。</w:t>
            </w:r>
          </w:p>
          <w:p w14:paraId="1D2BBD11">
            <w:pPr>
              <w:pStyle w:val="20"/>
              <w:ind w:left="0" w:leftChars="0" w:firstLine="0" w:firstLineChars="0"/>
              <w:rPr>
                <w:rFonts w:hint="default"/>
                <w:b/>
                <w:bCs/>
                <w:color w:val="auto"/>
                <w:lang w:val="en-US" w:eastAsia="zh-CN"/>
              </w:rPr>
            </w:pPr>
            <w:r>
              <w:rPr>
                <w:rFonts w:hint="eastAsia"/>
                <w:b/>
                <w:bCs/>
                <w:color w:val="auto"/>
                <w:lang w:val="en-US" w:eastAsia="zh-CN"/>
              </w:rPr>
              <w:t>1.5监测计划、排放口基本情况</w:t>
            </w:r>
          </w:p>
          <w:p w14:paraId="6BE08FA0">
            <w:pPr>
              <w:pStyle w:val="20"/>
              <w:ind w:left="0" w:leftChars="0" w:firstLine="480" w:firstLineChars="200"/>
              <w:jc w:val="both"/>
              <w:rPr>
                <w:rFonts w:hint="default"/>
                <w:color w:val="auto"/>
                <w:lang w:val="en-US" w:eastAsia="zh-CN"/>
              </w:rPr>
            </w:pPr>
            <w:r>
              <w:rPr>
                <w:rFonts w:hint="default"/>
                <w:color w:val="auto"/>
                <w:lang w:val="en-US" w:eastAsia="zh-CN"/>
              </w:rPr>
              <w:t>本项目为水泥制品制造业，根据《固定污染源排污许可分类管理名录（2019年版）》，本项目为“二十五、非金属矿物制品业30—水泥、石灰和石膏制造301，石膏、水泥制品及类似制品制造302——水泥制品制造3022”，属于登记管理。</w:t>
            </w:r>
          </w:p>
          <w:p w14:paraId="7B7F82EC">
            <w:pPr>
              <w:pStyle w:val="20"/>
              <w:ind w:left="0" w:leftChars="0" w:firstLine="480" w:firstLineChars="200"/>
              <w:jc w:val="both"/>
              <w:rPr>
                <w:rFonts w:hint="default"/>
                <w:color w:val="auto"/>
                <w:lang w:val="en-US" w:eastAsia="zh-CN"/>
              </w:rPr>
            </w:pPr>
            <w:r>
              <w:rPr>
                <w:rFonts w:hint="default"/>
                <w:color w:val="auto"/>
                <w:lang w:val="en-US" w:eastAsia="zh-CN"/>
              </w:rPr>
              <w:t>根据《排污单位自行监测技术指南总则》（HJ819-2017）中最低监测频次要求，本项目污染源属于非主要污染源，排放口类型为一般排放口。</w:t>
            </w:r>
          </w:p>
          <w:p w14:paraId="5FCC2651">
            <w:pPr>
              <w:pStyle w:val="20"/>
              <w:ind w:left="0" w:leftChars="0" w:firstLine="480" w:firstLineChars="200"/>
              <w:jc w:val="both"/>
              <w:rPr>
                <w:rFonts w:hint="default"/>
                <w:color w:val="auto"/>
                <w:lang w:val="en-US" w:eastAsia="zh-CN"/>
              </w:rPr>
            </w:pPr>
            <w:r>
              <w:rPr>
                <w:rFonts w:hint="eastAsia"/>
                <w:color w:val="auto"/>
                <w:lang w:val="en-US" w:eastAsia="zh-CN"/>
              </w:rPr>
              <w:t>检测点位：</w:t>
            </w:r>
            <w:r>
              <w:rPr>
                <w:rFonts w:hint="default"/>
                <w:color w:val="auto"/>
                <w:lang w:val="en-US" w:eastAsia="zh-CN"/>
              </w:rPr>
              <w:t>净烟气与原烟气混合排放的，应在锅炉或燃气轮机(内燃机)排气筒，或烟气汇合后的混合烟道上设置监测点位:净烟气直接排放的，应在净烟气烟道上设置监测点位，有旁路的旁路烟道也应设置监测点位。</w:t>
            </w:r>
          </w:p>
          <w:p w14:paraId="004B687B">
            <w:pPr>
              <w:pStyle w:val="20"/>
              <w:ind w:left="0" w:leftChars="0" w:firstLine="480" w:firstLineChars="200"/>
              <w:jc w:val="both"/>
              <w:rPr>
                <w:rFonts w:hint="default"/>
                <w:color w:val="auto"/>
                <w:lang w:val="en-US" w:eastAsia="zh-CN"/>
              </w:rPr>
            </w:pPr>
            <w:r>
              <w:rPr>
                <w:rFonts w:hint="default"/>
                <w:color w:val="auto"/>
                <w:lang w:val="en-US" w:eastAsia="zh-CN"/>
              </w:rPr>
              <w:t>监测计划、排放口基本情况见表4-</w:t>
            </w:r>
            <w:r>
              <w:rPr>
                <w:rFonts w:hint="eastAsia"/>
                <w:color w:val="auto"/>
                <w:lang w:val="en-US" w:eastAsia="zh-CN"/>
              </w:rPr>
              <w:t>7</w:t>
            </w:r>
            <w:r>
              <w:rPr>
                <w:rFonts w:hint="default"/>
                <w:color w:val="auto"/>
                <w:lang w:val="en-US" w:eastAsia="zh-CN"/>
              </w:rPr>
              <w:t>。</w:t>
            </w:r>
          </w:p>
          <w:p w14:paraId="716169A4">
            <w:pPr>
              <w:ind w:firstLine="422" w:firstLineChars="200"/>
              <w:jc w:val="center"/>
              <w:rPr>
                <w:b/>
                <w:bCs/>
                <w:color w:val="auto"/>
                <w:szCs w:val="21"/>
              </w:rPr>
            </w:pPr>
            <w:r>
              <w:rPr>
                <w:b/>
                <w:bCs/>
                <w:color w:val="auto"/>
                <w:szCs w:val="21"/>
              </w:rPr>
              <w:t>表4-</w:t>
            </w:r>
            <w:r>
              <w:rPr>
                <w:rFonts w:hint="eastAsia"/>
                <w:b/>
                <w:bCs/>
                <w:color w:val="auto"/>
                <w:szCs w:val="21"/>
                <w:lang w:val="en-US" w:eastAsia="zh-CN"/>
              </w:rPr>
              <w:t>7</w:t>
            </w:r>
            <w:r>
              <w:rPr>
                <w:b/>
                <w:bCs/>
                <w:color w:val="auto"/>
                <w:szCs w:val="21"/>
              </w:rPr>
              <w:t>大气监测计划</w:t>
            </w:r>
          </w:p>
          <w:tbl>
            <w:tblPr>
              <w:tblStyle w:val="23"/>
              <w:tblW w:w="4971"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92"/>
              <w:gridCol w:w="582"/>
              <w:gridCol w:w="850"/>
              <w:gridCol w:w="1302"/>
              <w:gridCol w:w="299"/>
              <w:gridCol w:w="311"/>
              <w:gridCol w:w="430"/>
              <w:gridCol w:w="726"/>
              <w:gridCol w:w="1318"/>
              <w:gridCol w:w="505"/>
              <w:gridCol w:w="718"/>
              <w:gridCol w:w="550"/>
            </w:tblGrid>
            <w:tr w14:paraId="355A4D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04" w:type="pct"/>
                  <w:vMerge w:val="restart"/>
                  <w:tcBorders>
                    <w:top w:val="single" w:color="000000" w:sz="12" w:space="0"/>
                    <w:left w:val="nil"/>
                    <w:tl2br w:val="nil"/>
                    <w:tr2bl w:val="nil"/>
                  </w:tcBorders>
                  <w:noWrap w:val="0"/>
                  <w:vAlign w:val="center"/>
                </w:tcPr>
                <w:p w14:paraId="56439949">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污染源类别</w:t>
                  </w:r>
                </w:p>
              </w:tc>
              <w:tc>
                <w:tcPr>
                  <w:tcW w:w="360" w:type="pct"/>
                  <w:vMerge w:val="restart"/>
                  <w:tcBorders>
                    <w:top w:val="single" w:color="000000" w:sz="12" w:space="0"/>
                    <w:tl2br w:val="nil"/>
                    <w:tr2bl w:val="nil"/>
                  </w:tcBorders>
                  <w:noWrap w:val="0"/>
                  <w:vAlign w:val="center"/>
                </w:tcPr>
                <w:p w14:paraId="38FBFB42">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污染物名称</w:t>
                  </w:r>
                </w:p>
              </w:tc>
              <w:tc>
                <w:tcPr>
                  <w:tcW w:w="525" w:type="pct"/>
                  <w:vMerge w:val="restart"/>
                  <w:tcBorders>
                    <w:top w:val="single" w:color="000000" w:sz="12" w:space="0"/>
                    <w:tl2br w:val="nil"/>
                    <w:tr2bl w:val="nil"/>
                  </w:tcBorders>
                  <w:noWrap w:val="0"/>
                  <w:vAlign w:val="center"/>
                </w:tcPr>
                <w:p w14:paraId="25F4E914">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排污口编号及名称</w:t>
                  </w:r>
                </w:p>
              </w:tc>
              <w:tc>
                <w:tcPr>
                  <w:tcW w:w="1897" w:type="pct"/>
                  <w:gridSpan w:val="5"/>
                  <w:tcBorders>
                    <w:top w:val="single" w:color="000000" w:sz="12" w:space="0"/>
                    <w:tl2br w:val="nil"/>
                    <w:tr2bl w:val="nil"/>
                  </w:tcBorders>
                  <w:noWrap w:val="0"/>
                  <w:vAlign w:val="center"/>
                </w:tcPr>
                <w:p w14:paraId="2AA7927B">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排放口设置情况</w:t>
                  </w:r>
                </w:p>
              </w:tc>
              <w:tc>
                <w:tcPr>
                  <w:tcW w:w="815" w:type="pct"/>
                  <w:tcBorders>
                    <w:top w:val="single" w:color="000000" w:sz="12" w:space="0"/>
                    <w:tl2br w:val="nil"/>
                    <w:tr2bl w:val="nil"/>
                  </w:tcBorders>
                  <w:noWrap w:val="0"/>
                  <w:vAlign w:val="center"/>
                </w:tcPr>
                <w:p w14:paraId="32ED4D6B">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排放标准</w:t>
                  </w:r>
                </w:p>
              </w:tc>
              <w:tc>
                <w:tcPr>
                  <w:tcW w:w="1096" w:type="pct"/>
                  <w:gridSpan w:val="3"/>
                  <w:tcBorders>
                    <w:top w:val="single" w:color="000000" w:sz="12" w:space="0"/>
                    <w:right w:val="nil"/>
                    <w:tl2br w:val="nil"/>
                    <w:tr2bl w:val="nil"/>
                  </w:tcBorders>
                  <w:noWrap w:val="0"/>
                  <w:vAlign w:val="center"/>
                </w:tcPr>
                <w:p w14:paraId="02058B74">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监测要求</w:t>
                  </w:r>
                </w:p>
              </w:tc>
            </w:tr>
            <w:tr w14:paraId="27FFC0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04" w:type="pct"/>
                  <w:vMerge w:val="continue"/>
                  <w:tcBorders>
                    <w:left w:val="nil"/>
                    <w:bottom w:val="single" w:color="auto" w:sz="12" w:space="0"/>
                    <w:tl2br w:val="nil"/>
                    <w:tr2bl w:val="nil"/>
                  </w:tcBorders>
                  <w:noWrap w:val="0"/>
                  <w:vAlign w:val="center"/>
                </w:tcPr>
                <w:p w14:paraId="54C5E7E6">
                  <w:pPr>
                    <w:jc w:val="center"/>
                    <w:rPr>
                      <w:b/>
                      <w:bCs/>
                      <w:color w:val="auto"/>
                      <w:szCs w:val="21"/>
                    </w:rPr>
                  </w:pPr>
                </w:p>
              </w:tc>
              <w:tc>
                <w:tcPr>
                  <w:tcW w:w="360" w:type="pct"/>
                  <w:vMerge w:val="continue"/>
                  <w:tcBorders>
                    <w:bottom w:val="single" w:color="auto" w:sz="12" w:space="0"/>
                    <w:tl2br w:val="nil"/>
                    <w:tr2bl w:val="nil"/>
                  </w:tcBorders>
                  <w:noWrap w:val="0"/>
                  <w:vAlign w:val="center"/>
                </w:tcPr>
                <w:p w14:paraId="7782306B">
                  <w:pPr>
                    <w:jc w:val="center"/>
                    <w:rPr>
                      <w:b/>
                      <w:bCs/>
                      <w:color w:val="auto"/>
                      <w:szCs w:val="21"/>
                    </w:rPr>
                  </w:pPr>
                </w:p>
              </w:tc>
              <w:tc>
                <w:tcPr>
                  <w:tcW w:w="525" w:type="pct"/>
                  <w:vMerge w:val="continue"/>
                  <w:tcBorders>
                    <w:bottom w:val="single" w:color="auto" w:sz="12" w:space="0"/>
                    <w:tl2br w:val="nil"/>
                    <w:tr2bl w:val="nil"/>
                  </w:tcBorders>
                  <w:noWrap w:val="0"/>
                  <w:vAlign w:val="center"/>
                </w:tcPr>
                <w:p w14:paraId="3EA124C3">
                  <w:pPr>
                    <w:jc w:val="center"/>
                    <w:rPr>
                      <w:b/>
                      <w:bCs/>
                      <w:color w:val="auto"/>
                      <w:szCs w:val="21"/>
                    </w:rPr>
                  </w:pPr>
                </w:p>
              </w:tc>
              <w:tc>
                <w:tcPr>
                  <w:tcW w:w="805" w:type="pct"/>
                  <w:tcBorders>
                    <w:bottom w:val="single" w:color="auto" w:sz="12" w:space="0"/>
                    <w:tl2br w:val="nil"/>
                    <w:tr2bl w:val="nil"/>
                  </w:tcBorders>
                  <w:noWrap w:val="0"/>
                  <w:vAlign w:val="center"/>
                </w:tcPr>
                <w:p w14:paraId="6330FE20">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排气筒地理坐标</w:t>
                  </w:r>
                </w:p>
              </w:tc>
              <w:tc>
                <w:tcPr>
                  <w:tcW w:w="184" w:type="pct"/>
                  <w:tcBorders>
                    <w:bottom w:val="single" w:color="auto" w:sz="12" w:space="0"/>
                    <w:tl2br w:val="nil"/>
                    <w:tr2bl w:val="nil"/>
                  </w:tcBorders>
                  <w:noWrap w:val="0"/>
                  <w:vAlign w:val="center"/>
                </w:tcPr>
                <w:p w14:paraId="0176105E">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高度m</w:t>
                  </w:r>
                </w:p>
              </w:tc>
              <w:tc>
                <w:tcPr>
                  <w:tcW w:w="192" w:type="pct"/>
                  <w:tcBorders>
                    <w:bottom w:val="single" w:color="auto" w:sz="12" w:space="0"/>
                    <w:tl2br w:val="nil"/>
                    <w:tr2bl w:val="nil"/>
                  </w:tcBorders>
                  <w:noWrap w:val="0"/>
                  <w:vAlign w:val="center"/>
                </w:tcPr>
                <w:p w14:paraId="0F808C4A">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内径m</w:t>
                  </w:r>
                </w:p>
              </w:tc>
              <w:tc>
                <w:tcPr>
                  <w:tcW w:w="266" w:type="pct"/>
                  <w:tcBorders>
                    <w:bottom w:val="single" w:color="auto" w:sz="12" w:space="0"/>
                    <w:tl2br w:val="nil"/>
                    <w:tr2bl w:val="nil"/>
                  </w:tcBorders>
                  <w:noWrap w:val="0"/>
                  <w:vAlign w:val="center"/>
                </w:tcPr>
                <w:p w14:paraId="594F21E8">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温度</w:t>
                  </w:r>
                </w:p>
                <w:p w14:paraId="723ED005">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°C</w:t>
                  </w:r>
                </w:p>
              </w:tc>
              <w:tc>
                <w:tcPr>
                  <w:tcW w:w="449" w:type="pct"/>
                  <w:tcBorders>
                    <w:bottom w:val="single" w:color="auto" w:sz="12" w:space="0"/>
                    <w:tl2br w:val="nil"/>
                    <w:tr2bl w:val="nil"/>
                  </w:tcBorders>
                  <w:noWrap w:val="0"/>
                  <w:vAlign w:val="center"/>
                </w:tcPr>
                <w:p w14:paraId="3D8F839C">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类型</w:t>
                  </w:r>
                </w:p>
              </w:tc>
              <w:tc>
                <w:tcPr>
                  <w:tcW w:w="815" w:type="pct"/>
                  <w:tcBorders>
                    <w:bottom w:val="single" w:color="auto" w:sz="12" w:space="0"/>
                    <w:tl2br w:val="nil"/>
                    <w:tr2bl w:val="nil"/>
                  </w:tcBorders>
                  <w:noWrap w:val="0"/>
                  <w:vAlign w:val="center"/>
                </w:tcPr>
                <w:p w14:paraId="75B17C1A">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浓度限值（mg/</w:t>
                  </w:r>
                  <w:r>
                    <w:rPr>
                      <w:rFonts w:ascii="Times New Roman" w:hAnsi="Times New Roman" w:cs="Times New Roman"/>
                      <w:color w:val="auto"/>
                      <w:sz w:val="24"/>
                    </w:rPr>
                    <w:t>m</w:t>
                  </w:r>
                  <w:r>
                    <w:rPr>
                      <w:rFonts w:ascii="Times New Roman" w:hAnsi="Times New Roman" w:cs="Times New Roman"/>
                      <w:color w:val="auto"/>
                      <w:sz w:val="24"/>
                      <w:vertAlign w:val="superscript"/>
                    </w:rPr>
                    <w:t>3</w:t>
                  </w:r>
                  <w:r>
                    <w:rPr>
                      <w:rFonts w:ascii="Times New Roman" w:hAnsi="Times New Roman" w:cs="Times New Roman"/>
                      <w:b/>
                      <w:bCs/>
                      <w:color w:val="auto"/>
                      <w:szCs w:val="21"/>
                    </w:rPr>
                    <w:t>)</w:t>
                  </w:r>
                </w:p>
              </w:tc>
              <w:tc>
                <w:tcPr>
                  <w:tcW w:w="312" w:type="pct"/>
                  <w:tcBorders>
                    <w:bottom w:val="single" w:color="auto" w:sz="12" w:space="0"/>
                    <w:tl2br w:val="nil"/>
                    <w:tr2bl w:val="nil"/>
                  </w:tcBorders>
                  <w:noWrap w:val="0"/>
                  <w:vAlign w:val="center"/>
                </w:tcPr>
                <w:p w14:paraId="051EF06F">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监测点位</w:t>
                  </w:r>
                </w:p>
              </w:tc>
              <w:tc>
                <w:tcPr>
                  <w:tcW w:w="444" w:type="pct"/>
                  <w:tcBorders>
                    <w:bottom w:val="single" w:color="auto" w:sz="12" w:space="0"/>
                    <w:tl2br w:val="nil"/>
                    <w:tr2bl w:val="nil"/>
                  </w:tcBorders>
                  <w:noWrap w:val="0"/>
                  <w:vAlign w:val="center"/>
                </w:tcPr>
                <w:p w14:paraId="3C65D5E7">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监测因子</w:t>
                  </w:r>
                </w:p>
              </w:tc>
              <w:tc>
                <w:tcPr>
                  <w:tcW w:w="340" w:type="pct"/>
                  <w:tcBorders>
                    <w:bottom w:val="single" w:color="auto" w:sz="12" w:space="0"/>
                    <w:right w:val="nil"/>
                    <w:tl2br w:val="nil"/>
                    <w:tr2bl w:val="nil"/>
                  </w:tcBorders>
                  <w:noWrap w:val="0"/>
                  <w:vAlign w:val="center"/>
                </w:tcPr>
                <w:p w14:paraId="522F85AB">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监测频率</w:t>
                  </w:r>
                </w:p>
              </w:tc>
            </w:tr>
            <w:tr w14:paraId="0096DB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04" w:type="pct"/>
                  <w:tcBorders>
                    <w:top w:val="single" w:color="auto" w:sz="4" w:space="0"/>
                    <w:left w:val="nil"/>
                    <w:bottom w:val="single" w:color="auto" w:sz="4" w:space="0"/>
                    <w:right w:val="single" w:color="auto" w:sz="4" w:space="0"/>
                  </w:tcBorders>
                  <w:noWrap w:val="0"/>
                  <w:vAlign w:val="center"/>
                </w:tcPr>
                <w:p w14:paraId="1DB47409">
                  <w:pPr>
                    <w:pStyle w:val="29"/>
                    <w:jc w:val="both"/>
                    <w:rPr>
                      <w:rFonts w:ascii="Times New Roman" w:hAnsi="Times New Roman" w:cs="Times New Roman"/>
                      <w:color w:val="auto"/>
                      <w:szCs w:val="21"/>
                    </w:rPr>
                  </w:pPr>
                  <w:r>
                    <w:rPr>
                      <w:rFonts w:ascii="Times New Roman" w:hAnsi="Times New Roman" w:cs="Times New Roman"/>
                      <w:color w:val="auto"/>
                      <w:szCs w:val="21"/>
                      <w:lang w:val="en-US"/>
                    </w:rPr>
                    <w:t>无</w:t>
                  </w:r>
                  <w:r>
                    <w:rPr>
                      <w:rFonts w:ascii="Times New Roman" w:hAnsi="Times New Roman" w:cs="Times New Roman"/>
                      <w:color w:val="auto"/>
                      <w:szCs w:val="21"/>
                    </w:rPr>
                    <w:t>组织</w:t>
                  </w:r>
                </w:p>
              </w:tc>
              <w:tc>
                <w:tcPr>
                  <w:tcW w:w="360" w:type="pct"/>
                  <w:tcBorders>
                    <w:left w:val="single" w:color="auto" w:sz="4" w:space="0"/>
                    <w:bottom w:val="single" w:color="auto" w:sz="4" w:space="0"/>
                    <w:right w:val="single" w:color="auto" w:sz="4" w:space="0"/>
                  </w:tcBorders>
                  <w:noWrap w:val="0"/>
                  <w:vAlign w:val="center"/>
                </w:tcPr>
                <w:p w14:paraId="0317BA98">
                  <w:pPr>
                    <w:pStyle w:val="29"/>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颗粒物</w:t>
                  </w:r>
                </w:p>
              </w:tc>
              <w:tc>
                <w:tcPr>
                  <w:tcW w:w="525" w:type="pct"/>
                  <w:tcBorders>
                    <w:top w:val="single" w:color="auto" w:sz="4" w:space="0"/>
                    <w:left w:val="single" w:color="auto" w:sz="4" w:space="0"/>
                    <w:bottom w:val="single" w:color="auto" w:sz="4" w:space="0"/>
                    <w:right w:val="single" w:color="auto" w:sz="4" w:space="0"/>
                  </w:tcBorders>
                  <w:noWrap w:val="0"/>
                  <w:vAlign w:val="center"/>
                </w:tcPr>
                <w:p w14:paraId="78618876">
                  <w:pPr>
                    <w:pStyle w:val="29"/>
                    <w:jc w:val="center"/>
                    <w:rPr>
                      <w:rFonts w:ascii="Times New Roman" w:hAnsi="Times New Roman" w:cs="Times New Roman"/>
                      <w:color w:val="auto"/>
                      <w:szCs w:val="21"/>
                    </w:rPr>
                  </w:pPr>
                  <w:r>
                    <w:rPr>
                      <w:rFonts w:ascii="Times New Roman" w:hAnsi="Times New Roman" w:cs="Times New Roman"/>
                      <w:color w:val="auto"/>
                      <w:szCs w:val="21"/>
                    </w:rPr>
                    <w:t>在厂界四周设置监控点</w:t>
                  </w:r>
                </w:p>
              </w:tc>
              <w:tc>
                <w:tcPr>
                  <w:tcW w:w="805" w:type="pct"/>
                  <w:tcBorders>
                    <w:top w:val="single" w:color="auto" w:sz="4" w:space="0"/>
                    <w:left w:val="single" w:color="auto" w:sz="4" w:space="0"/>
                    <w:bottom w:val="single" w:color="auto" w:sz="4" w:space="0"/>
                    <w:right w:val="single" w:color="auto" w:sz="4" w:space="0"/>
                  </w:tcBorders>
                  <w:noWrap w:val="0"/>
                  <w:vAlign w:val="center"/>
                </w:tcPr>
                <w:p w14:paraId="185AC1C2">
                  <w:pPr>
                    <w:pStyle w:val="29"/>
                    <w:jc w:val="center"/>
                    <w:rPr>
                      <w:rFonts w:ascii="Times New Roman" w:hAnsi="Times New Roman" w:cs="Times New Roman"/>
                      <w:color w:val="auto"/>
                      <w:szCs w:val="21"/>
                    </w:rPr>
                  </w:pPr>
                  <w:r>
                    <w:rPr>
                      <w:rFonts w:ascii="Times New Roman" w:hAnsi="Times New Roman" w:cs="Times New Roman"/>
                      <w:color w:val="auto"/>
                      <w:szCs w:val="21"/>
                    </w:rPr>
                    <w:t>/</w:t>
                  </w:r>
                </w:p>
              </w:tc>
              <w:tc>
                <w:tcPr>
                  <w:tcW w:w="184" w:type="pct"/>
                  <w:tcBorders>
                    <w:top w:val="single" w:color="auto" w:sz="4" w:space="0"/>
                    <w:left w:val="single" w:color="auto" w:sz="4" w:space="0"/>
                    <w:bottom w:val="single" w:color="auto" w:sz="4" w:space="0"/>
                    <w:right w:val="single" w:color="auto" w:sz="4" w:space="0"/>
                  </w:tcBorders>
                  <w:noWrap w:val="0"/>
                  <w:vAlign w:val="center"/>
                </w:tcPr>
                <w:p w14:paraId="0DFA02CA">
                  <w:pPr>
                    <w:pStyle w:val="29"/>
                    <w:jc w:val="center"/>
                    <w:rPr>
                      <w:rFonts w:ascii="Times New Roman" w:hAnsi="Times New Roman" w:cs="Times New Roman"/>
                      <w:color w:val="auto"/>
                      <w:szCs w:val="21"/>
                    </w:rPr>
                  </w:pPr>
                  <w:r>
                    <w:rPr>
                      <w:rFonts w:ascii="Times New Roman" w:hAnsi="Times New Roman" w:cs="Times New Roman"/>
                      <w:color w:val="auto"/>
                      <w:szCs w:val="21"/>
                    </w:rPr>
                    <w:t>/</w:t>
                  </w:r>
                </w:p>
              </w:tc>
              <w:tc>
                <w:tcPr>
                  <w:tcW w:w="192" w:type="pct"/>
                  <w:tcBorders>
                    <w:top w:val="single" w:color="auto" w:sz="4" w:space="0"/>
                    <w:left w:val="single" w:color="auto" w:sz="4" w:space="0"/>
                    <w:bottom w:val="single" w:color="auto" w:sz="4" w:space="0"/>
                    <w:right w:val="single" w:color="auto" w:sz="4" w:space="0"/>
                  </w:tcBorders>
                  <w:noWrap w:val="0"/>
                  <w:vAlign w:val="center"/>
                </w:tcPr>
                <w:p w14:paraId="54618AC3">
                  <w:pPr>
                    <w:pStyle w:val="29"/>
                    <w:jc w:val="center"/>
                    <w:rPr>
                      <w:rFonts w:ascii="Times New Roman" w:hAnsi="Times New Roman" w:cs="Times New Roman"/>
                      <w:color w:val="auto"/>
                      <w:szCs w:val="21"/>
                    </w:rPr>
                  </w:pPr>
                  <w:r>
                    <w:rPr>
                      <w:rFonts w:ascii="Times New Roman" w:hAnsi="Times New Roman" w:cs="Times New Roman"/>
                      <w:color w:val="auto"/>
                      <w:szCs w:val="21"/>
                    </w:rPr>
                    <w:t>/</w:t>
                  </w:r>
                </w:p>
              </w:tc>
              <w:tc>
                <w:tcPr>
                  <w:tcW w:w="266" w:type="pct"/>
                  <w:tcBorders>
                    <w:top w:val="single" w:color="auto" w:sz="4" w:space="0"/>
                    <w:left w:val="single" w:color="auto" w:sz="4" w:space="0"/>
                    <w:bottom w:val="single" w:color="auto" w:sz="4" w:space="0"/>
                    <w:right w:val="single" w:color="auto" w:sz="4" w:space="0"/>
                  </w:tcBorders>
                  <w:noWrap w:val="0"/>
                  <w:vAlign w:val="center"/>
                </w:tcPr>
                <w:p w14:paraId="1783EA1F">
                  <w:pPr>
                    <w:pStyle w:val="29"/>
                    <w:jc w:val="center"/>
                    <w:rPr>
                      <w:rFonts w:ascii="Times New Roman" w:hAnsi="Times New Roman" w:cs="Times New Roman"/>
                      <w:color w:val="auto"/>
                      <w:szCs w:val="21"/>
                    </w:rPr>
                  </w:pPr>
                  <w:r>
                    <w:rPr>
                      <w:rFonts w:ascii="Times New Roman" w:hAnsi="Times New Roman" w:cs="Times New Roman"/>
                      <w:color w:val="auto"/>
                      <w:szCs w:val="21"/>
                    </w:rPr>
                    <w:t>/</w:t>
                  </w:r>
                </w:p>
              </w:tc>
              <w:tc>
                <w:tcPr>
                  <w:tcW w:w="449" w:type="pct"/>
                  <w:tcBorders>
                    <w:top w:val="single" w:color="auto" w:sz="4" w:space="0"/>
                    <w:left w:val="single" w:color="auto" w:sz="4" w:space="0"/>
                    <w:bottom w:val="single" w:color="auto" w:sz="4" w:space="0"/>
                    <w:right w:val="single" w:color="auto" w:sz="4" w:space="0"/>
                  </w:tcBorders>
                  <w:noWrap w:val="0"/>
                  <w:vAlign w:val="center"/>
                </w:tcPr>
                <w:p w14:paraId="6949310D">
                  <w:pPr>
                    <w:pStyle w:val="29"/>
                    <w:jc w:val="center"/>
                    <w:rPr>
                      <w:rFonts w:ascii="Times New Roman" w:hAnsi="Times New Roman" w:cs="Times New Roman"/>
                      <w:color w:val="auto"/>
                      <w:szCs w:val="21"/>
                    </w:rPr>
                  </w:pPr>
                  <w:r>
                    <w:rPr>
                      <w:rFonts w:ascii="Times New Roman" w:hAnsi="Times New Roman" w:cs="Times New Roman"/>
                      <w:color w:val="auto"/>
                      <w:szCs w:val="21"/>
                    </w:rPr>
                    <w:t>/</w:t>
                  </w:r>
                </w:p>
              </w:tc>
              <w:tc>
                <w:tcPr>
                  <w:tcW w:w="815" w:type="pct"/>
                  <w:tcBorders>
                    <w:top w:val="single" w:color="auto" w:sz="4" w:space="0"/>
                    <w:left w:val="single" w:color="auto" w:sz="4" w:space="0"/>
                    <w:bottom w:val="single" w:color="auto" w:sz="4" w:space="0"/>
                    <w:right w:val="single" w:color="auto" w:sz="4" w:space="0"/>
                  </w:tcBorders>
                  <w:noWrap w:val="0"/>
                  <w:vAlign w:val="center"/>
                </w:tcPr>
                <w:p w14:paraId="15249EBC">
                  <w:pPr>
                    <w:pStyle w:val="29"/>
                    <w:jc w:val="center"/>
                    <w:rPr>
                      <w:rFonts w:ascii="Times New Roman" w:hAnsi="Times New Roman" w:cs="Times New Roman"/>
                      <w:color w:val="auto"/>
                      <w:szCs w:val="21"/>
                    </w:rPr>
                  </w:pPr>
                  <w:r>
                    <w:rPr>
                      <w:rFonts w:ascii="Times New Roman" w:hAnsi="Times New Roman" w:cs="Times New Roman"/>
                      <w:color w:val="auto"/>
                      <w:szCs w:val="21"/>
                    </w:rPr>
                    <w:t>0.5</w:t>
                  </w:r>
                </w:p>
              </w:tc>
              <w:tc>
                <w:tcPr>
                  <w:tcW w:w="312" w:type="pct"/>
                  <w:tcBorders>
                    <w:top w:val="single" w:color="auto" w:sz="4" w:space="0"/>
                    <w:left w:val="single" w:color="auto" w:sz="4" w:space="0"/>
                    <w:bottom w:val="single" w:color="auto" w:sz="4" w:space="0"/>
                    <w:right w:val="single" w:color="auto" w:sz="4" w:space="0"/>
                  </w:tcBorders>
                  <w:noWrap w:val="0"/>
                  <w:vAlign w:val="center"/>
                </w:tcPr>
                <w:p w14:paraId="5954A04C">
                  <w:pPr>
                    <w:pStyle w:val="29"/>
                    <w:jc w:val="center"/>
                    <w:rPr>
                      <w:rFonts w:ascii="Times New Roman" w:hAnsi="Times New Roman" w:cs="Times New Roman"/>
                      <w:color w:val="auto"/>
                      <w:szCs w:val="21"/>
                    </w:rPr>
                  </w:pPr>
                  <w:r>
                    <w:rPr>
                      <w:rFonts w:ascii="Times New Roman" w:hAnsi="Times New Roman" w:cs="Times New Roman"/>
                      <w:color w:val="auto"/>
                      <w:szCs w:val="21"/>
                    </w:rPr>
                    <w:t>厂界四周</w:t>
                  </w:r>
                </w:p>
              </w:tc>
              <w:tc>
                <w:tcPr>
                  <w:tcW w:w="444" w:type="pct"/>
                  <w:tcBorders>
                    <w:top w:val="single" w:color="auto" w:sz="4" w:space="0"/>
                    <w:left w:val="single" w:color="auto" w:sz="4" w:space="0"/>
                    <w:bottom w:val="single" w:color="auto" w:sz="4" w:space="0"/>
                    <w:right w:val="single" w:color="auto" w:sz="4" w:space="0"/>
                  </w:tcBorders>
                  <w:noWrap w:val="0"/>
                  <w:vAlign w:val="center"/>
                </w:tcPr>
                <w:p w14:paraId="3B61F996">
                  <w:pPr>
                    <w:pStyle w:val="29"/>
                    <w:jc w:val="center"/>
                    <w:rPr>
                      <w:rFonts w:ascii="Times New Roman" w:hAnsi="Times New Roman" w:cs="Times New Roman"/>
                      <w:color w:val="auto"/>
                      <w:szCs w:val="21"/>
                    </w:rPr>
                  </w:pPr>
                  <w:r>
                    <w:rPr>
                      <w:rFonts w:ascii="Times New Roman" w:hAnsi="Times New Roman" w:cs="Times New Roman"/>
                      <w:color w:val="auto"/>
                      <w:szCs w:val="21"/>
                    </w:rPr>
                    <w:t>颗粒物</w:t>
                  </w:r>
                </w:p>
              </w:tc>
              <w:tc>
                <w:tcPr>
                  <w:tcW w:w="340" w:type="pct"/>
                  <w:tcBorders>
                    <w:top w:val="single" w:color="auto" w:sz="4" w:space="0"/>
                    <w:left w:val="single" w:color="auto" w:sz="4" w:space="0"/>
                    <w:bottom w:val="single" w:color="auto" w:sz="4" w:space="0"/>
                    <w:right w:val="nil"/>
                  </w:tcBorders>
                  <w:noWrap w:val="0"/>
                  <w:vAlign w:val="center"/>
                </w:tcPr>
                <w:p w14:paraId="58EC8B11">
                  <w:pPr>
                    <w:pStyle w:val="29"/>
                    <w:jc w:val="center"/>
                    <w:rPr>
                      <w:rFonts w:ascii="Times New Roman" w:hAnsi="Times New Roman" w:cs="Times New Roman"/>
                      <w:color w:val="auto"/>
                      <w:szCs w:val="21"/>
                    </w:rPr>
                  </w:pPr>
                  <w:r>
                    <w:rPr>
                      <w:rFonts w:ascii="Times New Roman" w:hAnsi="Times New Roman" w:cs="Times New Roman"/>
                      <w:color w:val="auto"/>
                      <w:szCs w:val="21"/>
                    </w:rPr>
                    <w:t>1次/年</w:t>
                  </w:r>
                </w:p>
              </w:tc>
            </w:tr>
            <w:tr w14:paraId="410F7A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04" w:type="pct"/>
                  <w:vMerge w:val="restart"/>
                  <w:tcBorders>
                    <w:top w:val="single" w:color="auto" w:sz="4" w:space="0"/>
                    <w:left w:val="nil"/>
                    <w:bottom w:val="single" w:color="000000" w:sz="12" w:space="0"/>
                    <w:right w:val="single" w:color="auto" w:sz="4" w:space="0"/>
                  </w:tcBorders>
                  <w:noWrap w:val="0"/>
                  <w:vAlign w:val="center"/>
                </w:tcPr>
                <w:p w14:paraId="1193A35E">
                  <w:pPr>
                    <w:pStyle w:val="29"/>
                    <w:jc w:val="both"/>
                    <w:rPr>
                      <w:rFonts w:ascii="Times New Roman" w:hAnsi="Times New Roman" w:cs="Times New Roman"/>
                      <w:color w:val="auto"/>
                      <w:szCs w:val="21"/>
                    </w:rPr>
                  </w:pPr>
                  <w:r>
                    <w:rPr>
                      <w:rFonts w:ascii="Times New Roman" w:hAnsi="Times New Roman" w:cs="Times New Roman"/>
                      <w:color w:val="auto"/>
                      <w:szCs w:val="21"/>
                    </w:rPr>
                    <w:t>有组织</w:t>
                  </w:r>
                </w:p>
              </w:tc>
              <w:tc>
                <w:tcPr>
                  <w:tcW w:w="360" w:type="pct"/>
                  <w:tcBorders>
                    <w:top w:val="single" w:color="auto" w:sz="4" w:space="0"/>
                    <w:left w:val="single" w:color="auto" w:sz="4" w:space="0"/>
                    <w:bottom w:val="single" w:color="auto" w:sz="4" w:space="0"/>
                    <w:right w:val="single" w:color="auto" w:sz="4" w:space="0"/>
                  </w:tcBorders>
                  <w:noWrap w:val="0"/>
                  <w:vAlign w:val="center"/>
                </w:tcPr>
                <w:p w14:paraId="71131F02">
                  <w:pPr>
                    <w:pStyle w:val="29"/>
                    <w:jc w:val="center"/>
                    <w:rPr>
                      <w:rFonts w:ascii="Times New Roman" w:hAnsi="Times New Roman" w:cs="Times New Roman"/>
                      <w:color w:val="auto"/>
                      <w:szCs w:val="21"/>
                    </w:rPr>
                  </w:pPr>
                  <w:r>
                    <w:rPr>
                      <w:rFonts w:ascii="Times New Roman" w:hAnsi="Times New Roman" w:cs="Times New Roman"/>
                      <w:color w:val="auto"/>
                      <w:szCs w:val="21"/>
                      <w:lang w:val="en-US"/>
                    </w:rPr>
                    <w:t>颗粒物</w:t>
                  </w:r>
                </w:p>
              </w:tc>
              <w:tc>
                <w:tcPr>
                  <w:tcW w:w="525" w:type="pct"/>
                  <w:vMerge w:val="restart"/>
                  <w:tcBorders>
                    <w:top w:val="single" w:color="auto" w:sz="4" w:space="0"/>
                    <w:left w:val="single" w:color="auto" w:sz="4" w:space="0"/>
                    <w:right w:val="single" w:color="auto" w:sz="4" w:space="0"/>
                  </w:tcBorders>
                  <w:noWrap w:val="0"/>
                  <w:vAlign w:val="center"/>
                </w:tcPr>
                <w:p w14:paraId="1CC33D74">
                  <w:pPr>
                    <w:pStyle w:val="29"/>
                    <w:jc w:val="center"/>
                    <w:rPr>
                      <w:rFonts w:hint="eastAsia" w:ascii="Times New Roman" w:hAnsi="Times New Roman" w:eastAsia="宋体" w:cs="Times New Roman"/>
                      <w:color w:val="auto"/>
                      <w:szCs w:val="21"/>
                      <w:lang w:eastAsia="zh-CN"/>
                    </w:rPr>
                  </w:pPr>
                  <w:r>
                    <w:rPr>
                      <w:rFonts w:ascii="Times New Roman" w:hAnsi="Times New Roman" w:cs="Times New Roman"/>
                      <w:color w:val="auto"/>
                      <w:szCs w:val="21"/>
                    </w:rPr>
                    <w:t>DA00</w:t>
                  </w:r>
                  <w:r>
                    <w:rPr>
                      <w:rFonts w:hint="eastAsia" w:ascii="Times New Roman" w:hAnsi="Times New Roman" w:cs="Times New Roman"/>
                      <w:color w:val="auto"/>
                      <w:szCs w:val="21"/>
                      <w:lang w:val="en-US" w:eastAsia="zh-CN"/>
                    </w:rPr>
                    <w:t>1</w:t>
                  </w:r>
                </w:p>
              </w:tc>
              <w:tc>
                <w:tcPr>
                  <w:tcW w:w="805" w:type="pct"/>
                  <w:vMerge w:val="restart"/>
                  <w:tcBorders>
                    <w:top w:val="single" w:color="auto" w:sz="4" w:space="0"/>
                    <w:left w:val="single" w:color="auto" w:sz="4" w:space="0"/>
                    <w:right w:val="single" w:color="auto" w:sz="4" w:space="0"/>
                  </w:tcBorders>
                  <w:noWrap w:val="0"/>
                  <w:vAlign w:val="center"/>
                </w:tcPr>
                <w:p w14:paraId="18E54EF7">
                  <w:pPr>
                    <w:pStyle w:val="45"/>
                    <w:wordWrap w:val="0"/>
                    <w:jc w:val="center"/>
                    <w:rPr>
                      <w:rFonts w:hint="default" w:ascii="Times New Roman" w:hAnsi="Times New Roman" w:cs="Times New Roman"/>
                      <w:b w:val="0"/>
                      <w:bCs/>
                      <w:color w:val="auto"/>
                      <w:sz w:val="21"/>
                    </w:rPr>
                  </w:pPr>
                  <w:r>
                    <w:rPr>
                      <w:rFonts w:hint="default" w:ascii="Times New Roman" w:hAnsi="Times New Roman" w:cs="Times New Roman"/>
                      <w:b w:val="0"/>
                      <w:bCs/>
                      <w:color w:val="auto"/>
                      <w:sz w:val="21"/>
                    </w:rPr>
                    <w:t>89°12'02.90</w:t>
                  </w:r>
                  <w:r>
                    <w:rPr>
                      <w:rFonts w:hint="eastAsia" w:ascii="Times New Roman" w:hAnsi="Times New Roman" w:cs="Times New Roman"/>
                      <w:b w:val="0"/>
                      <w:bCs/>
                      <w:color w:val="auto"/>
                      <w:sz w:val="21"/>
                      <w:lang w:val="en-US" w:eastAsia="zh-CN"/>
                    </w:rPr>
                    <w:t>9</w:t>
                  </w:r>
                  <w:r>
                    <w:rPr>
                      <w:rFonts w:hint="default" w:ascii="Times New Roman" w:hAnsi="Times New Roman" w:cs="Times New Roman"/>
                      <w:b w:val="0"/>
                      <w:bCs/>
                      <w:color w:val="auto"/>
                      <w:sz w:val="21"/>
                    </w:rPr>
                    <w:t>"</w:t>
                  </w:r>
                </w:p>
                <w:p w14:paraId="459BAE33">
                  <w:pPr>
                    <w:pStyle w:val="45"/>
                    <w:wordWrap w:val="0"/>
                    <w:jc w:val="center"/>
                    <w:rPr>
                      <w:rFonts w:ascii="Times New Roman" w:cs="Times New Roman"/>
                      <w:b w:val="0"/>
                      <w:bCs/>
                      <w:color w:val="auto"/>
                      <w:sz w:val="21"/>
                    </w:rPr>
                  </w:pPr>
                  <w:r>
                    <w:rPr>
                      <w:rFonts w:hint="default" w:ascii="Times New Roman" w:hAnsi="Times New Roman" w:cs="Times New Roman"/>
                      <w:b w:val="0"/>
                      <w:bCs/>
                      <w:color w:val="auto"/>
                      <w:sz w:val="21"/>
                    </w:rPr>
                    <w:t>43°56'45.314"</w:t>
                  </w:r>
                </w:p>
              </w:tc>
              <w:tc>
                <w:tcPr>
                  <w:tcW w:w="184" w:type="pct"/>
                  <w:vMerge w:val="restart"/>
                  <w:tcBorders>
                    <w:top w:val="single" w:color="auto" w:sz="4" w:space="0"/>
                    <w:left w:val="single" w:color="auto" w:sz="4" w:space="0"/>
                    <w:right w:val="single" w:color="auto" w:sz="4" w:space="0"/>
                  </w:tcBorders>
                  <w:noWrap w:val="0"/>
                  <w:vAlign w:val="center"/>
                </w:tcPr>
                <w:p w14:paraId="638AD851">
                  <w:pPr>
                    <w:pStyle w:val="29"/>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15</w:t>
                  </w:r>
                </w:p>
              </w:tc>
              <w:tc>
                <w:tcPr>
                  <w:tcW w:w="192" w:type="pct"/>
                  <w:vMerge w:val="restart"/>
                  <w:tcBorders>
                    <w:top w:val="single" w:color="auto" w:sz="4" w:space="0"/>
                    <w:left w:val="single" w:color="auto" w:sz="4" w:space="0"/>
                    <w:right w:val="single" w:color="auto" w:sz="4" w:space="0"/>
                  </w:tcBorders>
                  <w:noWrap w:val="0"/>
                  <w:vAlign w:val="center"/>
                </w:tcPr>
                <w:p w14:paraId="4DFDD825">
                  <w:pPr>
                    <w:pStyle w:val="29"/>
                    <w:jc w:val="center"/>
                    <w:rPr>
                      <w:rFonts w:ascii="Times New Roman" w:hAnsi="Times New Roman" w:cs="Times New Roman"/>
                      <w:color w:val="auto"/>
                      <w:szCs w:val="21"/>
                      <w:lang w:val="en-US"/>
                    </w:rPr>
                  </w:pPr>
                  <w:r>
                    <w:rPr>
                      <w:rFonts w:ascii="Times New Roman" w:hAnsi="Times New Roman" w:cs="Times New Roman"/>
                      <w:color w:val="auto"/>
                      <w:szCs w:val="21"/>
                    </w:rPr>
                    <w:t>0.</w:t>
                  </w:r>
                  <w:r>
                    <w:rPr>
                      <w:rFonts w:ascii="Times New Roman" w:hAnsi="Times New Roman" w:cs="Times New Roman"/>
                      <w:color w:val="auto"/>
                      <w:szCs w:val="21"/>
                      <w:lang w:val="en-US"/>
                    </w:rPr>
                    <w:t>5</w:t>
                  </w:r>
                </w:p>
              </w:tc>
              <w:tc>
                <w:tcPr>
                  <w:tcW w:w="266" w:type="pct"/>
                  <w:vMerge w:val="restart"/>
                  <w:tcBorders>
                    <w:top w:val="single" w:color="auto" w:sz="4" w:space="0"/>
                    <w:left w:val="single" w:color="auto" w:sz="4" w:space="0"/>
                    <w:right w:val="single" w:color="auto" w:sz="4" w:space="0"/>
                  </w:tcBorders>
                  <w:noWrap w:val="0"/>
                  <w:vAlign w:val="center"/>
                </w:tcPr>
                <w:p w14:paraId="5E4B215D">
                  <w:pPr>
                    <w:pStyle w:val="29"/>
                    <w:jc w:val="center"/>
                    <w:rPr>
                      <w:rFonts w:hint="default" w:ascii="Times New Roman" w:hAnsi="Times New Roman" w:cs="Times New Roman"/>
                      <w:color w:val="auto"/>
                      <w:szCs w:val="21"/>
                      <w:lang w:val="en-US"/>
                    </w:rPr>
                  </w:pPr>
                  <w:r>
                    <w:rPr>
                      <w:rFonts w:hint="eastAsia" w:ascii="Times New Roman" w:hAnsi="Times New Roman" w:cs="Times New Roman"/>
                      <w:color w:val="auto"/>
                      <w:szCs w:val="21"/>
                      <w:lang w:val="en-US" w:eastAsia="zh-CN"/>
                    </w:rPr>
                    <w:t>255</w:t>
                  </w:r>
                </w:p>
              </w:tc>
              <w:tc>
                <w:tcPr>
                  <w:tcW w:w="449" w:type="pct"/>
                  <w:vMerge w:val="restart"/>
                  <w:tcBorders>
                    <w:top w:val="single" w:color="auto" w:sz="4" w:space="0"/>
                    <w:left w:val="single" w:color="auto" w:sz="4" w:space="0"/>
                    <w:right w:val="single" w:color="auto" w:sz="4" w:space="0"/>
                  </w:tcBorders>
                  <w:noWrap w:val="0"/>
                  <w:vAlign w:val="center"/>
                </w:tcPr>
                <w:p w14:paraId="5FE2FD1A">
                  <w:pPr>
                    <w:pStyle w:val="29"/>
                    <w:jc w:val="center"/>
                    <w:rPr>
                      <w:rFonts w:ascii="Times New Roman" w:hAnsi="Times New Roman" w:cs="Times New Roman"/>
                      <w:color w:val="auto"/>
                      <w:szCs w:val="21"/>
                    </w:rPr>
                  </w:pPr>
                  <w:r>
                    <w:rPr>
                      <w:rFonts w:ascii="Times New Roman" w:hAnsi="Times New Roman" w:cs="Times New Roman"/>
                      <w:color w:val="auto"/>
                      <w:szCs w:val="21"/>
                    </w:rPr>
                    <w:t>一般排放口</w:t>
                  </w:r>
                </w:p>
              </w:tc>
              <w:tc>
                <w:tcPr>
                  <w:tcW w:w="815" w:type="pct"/>
                  <w:tcBorders>
                    <w:top w:val="single" w:color="auto" w:sz="4" w:space="0"/>
                    <w:left w:val="single" w:color="auto" w:sz="4" w:space="0"/>
                    <w:bottom w:val="single" w:color="auto" w:sz="4" w:space="0"/>
                    <w:right w:val="single" w:color="auto" w:sz="4" w:space="0"/>
                  </w:tcBorders>
                  <w:noWrap w:val="0"/>
                  <w:vAlign w:val="center"/>
                </w:tcPr>
                <w:p w14:paraId="166B5DCF">
                  <w:pPr>
                    <w:pStyle w:val="29"/>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30</w:t>
                  </w:r>
                </w:p>
              </w:tc>
              <w:tc>
                <w:tcPr>
                  <w:tcW w:w="312" w:type="pct"/>
                  <w:vMerge w:val="restart"/>
                  <w:tcBorders>
                    <w:top w:val="single" w:color="auto" w:sz="4" w:space="0"/>
                    <w:left w:val="single" w:color="auto" w:sz="4" w:space="0"/>
                    <w:right w:val="single" w:color="auto" w:sz="4" w:space="0"/>
                  </w:tcBorders>
                  <w:noWrap w:val="0"/>
                  <w:vAlign w:val="center"/>
                </w:tcPr>
                <w:p w14:paraId="378B8A0A">
                  <w:pPr>
                    <w:pStyle w:val="29"/>
                    <w:jc w:val="center"/>
                    <w:rPr>
                      <w:rFonts w:ascii="Times New Roman" w:hAnsi="Times New Roman" w:cs="Times New Roman"/>
                      <w:color w:val="auto"/>
                      <w:szCs w:val="21"/>
                    </w:rPr>
                  </w:pPr>
                  <w:r>
                    <w:rPr>
                      <w:rFonts w:ascii="Times New Roman" w:hAnsi="Times New Roman" w:cs="Times New Roman"/>
                      <w:color w:val="auto"/>
                      <w:szCs w:val="21"/>
                    </w:rPr>
                    <w:t>排气筒</w:t>
                  </w:r>
                </w:p>
              </w:tc>
              <w:tc>
                <w:tcPr>
                  <w:tcW w:w="444" w:type="pct"/>
                  <w:tcBorders>
                    <w:top w:val="single" w:color="auto" w:sz="4" w:space="0"/>
                    <w:left w:val="single" w:color="auto" w:sz="4" w:space="0"/>
                    <w:bottom w:val="single" w:color="auto" w:sz="4" w:space="0"/>
                    <w:right w:val="single" w:color="auto" w:sz="4" w:space="0"/>
                  </w:tcBorders>
                  <w:noWrap w:val="0"/>
                  <w:vAlign w:val="center"/>
                </w:tcPr>
                <w:p w14:paraId="7A758C95">
                  <w:pPr>
                    <w:pStyle w:val="29"/>
                    <w:jc w:val="center"/>
                    <w:rPr>
                      <w:rFonts w:ascii="Times New Roman" w:hAnsi="Times New Roman" w:cs="Times New Roman"/>
                      <w:color w:val="auto"/>
                      <w:szCs w:val="21"/>
                    </w:rPr>
                  </w:pPr>
                  <w:r>
                    <w:rPr>
                      <w:rFonts w:ascii="Times New Roman" w:hAnsi="Times New Roman" w:cs="Times New Roman"/>
                      <w:color w:val="auto"/>
                      <w:szCs w:val="21"/>
                      <w:lang w:val="en-US"/>
                    </w:rPr>
                    <w:t>颗粒物</w:t>
                  </w:r>
                </w:p>
              </w:tc>
              <w:tc>
                <w:tcPr>
                  <w:tcW w:w="340" w:type="pct"/>
                  <w:tcBorders>
                    <w:top w:val="single" w:color="auto" w:sz="4" w:space="0"/>
                    <w:left w:val="single" w:color="auto" w:sz="4" w:space="0"/>
                    <w:right w:val="nil"/>
                  </w:tcBorders>
                  <w:noWrap w:val="0"/>
                  <w:vAlign w:val="center"/>
                </w:tcPr>
                <w:p w14:paraId="46CEDDEA">
                  <w:pPr>
                    <w:pStyle w:val="29"/>
                    <w:jc w:val="center"/>
                    <w:rPr>
                      <w:rFonts w:hint="eastAsia" w:ascii="Times New Roman" w:hAnsi="Times New Roman" w:eastAsia="宋体" w:cs="Times New Roman"/>
                      <w:color w:val="auto"/>
                      <w:szCs w:val="21"/>
                      <w:lang w:val="en-US" w:eastAsia="zh-CN"/>
                    </w:rPr>
                  </w:pPr>
                  <w:r>
                    <w:rPr>
                      <w:rFonts w:ascii="Times New Roman" w:hAnsi="Times New Roman" w:cs="Times New Roman"/>
                      <w:color w:val="auto"/>
                      <w:szCs w:val="21"/>
                    </w:rPr>
                    <w:t>1次/</w:t>
                  </w:r>
                  <w:r>
                    <w:rPr>
                      <w:rFonts w:hint="eastAsia" w:ascii="Times New Roman" w:hAnsi="Times New Roman" w:cs="Times New Roman"/>
                      <w:color w:val="auto"/>
                      <w:szCs w:val="21"/>
                      <w:lang w:val="en-US" w:eastAsia="zh-CN"/>
                    </w:rPr>
                    <w:t>年</w:t>
                  </w:r>
                </w:p>
              </w:tc>
            </w:tr>
            <w:tr w14:paraId="62CA1C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04" w:type="pct"/>
                  <w:vMerge w:val="continue"/>
                  <w:tcBorders>
                    <w:top w:val="single" w:color="000000" w:sz="12" w:space="0"/>
                    <w:left w:val="nil"/>
                    <w:bottom w:val="single" w:color="000000" w:sz="12" w:space="0"/>
                    <w:right w:val="single" w:color="auto" w:sz="4" w:space="0"/>
                  </w:tcBorders>
                  <w:noWrap w:val="0"/>
                  <w:vAlign w:val="center"/>
                </w:tcPr>
                <w:p w14:paraId="7DEFFF2C">
                  <w:pPr>
                    <w:pStyle w:val="29"/>
                    <w:jc w:val="center"/>
                    <w:rPr>
                      <w:rFonts w:ascii="Times New Roman" w:hAnsi="Times New Roman" w:cs="Times New Roman"/>
                      <w:color w:val="auto"/>
                      <w:szCs w:val="21"/>
                    </w:rPr>
                  </w:pPr>
                </w:p>
              </w:tc>
              <w:tc>
                <w:tcPr>
                  <w:tcW w:w="360" w:type="pct"/>
                  <w:tcBorders>
                    <w:top w:val="single" w:color="auto" w:sz="4" w:space="0"/>
                    <w:left w:val="single" w:color="auto" w:sz="4" w:space="0"/>
                    <w:bottom w:val="single" w:color="auto" w:sz="4" w:space="0"/>
                    <w:right w:val="single" w:color="auto" w:sz="4" w:space="0"/>
                  </w:tcBorders>
                  <w:noWrap w:val="0"/>
                  <w:vAlign w:val="center"/>
                </w:tcPr>
                <w:p w14:paraId="55657D8E">
                  <w:pPr>
                    <w:pStyle w:val="29"/>
                    <w:jc w:val="center"/>
                    <w:rPr>
                      <w:rFonts w:ascii="Times New Roman" w:hAnsi="Times New Roman" w:cs="Times New Roman"/>
                      <w:color w:val="auto"/>
                      <w:szCs w:val="21"/>
                    </w:rPr>
                  </w:pPr>
                  <w:r>
                    <w:rPr>
                      <w:rFonts w:ascii="Times New Roman" w:hAnsi="Times New Roman" w:cs="Times New Roman"/>
                      <w:color w:val="auto"/>
                      <w:sz w:val="24"/>
                      <w:lang w:val="en-US"/>
                    </w:rPr>
                    <w:t>SO</w:t>
                  </w:r>
                  <w:r>
                    <w:rPr>
                      <w:rFonts w:ascii="Times New Roman" w:hAnsi="Times New Roman" w:cs="Times New Roman"/>
                      <w:color w:val="auto"/>
                      <w:sz w:val="24"/>
                      <w:vertAlign w:val="subscript"/>
                      <w:lang w:val="en-US"/>
                    </w:rPr>
                    <w:t>2</w:t>
                  </w:r>
                </w:p>
              </w:tc>
              <w:tc>
                <w:tcPr>
                  <w:tcW w:w="525" w:type="pct"/>
                  <w:vMerge w:val="continue"/>
                  <w:tcBorders>
                    <w:left w:val="single" w:color="auto" w:sz="4" w:space="0"/>
                    <w:right w:val="single" w:color="auto" w:sz="4" w:space="0"/>
                  </w:tcBorders>
                  <w:noWrap w:val="0"/>
                  <w:vAlign w:val="center"/>
                </w:tcPr>
                <w:p w14:paraId="1902C192">
                  <w:pPr>
                    <w:pStyle w:val="29"/>
                    <w:jc w:val="center"/>
                    <w:rPr>
                      <w:rFonts w:ascii="Times New Roman" w:hAnsi="Times New Roman" w:cs="Times New Roman"/>
                      <w:color w:val="auto"/>
                      <w:szCs w:val="21"/>
                    </w:rPr>
                  </w:pPr>
                </w:p>
              </w:tc>
              <w:tc>
                <w:tcPr>
                  <w:tcW w:w="805" w:type="pct"/>
                  <w:vMerge w:val="continue"/>
                  <w:tcBorders>
                    <w:left w:val="single" w:color="auto" w:sz="4" w:space="0"/>
                    <w:right w:val="single" w:color="auto" w:sz="4" w:space="0"/>
                  </w:tcBorders>
                  <w:noWrap w:val="0"/>
                  <w:vAlign w:val="center"/>
                </w:tcPr>
                <w:p w14:paraId="6A9C2C75">
                  <w:pPr>
                    <w:pStyle w:val="29"/>
                    <w:jc w:val="center"/>
                    <w:rPr>
                      <w:rFonts w:ascii="Times New Roman" w:hAnsi="Times New Roman" w:cs="Times New Roman"/>
                      <w:color w:val="auto"/>
                      <w:szCs w:val="21"/>
                    </w:rPr>
                  </w:pPr>
                </w:p>
              </w:tc>
              <w:tc>
                <w:tcPr>
                  <w:tcW w:w="184" w:type="pct"/>
                  <w:vMerge w:val="continue"/>
                  <w:tcBorders>
                    <w:left w:val="single" w:color="auto" w:sz="4" w:space="0"/>
                    <w:right w:val="single" w:color="auto" w:sz="4" w:space="0"/>
                  </w:tcBorders>
                  <w:noWrap w:val="0"/>
                  <w:vAlign w:val="center"/>
                </w:tcPr>
                <w:p w14:paraId="0CFED324">
                  <w:pPr>
                    <w:pStyle w:val="29"/>
                    <w:jc w:val="center"/>
                    <w:rPr>
                      <w:rFonts w:ascii="Times New Roman" w:hAnsi="Times New Roman" w:cs="Times New Roman"/>
                      <w:color w:val="auto"/>
                      <w:szCs w:val="21"/>
                    </w:rPr>
                  </w:pPr>
                </w:p>
              </w:tc>
              <w:tc>
                <w:tcPr>
                  <w:tcW w:w="192" w:type="pct"/>
                  <w:vMerge w:val="continue"/>
                  <w:tcBorders>
                    <w:left w:val="single" w:color="auto" w:sz="4" w:space="0"/>
                    <w:right w:val="single" w:color="auto" w:sz="4" w:space="0"/>
                  </w:tcBorders>
                  <w:noWrap w:val="0"/>
                  <w:vAlign w:val="center"/>
                </w:tcPr>
                <w:p w14:paraId="4A196F25">
                  <w:pPr>
                    <w:pStyle w:val="29"/>
                    <w:jc w:val="center"/>
                    <w:rPr>
                      <w:rFonts w:ascii="Times New Roman" w:hAnsi="Times New Roman" w:cs="Times New Roman"/>
                      <w:color w:val="auto"/>
                      <w:szCs w:val="21"/>
                    </w:rPr>
                  </w:pPr>
                </w:p>
              </w:tc>
              <w:tc>
                <w:tcPr>
                  <w:tcW w:w="266" w:type="pct"/>
                  <w:vMerge w:val="continue"/>
                  <w:tcBorders>
                    <w:left w:val="single" w:color="auto" w:sz="4" w:space="0"/>
                    <w:right w:val="single" w:color="auto" w:sz="4" w:space="0"/>
                  </w:tcBorders>
                  <w:noWrap w:val="0"/>
                  <w:vAlign w:val="center"/>
                </w:tcPr>
                <w:p w14:paraId="17BEEB30">
                  <w:pPr>
                    <w:pStyle w:val="29"/>
                    <w:jc w:val="center"/>
                    <w:rPr>
                      <w:rFonts w:ascii="Times New Roman" w:hAnsi="Times New Roman" w:cs="Times New Roman"/>
                      <w:color w:val="auto"/>
                      <w:szCs w:val="21"/>
                    </w:rPr>
                  </w:pPr>
                </w:p>
              </w:tc>
              <w:tc>
                <w:tcPr>
                  <w:tcW w:w="449" w:type="pct"/>
                  <w:vMerge w:val="continue"/>
                  <w:tcBorders>
                    <w:left w:val="single" w:color="auto" w:sz="4" w:space="0"/>
                    <w:right w:val="single" w:color="auto" w:sz="4" w:space="0"/>
                  </w:tcBorders>
                  <w:noWrap w:val="0"/>
                  <w:vAlign w:val="center"/>
                </w:tcPr>
                <w:p w14:paraId="6617F216">
                  <w:pPr>
                    <w:pStyle w:val="29"/>
                    <w:jc w:val="center"/>
                    <w:rPr>
                      <w:rFonts w:ascii="Times New Roman" w:hAnsi="Times New Roman" w:cs="Times New Roman"/>
                      <w:color w:val="auto"/>
                      <w:szCs w:val="21"/>
                    </w:rPr>
                  </w:pPr>
                </w:p>
              </w:tc>
              <w:tc>
                <w:tcPr>
                  <w:tcW w:w="815" w:type="pct"/>
                  <w:tcBorders>
                    <w:top w:val="single" w:color="auto" w:sz="4" w:space="0"/>
                    <w:left w:val="single" w:color="auto" w:sz="4" w:space="0"/>
                    <w:bottom w:val="single" w:color="auto" w:sz="4" w:space="0"/>
                    <w:right w:val="single" w:color="auto" w:sz="4" w:space="0"/>
                  </w:tcBorders>
                  <w:noWrap w:val="0"/>
                  <w:vAlign w:val="center"/>
                </w:tcPr>
                <w:p w14:paraId="27B9BEF8">
                  <w:pPr>
                    <w:pStyle w:val="29"/>
                    <w:jc w:val="center"/>
                    <w:rPr>
                      <w:rFonts w:ascii="Times New Roman" w:hAnsi="Times New Roman" w:cs="Times New Roman"/>
                      <w:color w:val="auto"/>
                      <w:szCs w:val="21"/>
                    </w:rPr>
                  </w:pPr>
                  <w:r>
                    <w:rPr>
                      <w:rFonts w:hint="eastAsia" w:ascii="Times New Roman" w:hAnsi="Times New Roman" w:eastAsia="宋体" w:cs="Times New Roman"/>
                      <w:color w:val="auto"/>
                      <w:szCs w:val="21"/>
                      <w:lang w:val="en-US" w:eastAsia="zh-CN"/>
                    </w:rPr>
                    <w:t>100</w:t>
                  </w:r>
                </w:p>
              </w:tc>
              <w:tc>
                <w:tcPr>
                  <w:tcW w:w="312" w:type="pct"/>
                  <w:vMerge w:val="continue"/>
                  <w:tcBorders>
                    <w:left w:val="single" w:color="auto" w:sz="4" w:space="0"/>
                    <w:right w:val="single" w:color="auto" w:sz="4" w:space="0"/>
                  </w:tcBorders>
                  <w:noWrap w:val="0"/>
                  <w:vAlign w:val="center"/>
                </w:tcPr>
                <w:p w14:paraId="1D676B8C">
                  <w:pPr>
                    <w:pStyle w:val="29"/>
                    <w:jc w:val="center"/>
                    <w:rPr>
                      <w:rFonts w:ascii="Times New Roman" w:hAnsi="Times New Roman" w:cs="Times New Roman"/>
                      <w:color w:val="auto"/>
                      <w:szCs w:val="21"/>
                    </w:rPr>
                  </w:pPr>
                </w:p>
              </w:tc>
              <w:tc>
                <w:tcPr>
                  <w:tcW w:w="444" w:type="pct"/>
                  <w:tcBorders>
                    <w:top w:val="single" w:color="auto" w:sz="4" w:space="0"/>
                    <w:left w:val="single" w:color="auto" w:sz="4" w:space="0"/>
                    <w:bottom w:val="single" w:color="auto" w:sz="4" w:space="0"/>
                    <w:right w:val="single" w:color="auto" w:sz="4" w:space="0"/>
                  </w:tcBorders>
                  <w:noWrap w:val="0"/>
                  <w:vAlign w:val="center"/>
                </w:tcPr>
                <w:p w14:paraId="2E418684">
                  <w:pPr>
                    <w:pStyle w:val="29"/>
                    <w:jc w:val="center"/>
                    <w:rPr>
                      <w:rFonts w:ascii="Times New Roman" w:hAnsi="Times New Roman" w:cs="Times New Roman"/>
                      <w:color w:val="auto"/>
                      <w:szCs w:val="21"/>
                    </w:rPr>
                  </w:pPr>
                  <w:r>
                    <w:rPr>
                      <w:rFonts w:hint="eastAsia" w:ascii="Times New Roman" w:hAnsi="Times New Roman" w:cs="Times New Roman"/>
                      <w:color w:val="auto"/>
                      <w:szCs w:val="21"/>
                      <w:lang w:val="en-US"/>
                    </w:rPr>
                    <w:t>SO</w:t>
                  </w:r>
                  <w:r>
                    <w:rPr>
                      <w:rFonts w:hint="eastAsia" w:ascii="Times New Roman" w:hAnsi="Times New Roman" w:cs="Times New Roman"/>
                      <w:color w:val="auto"/>
                      <w:szCs w:val="21"/>
                      <w:vertAlign w:val="subscript"/>
                      <w:lang w:val="en-US"/>
                    </w:rPr>
                    <w:t>2</w:t>
                  </w:r>
                </w:p>
              </w:tc>
              <w:tc>
                <w:tcPr>
                  <w:tcW w:w="340" w:type="pct"/>
                  <w:tcBorders>
                    <w:left w:val="single" w:color="auto" w:sz="4" w:space="0"/>
                    <w:right w:val="nil"/>
                  </w:tcBorders>
                  <w:noWrap w:val="0"/>
                  <w:vAlign w:val="center"/>
                </w:tcPr>
                <w:p w14:paraId="796779E3">
                  <w:pPr>
                    <w:pStyle w:val="29"/>
                    <w:jc w:val="center"/>
                    <w:rPr>
                      <w:rFonts w:ascii="Times New Roman" w:hAnsi="Times New Roman" w:cs="Times New Roman"/>
                      <w:color w:val="auto"/>
                      <w:szCs w:val="21"/>
                    </w:rPr>
                  </w:pPr>
                  <w:r>
                    <w:rPr>
                      <w:rFonts w:ascii="Times New Roman" w:hAnsi="Times New Roman" w:cs="Times New Roman"/>
                      <w:color w:val="auto"/>
                      <w:szCs w:val="21"/>
                    </w:rPr>
                    <w:t>1次/</w:t>
                  </w:r>
                  <w:r>
                    <w:rPr>
                      <w:rFonts w:hint="eastAsia" w:ascii="Times New Roman" w:hAnsi="Times New Roman" w:cs="Times New Roman"/>
                      <w:color w:val="auto"/>
                      <w:szCs w:val="21"/>
                      <w:lang w:val="en-US" w:eastAsia="zh-CN"/>
                    </w:rPr>
                    <w:t>年</w:t>
                  </w:r>
                </w:p>
              </w:tc>
            </w:tr>
            <w:tr w14:paraId="5560ED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04" w:type="pct"/>
                  <w:vMerge w:val="continue"/>
                  <w:tcBorders>
                    <w:top w:val="single" w:color="000000" w:sz="12" w:space="0"/>
                    <w:left w:val="nil"/>
                    <w:bottom w:val="single" w:color="000000" w:sz="12" w:space="0"/>
                    <w:right w:val="single" w:color="auto" w:sz="4" w:space="0"/>
                  </w:tcBorders>
                  <w:noWrap w:val="0"/>
                  <w:vAlign w:val="center"/>
                </w:tcPr>
                <w:p w14:paraId="4B223820">
                  <w:pPr>
                    <w:pStyle w:val="29"/>
                    <w:jc w:val="center"/>
                    <w:rPr>
                      <w:rFonts w:ascii="Times New Roman" w:hAnsi="Times New Roman" w:cs="Times New Roman"/>
                      <w:color w:val="auto"/>
                      <w:szCs w:val="21"/>
                    </w:rPr>
                  </w:pPr>
                </w:p>
              </w:tc>
              <w:tc>
                <w:tcPr>
                  <w:tcW w:w="360" w:type="pct"/>
                  <w:tcBorders>
                    <w:top w:val="single" w:color="auto" w:sz="4" w:space="0"/>
                    <w:left w:val="single" w:color="auto" w:sz="4" w:space="0"/>
                    <w:bottom w:val="single" w:color="auto" w:sz="4" w:space="0"/>
                    <w:right w:val="single" w:color="auto" w:sz="4" w:space="0"/>
                  </w:tcBorders>
                  <w:noWrap w:val="0"/>
                  <w:vAlign w:val="center"/>
                </w:tcPr>
                <w:p w14:paraId="13AC1313">
                  <w:pPr>
                    <w:pStyle w:val="29"/>
                    <w:jc w:val="center"/>
                    <w:rPr>
                      <w:rFonts w:ascii="Times New Roman" w:hAnsi="Times New Roman" w:cs="Times New Roman"/>
                      <w:color w:val="auto"/>
                      <w:szCs w:val="21"/>
                    </w:rPr>
                  </w:pPr>
                  <w:r>
                    <w:rPr>
                      <w:rFonts w:hint="eastAsia" w:ascii="Times New Roman" w:hAnsi="Times New Roman" w:cs="Times New Roman"/>
                      <w:color w:val="auto"/>
                      <w:szCs w:val="21"/>
                      <w:lang w:val="en-US"/>
                    </w:rPr>
                    <w:t>NOx</w:t>
                  </w:r>
                </w:p>
              </w:tc>
              <w:tc>
                <w:tcPr>
                  <w:tcW w:w="525" w:type="pct"/>
                  <w:vMerge w:val="continue"/>
                  <w:tcBorders>
                    <w:left w:val="single" w:color="auto" w:sz="4" w:space="0"/>
                    <w:right w:val="single" w:color="auto" w:sz="4" w:space="0"/>
                  </w:tcBorders>
                  <w:noWrap w:val="0"/>
                  <w:vAlign w:val="center"/>
                </w:tcPr>
                <w:p w14:paraId="2232DA8F">
                  <w:pPr>
                    <w:pStyle w:val="29"/>
                    <w:jc w:val="center"/>
                    <w:rPr>
                      <w:rFonts w:ascii="Times New Roman" w:hAnsi="Times New Roman" w:cs="Times New Roman"/>
                      <w:color w:val="auto"/>
                      <w:szCs w:val="21"/>
                    </w:rPr>
                  </w:pPr>
                </w:p>
              </w:tc>
              <w:tc>
                <w:tcPr>
                  <w:tcW w:w="805" w:type="pct"/>
                  <w:vMerge w:val="continue"/>
                  <w:tcBorders>
                    <w:left w:val="single" w:color="auto" w:sz="4" w:space="0"/>
                    <w:right w:val="single" w:color="auto" w:sz="4" w:space="0"/>
                  </w:tcBorders>
                  <w:noWrap w:val="0"/>
                  <w:vAlign w:val="center"/>
                </w:tcPr>
                <w:p w14:paraId="1602D37E">
                  <w:pPr>
                    <w:pStyle w:val="29"/>
                    <w:jc w:val="center"/>
                    <w:rPr>
                      <w:rFonts w:ascii="Times New Roman" w:hAnsi="Times New Roman" w:cs="Times New Roman"/>
                      <w:color w:val="auto"/>
                      <w:szCs w:val="21"/>
                    </w:rPr>
                  </w:pPr>
                </w:p>
              </w:tc>
              <w:tc>
                <w:tcPr>
                  <w:tcW w:w="184" w:type="pct"/>
                  <w:vMerge w:val="continue"/>
                  <w:tcBorders>
                    <w:left w:val="single" w:color="auto" w:sz="4" w:space="0"/>
                    <w:right w:val="single" w:color="auto" w:sz="4" w:space="0"/>
                  </w:tcBorders>
                  <w:noWrap w:val="0"/>
                  <w:vAlign w:val="center"/>
                </w:tcPr>
                <w:p w14:paraId="19A7CE6F">
                  <w:pPr>
                    <w:pStyle w:val="29"/>
                    <w:jc w:val="center"/>
                    <w:rPr>
                      <w:rFonts w:ascii="Times New Roman" w:hAnsi="Times New Roman" w:cs="Times New Roman"/>
                      <w:color w:val="auto"/>
                      <w:szCs w:val="21"/>
                    </w:rPr>
                  </w:pPr>
                </w:p>
              </w:tc>
              <w:tc>
                <w:tcPr>
                  <w:tcW w:w="192" w:type="pct"/>
                  <w:vMerge w:val="continue"/>
                  <w:tcBorders>
                    <w:left w:val="single" w:color="auto" w:sz="4" w:space="0"/>
                    <w:right w:val="single" w:color="auto" w:sz="4" w:space="0"/>
                  </w:tcBorders>
                  <w:noWrap w:val="0"/>
                  <w:vAlign w:val="center"/>
                </w:tcPr>
                <w:p w14:paraId="35D67FBF">
                  <w:pPr>
                    <w:pStyle w:val="29"/>
                    <w:jc w:val="center"/>
                    <w:rPr>
                      <w:rFonts w:ascii="Times New Roman" w:hAnsi="Times New Roman" w:cs="Times New Roman"/>
                      <w:color w:val="auto"/>
                      <w:szCs w:val="21"/>
                    </w:rPr>
                  </w:pPr>
                </w:p>
              </w:tc>
              <w:tc>
                <w:tcPr>
                  <w:tcW w:w="266" w:type="pct"/>
                  <w:vMerge w:val="continue"/>
                  <w:tcBorders>
                    <w:left w:val="single" w:color="auto" w:sz="4" w:space="0"/>
                    <w:right w:val="single" w:color="auto" w:sz="4" w:space="0"/>
                  </w:tcBorders>
                  <w:noWrap w:val="0"/>
                  <w:vAlign w:val="center"/>
                </w:tcPr>
                <w:p w14:paraId="446AEB6B">
                  <w:pPr>
                    <w:pStyle w:val="29"/>
                    <w:jc w:val="center"/>
                    <w:rPr>
                      <w:rFonts w:ascii="Times New Roman" w:hAnsi="Times New Roman" w:cs="Times New Roman"/>
                      <w:color w:val="auto"/>
                      <w:szCs w:val="21"/>
                    </w:rPr>
                  </w:pPr>
                </w:p>
              </w:tc>
              <w:tc>
                <w:tcPr>
                  <w:tcW w:w="449" w:type="pct"/>
                  <w:vMerge w:val="continue"/>
                  <w:tcBorders>
                    <w:left w:val="single" w:color="auto" w:sz="4" w:space="0"/>
                    <w:right w:val="single" w:color="auto" w:sz="4" w:space="0"/>
                  </w:tcBorders>
                  <w:noWrap w:val="0"/>
                  <w:vAlign w:val="center"/>
                </w:tcPr>
                <w:p w14:paraId="76559DE4">
                  <w:pPr>
                    <w:pStyle w:val="29"/>
                    <w:jc w:val="center"/>
                    <w:rPr>
                      <w:rFonts w:ascii="Times New Roman" w:hAnsi="Times New Roman" w:cs="Times New Roman"/>
                      <w:color w:val="auto"/>
                      <w:szCs w:val="21"/>
                    </w:rPr>
                  </w:pPr>
                </w:p>
              </w:tc>
              <w:tc>
                <w:tcPr>
                  <w:tcW w:w="815" w:type="pct"/>
                  <w:tcBorders>
                    <w:top w:val="single" w:color="auto" w:sz="4" w:space="0"/>
                    <w:left w:val="single" w:color="auto" w:sz="4" w:space="0"/>
                    <w:bottom w:val="single" w:color="auto" w:sz="4" w:space="0"/>
                    <w:right w:val="single" w:color="auto" w:sz="4" w:space="0"/>
                  </w:tcBorders>
                  <w:noWrap w:val="0"/>
                  <w:vAlign w:val="center"/>
                </w:tcPr>
                <w:p w14:paraId="551A6836">
                  <w:pPr>
                    <w:pStyle w:val="29"/>
                    <w:jc w:val="center"/>
                    <w:rPr>
                      <w:rFonts w:ascii="Times New Roman" w:hAnsi="Times New Roman" w:cs="Times New Roman"/>
                      <w:color w:val="auto"/>
                      <w:szCs w:val="21"/>
                    </w:rPr>
                  </w:pPr>
                  <w:r>
                    <w:rPr>
                      <w:rFonts w:hint="eastAsia" w:ascii="Times New Roman" w:hAnsi="Times New Roman" w:cs="Times New Roman"/>
                      <w:color w:val="auto"/>
                      <w:szCs w:val="21"/>
                      <w:lang w:val="en-US" w:eastAsia="zh-CN"/>
                    </w:rPr>
                    <w:t>50</w:t>
                  </w:r>
                </w:p>
              </w:tc>
              <w:tc>
                <w:tcPr>
                  <w:tcW w:w="312" w:type="pct"/>
                  <w:vMerge w:val="continue"/>
                  <w:tcBorders>
                    <w:left w:val="single" w:color="auto" w:sz="4" w:space="0"/>
                    <w:right w:val="single" w:color="auto" w:sz="4" w:space="0"/>
                  </w:tcBorders>
                  <w:noWrap w:val="0"/>
                  <w:vAlign w:val="center"/>
                </w:tcPr>
                <w:p w14:paraId="101EA4A0">
                  <w:pPr>
                    <w:pStyle w:val="29"/>
                    <w:jc w:val="center"/>
                    <w:rPr>
                      <w:rFonts w:ascii="Times New Roman" w:hAnsi="Times New Roman" w:cs="Times New Roman"/>
                      <w:color w:val="auto"/>
                      <w:szCs w:val="21"/>
                    </w:rPr>
                  </w:pPr>
                </w:p>
              </w:tc>
              <w:tc>
                <w:tcPr>
                  <w:tcW w:w="444" w:type="pct"/>
                  <w:tcBorders>
                    <w:top w:val="single" w:color="auto" w:sz="4" w:space="0"/>
                    <w:left w:val="single" w:color="auto" w:sz="4" w:space="0"/>
                    <w:bottom w:val="single" w:color="auto" w:sz="4" w:space="0"/>
                    <w:right w:val="single" w:color="auto" w:sz="4" w:space="0"/>
                  </w:tcBorders>
                  <w:noWrap w:val="0"/>
                  <w:vAlign w:val="center"/>
                </w:tcPr>
                <w:p w14:paraId="13286A0C">
                  <w:pPr>
                    <w:pStyle w:val="29"/>
                    <w:jc w:val="center"/>
                    <w:rPr>
                      <w:rFonts w:ascii="Times New Roman" w:hAnsi="Times New Roman" w:cs="Times New Roman"/>
                      <w:color w:val="auto"/>
                      <w:szCs w:val="21"/>
                      <w:lang w:val="en-US"/>
                    </w:rPr>
                  </w:pPr>
                  <w:r>
                    <w:rPr>
                      <w:rFonts w:hint="eastAsia" w:ascii="Times New Roman" w:hAnsi="Times New Roman" w:cs="Times New Roman"/>
                      <w:color w:val="auto"/>
                      <w:szCs w:val="21"/>
                      <w:lang w:val="en-US"/>
                    </w:rPr>
                    <w:t>NOx</w:t>
                  </w:r>
                </w:p>
              </w:tc>
              <w:tc>
                <w:tcPr>
                  <w:tcW w:w="340" w:type="pct"/>
                  <w:tcBorders>
                    <w:left w:val="single" w:color="auto" w:sz="4" w:space="0"/>
                    <w:right w:val="nil"/>
                  </w:tcBorders>
                  <w:noWrap w:val="0"/>
                  <w:vAlign w:val="center"/>
                </w:tcPr>
                <w:p w14:paraId="0F38122E">
                  <w:pPr>
                    <w:pStyle w:val="29"/>
                    <w:jc w:val="center"/>
                    <w:rPr>
                      <w:rFonts w:ascii="Times New Roman" w:hAnsi="Times New Roman" w:cs="Times New Roman"/>
                      <w:color w:val="auto"/>
                      <w:szCs w:val="21"/>
                    </w:rPr>
                  </w:pPr>
                  <w:r>
                    <w:rPr>
                      <w:rFonts w:ascii="Times New Roman" w:hAnsi="Times New Roman" w:cs="Times New Roman"/>
                      <w:color w:val="auto"/>
                      <w:szCs w:val="21"/>
                    </w:rPr>
                    <w:t>1次/</w:t>
                  </w:r>
                  <w:r>
                    <w:rPr>
                      <w:rFonts w:hint="eastAsia"/>
                      <w:color w:val="auto"/>
                      <w:lang w:val="en-US" w:eastAsia="zh-CN"/>
                    </w:rPr>
                    <w:t>月</w:t>
                  </w:r>
                </w:p>
              </w:tc>
            </w:tr>
            <w:tr w14:paraId="6DD871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304" w:type="pct"/>
                  <w:vMerge w:val="continue"/>
                  <w:tcBorders>
                    <w:top w:val="single" w:color="000000" w:sz="12" w:space="0"/>
                    <w:left w:val="nil"/>
                    <w:bottom w:val="single" w:color="000000" w:sz="12" w:space="0"/>
                    <w:right w:val="single" w:color="auto" w:sz="4" w:space="0"/>
                  </w:tcBorders>
                  <w:noWrap w:val="0"/>
                  <w:vAlign w:val="center"/>
                </w:tcPr>
                <w:p w14:paraId="10376D51">
                  <w:pPr>
                    <w:pStyle w:val="29"/>
                    <w:jc w:val="center"/>
                    <w:rPr>
                      <w:rFonts w:ascii="Times New Roman" w:hAnsi="Times New Roman" w:cs="Times New Roman"/>
                      <w:color w:val="auto"/>
                      <w:szCs w:val="21"/>
                    </w:rPr>
                  </w:pPr>
                </w:p>
              </w:tc>
              <w:tc>
                <w:tcPr>
                  <w:tcW w:w="360" w:type="pct"/>
                  <w:tcBorders>
                    <w:top w:val="single" w:color="auto" w:sz="4" w:space="0"/>
                    <w:left w:val="single" w:color="auto" w:sz="4" w:space="0"/>
                    <w:bottom w:val="single" w:color="000000" w:sz="12" w:space="0"/>
                    <w:right w:val="single" w:color="auto" w:sz="4" w:space="0"/>
                  </w:tcBorders>
                  <w:noWrap w:val="0"/>
                  <w:vAlign w:val="center"/>
                </w:tcPr>
                <w:p w14:paraId="5740FDEE">
                  <w:pPr>
                    <w:pStyle w:val="29"/>
                    <w:jc w:val="center"/>
                    <w:rPr>
                      <w:rFonts w:hint="eastAsia" w:ascii="Times New Roman" w:hAnsi="Times New Roman" w:cs="Times New Roman"/>
                      <w:color w:val="auto"/>
                      <w:szCs w:val="21"/>
                      <w:lang w:val="en-US"/>
                    </w:rPr>
                  </w:pPr>
                  <w:r>
                    <w:rPr>
                      <w:color w:val="auto"/>
                      <w:szCs w:val="21"/>
                    </w:rPr>
                    <w:t>烟气黑度</w:t>
                  </w:r>
                </w:p>
              </w:tc>
              <w:tc>
                <w:tcPr>
                  <w:tcW w:w="525" w:type="pct"/>
                  <w:vMerge w:val="continue"/>
                  <w:tcBorders>
                    <w:left w:val="single" w:color="auto" w:sz="4" w:space="0"/>
                    <w:bottom w:val="single" w:color="000000" w:sz="12" w:space="0"/>
                    <w:right w:val="single" w:color="auto" w:sz="4" w:space="0"/>
                  </w:tcBorders>
                  <w:noWrap w:val="0"/>
                  <w:vAlign w:val="center"/>
                </w:tcPr>
                <w:p w14:paraId="2994E9EB">
                  <w:pPr>
                    <w:pStyle w:val="29"/>
                    <w:jc w:val="center"/>
                    <w:rPr>
                      <w:rFonts w:ascii="Times New Roman" w:hAnsi="Times New Roman" w:cs="Times New Roman"/>
                      <w:color w:val="auto"/>
                      <w:szCs w:val="21"/>
                    </w:rPr>
                  </w:pPr>
                </w:p>
              </w:tc>
              <w:tc>
                <w:tcPr>
                  <w:tcW w:w="805" w:type="pct"/>
                  <w:vMerge w:val="continue"/>
                  <w:tcBorders>
                    <w:left w:val="single" w:color="auto" w:sz="4" w:space="0"/>
                    <w:bottom w:val="single" w:color="000000" w:sz="12" w:space="0"/>
                    <w:right w:val="single" w:color="auto" w:sz="4" w:space="0"/>
                  </w:tcBorders>
                  <w:noWrap w:val="0"/>
                  <w:vAlign w:val="center"/>
                </w:tcPr>
                <w:p w14:paraId="695FE695">
                  <w:pPr>
                    <w:pStyle w:val="29"/>
                    <w:jc w:val="center"/>
                    <w:rPr>
                      <w:rFonts w:ascii="Times New Roman" w:hAnsi="Times New Roman" w:cs="Times New Roman"/>
                      <w:color w:val="auto"/>
                      <w:szCs w:val="21"/>
                    </w:rPr>
                  </w:pPr>
                </w:p>
              </w:tc>
              <w:tc>
                <w:tcPr>
                  <w:tcW w:w="184" w:type="pct"/>
                  <w:vMerge w:val="continue"/>
                  <w:tcBorders>
                    <w:left w:val="single" w:color="auto" w:sz="4" w:space="0"/>
                    <w:bottom w:val="single" w:color="000000" w:sz="12" w:space="0"/>
                    <w:right w:val="single" w:color="auto" w:sz="4" w:space="0"/>
                  </w:tcBorders>
                  <w:noWrap w:val="0"/>
                  <w:vAlign w:val="center"/>
                </w:tcPr>
                <w:p w14:paraId="073F8420">
                  <w:pPr>
                    <w:pStyle w:val="29"/>
                    <w:jc w:val="center"/>
                    <w:rPr>
                      <w:rFonts w:ascii="Times New Roman" w:hAnsi="Times New Roman" w:cs="Times New Roman"/>
                      <w:color w:val="auto"/>
                      <w:szCs w:val="21"/>
                    </w:rPr>
                  </w:pPr>
                </w:p>
              </w:tc>
              <w:tc>
                <w:tcPr>
                  <w:tcW w:w="192" w:type="pct"/>
                  <w:vMerge w:val="continue"/>
                  <w:tcBorders>
                    <w:left w:val="single" w:color="auto" w:sz="4" w:space="0"/>
                    <w:bottom w:val="single" w:color="000000" w:sz="12" w:space="0"/>
                    <w:right w:val="single" w:color="auto" w:sz="4" w:space="0"/>
                  </w:tcBorders>
                  <w:noWrap w:val="0"/>
                  <w:vAlign w:val="center"/>
                </w:tcPr>
                <w:p w14:paraId="35F571EF">
                  <w:pPr>
                    <w:pStyle w:val="29"/>
                    <w:jc w:val="center"/>
                    <w:rPr>
                      <w:rFonts w:ascii="Times New Roman" w:hAnsi="Times New Roman" w:cs="Times New Roman"/>
                      <w:color w:val="auto"/>
                      <w:szCs w:val="21"/>
                    </w:rPr>
                  </w:pPr>
                </w:p>
              </w:tc>
              <w:tc>
                <w:tcPr>
                  <w:tcW w:w="266" w:type="pct"/>
                  <w:vMerge w:val="continue"/>
                  <w:tcBorders>
                    <w:left w:val="single" w:color="auto" w:sz="4" w:space="0"/>
                    <w:bottom w:val="single" w:color="000000" w:sz="12" w:space="0"/>
                    <w:right w:val="single" w:color="auto" w:sz="4" w:space="0"/>
                  </w:tcBorders>
                  <w:noWrap w:val="0"/>
                  <w:vAlign w:val="center"/>
                </w:tcPr>
                <w:p w14:paraId="5C6F33B4">
                  <w:pPr>
                    <w:pStyle w:val="29"/>
                    <w:jc w:val="center"/>
                    <w:rPr>
                      <w:rFonts w:ascii="Times New Roman" w:hAnsi="Times New Roman" w:cs="Times New Roman"/>
                      <w:color w:val="auto"/>
                      <w:szCs w:val="21"/>
                    </w:rPr>
                  </w:pPr>
                </w:p>
              </w:tc>
              <w:tc>
                <w:tcPr>
                  <w:tcW w:w="449" w:type="pct"/>
                  <w:vMerge w:val="continue"/>
                  <w:tcBorders>
                    <w:left w:val="single" w:color="auto" w:sz="4" w:space="0"/>
                    <w:bottom w:val="single" w:color="000000" w:sz="12" w:space="0"/>
                    <w:right w:val="single" w:color="auto" w:sz="4" w:space="0"/>
                  </w:tcBorders>
                  <w:noWrap w:val="0"/>
                  <w:vAlign w:val="center"/>
                </w:tcPr>
                <w:p w14:paraId="42E6E88B">
                  <w:pPr>
                    <w:pStyle w:val="29"/>
                    <w:jc w:val="center"/>
                    <w:rPr>
                      <w:rFonts w:ascii="Times New Roman" w:hAnsi="Times New Roman" w:cs="Times New Roman"/>
                      <w:color w:val="auto"/>
                      <w:szCs w:val="21"/>
                    </w:rPr>
                  </w:pPr>
                </w:p>
              </w:tc>
              <w:tc>
                <w:tcPr>
                  <w:tcW w:w="815" w:type="pct"/>
                  <w:tcBorders>
                    <w:top w:val="single" w:color="auto" w:sz="4" w:space="0"/>
                    <w:left w:val="single" w:color="auto" w:sz="4" w:space="0"/>
                    <w:bottom w:val="single" w:color="000000" w:sz="12" w:space="0"/>
                    <w:right w:val="single" w:color="auto" w:sz="4" w:space="0"/>
                  </w:tcBorders>
                  <w:noWrap w:val="0"/>
                  <w:vAlign w:val="center"/>
                </w:tcPr>
                <w:p w14:paraId="4CDF81CF">
                  <w:pPr>
                    <w:pStyle w:val="29"/>
                    <w:jc w:val="center"/>
                    <w:rPr>
                      <w:rFonts w:hint="default" w:ascii="Times New Roman" w:hAnsi="Times New Roman" w:eastAsia="宋体" w:cs="Times New Roman"/>
                      <w:color w:val="auto"/>
                      <w:szCs w:val="21"/>
                      <w:lang w:val="en-US" w:eastAsia="zh-CN"/>
                    </w:rPr>
                  </w:pPr>
                  <w:r>
                    <w:rPr>
                      <w:rFonts w:hint="eastAsia"/>
                      <w:color w:val="auto"/>
                      <w:szCs w:val="21"/>
                      <w:lang w:val="en-US" w:eastAsia="zh-CN"/>
                    </w:rPr>
                    <w:t>≤1</w:t>
                  </w:r>
                </w:p>
              </w:tc>
              <w:tc>
                <w:tcPr>
                  <w:tcW w:w="312" w:type="pct"/>
                  <w:vMerge w:val="continue"/>
                  <w:tcBorders>
                    <w:left w:val="single" w:color="auto" w:sz="4" w:space="0"/>
                    <w:bottom w:val="single" w:color="000000" w:sz="12" w:space="0"/>
                    <w:right w:val="single" w:color="auto" w:sz="4" w:space="0"/>
                  </w:tcBorders>
                  <w:noWrap w:val="0"/>
                  <w:vAlign w:val="center"/>
                </w:tcPr>
                <w:p w14:paraId="18D8F8A7">
                  <w:pPr>
                    <w:pStyle w:val="29"/>
                    <w:jc w:val="center"/>
                    <w:rPr>
                      <w:rFonts w:ascii="Times New Roman" w:hAnsi="Times New Roman" w:cs="Times New Roman"/>
                      <w:color w:val="auto"/>
                      <w:szCs w:val="21"/>
                    </w:rPr>
                  </w:pPr>
                </w:p>
              </w:tc>
              <w:tc>
                <w:tcPr>
                  <w:tcW w:w="444" w:type="pct"/>
                  <w:tcBorders>
                    <w:top w:val="single" w:color="auto" w:sz="4" w:space="0"/>
                    <w:left w:val="single" w:color="auto" w:sz="4" w:space="0"/>
                    <w:bottom w:val="single" w:color="000000" w:sz="12" w:space="0"/>
                    <w:right w:val="single" w:color="auto" w:sz="4" w:space="0"/>
                  </w:tcBorders>
                  <w:noWrap w:val="0"/>
                  <w:vAlign w:val="center"/>
                </w:tcPr>
                <w:p w14:paraId="16B3CA03">
                  <w:pPr>
                    <w:pStyle w:val="29"/>
                    <w:jc w:val="center"/>
                    <w:rPr>
                      <w:rFonts w:hint="eastAsia" w:ascii="Times New Roman" w:hAnsi="Times New Roman" w:cs="Times New Roman"/>
                      <w:color w:val="auto"/>
                      <w:szCs w:val="21"/>
                      <w:lang w:val="en-US"/>
                    </w:rPr>
                  </w:pPr>
                  <w:r>
                    <w:rPr>
                      <w:color w:val="auto"/>
                      <w:szCs w:val="21"/>
                    </w:rPr>
                    <w:t>烟气黑度</w:t>
                  </w:r>
                </w:p>
              </w:tc>
              <w:tc>
                <w:tcPr>
                  <w:tcW w:w="340" w:type="pct"/>
                  <w:tcBorders>
                    <w:left w:val="single" w:color="auto" w:sz="4" w:space="0"/>
                    <w:bottom w:val="single" w:color="000000" w:sz="12" w:space="0"/>
                    <w:right w:val="nil"/>
                  </w:tcBorders>
                  <w:noWrap w:val="0"/>
                  <w:vAlign w:val="center"/>
                </w:tcPr>
                <w:p w14:paraId="7DC02F18">
                  <w:pPr>
                    <w:pStyle w:val="29"/>
                    <w:jc w:val="center"/>
                    <w:rPr>
                      <w:rFonts w:ascii="Times New Roman" w:hAnsi="Times New Roman" w:cs="Times New Roman"/>
                      <w:color w:val="auto"/>
                      <w:szCs w:val="21"/>
                    </w:rPr>
                  </w:pPr>
                  <w:r>
                    <w:rPr>
                      <w:rFonts w:ascii="Times New Roman" w:hAnsi="Times New Roman" w:cs="Times New Roman"/>
                      <w:color w:val="auto"/>
                      <w:szCs w:val="21"/>
                    </w:rPr>
                    <w:t>1次/</w:t>
                  </w:r>
                  <w:r>
                    <w:rPr>
                      <w:rFonts w:hint="eastAsia" w:ascii="Times New Roman" w:hAnsi="Times New Roman" w:cs="Times New Roman"/>
                      <w:color w:val="auto"/>
                      <w:szCs w:val="21"/>
                      <w:lang w:val="en-US" w:eastAsia="zh-CN"/>
                    </w:rPr>
                    <w:t>年</w:t>
                  </w:r>
                </w:p>
              </w:tc>
            </w:tr>
          </w:tbl>
          <w:p w14:paraId="31C92049">
            <w:pPr>
              <w:pStyle w:val="20"/>
              <w:spacing w:line="360" w:lineRule="auto"/>
              <w:ind w:left="0" w:leftChars="0" w:firstLine="0" w:firstLineChars="0"/>
              <w:rPr>
                <w:rFonts w:hint="eastAsia"/>
                <w:b/>
                <w:bCs/>
                <w:color w:val="auto"/>
                <w:lang w:val="en-US" w:eastAsia="zh-CN"/>
              </w:rPr>
            </w:pPr>
            <w:r>
              <w:rPr>
                <w:rFonts w:hint="eastAsia"/>
                <w:b/>
                <w:bCs/>
                <w:color w:val="auto"/>
                <w:lang w:val="en-US" w:eastAsia="zh-CN"/>
              </w:rPr>
              <w:t>1.6有组织排放口设置情况</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5"/>
              <w:gridCol w:w="811"/>
              <w:gridCol w:w="879"/>
              <w:gridCol w:w="571"/>
              <w:gridCol w:w="826"/>
              <w:gridCol w:w="761"/>
              <w:gridCol w:w="820"/>
              <w:gridCol w:w="496"/>
              <w:gridCol w:w="900"/>
              <w:gridCol w:w="738"/>
              <w:gridCol w:w="752"/>
            </w:tblGrid>
            <w:tr w14:paraId="2925E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9" w:type="pct"/>
                  <w:vMerge w:val="restart"/>
                  <w:vAlign w:val="center"/>
                </w:tcPr>
                <w:p w14:paraId="69EF8F61">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排放口名称及编号</w:t>
                  </w:r>
                </w:p>
              </w:tc>
              <w:tc>
                <w:tcPr>
                  <w:tcW w:w="1038" w:type="pct"/>
                  <w:gridSpan w:val="2"/>
                  <w:vAlign w:val="center"/>
                </w:tcPr>
                <w:p w14:paraId="626C672B">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排气筒底部中心坐标</w:t>
                  </w:r>
                </w:p>
              </w:tc>
              <w:tc>
                <w:tcPr>
                  <w:tcW w:w="1325" w:type="pct"/>
                  <w:gridSpan w:val="3"/>
                  <w:vAlign w:val="center"/>
                </w:tcPr>
                <w:p w14:paraId="2E4ADE49">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排气筒参数</w:t>
                  </w:r>
                </w:p>
              </w:tc>
              <w:tc>
                <w:tcPr>
                  <w:tcW w:w="2276" w:type="pct"/>
                  <w:gridSpan w:val="5"/>
                  <w:vAlign w:val="center"/>
                </w:tcPr>
                <w:p w14:paraId="34FB2430">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运行参数</w:t>
                  </w:r>
                </w:p>
              </w:tc>
            </w:tr>
            <w:tr w14:paraId="53ACC4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9" w:type="pct"/>
                  <w:vMerge w:val="continue"/>
                  <w:tcBorders>
                    <w:bottom w:val="single" w:color="auto" w:sz="12" w:space="0"/>
                  </w:tcBorders>
                  <w:vAlign w:val="center"/>
                </w:tcPr>
                <w:p w14:paraId="0A1C9488">
                  <w:pPr>
                    <w:pStyle w:val="52"/>
                    <w:jc w:val="center"/>
                    <w:rPr>
                      <w:b/>
                      <w:bCs w:val="0"/>
                      <w:color w:val="auto"/>
                      <w:spacing w:val="-10"/>
                      <w:sz w:val="21"/>
                      <w:szCs w:val="21"/>
                      <w:highlight w:val="none"/>
                    </w:rPr>
                  </w:pPr>
                </w:p>
              </w:tc>
              <w:tc>
                <w:tcPr>
                  <w:tcW w:w="498" w:type="pct"/>
                  <w:tcBorders>
                    <w:bottom w:val="single" w:color="auto" w:sz="12" w:space="0"/>
                  </w:tcBorders>
                  <w:vAlign w:val="center"/>
                </w:tcPr>
                <w:p w14:paraId="4690231C">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经度</w:t>
                  </w:r>
                </w:p>
              </w:tc>
              <w:tc>
                <w:tcPr>
                  <w:tcW w:w="539" w:type="pct"/>
                  <w:tcBorders>
                    <w:bottom w:val="single" w:color="auto" w:sz="12" w:space="0"/>
                  </w:tcBorders>
                  <w:vAlign w:val="center"/>
                </w:tcPr>
                <w:p w14:paraId="3E0D39CE">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纬度</w:t>
                  </w:r>
                </w:p>
              </w:tc>
              <w:tc>
                <w:tcPr>
                  <w:tcW w:w="350" w:type="pct"/>
                  <w:tcBorders>
                    <w:bottom w:val="single" w:color="auto" w:sz="12" w:space="0"/>
                  </w:tcBorders>
                  <w:vAlign w:val="center"/>
                </w:tcPr>
                <w:p w14:paraId="426F7809">
                  <w:pPr>
                    <w:pStyle w:val="52"/>
                    <w:ind w:left="0" w:leftChars="0" w:firstLine="0" w:firstLineChars="0"/>
                    <w:jc w:val="center"/>
                    <w:rPr>
                      <w:b/>
                      <w:bCs w:val="0"/>
                      <w:color w:val="auto"/>
                      <w:spacing w:val="-10"/>
                      <w:sz w:val="21"/>
                      <w:szCs w:val="21"/>
                      <w:highlight w:val="none"/>
                    </w:rPr>
                  </w:pPr>
                  <w:r>
                    <w:rPr>
                      <w:b/>
                      <w:bCs w:val="0"/>
                      <w:color w:val="auto"/>
                      <w:sz w:val="21"/>
                      <w:szCs w:val="21"/>
                      <w:highlight w:val="none"/>
                    </w:rPr>
                    <w:t>排气筒高度(m)</w:t>
                  </w:r>
                </w:p>
              </w:tc>
              <w:tc>
                <w:tcPr>
                  <w:tcW w:w="507" w:type="pct"/>
                  <w:tcBorders>
                    <w:bottom w:val="single" w:color="auto" w:sz="12" w:space="0"/>
                  </w:tcBorders>
                  <w:vAlign w:val="center"/>
                </w:tcPr>
                <w:p w14:paraId="5CBA5077">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排气筒出口</w:t>
                  </w:r>
                  <w:r>
                    <w:rPr>
                      <w:rFonts w:hint="eastAsia"/>
                      <w:b/>
                      <w:bCs w:val="0"/>
                      <w:color w:val="auto"/>
                      <w:spacing w:val="-10"/>
                      <w:sz w:val="21"/>
                      <w:szCs w:val="21"/>
                      <w:highlight w:val="none"/>
                      <w:lang w:eastAsia="zh-CN"/>
                    </w:rPr>
                    <w:t>内径</w:t>
                  </w:r>
                  <w:r>
                    <w:rPr>
                      <w:b/>
                      <w:bCs w:val="0"/>
                      <w:color w:val="auto"/>
                      <w:spacing w:val="-10"/>
                      <w:sz w:val="21"/>
                      <w:szCs w:val="21"/>
                      <w:highlight w:val="none"/>
                    </w:rPr>
                    <w:t>(m)</w:t>
                  </w:r>
                </w:p>
              </w:tc>
              <w:tc>
                <w:tcPr>
                  <w:tcW w:w="467" w:type="pct"/>
                  <w:tcBorders>
                    <w:bottom w:val="single" w:color="auto" w:sz="12" w:space="0"/>
                  </w:tcBorders>
                  <w:vAlign w:val="center"/>
                </w:tcPr>
                <w:p w14:paraId="6818373F">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烟气温度(℃)</w:t>
                  </w:r>
                </w:p>
              </w:tc>
              <w:tc>
                <w:tcPr>
                  <w:tcW w:w="503" w:type="pct"/>
                  <w:tcBorders>
                    <w:bottom w:val="single" w:color="auto" w:sz="12" w:space="0"/>
                  </w:tcBorders>
                  <w:vAlign w:val="center"/>
                </w:tcPr>
                <w:p w14:paraId="314810C0">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年排放小时数(h)</w:t>
                  </w:r>
                </w:p>
              </w:tc>
              <w:tc>
                <w:tcPr>
                  <w:tcW w:w="304" w:type="pct"/>
                  <w:tcBorders>
                    <w:bottom w:val="single" w:color="auto" w:sz="12" w:space="0"/>
                  </w:tcBorders>
                  <w:vAlign w:val="center"/>
                </w:tcPr>
                <w:p w14:paraId="1CD9C4BD">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排放工况</w:t>
                  </w:r>
                </w:p>
              </w:tc>
              <w:tc>
                <w:tcPr>
                  <w:tcW w:w="552" w:type="pct"/>
                  <w:tcBorders>
                    <w:bottom w:val="single" w:color="auto" w:sz="12" w:space="0"/>
                  </w:tcBorders>
                  <w:vAlign w:val="center"/>
                </w:tcPr>
                <w:p w14:paraId="289D3E67">
                  <w:pPr>
                    <w:pStyle w:val="52"/>
                    <w:ind w:left="0" w:leftChars="0" w:firstLine="0" w:firstLineChars="0"/>
                    <w:jc w:val="center"/>
                    <w:rPr>
                      <w:rFonts w:hint="eastAsia" w:eastAsia="宋体"/>
                      <w:b/>
                      <w:bCs w:val="0"/>
                      <w:color w:val="auto"/>
                      <w:spacing w:val="-10"/>
                      <w:sz w:val="21"/>
                      <w:szCs w:val="21"/>
                      <w:highlight w:val="none"/>
                      <w:lang w:val="en-US" w:eastAsia="zh-CN"/>
                    </w:rPr>
                  </w:pPr>
                  <w:r>
                    <w:rPr>
                      <w:rFonts w:hint="eastAsia"/>
                      <w:b/>
                      <w:bCs w:val="0"/>
                      <w:color w:val="auto"/>
                      <w:spacing w:val="-10"/>
                      <w:sz w:val="21"/>
                      <w:szCs w:val="21"/>
                      <w:highlight w:val="none"/>
                      <w:lang w:val="en-US" w:eastAsia="zh-CN"/>
                    </w:rPr>
                    <w:t>排放量（t/a）</w:t>
                  </w:r>
                </w:p>
              </w:tc>
              <w:tc>
                <w:tcPr>
                  <w:tcW w:w="453" w:type="pct"/>
                  <w:tcBorders>
                    <w:bottom w:val="single" w:color="auto" w:sz="12" w:space="0"/>
                  </w:tcBorders>
                  <w:vAlign w:val="center"/>
                </w:tcPr>
                <w:p w14:paraId="1D3D2E8B">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污染源名称</w:t>
                  </w:r>
                </w:p>
              </w:tc>
              <w:tc>
                <w:tcPr>
                  <w:tcW w:w="461" w:type="pct"/>
                  <w:tcBorders>
                    <w:bottom w:val="single" w:color="auto" w:sz="12" w:space="0"/>
                  </w:tcBorders>
                  <w:vAlign w:val="center"/>
                </w:tcPr>
                <w:p w14:paraId="76F369A1">
                  <w:pPr>
                    <w:pStyle w:val="52"/>
                    <w:ind w:left="0" w:leftChars="0" w:firstLine="0" w:firstLineChars="0"/>
                    <w:jc w:val="center"/>
                    <w:rPr>
                      <w:b/>
                      <w:bCs w:val="0"/>
                      <w:color w:val="auto"/>
                      <w:spacing w:val="-10"/>
                      <w:sz w:val="21"/>
                      <w:szCs w:val="21"/>
                      <w:highlight w:val="none"/>
                    </w:rPr>
                  </w:pPr>
                  <w:r>
                    <w:rPr>
                      <w:b/>
                      <w:bCs w:val="0"/>
                      <w:color w:val="auto"/>
                      <w:spacing w:val="-10"/>
                      <w:sz w:val="21"/>
                      <w:szCs w:val="21"/>
                      <w:highlight w:val="none"/>
                    </w:rPr>
                    <w:t>污染物排放速率(kg/h)</w:t>
                  </w:r>
                </w:p>
              </w:tc>
            </w:tr>
            <w:tr w14:paraId="751832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59" w:type="pct"/>
                  <w:vMerge w:val="restart"/>
                  <w:tcBorders>
                    <w:top w:val="single" w:color="auto" w:sz="12" w:space="0"/>
                    <w:tl2br w:val="nil"/>
                    <w:tr2bl w:val="nil"/>
                  </w:tcBorders>
                  <w:vAlign w:val="center"/>
                </w:tcPr>
                <w:p w14:paraId="026DAD51">
                  <w:pPr>
                    <w:pStyle w:val="52"/>
                    <w:ind w:left="0" w:leftChars="0"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pacing w:val="-10"/>
                      <w:sz w:val="21"/>
                      <w:szCs w:val="21"/>
                      <w:highlight w:val="none"/>
                    </w:rPr>
                    <w:t>DA001</w:t>
                  </w:r>
                </w:p>
              </w:tc>
              <w:tc>
                <w:tcPr>
                  <w:tcW w:w="498" w:type="pct"/>
                  <w:vMerge w:val="restart"/>
                  <w:tcBorders>
                    <w:top w:val="single" w:color="auto" w:sz="12" w:space="0"/>
                    <w:tl2br w:val="nil"/>
                    <w:tr2bl w:val="nil"/>
                  </w:tcBorders>
                  <w:vAlign w:val="center"/>
                </w:tcPr>
                <w:p w14:paraId="564DEEF0">
                  <w:pPr>
                    <w:pStyle w:val="45"/>
                    <w:wordWrap w:val="0"/>
                    <w:jc w:val="center"/>
                    <w:rPr>
                      <w:rFonts w:hint="default" w:ascii="Times New Roman" w:hAnsi="Times New Roman" w:cs="Times New Roman"/>
                      <w:color w:val="auto"/>
                      <w:spacing w:val="-10"/>
                      <w:sz w:val="21"/>
                      <w:szCs w:val="21"/>
                      <w:highlight w:val="none"/>
                      <w:lang w:val="en-US"/>
                    </w:rPr>
                  </w:pPr>
                  <w:r>
                    <w:rPr>
                      <w:rFonts w:hint="default" w:ascii="Times New Roman" w:hAnsi="Times New Roman" w:cs="Times New Roman"/>
                      <w:b w:val="0"/>
                      <w:bCs/>
                      <w:color w:val="auto"/>
                      <w:sz w:val="21"/>
                    </w:rPr>
                    <w:t>89°12'02.90</w:t>
                  </w:r>
                  <w:r>
                    <w:rPr>
                      <w:rFonts w:hint="default" w:ascii="Times New Roman" w:hAnsi="Times New Roman" w:cs="Times New Roman"/>
                      <w:b w:val="0"/>
                      <w:bCs/>
                      <w:color w:val="auto"/>
                      <w:sz w:val="21"/>
                      <w:lang w:val="en-US" w:eastAsia="zh-CN"/>
                    </w:rPr>
                    <w:t>9</w:t>
                  </w:r>
                  <w:r>
                    <w:rPr>
                      <w:rFonts w:hint="default" w:ascii="Times New Roman" w:hAnsi="Times New Roman" w:cs="Times New Roman"/>
                      <w:b w:val="0"/>
                      <w:bCs/>
                      <w:color w:val="auto"/>
                      <w:sz w:val="21"/>
                    </w:rPr>
                    <w:t>"</w:t>
                  </w:r>
                </w:p>
              </w:tc>
              <w:tc>
                <w:tcPr>
                  <w:tcW w:w="539" w:type="pct"/>
                  <w:vMerge w:val="restart"/>
                  <w:tcBorders>
                    <w:top w:val="single" w:color="auto" w:sz="12" w:space="0"/>
                    <w:tl2br w:val="nil"/>
                    <w:tr2bl w:val="nil"/>
                  </w:tcBorders>
                  <w:vAlign w:val="center"/>
                </w:tcPr>
                <w:p w14:paraId="119C97CA">
                  <w:pPr>
                    <w:pStyle w:val="52"/>
                    <w:ind w:left="0" w:leftChars="0" w:firstLine="0" w:firstLineChars="0"/>
                    <w:jc w:val="center"/>
                    <w:rPr>
                      <w:rFonts w:hint="default" w:ascii="Times New Roman" w:hAnsi="Times New Roman" w:cs="Times New Roman"/>
                      <w:color w:val="auto"/>
                      <w:spacing w:val="-10"/>
                      <w:sz w:val="21"/>
                      <w:szCs w:val="21"/>
                      <w:highlight w:val="none"/>
                      <w:lang w:val="en-US"/>
                    </w:rPr>
                  </w:pPr>
                  <w:r>
                    <w:rPr>
                      <w:rFonts w:hint="default" w:ascii="Times New Roman" w:hAnsi="Times New Roman" w:cs="Times New Roman"/>
                      <w:b w:val="0"/>
                      <w:bCs/>
                      <w:color w:val="auto"/>
                      <w:sz w:val="21"/>
                    </w:rPr>
                    <w:t>43°56'45.314"</w:t>
                  </w:r>
                </w:p>
              </w:tc>
              <w:tc>
                <w:tcPr>
                  <w:tcW w:w="350" w:type="pct"/>
                  <w:vMerge w:val="restart"/>
                  <w:tcBorders>
                    <w:top w:val="single" w:color="auto" w:sz="12" w:space="0"/>
                    <w:tl2br w:val="nil"/>
                    <w:tr2bl w:val="nil"/>
                  </w:tcBorders>
                  <w:vAlign w:val="center"/>
                </w:tcPr>
                <w:p w14:paraId="724EBA7D">
                  <w:pPr>
                    <w:pStyle w:val="52"/>
                    <w:ind w:left="0" w:leftChars="0"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lang w:val="en-US" w:eastAsia="zh-CN"/>
                    </w:rPr>
                    <w:t>15</w:t>
                  </w:r>
                </w:p>
              </w:tc>
              <w:tc>
                <w:tcPr>
                  <w:tcW w:w="507" w:type="pct"/>
                  <w:vMerge w:val="restart"/>
                  <w:tcBorders>
                    <w:top w:val="single" w:color="auto" w:sz="12" w:space="0"/>
                    <w:tl2br w:val="nil"/>
                    <w:tr2bl w:val="nil"/>
                  </w:tcBorders>
                  <w:vAlign w:val="center"/>
                </w:tcPr>
                <w:p w14:paraId="7663B8A1">
                  <w:pPr>
                    <w:pStyle w:val="52"/>
                    <w:ind w:left="0" w:leftChars="0"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rPr>
                    <w:t>0.</w:t>
                  </w:r>
                  <w:r>
                    <w:rPr>
                      <w:rFonts w:hint="default" w:ascii="Times New Roman" w:hAnsi="Times New Roman" w:cs="Times New Roman"/>
                      <w:color w:val="auto"/>
                      <w:spacing w:val="-10"/>
                      <w:sz w:val="21"/>
                      <w:szCs w:val="21"/>
                      <w:highlight w:val="none"/>
                      <w:lang w:val="en-US" w:eastAsia="zh-CN"/>
                    </w:rPr>
                    <w:t>5</w:t>
                  </w:r>
                </w:p>
              </w:tc>
              <w:tc>
                <w:tcPr>
                  <w:tcW w:w="467" w:type="pct"/>
                  <w:vMerge w:val="restart"/>
                  <w:tcBorders>
                    <w:top w:val="single" w:color="auto" w:sz="12" w:space="0"/>
                    <w:tl2br w:val="nil"/>
                    <w:tr2bl w:val="nil"/>
                  </w:tcBorders>
                  <w:vAlign w:val="center"/>
                </w:tcPr>
                <w:p w14:paraId="609A521D">
                  <w:pPr>
                    <w:pStyle w:val="52"/>
                    <w:ind w:left="0" w:leftChars="0"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lang w:val="en-US" w:eastAsia="zh-CN"/>
                    </w:rPr>
                    <w:t>225</w:t>
                  </w:r>
                </w:p>
              </w:tc>
              <w:tc>
                <w:tcPr>
                  <w:tcW w:w="503" w:type="pct"/>
                  <w:vMerge w:val="restart"/>
                  <w:tcBorders>
                    <w:top w:val="single" w:color="auto" w:sz="12" w:space="0"/>
                    <w:tl2br w:val="nil"/>
                    <w:tr2bl w:val="nil"/>
                  </w:tcBorders>
                  <w:vAlign w:val="center"/>
                </w:tcPr>
                <w:p w14:paraId="335343B4">
                  <w:pPr>
                    <w:pStyle w:val="52"/>
                    <w:ind w:left="0" w:leftChars="0"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lang w:val="en-US" w:eastAsia="zh-CN"/>
                    </w:rPr>
                    <w:t>1440</w:t>
                  </w:r>
                </w:p>
              </w:tc>
              <w:tc>
                <w:tcPr>
                  <w:tcW w:w="304" w:type="pct"/>
                  <w:vMerge w:val="restart"/>
                  <w:tcBorders>
                    <w:top w:val="single" w:color="auto" w:sz="12" w:space="0"/>
                    <w:tl2br w:val="nil"/>
                    <w:tr2bl w:val="nil"/>
                  </w:tcBorders>
                  <w:vAlign w:val="center"/>
                </w:tcPr>
                <w:p w14:paraId="75FE16E2">
                  <w:pPr>
                    <w:pStyle w:val="52"/>
                    <w:ind w:left="0" w:leftChars="0" w:firstLine="0" w:firstLineChars="0"/>
                    <w:jc w:val="center"/>
                    <w:rPr>
                      <w:rFonts w:hint="default" w:ascii="Times New Roman" w:hAnsi="Times New Roman" w:eastAsia="宋体"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锅炉废气</w:t>
                  </w:r>
                </w:p>
              </w:tc>
              <w:tc>
                <w:tcPr>
                  <w:tcW w:w="552" w:type="pct"/>
                  <w:tcBorders>
                    <w:top w:val="single" w:color="auto" w:sz="12" w:space="0"/>
                    <w:tl2br w:val="nil"/>
                    <w:tr2bl w:val="nil"/>
                  </w:tcBorders>
                  <w:vAlign w:val="center"/>
                </w:tcPr>
                <w:p w14:paraId="0C1732F3">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r>
                    <w:rPr>
                      <w:rFonts w:hint="default" w:ascii="Times New Roman" w:hAnsi="Times New Roman" w:cs="Times New Roman"/>
                      <w:color w:val="auto"/>
                      <w:spacing w:val="-10"/>
                      <w:sz w:val="21"/>
                      <w:szCs w:val="21"/>
                      <w:highlight w:val="none"/>
                      <w:lang w:val="en-US" w:eastAsia="zh-CN"/>
                    </w:rPr>
                    <w:t>0.</w:t>
                  </w:r>
                  <w:r>
                    <w:rPr>
                      <w:rFonts w:hint="eastAsia" w:ascii="Times New Roman" w:hAnsi="Times New Roman" w:cs="Times New Roman"/>
                      <w:color w:val="auto"/>
                      <w:spacing w:val="-10"/>
                      <w:sz w:val="21"/>
                      <w:szCs w:val="21"/>
                      <w:highlight w:val="none"/>
                      <w:lang w:val="en-US" w:eastAsia="zh-CN"/>
                    </w:rPr>
                    <w:t>028</w:t>
                  </w:r>
                </w:p>
              </w:tc>
              <w:tc>
                <w:tcPr>
                  <w:tcW w:w="453" w:type="pct"/>
                  <w:tcBorders>
                    <w:top w:val="single" w:color="auto" w:sz="12" w:space="0"/>
                    <w:tl2br w:val="nil"/>
                    <w:tr2bl w:val="nil"/>
                  </w:tcBorders>
                  <w:vAlign w:val="center"/>
                </w:tcPr>
                <w:p w14:paraId="3275806B">
                  <w:pPr>
                    <w:pStyle w:val="52"/>
                    <w:ind w:left="0" w:leftChars="0" w:firstLine="0" w:firstLineChars="0"/>
                    <w:jc w:val="center"/>
                    <w:rPr>
                      <w:rFonts w:hint="default" w:ascii="Times New Roman" w:hAnsi="Times New Roman" w:cs="Times New Roman"/>
                      <w:color w:val="auto"/>
                      <w:spacing w:val="-10"/>
                      <w:sz w:val="21"/>
                      <w:szCs w:val="21"/>
                      <w:highlight w:val="none"/>
                    </w:rPr>
                  </w:pPr>
                  <w:r>
                    <w:rPr>
                      <w:rFonts w:hint="default" w:ascii="Times New Roman" w:hAnsi="Times New Roman" w:cs="Times New Roman"/>
                      <w:color w:val="auto"/>
                      <w:sz w:val="21"/>
                      <w:szCs w:val="21"/>
                      <w:highlight w:val="none"/>
                    </w:rPr>
                    <w:t>颗粒物</w:t>
                  </w:r>
                </w:p>
              </w:tc>
              <w:tc>
                <w:tcPr>
                  <w:tcW w:w="461" w:type="pct"/>
                  <w:tcBorders>
                    <w:top w:val="single" w:color="auto" w:sz="12" w:space="0"/>
                    <w:tl2br w:val="nil"/>
                    <w:tr2bl w:val="nil"/>
                  </w:tcBorders>
                  <w:vAlign w:val="center"/>
                </w:tcPr>
                <w:p w14:paraId="52D8C9E3">
                  <w:pPr>
                    <w:pStyle w:val="52"/>
                    <w:ind w:left="0" w:leftChars="0" w:firstLine="0" w:firstLineChars="0"/>
                    <w:jc w:val="center"/>
                    <w:rPr>
                      <w:rFonts w:hint="default" w:ascii="Times New Roman" w:hAnsi="Times New Roman" w:eastAsia="宋体" w:cs="Times New Roman"/>
                      <w:color w:val="auto"/>
                      <w:spacing w:val="-10"/>
                      <w:sz w:val="21"/>
                      <w:szCs w:val="21"/>
                      <w:highlight w:val="yellow"/>
                      <w:lang w:val="en-US" w:eastAsia="zh-CN"/>
                    </w:rPr>
                  </w:pPr>
                  <w:r>
                    <w:rPr>
                      <w:rFonts w:hint="eastAsia" w:ascii="Times New Roman" w:hAnsi="Times New Roman" w:cs="Times New Roman"/>
                      <w:color w:val="auto"/>
                      <w:spacing w:val="-10"/>
                      <w:sz w:val="21"/>
                      <w:szCs w:val="21"/>
                      <w:highlight w:val="none"/>
                      <w:lang w:val="en-US" w:eastAsia="zh-CN"/>
                    </w:rPr>
                    <w:t>0.02</w:t>
                  </w:r>
                </w:p>
              </w:tc>
            </w:tr>
            <w:tr w14:paraId="1CEEC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59" w:type="pct"/>
                  <w:vMerge w:val="continue"/>
                  <w:tcBorders>
                    <w:tl2br w:val="nil"/>
                    <w:tr2bl w:val="nil"/>
                  </w:tcBorders>
                  <w:vAlign w:val="center"/>
                </w:tcPr>
                <w:p w14:paraId="4704FC92">
                  <w:pPr>
                    <w:pStyle w:val="52"/>
                    <w:ind w:left="0" w:leftChars="0" w:firstLine="0" w:firstLineChars="0"/>
                    <w:jc w:val="center"/>
                    <w:rPr>
                      <w:color w:val="auto"/>
                    </w:rPr>
                  </w:pPr>
                </w:p>
              </w:tc>
              <w:tc>
                <w:tcPr>
                  <w:tcW w:w="498" w:type="pct"/>
                  <w:vMerge w:val="continue"/>
                  <w:tcBorders>
                    <w:tl2br w:val="nil"/>
                    <w:tr2bl w:val="nil"/>
                  </w:tcBorders>
                  <w:vAlign w:val="center"/>
                </w:tcPr>
                <w:p w14:paraId="1DDBBBF3">
                  <w:pPr>
                    <w:pStyle w:val="52"/>
                    <w:ind w:left="0" w:leftChars="0" w:firstLine="0" w:firstLineChars="0"/>
                    <w:jc w:val="center"/>
                    <w:rPr>
                      <w:color w:val="auto"/>
                    </w:rPr>
                  </w:pPr>
                </w:p>
              </w:tc>
              <w:tc>
                <w:tcPr>
                  <w:tcW w:w="539" w:type="pct"/>
                  <w:vMerge w:val="continue"/>
                  <w:tcBorders>
                    <w:tl2br w:val="nil"/>
                    <w:tr2bl w:val="nil"/>
                  </w:tcBorders>
                  <w:vAlign w:val="center"/>
                </w:tcPr>
                <w:p w14:paraId="5B1FF7D1">
                  <w:pPr>
                    <w:pStyle w:val="52"/>
                    <w:ind w:left="0" w:leftChars="0" w:firstLine="0" w:firstLineChars="0"/>
                    <w:jc w:val="center"/>
                    <w:rPr>
                      <w:color w:val="auto"/>
                    </w:rPr>
                  </w:pPr>
                </w:p>
              </w:tc>
              <w:tc>
                <w:tcPr>
                  <w:tcW w:w="350" w:type="pct"/>
                  <w:vMerge w:val="continue"/>
                  <w:tcBorders>
                    <w:tl2br w:val="nil"/>
                    <w:tr2bl w:val="nil"/>
                  </w:tcBorders>
                  <w:vAlign w:val="center"/>
                </w:tcPr>
                <w:p w14:paraId="674FA5B3">
                  <w:pPr>
                    <w:pStyle w:val="52"/>
                    <w:ind w:left="0" w:leftChars="0" w:firstLine="0" w:firstLineChars="0"/>
                    <w:jc w:val="center"/>
                    <w:rPr>
                      <w:color w:val="auto"/>
                    </w:rPr>
                  </w:pPr>
                </w:p>
              </w:tc>
              <w:tc>
                <w:tcPr>
                  <w:tcW w:w="507" w:type="pct"/>
                  <w:vMerge w:val="continue"/>
                  <w:tcBorders>
                    <w:tl2br w:val="nil"/>
                    <w:tr2bl w:val="nil"/>
                  </w:tcBorders>
                  <w:vAlign w:val="center"/>
                </w:tcPr>
                <w:p w14:paraId="2F3D3AD8">
                  <w:pPr>
                    <w:pStyle w:val="52"/>
                    <w:ind w:left="0" w:leftChars="0" w:firstLine="0" w:firstLineChars="0"/>
                    <w:jc w:val="center"/>
                    <w:rPr>
                      <w:color w:val="auto"/>
                    </w:rPr>
                  </w:pPr>
                </w:p>
              </w:tc>
              <w:tc>
                <w:tcPr>
                  <w:tcW w:w="467" w:type="pct"/>
                  <w:vMerge w:val="continue"/>
                  <w:tcBorders>
                    <w:tl2br w:val="nil"/>
                    <w:tr2bl w:val="nil"/>
                  </w:tcBorders>
                  <w:vAlign w:val="center"/>
                </w:tcPr>
                <w:p w14:paraId="4572F504">
                  <w:pPr>
                    <w:pStyle w:val="52"/>
                    <w:ind w:left="0" w:leftChars="0" w:firstLine="0" w:firstLineChars="0"/>
                    <w:jc w:val="center"/>
                    <w:rPr>
                      <w:color w:val="auto"/>
                    </w:rPr>
                  </w:pPr>
                </w:p>
              </w:tc>
              <w:tc>
                <w:tcPr>
                  <w:tcW w:w="503" w:type="pct"/>
                  <w:vMerge w:val="continue"/>
                  <w:tcBorders>
                    <w:tl2br w:val="nil"/>
                    <w:tr2bl w:val="nil"/>
                  </w:tcBorders>
                  <w:vAlign w:val="center"/>
                </w:tcPr>
                <w:p w14:paraId="264C5E57">
                  <w:pPr>
                    <w:pStyle w:val="52"/>
                    <w:ind w:left="0" w:leftChars="0" w:firstLine="0" w:firstLineChars="0"/>
                    <w:jc w:val="center"/>
                    <w:rPr>
                      <w:color w:val="auto"/>
                    </w:rPr>
                  </w:pPr>
                </w:p>
              </w:tc>
              <w:tc>
                <w:tcPr>
                  <w:tcW w:w="304" w:type="pct"/>
                  <w:vMerge w:val="continue"/>
                  <w:tcBorders>
                    <w:tl2br w:val="nil"/>
                    <w:tr2bl w:val="nil"/>
                  </w:tcBorders>
                  <w:vAlign w:val="center"/>
                </w:tcPr>
                <w:p w14:paraId="7F09587A">
                  <w:pPr>
                    <w:pStyle w:val="52"/>
                    <w:ind w:left="0" w:leftChars="0" w:firstLine="0" w:firstLineChars="0"/>
                    <w:jc w:val="center"/>
                    <w:rPr>
                      <w:color w:val="auto"/>
                    </w:rPr>
                  </w:pPr>
                </w:p>
              </w:tc>
              <w:tc>
                <w:tcPr>
                  <w:tcW w:w="552" w:type="pct"/>
                  <w:tcBorders>
                    <w:top w:val="single" w:color="auto" w:sz="12" w:space="0"/>
                    <w:tl2br w:val="nil"/>
                    <w:tr2bl w:val="nil"/>
                  </w:tcBorders>
                  <w:vAlign w:val="center"/>
                </w:tcPr>
                <w:p w14:paraId="7230FE96">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0.024</w:t>
                  </w:r>
                </w:p>
              </w:tc>
              <w:tc>
                <w:tcPr>
                  <w:tcW w:w="453" w:type="pct"/>
                  <w:tcBorders>
                    <w:tl2br w:val="nil"/>
                    <w:tr2bl w:val="nil"/>
                  </w:tcBorders>
                  <w:vAlign w:val="center"/>
                </w:tcPr>
                <w:p w14:paraId="01C13728">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r>
                    <w:rPr>
                      <w:rFonts w:hint="eastAsia" w:ascii="Times New Roman" w:hAnsi="Times New Roman" w:cs="Times New Roman"/>
                      <w:color w:val="auto"/>
                      <w:szCs w:val="21"/>
                      <w:lang w:val="en-US"/>
                    </w:rPr>
                    <w:t>SO</w:t>
                  </w:r>
                  <w:r>
                    <w:rPr>
                      <w:rFonts w:hint="eastAsia" w:ascii="Times New Roman" w:hAnsi="Times New Roman" w:cs="Times New Roman"/>
                      <w:color w:val="auto"/>
                      <w:szCs w:val="21"/>
                      <w:vertAlign w:val="subscript"/>
                      <w:lang w:val="en-US"/>
                    </w:rPr>
                    <w:t>2</w:t>
                  </w:r>
                </w:p>
              </w:tc>
              <w:tc>
                <w:tcPr>
                  <w:tcW w:w="461" w:type="pct"/>
                  <w:tcBorders>
                    <w:tl2br w:val="nil"/>
                    <w:tr2bl w:val="nil"/>
                  </w:tcBorders>
                  <w:vAlign w:val="center"/>
                </w:tcPr>
                <w:p w14:paraId="5414097F">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0.017</w:t>
                  </w:r>
                </w:p>
              </w:tc>
            </w:tr>
            <w:tr w14:paraId="31F4D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359" w:type="pct"/>
                  <w:vMerge w:val="continue"/>
                  <w:tcBorders>
                    <w:tl2br w:val="nil"/>
                    <w:tr2bl w:val="nil"/>
                  </w:tcBorders>
                  <w:vAlign w:val="center"/>
                </w:tcPr>
                <w:p w14:paraId="5F45C2E0">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498" w:type="pct"/>
                  <w:vMerge w:val="continue"/>
                  <w:tcBorders>
                    <w:tl2br w:val="nil"/>
                    <w:tr2bl w:val="nil"/>
                  </w:tcBorders>
                  <w:vAlign w:val="center"/>
                </w:tcPr>
                <w:p w14:paraId="4F9B0E49">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539" w:type="pct"/>
                  <w:vMerge w:val="continue"/>
                  <w:tcBorders>
                    <w:tl2br w:val="nil"/>
                    <w:tr2bl w:val="nil"/>
                  </w:tcBorders>
                  <w:vAlign w:val="center"/>
                </w:tcPr>
                <w:p w14:paraId="3833EA87">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350" w:type="pct"/>
                  <w:vMerge w:val="continue"/>
                  <w:tcBorders>
                    <w:tl2br w:val="nil"/>
                    <w:tr2bl w:val="nil"/>
                  </w:tcBorders>
                  <w:vAlign w:val="center"/>
                </w:tcPr>
                <w:p w14:paraId="11031508">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507" w:type="pct"/>
                  <w:vMerge w:val="continue"/>
                  <w:tcBorders>
                    <w:tl2br w:val="nil"/>
                    <w:tr2bl w:val="nil"/>
                  </w:tcBorders>
                  <w:vAlign w:val="center"/>
                </w:tcPr>
                <w:p w14:paraId="71172BBE">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467" w:type="pct"/>
                  <w:vMerge w:val="continue"/>
                  <w:tcBorders>
                    <w:tl2br w:val="nil"/>
                    <w:tr2bl w:val="nil"/>
                  </w:tcBorders>
                  <w:vAlign w:val="center"/>
                </w:tcPr>
                <w:p w14:paraId="27782BF2">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503" w:type="pct"/>
                  <w:vMerge w:val="continue"/>
                  <w:tcBorders>
                    <w:tl2br w:val="nil"/>
                    <w:tr2bl w:val="nil"/>
                  </w:tcBorders>
                  <w:vAlign w:val="center"/>
                </w:tcPr>
                <w:p w14:paraId="73A93C4A">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304" w:type="pct"/>
                  <w:vMerge w:val="continue"/>
                  <w:tcBorders>
                    <w:tl2br w:val="nil"/>
                    <w:tr2bl w:val="nil"/>
                  </w:tcBorders>
                  <w:vAlign w:val="center"/>
                </w:tcPr>
                <w:p w14:paraId="4CADCA4C">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p>
              </w:tc>
              <w:tc>
                <w:tcPr>
                  <w:tcW w:w="552" w:type="pct"/>
                  <w:tcBorders>
                    <w:top w:val="single" w:color="auto" w:sz="12" w:space="0"/>
                    <w:tl2br w:val="nil"/>
                    <w:tr2bl w:val="nil"/>
                  </w:tcBorders>
                  <w:vAlign w:val="center"/>
                </w:tcPr>
                <w:p w14:paraId="1900B247">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0.139</w:t>
                  </w:r>
                </w:p>
              </w:tc>
              <w:tc>
                <w:tcPr>
                  <w:tcW w:w="453" w:type="pct"/>
                  <w:tcBorders>
                    <w:tl2br w:val="nil"/>
                    <w:tr2bl w:val="nil"/>
                  </w:tcBorders>
                  <w:vAlign w:val="center"/>
                </w:tcPr>
                <w:p w14:paraId="3668EC8D">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r>
                    <w:rPr>
                      <w:rFonts w:hint="eastAsia" w:ascii="Times New Roman" w:hAnsi="Times New Roman" w:cs="Times New Roman"/>
                      <w:color w:val="auto"/>
                      <w:szCs w:val="21"/>
                      <w:lang w:val="en-US"/>
                    </w:rPr>
                    <w:t>NOx</w:t>
                  </w:r>
                </w:p>
              </w:tc>
              <w:tc>
                <w:tcPr>
                  <w:tcW w:w="461" w:type="pct"/>
                  <w:tcBorders>
                    <w:tl2br w:val="nil"/>
                    <w:tr2bl w:val="nil"/>
                  </w:tcBorders>
                  <w:vAlign w:val="center"/>
                </w:tcPr>
                <w:p w14:paraId="6A0FF5A9">
                  <w:pPr>
                    <w:pStyle w:val="52"/>
                    <w:ind w:left="0" w:leftChars="0" w:firstLine="0" w:firstLineChars="0"/>
                    <w:jc w:val="center"/>
                    <w:rPr>
                      <w:rFonts w:hint="default" w:ascii="Times New Roman" w:hAnsi="Times New Roman" w:cs="Times New Roman"/>
                      <w:color w:val="auto"/>
                      <w:spacing w:val="-10"/>
                      <w:sz w:val="21"/>
                      <w:szCs w:val="21"/>
                      <w:highlight w:val="none"/>
                      <w:lang w:val="en-US" w:eastAsia="zh-CN"/>
                    </w:rPr>
                  </w:pPr>
                  <w:r>
                    <w:rPr>
                      <w:rFonts w:hint="eastAsia" w:ascii="Times New Roman" w:hAnsi="Times New Roman" w:cs="Times New Roman"/>
                      <w:color w:val="auto"/>
                      <w:spacing w:val="-10"/>
                      <w:sz w:val="21"/>
                      <w:szCs w:val="21"/>
                      <w:highlight w:val="none"/>
                      <w:lang w:val="en-US" w:eastAsia="zh-CN"/>
                    </w:rPr>
                    <w:t>0.097</w:t>
                  </w:r>
                </w:p>
              </w:tc>
            </w:tr>
          </w:tbl>
          <w:p w14:paraId="44465D24">
            <w:pPr>
              <w:pStyle w:val="20"/>
              <w:spacing w:line="360" w:lineRule="auto"/>
              <w:ind w:left="0" w:leftChars="0" w:firstLine="0" w:firstLineChars="0"/>
              <w:rPr>
                <w:rFonts w:hint="default"/>
                <w:b/>
                <w:bCs/>
                <w:color w:val="auto"/>
                <w:lang w:val="en-US" w:eastAsia="zh-CN"/>
              </w:rPr>
            </w:pPr>
            <w:r>
              <w:rPr>
                <w:rFonts w:hint="eastAsia"/>
                <w:b/>
                <w:bCs/>
                <w:color w:val="auto"/>
                <w:lang w:val="en-US" w:eastAsia="zh-CN"/>
              </w:rPr>
              <w:t>1.7环境影响分析</w:t>
            </w:r>
          </w:p>
          <w:p w14:paraId="50794977">
            <w:pPr>
              <w:pStyle w:val="20"/>
              <w:ind w:left="0" w:leftChars="0" w:firstLine="480" w:firstLineChars="200"/>
              <w:jc w:val="both"/>
              <w:rPr>
                <w:rFonts w:hint="default"/>
                <w:color w:val="auto"/>
                <w:lang w:val="en-US" w:eastAsia="zh-CN"/>
              </w:rPr>
            </w:pPr>
            <w:r>
              <w:rPr>
                <w:rFonts w:hint="default"/>
                <w:color w:val="auto"/>
                <w:lang w:val="en-US" w:eastAsia="zh-CN"/>
              </w:rPr>
              <w:t>本项目厂界外500米范围内无自然保护区、风景名胜区、文化区，不存在环境空气保护目标。</w:t>
            </w:r>
          </w:p>
          <w:p w14:paraId="63D0FB0A">
            <w:pPr>
              <w:pStyle w:val="20"/>
              <w:ind w:left="0" w:leftChars="0" w:firstLine="480" w:firstLineChars="200"/>
              <w:jc w:val="both"/>
              <w:rPr>
                <w:rFonts w:hint="default"/>
                <w:color w:val="auto"/>
                <w:lang w:val="en-US" w:eastAsia="zh-CN"/>
              </w:rPr>
            </w:pPr>
            <w:r>
              <w:rPr>
                <w:rFonts w:hint="default"/>
                <w:color w:val="auto"/>
                <w:lang w:val="en-US" w:eastAsia="zh-CN"/>
              </w:rPr>
              <w:t>本项目在出料口混合搅拌机排气孔处设置布袋除尘器对粉尘进行处置，堆场采用三面设置围挡设计，厂区道路硬化、控制车速、密封运输物料及安装车辆冲洗平台等措施后，能够有效降低粉尘逸散，堆场粉尘经采用密闭、四面围挡等措施，厂界无组织粉尘满足《水泥工业大气污染物排放标准》（GB4915-2013）表3大气污染物无组织排放限值。</w:t>
            </w:r>
          </w:p>
          <w:p w14:paraId="09661F67">
            <w:pPr>
              <w:pStyle w:val="20"/>
              <w:ind w:left="0" w:leftChars="0" w:firstLine="480" w:firstLineChars="200"/>
              <w:jc w:val="both"/>
              <w:rPr>
                <w:rFonts w:hint="default"/>
                <w:color w:val="auto"/>
                <w:lang w:val="en-US" w:eastAsia="zh-CN"/>
              </w:rPr>
            </w:pPr>
            <w:r>
              <w:rPr>
                <w:rFonts w:hint="default"/>
                <w:color w:val="auto"/>
                <w:lang w:val="en-US" w:eastAsia="zh-CN"/>
              </w:rPr>
              <w:t>综上所述，本项目运营期对周围大气环境影响不大。</w:t>
            </w:r>
          </w:p>
          <w:p w14:paraId="00B432A7">
            <w:pPr>
              <w:pStyle w:val="20"/>
              <w:ind w:left="0" w:leftChars="0" w:firstLine="0" w:firstLineChars="0"/>
              <w:rPr>
                <w:rFonts w:hint="default"/>
                <w:b/>
                <w:bCs/>
                <w:color w:val="auto"/>
                <w:lang w:val="en-US" w:eastAsia="zh-CN"/>
              </w:rPr>
            </w:pPr>
            <w:r>
              <w:rPr>
                <w:rFonts w:hint="default"/>
                <w:b/>
                <w:bCs/>
                <w:color w:val="auto"/>
                <w:lang w:val="en-US" w:eastAsia="zh-CN"/>
              </w:rPr>
              <w:t>2.废水</w:t>
            </w:r>
          </w:p>
          <w:p w14:paraId="27460259">
            <w:pPr>
              <w:pStyle w:val="20"/>
              <w:ind w:left="0" w:leftChars="0" w:firstLine="0" w:firstLineChars="0"/>
              <w:rPr>
                <w:rFonts w:hint="default"/>
                <w:b/>
                <w:bCs/>
                <w:color w:val="auto"/>
                <w:lang w:val="en-US" w:eastAsia="zh-CN"/>
              </w:rPr>
            </w:pPr>
            <w:r>
              <w:rPr>
                <w:rFonts w:hint="default"/>
                <w:b/>
                <w:bCs/>
                <w:color w:val="auto"/>
                <w:lang w:val="en-US" w:eastAsia="zh-CN"/>
              </w:rPr>
              <w:t>2.1环境影响分析</w:t>
            </w:r>
          </w:p>
          <w:p w14:paraId="22AEE197">
            <w:pPr>
              <w:pStyle w:val="20"/>
              <w:ind w:left="0" w:leftChars="0" w:firstLine="480" w:firstLineChars="200"/>
              <w:jc w:val="both"/>
              <w:rPr>
                <w:rFonts w:hint="default"/>
                <w:color w:val="auto"/>
                <w:lang w:val="en-US" w:eastAsia="zh-CN"/>
              </w:rPr>
            </w:pPr>
            <w:r>
              <w:rPr>
                <w:rFonts w:hint="default"/>
                <w:color w:val="auto"/>
                <w:lang w:val="en-US" w:eastAsia="zh-CN"/>
              </w:rPr>
              <w:t>本项目产生的废水主要为</w:t>
            </w:r>
            <w:r>
              <w:rPr>
                <w:rFonts w:hint="eastAsia"/>
                <w:color w:val="auto"/>
                <w:lang w:val="en-US" w:eastAsia="zh-CN"/>
              </w:rPr>
              <w:t>混凝土配料用水、搅拌机清洗用水、车辆清洗用水、地面清洗用水、钢筒试压用水、蒸汽用水和生活用水</w:t>
            </w:r>
            <w:r>
              <w:rPr>
                <w:rFonts w:hint="default"/>
                <w:color w:val="auto"/>
                <w:lang w:val="en-US" w:eastAsia="zh-CN"/>
              </w:rPr>
              <w:t>。</w:t>
            </w:r>
          </w:p>
          <w:p w14:paraId="6FAEFE0C">
            <w:pPr>
              <w:pStyle w:val="20"/>
              <w:numPr>
                <w:ilvl w:val="0"/>
                <w:numId w:val="0"/>
              </w:numPr>
              <w:ind w:firstLine="480" w:firstLineChars="200"/>
              <w:jc w:val="both"/>
              <w:rPr>
                <w:rFonts w:hint="default" w:cs="Times New Roman"/>
                <w:color w:val="auto"/>
                <w:highlight w:val="none"/>
                <w:lang w:val="en-US" w:eastAsia="zh-CN"/>
              </w:rPr>
            </w:pPr>
            <w:r>
              <w:rPr>
                <w:rFonts w:hint="eastAsia" w:cs="Times New Roman"/>
                <w:color w:val="auto"/>
                <w:highlight w:val="none"/>
                <w:lang w:val="en-US" w:eastAsia="zh-CN"/>
              </w:rPr>
              <w:t>（1）混凝土配料用水</w:t>
            </w:r>
          </w:p>
          <w:p w14:paraId="10D3524B">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根据原料配比，混凝土生产过程中，碎石、砂、水泥、粉煤灰等混合搅拌需要用水，根据实验室的配合比进行混凝土、砂浆现场拌合则混凝土制作用水量约</w:t>
            </w:r>
            <w:r>
              <w:rPr>
                <w:rFonts w:hint="default" w:ascii="Times New Roman" w:hAnsi="Times New Roman" w:cs="Times New Roman"/>
                <w:color w:val="auto"/>
                <w:highlight w:val="none"/>
                <w:lang w:val="en-US" w:eastAsia="zh-CN"/>
              </w:rPr>
              <w:t>48.06</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val="en-US" w:eastAsia="zh-CN"/>
              </w:rPr>
              <w:t>8650</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a)，用水全部进入产品混凝土中，混凝土符合质量要求后，混凝土经输送系统送至管芯生产区，物料中的水在养护过程中自然蒸发，无废水产生。</w:t>
            </w:r>
          </w:p>
          <w:p w14:paraId="7DF32A3C">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2</w:t>
            </w:r>
            <w:r>
              <w:rPr>
                <w:rFonts w:hint="default" w:ascii="Times New Roman" w:hAnsi="Times New Roman" w:cs="Times New Roman"/>
                <w:color w:val="auto"/>
                <w:highlight w:val="none"/>
              </w:rPr>
              <w:t>）搅拌机清洗用水</w:t>
            </w:r>
          </w:p>
          <w:p w14:paraId="7D5F0B24">
            <w:pPr>
              <w:pStyle w:val="20"/>
              <w:ind w:firstLine="480"/>
              <w:jc w:val="both"/>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项目设置搅拌机</w:t>
            </w:r>
            <w:r>
              <w:rPr>
                <w:rFonts w:hint="eastAsia" w:cs="Times New Roman"/>
                <w:color w:val="auto"/>
                <w:highlight w:val="none"/>
                <w:lang w:val="en-US" w:eastAsia="zh-CN"/>
              </w:rPr>
              <w:t>1</w:t>
            </w:r>
            <w:r>
              <w:rPr>
                <w:rFonts w:hint="default" w:ascii="Times New Roman" w:hAnsi="Times New Roman" w:cs="Times New Roman"/>
                <w:color w:val="auto"/>
                <w:highlight w:val="none"/>
              </w:rPr>
              <w:t>台，在暂停生产时须冲洗干净。根据建设单位生产实际，搅拌机平均每天冲洗一次，冲洗水约1</w:t>
            </w:r>
            <w:r>
              <w:rPr>
                <w:rFonts w:hint="eastAsia" w:cs="Times New Roman"/>
                <w:color w:val="auto"/>
                <w:highlight w:val="none"/>
                <w:lang w:val="en-US" w:eastAsia="zh-CN"/>
              </w:rPr>
              <w:t>t</w:t>
            </w:r>
            <w:r>
              <w:rPr>
                <w:rFonts w:hint="default" w:ascii="Times New Roman" w:hAnsi="Times New Roman" w:cs="Times New Roman"/>
                <w:color w:val="auto"/>
                <w:highlight w:val="none"/>
              </w:rPr>
              <w:t>/台·次，则冲洗水用量约</w:t>
            </w:r>
            <w:r>
              <w:rPr>
                <w:rFonts w:hint="eastAsia" w:cs="Times New Roman"/>
                <w:color w:val="auto"/>
                <w:highlight w:val="none"/>
                <w:lang w:val="en-US" w:eastAsia="zh-CN"/>
              </w:rPr>
              <w:t>1t</w:t>
            </w:r>
            <w:r>
              <w:rPr>
                <w:rFonts w:hint="default" w:ascii="Times New Roman" w:hAnsi="Times New Roman" w:cs="Times New Roman"/>
                <w:color w:val="auto"/>
                <w:highlight w:val="none"/>
              </w:rPr>
              <w:t>/d（</w:t>
            </w:r>
            <w:r>
              <w:rPr>
                <w:rFonts w:hint="eastAsia" w:cs="Times New Roman"/>
                <w:color w:val="auto"/>
                <w:highlight w:val="none"/>
                <w:lang w:val="en-US" w:eastAsia="zh-CN"/>
              </w:rPr>
              <w:t>180t</w:t>
            </w:r>
            <w:r>
              <w:rPr>
                <w:rFonts w:hint="default" w:ascii="Times New Roman" w:hAnsi="Times New Roman" w:cs="Times New Roman"/>
                <w:color w:val="auto"/>
                <w:highlight w:val="none"/>
              </w:rPr>
              <w:t>/a）。</w:t>
            </w:r>
            <w:r>
              <w:rPr>
                <w:rFonts w:hint="eastAsia" w:cs="Times New Roman"/>
                <w:color w:val="auto"/>
                <w:highlight w:val="none"/>
                <w:lang w:val="en-US" w:eastAsia="zh-CN"/>
              </w:rPr>
              <w:t>损耗量按20%算，则清洗废水为0.8t/d（144t/a）经过沉淀池沉淀后回用于生产。</w:t>
            </w:r>
          </w:p>
          <w:p w14:paraId="0E04E355">
            <w:pPr>
              <w:pStyle w:val="20"/>
              <w:ind w:firstLine="480"/>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3</w:t>
            </w:r>
            <w:r>
              <w:rPr>
                <w:rFonts w:hint="eastAsia" w:cs="Times New Roman"/>
                <w:color w:val="auto"/>
                <w:highlight w:val="none"/>
                <w:lang w:eastAsia="zh-CN"/>
              </w:rPr>
              <w:t>）</w:t>
            </w:r>
            <w:r>
              <w:rPr>
                <w:rFonts w:hint="eastAsia" w:cs="Times New Roman"/>
                <w:color w:val="auto"/>
                <w:highlight w:val="none"/>
                <w:lang w:val="en-US" w:eastAsia="zh-CN"/>
              </w:rPr>
              <w:t>车辆清洗用水</w:t>
            </w:r>
          </w:p>
          <w:p w14:paraId="2149F01D">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为防止车辆带泥上路，运输车辆装料或从厂区卸料后出厂均对车辆进行冲洗(清洗车轮为主)，保持外观清洁，</w:t>
            </w:r>
            <w:r>
              <w:rPr>
                <w:rFonts w:hint="eastAsia" w:cs="Times New Roman"/>
                <w:color w:val="auto"/>
                <w:highlight w:val="none"/>
                <w:lang w:val="en-US" w:eastAsia="zh-CN"/>
              </w:rPr>
              <w:t>厂内</w:t>
            </w:r>
            <w:r>
              <w:rPr>
                <w:rFonts w:hint="default" w:ascii="Times New Roman" w:hAnsi="Times New Roman" w:cs="Times New Roman"/>
                <w:color w:val="auto"/>
                <w:highlight w:val="none"/>
              </w:rPr>
              <w:t>设置了车辆冲洗平台，平台下设置</w:t>
            </w:r>
            <w:r>
              <w:rPr>
                <w:rFonts w:hint="eastAsia" w:cs="Times New Roman"/>
                <w:color w:val="auto"/>
                <w:highlight w:val="none"/>
                <w:lang w:val="en-US" w:eastAsia="zh-CN"/>
              </w:rPr>
              <w:t>沉淀池</w:t>
            </w:r>
            <w:r>
              <w:rPr>
                <w:rFonts w:hint="default" w:ascii="Times New Roman" w:hAnsi="Times New Roman" w:cs="Times New Roman"/>
                <w:color w:val="auto"/>
                <w:highlight w:val="none"/>
              </w:rPr>
              <w:t>用于处理冲洗废水，每日平均进出厂车辆约30车次，根据类比同类型企业，每次出厂冲洗用水0.1t，用水量3t/d(</w:t>
            </w:r>
            <w:r>
              <w:rPr>
                <w:rFonts w:hint="eastAsia" w:cs="Times New Roman"/>
                <w:color w:val="auto"/>
                <w:highlight w:val="none"/>
                <w:lang w:val="en-US" w:eastAsia="zh-CN"/>
              </w:rPr>
              <w:t>540</w:t>
            </w:r>
            <w:r>
              <w:rPr>
                <w:rFonts w:hint="default" w:ascii="Times New Roman" w:hAnsi="Times New Roman" w:cs="Times New Roman"/>
                <w:color w:val="auto"/>
                <w:highlight w:val="none"/>
              </w:rPr>
              <w:t>t</w:t>
            </w:r>
            <w:r>
              <w:rPr>
                <w:rFonts w:hint="eastAsia" w:cs="Times New Roman"/>
                <w:color w:val="auto"/>
                <w:highlight w:val="none"/>
                <w:lang w:val="en-US" w:eastAsia="zh-CN"/>
              </w:rPr>
              <w:t>/</w:t>
            </w:r>
            <w:r>
              <w:rPr>
                <w:rFonts w:hint="default" w:ascii="Times New Roman" w:hAnsi="Times New Roman" w:cs="Times New Roman"/>
                <w:color w:val="auto"/>
                <w:highlight w:val="none"/>
              </w:rPr>
              <w:t>a)，耗损量按20%计，则废水产生量为2.4t</w:t>
            </w:r>
            <w:r>
              <w:rPr>
                <w:rFonts w:hint="eastAsia" w:cs="Times New Roman"/>
                <w:color w:val="auto"/>
                <w:highlight w:val="none"/>
                <w:lang w:val="en-US" w:eastAsia="zh-CN"/>
              </w:rPr>
              <w:t>/</w:t>
            </w:r>
            <w:r>
              <w:rPr>
                <w:rFonts w:hint="default" w:ascii="Times New Roman" w:hAnsi="Times New Roman" w:cs="Times New Roman"/>
                <w:color w:val="auto"/>
                <w:highlight w:val="none"/>
              </w:rPr>
              <w:t>d(</w:t>
            </w:r>
            <w:r>
              <w:rPr>
                <w:rFonts w:hint="eastAsia" w:cs="Times New Roman"/>
                <w:color w:val="auto"/>
                <w:highlight w:val="none"/>
                <w:lang w:val="en-US" w:eastAsia="zh-CN"/>
              </w:rPr>
              <w:t>432</w:t>
            </w:r>
            <w:r>
              <w:rPr>
                <w:rFonts w:hint="default" w:ascii="Times New Roman" w:hAnsi="Times New Roman" w:cs="Times New Roman"/>
                <w:color w:val="auto"/>
                <w:highlight w:val="none"/>
              </w:rPr>
              <w:t>t</w:t>
            </w:r>
            <w:r>
              <w:rPr>
                <w:rFonts w:hint="eastAsia" w:cs="Times New Roman"/>
                <w:color w:val="auto"/>
                <w:highlight w:val="none"/>
                <w:lang w:val="en-US" w:eastAsia="zh-CN"/>
              </w:rPr>
              <w:t>/</w:t>
            </w:r>
            <w:r>
              <w:rPr>
                <w:rFonts w:hint="default" w:ascii="Times New Roman" w:hAnsi="Times New Roman" w:cs="Times New Roman"/>
                <w:color w:val="auto"/>
                <w:highlight w:val="none"/>
              </w:rPr>
              <w:t>a)。清洗出的砂石泥浆水进入沉淀池回用于生产不外排。</w:t>
            </w:r>
          </w:p>
          <w:p w14:paraId="33D3BDA8">
            <w:pPr>
              <w:pStyle w:val="20"/>
              <w:ind w:firstLine="480"/>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4</w:t>
            </w:r>
            <w:r>
              <w:rPr>
                <w:rFonts w:hint="eastAsia" w:cs="Times New Roman"/>
                <w:color w:val="auto"/>
                <w:highlight w:val="none"/>
                <w:lang w:eastAsia="zh-CN"/>
              </w:rPr>
              <w:t>）</w:t>
            </w:r>
            <w:r>
              <w:rPr>
                <w:rFonts w:hint="eastAsia" w:cs="Times New Roman"/>
                <w:color w:val="auto"/>
                <w:highlight w:val="none"/>
                <w:lang w:val="en-US" w:eastAsia="zh-CN"/>
              </w:rPr>
              <w:t>地面清洗用水</w:t>
            </w:r>
          </w:p>
          <w:p w14:paraId="1A20E8AE">
            <w:pPr>
              <w:pStyle w:val="20"/>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地面冲洗水按1.0t/100</w:t>
            </w:r>
            <w:r>
              <w:rPr>
                <w:rFonts w:hint="eastAsia" w:cs="Times New Roman"/>
                <w:color w:val="auto"/>
                <w:highlight w:val="none"/>
                <w:lang w:val="en-US" w:eastAsia="zh-CN"/>
              </w:rPr>
              <w:t>0</w:t>
            </w:r>
            <w:r>
              <w:rPr>
                <w:rFonts w:hint="default" w:ascii="Times New Roman" w:hAnsi="Times New Roman" w:cs="Times New Roman"/>
                <w:color w:val="auto"/>
                <w:highlight w:val="none"/>
              </w:rPr>
              <w:t>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次计算，需要冲洗的地面为露天生产场地混凝土和砂浆搅拌站、管芯生产区，面积约为</w:t>
            </w:r>
            <w:r>
              <w:rPr>
                <w:rFonts w:hint="eastAsia" w:cs="Times New Roman"/>
                <w:color w:val="auto"/>
                <w:highlight w:val="none"/>
                <w:lang w:val="en-US" w:eastAsia="zh-CN"/>
              </w:rPr>
              <w:t>3000</w:t>
            </w:r>
            <w:r>
              <w:rPr>
                <w:rFonts w:hint="default" w:ascii="Times New Roman" w:hAnsi="Times New Roman" w:cs="Times New Roman"/>
                <w:color w:val="auto"/>
                <w:highlight w:val="none"/>
              </w:rPr>
              <w:t>m</w:t>
            </w:r>
            <w:r>
              <w:rPr>
                <w:rFonts w:hint="eastAsia" w:cs="Times New Roman"/>
                <w:color w:val="auto"/>
                <w:highlight w:val="none"/>
                <w:vertAlign w:val="superscript"/>
                <w:lang w:val="en-US" w:eastAsia="zh-CN"/>
              </w:rPr>
              <w:t>2</w:t>
            </w:r>
            <w:r>
              <w:rPr>
                <w:rFonts w:hint="default" w:ascii="Times New Roman" w:hAnsi="Times New Roman" w:cs="Times New Roman"/>
                <w:color w:val="auto"/>
                <w:highlight w:val="none"/>
              </w:rPr>
              <w:t>，平均2天冲洗一次，</w:t>
            </w:r>
            <w:r>
              <w:rPr>
                <w:rFonts w:hint="eastAsia" w:cs="Times New Roman"/>
                <w:color w:val="auto"/>
                <w:highlight w:val="none"/>
                <w:lang w:val="en-US" w:eastAsia="zh-CN"/>
              </w:rPr>
              <w:t>清洗用水为3t/次，</w:t>
            </w:r>
            <w:r>
              <w:rPr>
                <w:rFonts w:hint="default" w:ascii="Times New Roman" w:hAnsi="Times New Roman" w:cs="Times New Roman"/>
                <w:color w:val="auto"/>
                <w:highlight w:val="none"/>
              </w:rPr>
              <w:t>则用水量约为</w:t>
            </w:r>
            <w:r>
              <w:rPr>
                <w:rFonts w:hint="eastAsia" w:cs="Times New Roman"/>
                <w:color w:val="auto"/>
                <w:highlight w:val="none"/>
                <w:lang w:val="en-US" w:eastAsia="zh-CN"/>
              </w:rPr>
              <w:t>1.5</w:t>
            </w:r>
            <w:r>
              <w:rPr>
                <w:rFonts w:hint="default" w:ascii="Times New Roman" w:hAnsi="Times New Roman" w:cs="Times New Roman"/>
                <w:color w:val="auto"/>
                <w:highlight w:val="none"/>
              </w:rPr>
              <w:t>t</w:t>
            </w:r>
            <w:r>
              <w:rPr>
                <w:rFonts w:hint="eastAsia" w:cs="Times New Roman"/>
                <w:color w:val="auto"/>
                <w:highlight w:val="none"/>
                <w:lang w:val="en-US" w:eastAsia="zh-CN"/>
              </w:rPr>
              <w:t>/天</w:t>
            </w:r>
            <w:r>
              <w:rPr>
                <w:rFonts w:hint="default" w:ascii="Times New Roman" w:hAnsi="Times New Roman" w:cs="Times New Roman"/>
                <w:color w:val="auto"/>
                <w:highlight w:val="none"/>
              </w:rPr>
              <w:t>，</w:t>
            </w:r>
            <w:r>
              <w:rPr>
                <w:rFonts w:hint="eastAsia" w:cs="Times New Roman"/>
                <w:color w:val="auto"/>
                <w:highlight w:val="none"/>
                <w:lang w:val="en-US" w:eastAsia="zh-CN"/>
              </w:rPr>
              <w:t>270</w:t>
            </w:r>
            <w:r>
              <w:rPr>
                <w:rFonts w:hint="default" w:ascii="Times New Roman" w:hAnsi="Times New Roman" w:cs="Times New Roman"/>
                <w:color w:val="auto"/>
                <w:highlight w:val="none"/>
              </w:rPr>
              <w:t>t</w:t>
            </w:r>
            <w:r>
              <w:rPr>
                <w:rFonts w:hint="eastAsia" w:cs="Times New Roman"/>
                <w:color w:val="auto"/>
                <w:highlight w:val="none"/>
                <w:lang w:val="en-US" w:eastAsia="zh-CN"/>
              </w:rPr>
              <w:t>/</w:t>
            </w:r>
            <w:r>
              <w:rPr>
                <w:rFonts w:hint="default" w:ascii="Times New Roman" w:hAnsi="Times New Roman" w:cs="Times New Roman"/>
                <w:color w:val="auto"/>
                <w:highlight w:val="none"/>
              </w:rPr>
              <w:t>a，</w:t>
            </w:r>
            <w:r>
              <w:rPr>
                <w:rFonts w:hint="eastAsia" w:ascii="Times New Roman" w:hAnsi="Times New Roman" w:eastAsia="宋体" w:cs="Times New Roman"/>
                <w:color w:val="auto"/>
                <w:kern w:val="0"/>
                <w:sz w:val="24"/>
              </w:rPr>
              <w:t>由于</w:t>
            </w:r>
            <w:r>
              <w:rPr>
                <w:rFonts w:hint="eastAsia" w:ascii="Times New Roman" w:hAnsi="Times New Roman" w:eastAsia="宋体" w:cs="Times New Roman"/>
                <w:color w:val="auto"/>
                <w:kern w:val="0"/>
                <w:sz w:val="24"/>
                <w:lang w:val="en-US" w:eastAsia="zh-CN"/>
              </w:rPr>
              <w:t>厂</w:t>
            </w:r>
            <w:r>
              <w:rPr>
                <w:rFonts w:hint="eastAsia" w:ascii="Times New Roman" w:hAnsi="Times New Roman" w:eastAsia="宋体" w:cs="Times New Roman"/>
                <w:color w:val="auto"/>
                <w:kern w:val="0"/>
                <w:sz w:val="24"/>
              </w:rPr>
              <w:t>区地面清洗水无法回用，均蒸发消耗</w:t>
            </w:r>
            <w:r>
              <w:rPr>
                <w:rFonts w:hint="default" w:ascii="Times New Roman" w:hAnsi="Times New Roman" w:cs="Times New Roman"/>
                <w:color w:val="auto"/>
                <w:highlight w:val="none"/>
              </w:rPr>
              <w:t>。</w:t>
            </w:r>
          </w:p>
          <w:p w14:paraId="4F444F71">
            <w:pPr>
              <w:pStyle w:val="20"/>
              <w:ind w:firstLine="480"/>
              <w:jc w:val="both"/>
              <w:rPr>
                <w:rFonts w:hint="default" w:ascii="Times New Roman" w:hAnsi="Times New Roman" w:eastAsia="宋体" w:cs="Times New Roman"/>
                <w:color w:val="auto"/>
                <w:highlight w:val="none"/>
                <w:lang w:val="en-US" w:eastAsia="zh-CN"/>
              </w:rPr>
            </w:pPr>
            <w:r>
              <w:rPr>
                <w:rFonts w:hint="eastAsia" w:cs="Times New Roman"/>
                <w:color w:val="auto"/>
                <w:highlight w:val="none"/>
                <w:lang w:eastAsia="zh-CN"/>
              </w:rPr>
              <w:t>（</w:t>
            </w:r>
            <w:r>
              <w:rPr>
                <w:rFonts w:hint="eastAsia" w:cs="Times New Roman"/>
                <w:color w:val="auto"/>
                <w:highlight w:val="none"/>
                <w:lang w:val="en-US" w:eastAsia="zh-CN"/>
              </w:rPr>
              <w:t>5</w:t>
            </w:r>
            <w:r>
              <w:rPr>
                <w:rFonts w:hint="eastAsia" w:cs="Times New Roman"/>
                <w:color w:val="auto"/>
                <w:highlight w:val="none"/>
                <w:lang w:eastAsia="zh-CN"/>
              </w:rPr>
              <w:t>）</w:t>
            </w:r>
            <w:r>
              <w:rPr>
                <w:rFonts w:hint="eastAsia" w:cs="Times New Roman"/>
                <w:color w:val="auto"/>
                <w:highlight w:val="none"/>
                <w:lang w:val="en-US" w:eastAsia="zh-CN"/>
              </w:rPr>
              <w:t>钢筒试压用水</w:t>
            </w:r>
          </w:p>
          <w:p w14:paraId="4A9131E1">
            <w:pPr>
              <w:pStyle w:val="20"/>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项目自制钢筒成型后需进行试压，通过水压试验检测焊接点位是否焊接牢固根据建设单位提供资料，钢筒试压用水量约6t</w:t>
            </w:r>
            <w:r>
              <w:rPr>
                <w:rFonts w:hint="eastAsia" w:cs="Times New Roman"/>
                <w:color w:val="auto"/>
                <w:highlight w:val="none"/>
                <w:lang w:val="en-US" w:eastAsia="zh-CN"/>
              </w:rPr>
              <w:t>/</w:t>
            </w:r>
            <w:r>
              <w:rPr>
                <w:rFonts w:hint="default" w:ascii="Times New Roman" w:hAnsi="Times New Roman" w:cs="Times New Roman"/>
                <w:color w:val="auto"/>
                <w:highlight w:val="none"/>
              </w:rPr>
              <w:t>d，其中循环用水量为5.7t/d，损耗0.3t/d。钢筒试压用水循环使用。</w:t>
            </w:r>
          </w:p>
          <w:p w14:paraId="7642F7EC">
            <w:pPr>
              <w:pStyle w:val="20"/>
              <w:spacing w:line="360" w:lineRule="auto"/>
              <w:ind w:firstLine="48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w:t>
            </w:r>
            <w:r>
              <w:rPr>
                <w:rFonts w:hint="eastAsia" w:cs="Times New Roman"/>
                <w:color w:val="auto"/>
                <w:highlight w:val="none"/>
                <w:lang w:val="en-US" w:eastAsia="zh-CN"/>
              </w:rPr>
              <w:t>6</w:t>
            </w:r>
            <w:r>
              <w:rPr>
                <w:rFonts w:hint="default" w:ascii="Times New Roman" w:hAnsi="Times New Roman" w:cs="Times New Roman"/>
                <w:color w:val="auto"/>
                <w:highlight w:val="none"/>
              </w:rPr>
              <w:t>）蒸汽用水</w:t>
            </w:r>
          </w:p>
          <w:p w14:paraId="06312699">
            <w:pPr>
              <w:pStyle w:val="36"/>
              <w:keepNext w:val="0"/>
              <w:keepLines w:val="0"/>
              <w:pageBreakBefore w:val="0"/>
              <w:widowControl w:val="0"/>
              <w:kinsoku/>
              <w:wordWrap/>
              <w:overflowPunct/>
              <w:topLinePunct w:val="0"/>
              <w:autoSpaceDE/>
              <w:autoSpaceDN/>
              <w:bidi w:val="0"/>
              <w:adjustRightInd/>
              <w:snapToGrid/>
              <w:spacing w:line="360" w:lineRule="auto"/>
              <w:ind w:left="108" w:right="102" w:firstLine="465"/>
              <w:jc w:val="both"/>
              <w:textAlignment w:val="auto"/>
              <w:rPr>
                <w:rFonts w:hint="default"/>
                <w:color w:val="auto"/>
                <w:lang w:val="en-US" w:eastAsia="zh-CN"/>
              </w:rPr>
            </w:pPr>
            <w:r>
              <w:rPr>
                <w:color w:val="auto"/>
                <w:spacing w:val="-6"/>
              </w:rPr>
              <w:t>本项目常用锅炉为</w:t>
            </w:r>
            <w:r>
              <w:rPr>
                <w:rFonts w:hint="eastAsia" w:ascii="Times New Roman" w:hAnsi="Times New Roman" w:eastAsia="宋体" w:cs="Times New Roman"/>
                <w:color w:val="auto"/>
                <w:spacing w:val="-6"/>
                <w:lang w:val="en-US" w:eastAsia="zh-CN"/>
              </w:rPr>
              <w:t>3</w:t>
            </w:r>
            <w:r>
              <w:rPr>
                <w:rFonts w:ascii="Times New Roman" w:hAnsi="Times New Roman" w:eastAsia="Times New Roman" w:cs="Times New Roman"/>
                <w:color w:val="auto"/>
                <w:spacing w:val="-6"/>
              </w:rPr>
              <w:t>t/h</w:t>
            </w:r>
            <w:r>
              <w:rPr>
                <w:rFonts w:hint="eastAsia" w:eastAsia="宋体"/>
                <w:color w:val="auto"/>
                <w:spacing w:val="-6"/>
                <w:lang w:val="en-US" w:eastAsia="zh-CN"/>
              </w:rPr>
              <w:t>燃气</w:t>
            </w:r>
            <w:r>
              <w:rPr>
                <w:color w:val="auto"/>
                <w:spacing w:val="-6"/>
              </w:rPr>
              <w:t>锅炉，用水量约为</w:t>
            </w:r>
            <w:r>
              <w:rPr>
                <w:rFonts w:hint="eastAsia" w:ascii="Times New Roman" w:hAnsi="Times New Roman" w:eastAsia="宋体" w:cs="Times New Roman"/>
                <w:color w:val="auto"/>
                <w:spacing w:val="-6"/>
                <w:lang w:val="en-US" w:eastAsia="zh-CN"/>
              </w:rPr>
              <w:t>16.67t</w:t>
            </w:r>
            <w:r>
              <w:rPr>
                <w:rFonts w:ascii="Times New Roman" w:hAnsi="Times New Roman" w:eastAsia="Times New Roman" w:cs="Times New Roman"/>
                <w:color w:val="auto"/>
                <w:spacing w:val="-6"/>
              </w:rPr>
              <w:t>/d</w:t>
            </w:r>
            <w:r>
              <w:rPr>
                <w:color w:val="auto"/>
                <w:spacing w:val="-6"/>
              </w:rPr>
              <w:t>，</w:t>
            </w:r>
            <w:r>
              <w:rPr>
                <w:rFonts w:hint="eastAsia" w:ascii="Times New Roman" w:hAnsi="Times New Roman" w:eastAsia="宋体" w:cs="Times New Roman"/>
                <w:color w:val="auto"/>
                <w:spacing w:val="-6"/>
                <w:lang w:val="en-US" w:eastAsia="zh-CN"/>
              </w:rPr>
              <w:t>3000</w:t>
            </w:r>
            <w:r>
              <w:rPr>
                <w:rFonts w:hint="eastAsia" w:ascii="Times New Roman" w:hAnsi="Times New Roman" w:eastAsia="宋体" w:cs="Times New Roman"/>
                <w:color w:val="auto"/>
                <w:spacing w:val="-7"/>
                <w:lang w:val="en-US" w:eastAsia="zh-CN"/>
              </w:rPr>
              <w:t>t</w:t>
            </w:r>
            <w:r>
              <w:rPr>
                <w:rFonts w:ascii="Times New Roman" w:hAnsi="Times New Roman" w:eastAsia="Times New Roman" w:cs="Times New Roman"/>
                <w:color w:val="auto"/>
                <w:spacing w:val="-7"/>
              </w:rPr>
              <w:t>/a</w:t>
            </w:r>
            <w:r>
              <w:rPr>
                <w:color w:val="auto"/>
                <w:spacing w:val="-7"/>
              </w:rPr>
              <w:t>，根</w:t>
            </w:r>
            <w:r>
              <w:rPr>
                <w:color w:val="auto"/>
                <w:spacing w:val="-3"/>
              </w:rPr>
              <w:t>据《</w:t>
            </w:r>
            <w:r>
              <w:rPr>
                <w:rFonts w:ascii="Times New Roman" w:hAnsi="Times New Roman" w:eastAsia="Times New Roman" w:cs="Times New Roman"/>
                <w:color w:val="auto"/>
                <w:spacing w:val="-3"/>
              </w:rPr>
              <w:t>4430</w:t>
            </w:r>
            <w:r>
              <w:rPr>
                <w:color w:val="auto"/>
                <w:spacing w:val="-3"/>
              </w:rPr>
              <w:t>工业锅炉（热力生产和供应行业）产污系数表－工业废</w:t>
            </w:r>
            <w:r>
              <w:rPr>
                <w:color w:val="auto"/>
                <w:spacing w:val="-4"/>
              </w:rPr>
              <w:t>水量和“化</w:t>
            </w:r>
            <w:r>
              <w:rPr>
                <w:color w:val="auto"/>
                <w:spacing w:val="-3"/>
              </w:rPr>
              <w:t>学需氧量”》，产排污系数见表</w:t>
            </w:r>
            <w:r>
              <w:rPr>
                <w:rFonts w:ascii="Times New Roman" w:hAnsi="Times New Roman" w:eastAsia="Times New Roman" w:cs="Times New Roman"/>
                <w:color w:val="auto"/>
                <w:spacing w:val="-3"/>
              </w:rPr>
              <w:t>2-</w:t>
            </w:r>
            <w:r>
              <w:rPr>
                <w:rFonts w:hint="eastAsia" w:ascii="Times New Roman" w:hAnsi="Times New Roman" w:eastAsia="宋体" w:cs="Times New Roman"/>
                <w:color w:val="auto"/>
                <w:spacing w:val="-3"/>
                <w:lang w:val="en-US" w:eastAsia="zh-CN"/>
              </w:rPr>
              <w:t>5</w:t>
            </w:r>
            <w:r>
              <w:rPr>
                <w:color w:val="auto"/>
                <w:spacing w:val="-3"/>
              </w:rPr>
              <w:t>。</w:t>
            </w:r>
            <w:r>
              <w:rPr>
                <w:color w:val="auto"/>
                <w:spacing w:val="-8"/>
              </w:rPr>
              <w:t>锅炉排污水及软化制备废水产生量为</w:t>
            </w:r>
            <w:r>
              <w:rPr>
                <w:rFonts w:hint="eastAsia" w:ascii="Times New Roman" w:hAnsi="Times New Roman" w:eastAsia="宋体" w:cs="Times New Roman"/>
                <w:color w:val="auto"/>
                <w:spacing w:val="-7"/>
                <w:lang w:val="en-US" w:eastAsia="zh-CN"/>
              </w:rPr>
              <w:t>271.2</w:t>
            </w:r>
            <w:r>
              <w:rPr>
                <w:rFonts w:ascii="Times New Roman" w:hAnsi="Times New Roman" w:eastAsia="Times New Roman" w:cs="Times New Roman"/>
                <w:color w:val="auto"/>
                <w:spacing w:val="-7"/>
              </w:rPr>
              <w:t>t/a</w:t>
            </w:r>
            <w:r>
              <w:rPr>
                <w:color w:val="auto"/>
                <w:spacing w:val="-7"/>
              </w:rPr>
              <w:t>，循环使用不外排。</w:t>
            </w:r>
          </w:p>
          <w:p w14:paraId="459EF028">
            <w:pPr>
              <w:pStyle w:val="20"/>
              <w:ind w:left="0" w:leftChars="0" w:firstLine="480" w:firstLineChars="200"/>
              <w:jc w:val="both"/>
              <w:rPr>
                <w:rFonts w:hint="default"/>
                <w:color w:val="auto"/>
                <w:lang w:val="en-US" w:eastAsia="zh-CN"/>
              </w:rPr>
            </w:pPr>
            <w:r>
              <w:rPr>
                <w:rFonts w:hint="default"/>
                <w:color w:val="auto"/>
                <w:lang w:val="en-US" w:eastAsia="zh-CN"/>
              </w:rPr>
              <w:t>（</w:t>
            </w:r>
            <w:r>
              <w:rPr>
                <w:rFonts w:hint="eastAsia"/>
                <w:color w:val="auto"/>
                <w:lang w:val="en-US" w:eastAsia="zh-CN"/>
              </w:rPr>
              <w:t>7</w:t>
            </w:r>
            <w:r>
              <w:rPr>
                <w:rFonts w:hint="default"/>
                <w:color w:val="auto"/>
                <w:lang w:val="en-US" w:eastAsia="zh-CN"/>
              </w:rPr>
              <w:t>）生活污水</w:t>
            </w:r>
          </w:p>
          <w:p w14:paraId="27464E9B">
            <w:pPr>
              <w:pStyle w:val="20"/>
              <w:ind w:firstLine="480"/>
              <w:jc w:val="both"/>
              <w:rPr>
                <w:rFonts w:hint="default"/>
                <w:color w:val="auto"/>
                <w:lang w:val="en-US" w:eastAsia="zh-CN"/>
              </w:rPr>
            </w:pPr>
            <w:r>
              <w:rPr>
                <w:rFonts w:hint="default" w:ascii="Times New Roman" w:hAnsi="Times New Roman" w:cs="Times New Roman"/>
                <w:color w:val="auto"/>
                <w:highlight w:val="none"/>
              </w:rPr>
              <w:t>本项目劳动定员为10</w:t>
            </w:r>
            <w:r>
              <w:rPr>
                <w:rFonts w:hint="eastAsia" w:cs="Times New Roman"/>
                <w:color w:val="auto"/>
                <w:highlight w:val="none"/>
                <w:lang w:val="en-US" w:eastAsia="zh-CN"/>
              </w:rPr>
              <w:t>0</w:t>
            </w:r>
            <w:r>
              <w:rPr>
                <w:rFonts w:hint="default" w:ascii="Times New Roman" w:hAnsi="Times New Roman" w:cs="Times New Roman"/>
                <w:color w:val="auto"/>
                <w:highlight w:val="none"/>
              </w:rPr>
              <w:t>人，年工作</w:t>
            </w:r>
            <w:r>
              <w:rPr>
                <w:rFonts w:hint="eastAsia" w:cs="Times New Roman"/>
                <w:color w:val="auto"/>
                <w:highlight w:val="none"/>
                <w:lang w:val="en-US" w:eastAsia="zh-CN"/>
              </w:rPr>
              <w:t>180</w:t>
            </w:r>
            <w:r>
              <w:rPr>
                <w:rFonts w:hint="default" w:ascii="Times New Roman" w:hAnsi="Times New Roman" w:cs="Times New Roman"/>
                <w:color w:val="auto"/>
                <w:highlight w:val="none"/>
              </w:rPr>
              <w:t>天，根据《新疆维吾尔自治区生活用水定额》，人均用水量按每人</w:t>
            </w:r>
            <w:r>
              <w:rPr>
                <w:rFonts w:hint="eastAsia" w:cs="Times New Roman"/>
                <w:color w:val="auto"/>
                <w:highlight w:val="none"/>
                <w:lang w:val="en-US" w:eastAsia="zh-CN"/>
              </w:rPr>
              <w:t>8</w:t>
            </w:r>
            <w:r>
              <w:rPr>
                <w:rFonts w:hint="default" w:ascii="Times New Roman" w:hAnsi="Times New Roman" w:cs="Times New Roman"/>
                <w:color w:val="auto"/>
                <w:highlight w:val="none"/>
              </w:rPr>
              <w:t>0L/d计算，则生活用水量为</w:t>
            </w:r>
            <w:r>
              <w:rPr>
                <w:rFonts w:hint="eastAsia" w:cs="Times New Roman"/>
                <w:color w:val="auto"/>
                <w:highlight w:val="none"/>
                <w:lang w:val="en-US" w:eastAsia="zh-CN"/>
              </w:rPr>
              <w:t>8t</w:t>
            </w:r>
            <w:r>
              <w:rPr>
                <w:rFonts w:hint="default" w:ascii="Times New Roman" w:hAnsi="Times New Roman" w:cs="Times New Roman"/>
                <w:color w:val="auto"/>
                <w:highlight w:val="none"/>
              </w:rPr>
              <w:t>/d（14</w:t>
            </w:r>
            <w:r>
              <w:rPr>
                <w:rFonts w:hint="eastAsia" w:cs="Times New Roman"/>
                <w:color w:val="auto"/>
                <w:highlight w:val="none"/>
                <w:lang w:val="en-US" w:eastAsia="zh-CN"/>
              </w:rPr>
              <w:t>40t</w:t>
            </w:r>
            <w:r>
              <w:rPr>
                <w:rFonts w:hint="default" w:ascii="Times New Roman" w:hAnsi="Times New Roman" w:cs="Times New Roman"/>
                <w:color w:val="auto"/>
                <w:highlight w:val="none"/>
              </w:rPr>
              <w:t>/a）。生活污水按生活用水量的80%计，本项目生活用水量为</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rPr>
              <w:t>t/d（14</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0</w:t>
            </w:r>
            <w:r>
              <w:rPr>
                <w:rFonts w:hint="eastAsia" w:ascii="Times New Roman" w:hAnsi="Times New Roman" w:cs="Times New Roman"/>
                <w:color w:val="auto"/>
                <w:highlight w:val="none"/>
                <w:lang w:val="en-US" w:eastAsia="zh-CN"/>
              </w:rPr>
              <w:t>t</w:t>
            </w:r>
            <w:r>
              <w:rPr>
                <w:rFonts w:hint="default" w:ascii="Times New Roman" w:hAnsi="Times New Roman" w:cs="Times New Roman"/>
                <w:color w:val="auto"/>
                <w:highlight w:val="none"/>
              </w:rPr>
              <w:t>/a），则生活污水产生量为</w:t>
            </w:r>
            <w:r>
              <w:rPr>
                <w:rFonts w:hint="eastAsia" w:ascii="Times New Roman" w:hAnsi="Times New Roman" w:cs="Times New Roman"/>
                <w:color w:val="auto"/>
                <w:highlight w:val="none"/>
                <w:lang w:val="en-US" w:eastAsia="zh-CN"/>
              </w:rPr>
              <w:t>6.4t</w:t>
            </w:r>
            <w:r>
              <w:rPr>
                <w:rFonts w:hint="default" w:ascii="Times New Roman" w:hAnsi="Times New Roman" w:cs="Times New Roman"/>
                <w:color w:val="auto"/>
                <w:highlight w:val="none"/>
              </w:rPr>
              <w:t>/d（</w:t>
            </w:r>
            <w:r>
              <w:rPr>
                <w:rFonts w:hint="eastAsia" w:ascii="Times New Roman" w:hAnsi="Times New Roman" w:cs="Times New Roman"/>
                <w:color w:val="auto"/>
                <w:highlight w:val="none"/>
                <w:lang w:val="en-US" w:eastAsia="zh-CN"/>
              </w:rPr>
              <w:t>1152t</w:t>
            </w:r>
            <w:r>
              <w:rPr>
                <w:rFonts w:hint="default" w:ascii="Times New Roman" w:hAnsi="Times New Roman" w:cs="Times New Roman"/>
                <w:color w:val="auto"/>
                <w:highlight w:val="none"/>
              </w:rPr>
              <w:t>/a）</w:t>
            </w:r>
            <w:r>
              <w:rPr>
                <w:rFonts w:hint="default"/>
                <w:color w:val="auto"/>
                <w:lang w:val="en-US" w:eastAsia="zh-CN"/>
              </w:rPr>
              <w:t>，主要污染物为CODcr、BOD</w:t>
            </w:r>
            <w:r>
              <w:rPr>
                <w:rFonts w:hint="default"/>
                <w:color w:val="auto"/>
                <w:vertAlign w:val="subscript"/>
                <w:lang w:val="en-US" w:eastAsia="zh-CN"/>
              </w:rPr>
              <w:t>5</w:t>
            </w:r>
            <w:r>
              <w:rPr>
                <w:rFonts w:hint="default"/>
                <w:color w:val="auto"/>
                <w:lang w:val="en-US" w:eastAsia="zh-CN"/>
              </w:rPr>
              <w:t>、氨氮、悬浮物等。</w:t>
            </w:r>
          </w:p>
          <w:p w14:paraId="3C4FCD31">
            <w:pPr>
              <w:pStyle w:val="20"/>
              <w:ind w:left="0" w:leftChars="0" w:firstLine="0" w:firstLineChars="0"/>
              <w:jc w:val="both"/>
              <w:rPr>
                <w:rFonts w:hint="default"/>
                <w:b/>
                <w:bCs/>
                <w:color w:val="auto"/>
                <w:lang w:val="en-US" w:eastAsia="zh-CN"/>
              </w:rPr>
            </w:pPr>
            <w:r>
              <w:rPr>
                <w:rFonts w:hint="default"/>
                <w:b/>
                <w:bCs/>
                <w:color w:val="auto"/>
                <w:lang w:val="en-US" w:eastAsia="zh-CN"/>
              </w:rPr>
              <w:t>2.2废水产生情况及处置措施</w:t>
            </w:r>
          </w:p>
          <w:p w14:paraId="38FB73D7">
            <w:pPr>
              <w:pStyle w:val="20"/>
              <w:ind w:left="0" w:leftChars="0" w:firstLine="480" w:firstLineChars="200"/>
              <w:jc w:val="both"/>
              <w:rPr>
                <w:rFonts w:hint="default"/>
                <w:color w:val="auto"/>
                <w:lang w:val="en-US" w:eastAsia="zh-CN"/>
              </w:rPr>
            </w:pPr>
            <w:r>
              <w:rPr>
                <w:rFonts w:hint="default"/>
                <w:color w:val="auto"/>
                <w:lang w:val="en-US" w:eastAsia="zh-CN"/>
              </w:rPr>
              <w:t>根据水量平衡分析，本项目排水量约为</w:t>
            </w:r>
            <w:r>
              <w:rPr>
                <w:rFonts w:hint="eastAsia"/>
                <w:color w:val="auto"/>
                <w:lang w:val="en-US" w:eastAsia="zh-CN"/>
              </w:rPr>
              <w:t>6.4</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/d（</w:t>
            </w:r>
            <w:r>
              <w:rPr>
                <w:rFonts w:hint="eastAsia"/>
                <w:color w:val="auto"/>
                <w:lang w:val="en-US" w:eastAsia="zh-CN"/>
              </w:rPr>
              <w:t>1152</w:t>
            </w:r>
            <w:r>
              <w:rPr>
                <w:rFonts w:hint="default"/>
                <w:color w:val="auto"/>
                <w:lang w:val="en-US" w:eastAsia="zh-CN"/>
              </w:rPr>
              <w:t>m</w:t>
            </w:r>
            <w:r>
              <w:rPr>
                <w:rFonts w:hint="default"/>
                <w:color w:val="auto"/>
                <w:vertAlign w:val="superscript"/>
                <w:lang w:val="en-US" w:eastAsia="zh-CN"/>
              </w:rPr>
              <w:t>3</w:t>
            </w:r>
            <w:r>
              <w:rPr>
                <w:rFonts w:hint="default"/>
                <w:color w:val="auto"/>
                <w:lang w:val="en-US" w:eastAsia="zh-CN"/>
              </w:rPr>
              <w:t>/a）。排入园区下水管网。本项目废水产排情况见表4-</w:t>
            </w:r>
            <w:r>
              <w:rPr>
                <w:rFonts w:hint="eastAsia"/>
                <w:color w:val="auto"/>
                <w:lang w:val="en-US" w:eastAsia="zh-CN"/>
              </w:rPr>
              <w:t>8</w:t>
            </w:r>
            <w:r>
              <w:rPr>
                <w:rFonts w:hint="default"/>
                <w:color w:val="auto"/>
                <w:lang w:val="en-US" w:eastAsia="zh-CN"/>
              </w:rPr>
              <w:t>。</w:t>
            </w:r>
          </w:p>
          <w:p w14:paraId="47F67A5D">
            <w:pPr>
              <w:pStyle w:val="20"/>
              <w:ind w:left="0" w:leftChars="0" w:firstLine="0" w:firstLineChars="0"/>
              <w:jc w:val="center"/>
              <w:rPr>
                <w:rFonts w:hint="default"/>
                <w:b/>
                <w:bCs/>
                <w:color w:val="auto"/>
                <w:sz w:val="21"/>
                <w:szCs w:val="21"/>
                <w:lang w:val="en-US" w:eastAsia="zh-CN"/>
              </w:rPr>
            </w:pPr>
            <w:r>
              <w:rPr>
                <w:rFonts w:hint="default"/>
                <w:b/>
                <w:bCs/>
                <w:color w:val="auto"/>
                <w:sz w:val="21"/>
                <w:szCs w:val="21"/>
                <w:lang w:val="en-US" w:eastAsia="zh-CN"/>
              </w:rPr>
              <w:t>表4-</w:t>
            </w:r>
            <w:r>
              <w:rPr>
                <w:rFonts w:hint="eastAsia"/>
                <w:b/>
                <w:bCs/>
                <w:color w:val="auto"/>
                <w:sz w:val="21"/>
                <w:szCs w:val="21"/>
                <w:lang w:val="en-US" w:eastAsia="zh-CN"/>
              </w:rPr>
              <w:t>8</w:t>
            </w:r>
            <w:r>
              <w:rPr>
                <w:rFonts w:hint="default"/>
                <w:b/>
                <w:bCs/>
                <w:color w:val="auto"/>
                <w:sz w:val="21"/>
                <w:szCs w:val="21"/>
                <w:lang w:val="en-US" w:eastAsia="zh-CN"/>
              </w:rPr>
              <w:t xml:space="preserve"> </w:t>
            </w:r>
            <w:r>
              <w:rPr>
                <w:rFonts w:hint="eastAsia"/>
                <w:b/>
                <w:bCs/>
                <w:color w:val="auto"/>
                <w:sz w:val="21"/>
                <w:szCs w:val="21"/>
                <w:lang w:val="en-US" w:eastAsia="zh-CN"/>
              </w:rPr>
              <w:t xml:space="preserve">  </w:t>
            </w:r>
            <w:r>
              <w:rPr>
                <w:rFonts w:hint="default"/>
                <w:b/>
                <w:bCs/>
                <w:color w:val="auto"/>
                <w:sz w:val="21"/>
                <w:szCs w:val="21"/>
                <w:lang w:val="en-US" w:eastAsia="zh-CN"/>
              </w:rPr>
              <w:t>污水排放量及污染物浓度一览表</w:t>
            </w:r>
          </w:p>
          <w:tbl>
            <w:tblPr>
              <w:tblStyle w:val="37"/>
              <w:tblW w:w="5000" w:type="pct"/>
              <w:tblInd w:w="5" w:type="dxa"/>
              <w:tblBorders>
                <w:top w:val="single" w:color="000000" w:sz="4" w:space="0"/>
                <w:left w:val="single" w:color="000000" w:sz="4" w:space="0"/>
                <w:bottom w:val="single" w:color="000000" w:sz="4" w:space="0"/>
                <w:right w:val="single" w:color="000000" w:sz="4" w:space="0"/>
                <w:insideH w:val="single" w:color="000000" w:sz="2" w:space="0"/>
                <w:insideV w:val="single" w:color="000000" w:sz="2" w:space="0"/>
              </w:tblBorders>
              <w:tblLayout w:type="fixed"/>
              <w:tblCellMar>
                <w:top w:w="0" w:type="dxa"/>
                <w:left w:w="0" w:type="dxa"/>
                <w:bottom w:w="0" w:type="dxa"/>
                <w:right w:w="0" w:type="dxa"/>
              </w:tblCellMar>
            </w:tblPr>
            <w:tblGrid>
              <w:gridCol w:w="1521"/>
              <w:gridCol w:w="1226"/>
              <w:gridCol w:w="1810"/>
              <w:gridCol w:w="1780"/>
              <w:gridCol w:w="1794"/>
            </w:tblGrid>
            <w:tr w14:paraId="2F47987A">
              <w:tblPrEx>
                <w:tblBorders>
                  <w:top w:val="single" w:color="000000" w:sz="4" w:space="0"/>
                  <w:left w:val="single" w:color="000000" w:sz="4" w:space="0"/>
                  <w:bottom w:val="single" w:color="000000" w:sz="4" w:space="0"/>
                  <w:right w:val="single" w:color="000000" w:sz="4" w:space="0"/>
                  <w:insideH w:val="single" w:color="000000" w:sz="2" w:space="0"/>
                  <w:insideV w:val="single" w:color="000000" w:sz="2" w:space="0"/>
                </w:tblBorders>
                <w:tblCellMar>
                  <w:top w:w="0" w:type="dxa"/>
                  <w:left w:w="0" w:type="dxa"/>
                  <w:bottom w:w="0" w:type="dxa"/>
                  <w:right w:w="0" w:type="dxa"/>
                </w:tblCellMar>
              </w:tblPrEx>
              <w:trPr>
                <w:trHeight w:val="414" w:hRule="atLeast"/>
              </w:trPr>
              <w:tc>
                <w:tcPr>
                  <w:tcW w:w="935" w:type="pct"/>
                  <w:vMerge w:val="restart"/>
                  <w:tcBorders>
                    <w:top w:val="single" w:color="000000" w:sz="12" w:space="0"/>
                    <w:left w:val="nil"/>
                    <w:bottom w:val="nil"/>
                  </w:tcBorders>
                  <w:noWrap w:val="0"/>
                  <w:vAlign w:val="top"/>
                </w:tcPr>
                <w:p w14:paraId="39506DE1">
                  <w:pPr>
                    <w:pStyle w:val="36"/>
                    <w:spacing w:before="244" w:line="240" w:lineRule="auto"/>
                    <w:ind w:left="45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污染源</w:t>
                  </w:r>
                </w:p>
              </w:tc>
              <w:tc>
                <w:tcPr>
                  <w:tcW w:w="754" w:type="pct"/>
                  <w:vMerge w:val="restart"/>
                  <w:tcBorders>
                    <w:top w:val="single" w:color="000000" w:sz="12" w:space="0"/>
                    <w:bottom w:val="nil"/>
                  </w:tcBorders>
                  <w:noWrap w:val="0"/>
                  <w:vAlign w:val="top"/>
                </w:tcPr>
                <w:p w14:paraId="5043F252">
                  <w:pPr>
                    <w:pStyle w:val="36"/>
                    <w:spacing w:before="244" w:line="240" w:lineRule="auto"/>
                    <w:ind w:left="30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7"/>
                      <w:sz w:val="21"/>
                      <w:szCs w:val="21"/>
                    </w:rPr>
                    <w:t>污染物</w:t>
                  </w:r>
                </w:p>
              </w:tc>
              <w:tc>
                <w:tcPr>
                  <w:tcW w:w="2207" w:type="pct"/>
                  <w:gridSpan w:val="2"/>
                  <w:tcBorders>
                    <w:top w:val="single" w:color="000000" w:sz="12" w:space="0"/>
                  </w:tcBorders>
                  <w:noWrap w:val="0"/>
                  <w:vAlign w:val="top"/>
                </w:tcPr>
                <w:p w14:paraId="0473A696">
                  <w:pPr>
                    <w:pStyle w:val="36"/>
                    <w:spacing w:before="35" w:line="240" w:lineRule="auto"/>
                    <w:ind w:left="137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产生情况</w:t>
                  </w:r>
                </w:p>
              </w:tc>
              <w:tc>
                <w:tcPr>
                  <w:tcW w:w="1103" w:type="pct"/>
                  <w:vMerge w:val="restart"/>
                  <w:tcBorders>
                    <w:top w:val="single" w:color="000000" w:sz="12" w:space="0"/>
                    <w:bottom w:val="nil"/>
                    <w:right w:val="nil"/>
                  </w:tcBorders>
                  <w:noWrap w:val="0"/>
                  <w:vAlign w:val="top"/>
                </w:tcPr>
                <w:p w14:paraId="4F7F734A">
                  <w:pPr>
                    <w:pStyle w:val="36"/>
                    <w:spacing w:before="243" w:line="240" w:lineRule="auto"/>
                    <w:ind w:left="479"/>
                    <w:rPr>
                      <w:rFonts w:hint="eastAsia" w:ascii="宋体" w:hAnsi="宋体" w:eastAsia="宋体" w:cs="宋体"/>
                      <w:color w:val="auto"/>
                      <w:sz w:val="21"/>
                      <w:szCs w:val="21"/>
                    </w:rPr>
                  </w:pPr>
                  <w:r>
                    <w:rPr>
                      <w:rFonts w:hint="eastAsia" w:ascii="宋体" w:hAnsi="宋体" w:eastAsia="宋体" w:cs="宋体"/>
                      <w:color w:val="auto"/>
                      <w:spacing w:val="8"/>
                      <w:sz w:val="21"/>
                      <w:szCs w:val="21"/>
                    </w:rPr>
                    <w:t>排放去向</w:t>
                  </w:r>
                </w:p>
              </w:tc>
            </w:tr>
            <w:tr w14:paraId="027497EF">
              <w:tblPrEx>
                <w:tblBorders>
                  <w:top w:val="single" w:color="000000" w:sz="4" w:space="0"/>
                  <w:left w:val="single" w:color="000000" w:sz="4" w:space="0"/>
                  <w:bottom w:val="single" w:color="000000" w:sz="4" w:space="0"/>
                  <w:right w:val="single" w:color="000000" w:sz="4" w:space="0"/>
                  <w:insideH w:val="single" w:color="000000" w:sz="2" w:space="0"/>
                  <w:insideV w:val="single" w:color="000000" w:sz="2" w:space="0"/>
                </w:tblBorders>
                <w:tblCellMar>
                  <w:top w:w="0" w:type="dxa"/>
                  <w:left w:w="0" w:type="dxa"/>
                  <w:bottom w:w="0" w:type="dxa"/>
                  <w:right w:w="0" w:type="dxa"/>
                </w:tblCellMar>
              </w:tblPrEx>
              <w:trPr>
                <w:trHeight w:val="420" w:hRule="atLeast"/>
              </w:trPr>
              <w:tc>
                <w:tcPr>
                  <w:tcW w:w="935" w:type="pct"/>
                  <w:vMerge w:val="continue"/>
                  <w:tcBorders>
                    <w:top w:val="nil"/>
                    <w:left w:val="nil"/>
                    <w:bottom w:val="single" w:color="000000" w:sz="10" w:space="0"/>
                  </w:tcBorders>
                  <w:noWrap w:val="0"/>
                  <w:vAlign w:val="top"/>
                </w:tcPr>
                <w:p w14:paraId="4081B78E">
                  <w:pPr>
                    <w:spacing w:line="240" w:lineRule="auto"/>
                    <w:rPr>
                      <w:rFonts w:hint="default" w:ascii="Times New Roman" w:hAnsi="Times New Roman" w:eastAsia="宋体" w:cs="Times New Roman"/>
                      <w:color w:val="auto"/>
                      <w:sz w:val="21"/>
                      <w:szCs w:val="21"/>
                    </w:rPr>
                  </w:pPr>
                </w:p>
              </w:tc>
              <w:tc>
                <w:tcPr>
                  <w:tcW w:w="754" w:type="pct"/>
                  <w:vMerge w:val="continue"/>
                  <w:tcBorders>
                    <w:top w:val="nil"/>
                    <w:bottom w:val="single" w:color="000000" w:sz="10" w:space="0"/>
                  </w:tcBorders>
                  <w:noWrap w:val="0"/>
                  <w:vAlign w:val="top"/>
                </w:tcPr>
                <w:p w14:paraId="1072EC20">
                  <w:pPr>
                    <w:spacing w:line="240" w:lineRule="auto"/>
                    <w:rPr>
                      <w:rFonts w:hint="default" w:ascii="Times New Roman" w:hAnsi="Times New Roman" w:eastAsia="宋体" w:cs="Times New Roman"/>
                      <w:color w:val="auto"/>
                      <w:sz w:val="21"/>
                      <w:szCs w:val="21"/>
                    </w:rPr>
                  </w:pPr>
                </w:p>
              </w:tc>
              <w:tc>
                <w:tcPr>
                  <w:tcW w:w="1113" w:type="pct"/>
                  <w:tcBorders>
                    <w:bottom w:val="single" w:color="000000" w:sz="10" w:space="0"/>
                  </w:tcBorders>
                  <w:noWrap w:val="0"/>
                  <w:vAlign w:val="top"/>
                </w:tcPr>
                <w:p w14:paraId="4AA0F210">
                  <w:pPr>
                    <w:pStyle w:val="36"/>
                    <w:spacing w:before="5" w:line="240" w:lineRule="auto"/>
                    <w:ind w:left="27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position w:val="1"/>
                      <w:sz w:val="21"/>
                      <w:szCs w:val="21"/>
                    </w:rPr>
                    <w:t>产生量（t/a）</w:t>
                  </w:r>
                </w:p>
              </w:tc>
              <w:tc>
                <w:tcPr>
                  <w:tcW w:w="1093" w:type="pct"/>
                  <w:tcBorders>
                    <w:bottom w:val="single" w:color="000000" w:sz="10" w:space="0"/>
                  </w:tcBorders>
                  <w:noWrap w:val="0"/>
                  <w:vAlign w:val="top"/>
                </w:tcPr>
                <w:p w14:paraId="6B7E5A01">
                  <w:pPr>
                    <w:pStyle w:val="36"/>
                    <w:spacing w:before="36" w:line="240" w:lineRule="auto"/>
                    <w:ind w:left="68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浓度</w:t>
                  </w:r>
                </w:p>
              </w:tc>
              <w:tc>
                <w:tcPr>
                  <w:tcW w:w="1103" w:type="pct"/>
                  <w:vMerge w:val="continue"/>
                  <w:tcBorders>
                    <w:top w:val="nil"/>
                    <w:bottom w:val="single" w:color="000000" w:sz="10" w:space="0"/>
                    <w:right w:val="nil"/>
                  </w:tcBorders>
                  <w:noWrap w:val="0"/>
                  <w:vAlign w:val="top"/>
                </w:tcPr>
                <w:p w14:paraId="01224212">
                  <w:pPr>
                    <w:spacing w:line="240" w:lineRule="auto"/>
                    <w:rPr>
                      <w:rFonts w:hint="eastAsia" w:ascii="宋体" w:hAnsi="宋体" w:eastAsia="宋体" w:cs="宋体"/>
                      <w:color w:val="auto"/>
                      <w:sz w:val="21"/>
                      <w:szCs w:val="21"/>
                    </w:rPr>
                  </w:pPr>
                </w:p>
              </w:tc>
            </w:tr>
            <w:tr w14:paraId="3D13E8C9">
              <w:tblPrEx>
                <w:tblBorders>
                  <w:top w:val="single" w:color="000000" w:sz="4" w:space="0"/>
                  <w:left w:val="single" w:color="000000" w:sz="4" w:space="0"/>
                  <w:bottom w:val="single" w:color="000000" w:sz="4" w:space="0"/>
                  <w:right w:val="single" w:color="000000" w:sz="4"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5" w:type="pct"/>
                  <w:vMerge w:val="restart"/>
                  <w:tcBorders>
                    <w:top w:val="single" w:color="000000" w:sz="10" w:space="0"/>
                    <w:left w:val="nil"/>
                    <w:bottom w:val="single" w:color="000000" w:sz="12" w:space="0"/>
                  </w:tcBorders>
                  <w:noWrap w:val="0"/>
                  <w:vAlign w:val="top"/>
                </w:tcPr>
                <w:p w14:paraId="47380A6C">
                  <w:pPr>
                    <w:spacing w:line="240" w:lineRule="auto"/>
                    <w:rPr>
                      <w:rFonts w:hint="default" w:ascii="Times New Roman" w:hAnsi="Times New Roman" w:eastAsia="宋体" w:cs="Times New Roman"/>
                      <w:color w:val="auto"/>
                      <w:sz w:val="21"/>
                      <w:szCs w:val="21"/>
                    </w:rPr>
                  </w:pPr>
                </w:p>
                <w:p w14:paraId="298FA58F">
                  <w:pPr>
                    <w:spacing w:line="240" w:lineRule="auto"/>
                    <w:rPr>
                      <w:rFonts w:hint="default" w:ascii="Times New Roman" w:hAnsi="Times New Roman" w:eastAsia="宋体" w:cs="Times New Roman"/>
                      <w:color w:val="auto"/>
                      <w:sz w:val="21"/>
                      <w:szCs w:val="21"/>
                    </w:rPr>
                  </w:pPr>
                </w:p>
                <w:p w14:paraId="2B1BEE7B">
                  <w:pPr>
                    <w:pStyle w:val="36"/>
                    <w:spacing w:before="65" w:line="240" w:lineRule="auto"/>
                    <w:ind w:left="34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position w:val="17"/>
                      <w:sz w:val="21"/>
                      <w:szCs w:val="21"/>
                    </w:rPr>
                    <w:t>生活污水</w:t>
                  </w:r>
                </w:p>
                <w:p w14:paraId="0F9EFBF0">
                  <w:pPr>
                    <w:spacing w:line="240" w:lineRule="auto"/>
                    <w:ind w:left="505"/>
                    <w:rPr>
                      <w:rFonts w:hint="default" w:ascii="Times New Roman" w:hAnsi="Times New Roman" w:eastAsia="宋体" w:cs="Times New Roman"/>
                      <w:color w:val="auto"/>
                      <w:sz w:val="21"/>
                      <w:szCs w:val="21"/>
                    </w:rPr>
                  </w:pPr>
                  <w:r>
                    <w:rPr>
                      <w:rFonts w:hint="eastAsia" w:cs="Times New Roman"/>
                      <w:color w:val="auto"/>
                      <w:spacing w:val="2"/>
                      <w:position w:val="1"/>
                      <w:sz w:val="21"/>
                      <w:szCs w:val="21"/>
                      <w:lang w:val="en-US" w:eastAsia="zh-CN"/>
                    </w:rPr>
                    <w:t>1152</w:t>
                  </w:r>
                  <w:r>
                    <w:rPr>
                      <w:rFonts w:hint="default" w:ascii="Times New Roman" w:hAnsi="Times New Roman" w:eastAsia="宋体" w:cs="Times New Roman"/>
                      <w:color w:val="auto"/>
                      <w:spacing w:val="2"/>
                      <w:position w:val="1"/>
                      <w:sz w:val="21"/>
                      <w:szCs w:val="21"/>
                    </w:rPr>
                    <w:t>t/a</w:t>
                  </w:r>
                </w:p>
              </w:tc>
              <w:tc>
                <w:tcPr>
                  <w:tcW w:w="754" w:type="pct"/>
                  <w:tcBorders>
                    <w:top w:val="single" w:color="000000" w:sz="10" w:space="0"/>
                  </w:tcBorders>
                  <w:noWrap w:val="0"/>
                  <w:vAlign w:val="top"/>
                </w:tcPr>
                <w:p w14:paraId="21F23CF5">
                  <w:pPr>
                    <w:spacing w:before="162" w:line="240" w:lineRule="auto"/>
                    <w:ind w:left="31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CODcr</w:t>
                  </w:r>
                </w:p>
              </w:tc>
              <w:tc>
                <w:tcPr>
                  <w:tcW w:w="1113" w:type="pct"/>
                  <w:tcBorders>
                    <w:top w:val="single" w:color="000000" w:sz="10" w:space="0"/>
                  </w:tcBorders>
                  <w:noWrap w:val="0"/>
                  <w:vAlign w:val="top"/>
                </w:tcPr>
                <w:p w14:paraId="122EBC60">
                  <w:pPr>
                    <w:spacing w:before="162" w:line="240" w:lineRule="auto"/>
                    <w:ind w:left="672"/>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rPr>
                    <w:t>0.</w:t>
                  </w:r>
                  <w:r>
                    <w:rPr>
                      <w:rFonts w:hint="eastAsia" w:cs="Times New Roman"/>
                      <w:color w:val="auto"/>
                      <w:spacing w:val="3"/>
                      <w:sz w:val="21"/>
                      <w:szCs w:val="21"/>
                      <w:lang w:val="en-US" w:eastAsia="zh-CN"/>
                    </w:rPr>
                    <w:t>461</w:t>
                  </w:r>
                </w:p>
              </w:tc>
              <w:tc>
                <w:tcPr>
                  <w:tcW w:w="1093" w:type="pct"/>
                  <w:tcBorders>
                    <w:top w:val="single" w:color="000000" w:sz="10" w:space="0"/>
                  </w:tcBorders>
                  <w:noWrap w:val="0"/>
                  <w:vAlign w:val="top"/>
                </w:tcPr>
                <w:p w14:paraId="30D40E43">
                  <w:pPr>
                    <w:spacing w:before="95" w:line="240" w:lineRule="auto"/>
                    <w:ind w:left="504"/>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position w:val="3"/>
                      <w:sz w:val="21"/>
                      <w:szCs w:val="21"/>
                    </w:rPr>
                    <w:t>400</w:t>
                  </w:r>
                  <w:r>
                    <w:rPr>
                      <w:rFonts w:hint="default" w:ascii="Times New Roman" w:hAnsi="Times New Roman" w:eastAsia="宋体" w:cs="Times New Roman"/>
                      <w:color w:val="auto"/>
                      <w:position w:val="3"/>
                      <w:sz w:val="21"/>
                      <w:szCs w:val="21"/>
                    </w:rPr>
                    <w:t>mg</w:t>
                  </w:r>
                  <w:r>
                    <w:rPr>
                      <w:rFonts w:hint="default" w:ascii="Times New Roman" w:hAnsi="Times New Roman" w:eastAsia="宋体" w:cs="Times New Roman"/>
                      <w:color w:val="auto"/>
                      <w:spacing w:val="5"/>
                      <w:position w:val="3"/>
                      <w:sz w:val="21"/>
                      <w:szCs w:val="21"/>
                    </w:rPr>
                    <w:t>/L</w:t>
                  </w:r>
                </w:p>
              </w:tc>
              <w:tc>
                <w:tcPr>
                  <w:tcW w:w="1103" w:type="pct"/>
                  <w:vMerge w:val="restart"/>
                  <w:tcBorders>
                    <w:top w:val="single" w:color="000000" w:sz="10" w:space="0"/>
                    <w:bottom w:val="single" w:color="000000" w:sz="12" w:space="0"/>
                    <w:right w:val="nil"/>
                  </w:tcBorders>
                  <w:noWrap w:val="0"/>
                  <w:vAlign w:val="center"/>
                </w:tcPr>
                <w:p w14:paraId="6AD86B2F">
                  <w:pPr>
                    <w:pStyle w:val="36"/>
                    <w:spacing w:before="65" w:line="240" w:lineRule="auto"/>
                    <w:jc w:val="both"/>
                    <w:rPr>
                      <w:rFonts w:hint="eastAsia" w:ascii="宋体" w:hAnsi="宋体" w:eastAsia="宋体" w:cs="宋体"/>
                      <w:color w:val="auto"/>
                      <w:sz w:val="21"/>
                      <w:szCs w:val="21"/>
                    </w:rPr>
                  </w:pPr>
                  <w:r>
                    <w:rPr>
                      <w:rFonts w:hint="default" w:ascii="Times New Roman" w:hAnsi="Times New Roman" w:eastAsia="宋体" w:cs="Times New Roman"/>
                      <w:color w:val="auto"/>
                      <w:spacing w:val="4"/>
                      <w:sz w:val="21"/>
                      <w:szCs w:val="21"/>
                      <w:lang w:val="en-US" w:eastAsia="zh-CN"/>
                    </w:rPr>
                    <w:t>排入</w:t>
                  </w:r>
                  <w:r>
                    <w:rPr>
                      <w:rFonts w:hint="eastAsia" w:ascii="Times New Roman" w:hAnsi="Times New Roman" w:eastAsia="宋体" w:cs="Times New Roman"/>
                      <w:color w:val="auto"/>
                      <w:spacing w:val="4"/>
                      <w:sz w:val="21"/>
                      <w:szCs w:val="21"/>
                      <w:lang w:val="en-US" w:eastAsia="zh-CN"/>
                    </w:rPr>
                    <w:t>园区污水管网，</w:t>
                  </w:r>
                  <w:r>
                    <w:rPr>
                      <w:rFonts w:hint="eastAsia" w:ascii="Times New Roman" w:hAnsi="Times New Roman" w:cs="Times New Roman"/>
                      <w:color w:val="auto"/>
                      <w:spacing w:val="4"/>
                      <w:sz w:val="21"/>
                      <w:szCs w:val="21"/>
                      <w:lang w:val="en-US" w:eastAsia="zh-CN"/>
                    </w:rPr>
                    <w:t>最终排入</w:t>
                  </w:r>
                  <w:r>
                    <w:rPr>
                      <w:rFonts w:hint="eastAsia" w:ascii="Times New Roman" w:hAnsi="Times New Roman" w:eastAsia="宋体" w:cs="Times New Roman"/>
                      <w:color w:val="auto"/>
                      <w:spacing w:val="4"/>
                      <w:sz w:val="21"/>
                      <w:szCs w:val="21"/>
                      <w:lang w:val="en-US" w:eastAsia="zh-CN"/>
                    </w:rPr>
                    <w:t>吉木萨尔县第二污水处理厂</w:t>
                  </w:r>
                  <w:r>
                    <w:rPr>
                      <w:rFonts w:hint="default" w:ascii="Times New Roman" w:hAnsi="Times New Roman" w:eastAsia="宋体" w:cs="Times New Roman"/>
                      <w:color w:val="auto"/>
                      <w:spacing w:val="4"/>
                      <w:sz w:val="21"/>
                      <w:szCs w:val="21"/>
                      <w:lang w:val="en-US" w:eastAsia="zh-CN"/>
                    </w:rPr>
                    <w:t>进行处理</w:t>
                  </w:r>
                </w:p>
              </w:tc>
            </w:tr>
            <w:tr w14:paraId="1B5A28C5">
              <w:tblPrEx>
                <w:tblBorders>
                  <w:top w:val="single" w:color="000000" w:sz="4" w:space="0"/>
                  <w:left w:val="single" w:color="000000" w:sz="4" w:space="0"/>
                  <w:bottom w:val="single" w:color="000000" w:sz="4" w:space="0"/>
                  <w:right w:val="single" w:color="000000" w:sz="4" w:space="0"/>
                  <w:insideH w:val="single" w:color="000000" w:sz="2" w:space="0"/>
                  <w:insideV w:val="single" w:color="000000" w:sz="2" w:space="0"/>
                </w:tblBorders>
                <w:tblCellMar>
                  <w:top w:w="0" w:type="dxa"/>
                  <w:left w:w="0" w:type="dxa"/>
                  <w:bottom w:w="0" w:type="dxa"/>
                  <w:right w:w="0" w:type="dxa"/>
                </w:tblCellMar>
              </w:tblPrEx>
              <w:trPr>
                <w:trHeight w:val="468" w:hRule="atLeast"/>
              </w:trPr>
              <w:tc>
                <w:tcPr>
                  <w:tcW w:w="935" w:type="pct"/>
                  <w:vMerge w:val="continue"/>
                  <w:tcBorders>
                    <w:top w:val="single" w:color="000000" w:sz="12" w:space="0"/>
                    <w:left w:val="nil"/>
                    <w:bottom w:val="single" w:color="000000" w:sz="12" w:space="0"/>
                  </w:tcBorders>
                  <w:noWrap w:val="0"/>
                  <w:vAlign w:val="top"/>
                </w:tcPr>
                <w:p w14:paraId="470A16EB">
                  <w:pPr>
                    <w:spacing w:line="240" w:lineRule="auto"/>
                    <w:rPr>
                      <w:rFonts w:hint="default" w:ascii="Times New Roman" w:hAnsi="Times New Roman" w:eastAsia="宋体" w:cs="Times New Roman"/>
                      <w:color w:val="auto"/>
                      <w:sz w:val="21"/>
                      <w:szCs w:val="21"/>
                    </w:rPr>
                  </w:pPr>
                </w:p>
              </w:tc>
              <w:tc>
                <w:tcPr>
                  <w:tcW w:w="754" w:type="pct"/>
                  <w:noWrap w:val="0"/>
                  <w:vAlign w:val="top"/>
                </w:tcPr>
                <w:p w14:paraId="49094C0A">
                  <w:pPr>
                    <w:spacing w:before="176" w:line="240" w:lineRule="auto"/>
                    <w:ind w:left="35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BOD</w:t>
                  </w:r>
                  <w:r>
                    <w:rPr>
                      <w:rFonts w:hint="default" w:ascii="Times New Roman" w:hAnsi="Times New Roman" w:eastAsia="宋体" w:cs="Times New Roman"/>
                      <w:color w:val="auto"/>
                      <w:spacing w:val="19"/>
                      <w:position w:val="-1"/>
                      <w:sz w:val="21"/>
                      <w:szCs w:val="21"/>
                      <w:vertAlign w:val="subscript"/>
                    </w:rPr>
                    <w:t>5</w:t>
                  </w:r>
                </w:p>
              </w:tc>
              <w:tc>
                <w:tcPr>
                  <w:tcW w:w="1113" w:type="pct"/>
                  <w:noWrap w:val="0"/>
                  <w:vAlign w:val="top"/>
                </w:tcPr>
                <w:p w14:paraId="3595954E">
                  <w:pPr>
                    <w:spacing w:before="178" w:line="240" w:lineRule="auto"/>
                    <w:ind w:left="672"/>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rPr>
                    <w:t>0.</w:t>
                  </w:r>
                  <w:r>
                    <w:rPr>
                      <w:rFonts w:hint="eastAsia" w:cs="Times New Roman"/>
                      <w:color w:val="auto"/>
                      <w:spacing w:val="3"/>
                      <w:sz w:val="21"/>
                      <w:szCs w:val="21"/>
                      <w:lang w:val="en-US" w:eastAsia="zh-CN"/>
                    </w:rPr>
                    <w:t>346</w:t>
                  </w:r>
                </w:p>
              </w:tc>
              <w:tc>
                <w:tcPr>
                  <w:tcW w:w="1093" w:type="pct"/>
                  <w:noWrap w:val="0"/>
                  <w:vAlign w:val="top"/>
                </w:tcPr>
                <w:p w14:paraId="6B42F194">
                  <w:pPr>
                    <w:spacing w:before="109" w:line="240" w:lineRule="auto"/>
                    <w:ind w:left="50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3"/>
                      <w:sz w:val="21"/>
                      <w:szCs w:val="21"/>
                    </w:rPr>
                    <w:t>300</w:t>
                  </w:r>
                  <w:r>
                    <w:rPr>
                      <w:rFonts w:hint="default" w:ascii="Times New Roman" w:hAnsi="Times New Roman" w:eastAsia="宋体" w:cs="Times New Roman"/>
                      <w:color w:val="auto"/>
                      <w:position w:val="3"/>
                      <w:sz w:val="21"/>
                      <w:szCs w:val="21"/>
                    </w:rPr>
                    <w:t>mg</w:t>
                  </w:r>
                  <w:r>
                    <w:rPr>
                      <w:rFonts w:hint="default" w:ascii="Times New Roman" w:hAnsi="Times New Roman" w:eastAsia="宋体" w:cs="Times New Roman"/>
                      <w:color w:val="auto"/>
                      <w:spacing w:val="4"/>
                      <w:position w:val="3"/>
                      <w:sz w:val="21"/>
                      <w:szCs w:val="21"/>
                    </w:rPr>
                    <w:t>/L</w:t>
                  </w:r>
                </w:p>
              </w:tc>
              <w:tc>
                <w:tcPr>
                  <w:tcW w:w="1103" w:type="pct"/>
                  <w:vMerge w:val="continue"/>
                  <w:tcBorders>
                    <w:top w:val="single" w:color="000000" w:sz="12" w:space="0"/>
                    <w:bottom w:val="single" w:color="000000" w:sz="12" w:space="0"/>
                    <w:right w:val="nil"/>
                  </w:tcBorders>
                  <w:noWrap w:val="0"/>
                  <w:vAlign w:val="top"/>
                </w:tcPr>
                <w:p w14:paraId="0D58918A">
                  <w:pPr>
                    <w:rPr>
                      <w:rFonts w:ascii="Arial"/>
                      <w:color w:val="auto"/>
                      <w:sz w:val="21"/>
                    </w:rPr>
                  </w:pPr>
                </w:p>
              </w:tc>
            </w:tr>
            <w:tr w14:paraId="383FE8E7">
              <w:tblPrEx>
                <w:tblBorders>
                  <w:top w:val="single" w:color="000000" w:sz="4" w:space="0"/>
                  <w:left w:val="single" w:color="000000" w:sz="4" w:space="0"/>
                  <w:bottom w:val="single" w:color="000000" w:sz="4" w:space="0"/>
                  <w:right w:val="single" w:color="000000" w:sz="4" w:space="0"/>
                  <w:insideH w:val="single" w:color="000000" w:sz="2" w:space="0"/>
                  <w:insideV w:val="single" w:color="000000" w:sz="2" w:space="0"/>
                </w:tblBorders>
                <w:tblCellMar>
                  <w:top w:w="0" w:type="dxa"/>
                  <w:left w:w="0" w:type="dxa"/>
                  <w:bottom w:w="0" w:type="dxa"/>
                  <w:right w:w="0" w:type="dxa"/>
                </w:tblCellMar>
              </w:tblPrEx>
              <w:trPr>
                <w:trHeight w:val="469" w:hRule="atLeast"/>
              </w:trPr>
              <w:tc>
                <w:tcPr>
                  <w:tcW w:w="935" w:type="pct"/>
                  <w:vMerge w:val="continue"/>
                  <w:tcBorders>
                    <w:top w:val="single" w:color="000000" w:sz="12" w:space="0"/>
                    <w:left w:val="nil"/>
                    <w:bottom w:val="single" w:color="000000" w:sz="12" w:space="0"/>
                  </w:tcBorders>
                  <w:noWrap w:val="0"/>
                  <w:vAlign w:val="top"/>
                </w:tcPr>
                <w:p w14:paraId="5FD7DB0A">
                  <w:pPr>
                    <w:spacing w:line="240" w:lineRule="auto"/>
                    <w:rPr>
                      <w:rFonts w:hint="default" w:ascii="Times New Roman" w:hAnsi="Times New Roman" w:eastAsia="宋体" w:cs="Times New Roman"/>
                      <w:color w:val="auto"/>
                      <w:sz w:val="21"/>
                      <w:szCs w:val="21"/>
                    </w:rPr>
                  </w:pPr>
                </w:p>
              </w:tc>
              <w:tc>
                <w:tcPr>
                  <w:tcW w:w="754" w:type="pct"/>
                  <w:noWrap w:val="0"/>
                  <w:vAlign w:val="top"/>
                </w:tcPr>
                <w:p w14:paraId="59212C2C">
                  <w:pPr>
                    <w:pStyle w:val="36"/>
                    <w:spacing w:before="144" w:line="240" w:lineRule="auto"/>
                    <w:ind w:left="408"/>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sz w:val="21"/>
                      <w:szCs w:val="21"/>
                    </w:rPr>
                    <w:t>氨氮</w:t>
                  </w:r>
                </w:p>
              </w:tc>
              <w:tc>
                <w:tcPr>
                  <w:tcW w:w="1113" w:type="pct"/>
                  <w:noWrap w:val="0"/>
                  <w:vAlign w:val="top"/>
                </w:tcPr>
                <w:p w14:paraId="4ECE4326">
                  <w:pPr>
                    <w:spacing w:before="182" w:line="240" w:lineRule="auto"/>
                    <w:ind w:left="672"/>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rPr>
                    <w:t>0.0</w:t>
                  </w:r>
                  <w:r>
                    <w:rPr>
                      <w:rFonts w:hint="eastAsia" w:cs="Times New Roman"/>
                      <w:color w:val="auto"/>
                      <w:spacing w:val="3"/>
                      <w:sz w:val="21"/>
                      <w:szCs w:val="21"/>
                      <w:lang w:val="en-US" w:eastAsia="zh-CN"/>
                    </w:rPr>
                    <w:t>4</w:t>
                  </w:r>
                </w:p>
              </w:tc>
              <w:tc>
                <w:tcPr>
                  <w:tcW w:w="1093" w:type="pct"/>
                  <w:noWrap w:val="0"/>
                  <w:vAlign w:val="top"/>
                </w:tcPr>
                <w:p w14:paraId="46D928EA">
                  <w:pPr>
                    <w:spacing w:before="113" w:line="240" w:lineRule="auto"/>
                    <w:ind w:left="562"/>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position w:val="3"/>
                      <w:sz w:val="21"/>
                      <w:szCs w:val="21"/>
                    </w:rPr>
                    <w:t>35</w:t>
                  </w:r>
                  <w:r>
                    <w:rPr>
                      <w:rFonts w:hint="default" w:ascii="Times New Roman" w:hAnsi="Times New Roman" w:eastAsia="宋体" w:cs="Times New Roman"/>
                      <w:color w:val="auto"/>
                      <w:position w:val="3"/>
                      <w:sz w:val="21"/>
                      <w:szCs w:val="21"/>
                    </w:rPr>
                    <w:t>mg</w:t>
                  </w:r>
                  <w:r>
                    <w:rPr>
                      <w:rFonts w:hint="default" w:ascii="Times New Roman" w:hAnsi="Times New Roman" w:eastAsia="宋体" w:cs="Times New Roman"/>
                      <w:color w:val="auto"/>
                      <w:spacing w:val="5"/>
                      <w:position w:val="3"/>
                      <w:sz w:val="21"/>
                      <w:szCs w:val="21"/>
                    </w:rPr>
                    <w:t>/L</w:t>
                  </w:r>
                </w:p>
              </w:tc>
              <w:tc>
                <w:tcPr>
                  <w:tcW w:w="1103" w:type="pct"/>
                  <w:vMerge w:val="continue"/>
                  <w:tcBorders>
                    <w:top w:val="single" w:color="000000" w:sz="12" w:space="0"/>
                    <w:bottom w:val="single" w:color="000000" w:sz="12" w:space="0"/>
                    <w:right w:val="nil"/>
                  </w:tcBorders>
                  <w:noWrap w:val="0"/>
                  <w:vAlign w:val="top"/>
                </w:tcPr>
                <w:p w14:paraId="0B11AF1B">
                  <w:pPr>
                    <w:rPr>
                      <w:rFonts w:ascii="Arial"/>
                      <w:color w:val="auto"/>
                      <w:sz w:val="21"/>
                    </w:rPr>
                  </w:pPr>
                </w:p>
              </w:tc>
            </w:tr>
            <w:tr w14:paraId="3F365EEA">
              <w:tblPrEx>
                <w:tblBorders>
                  <w:top w:val="single" w:color="000000" w:sz="4" w:space="0"/>
                  <w:left w:val="single" w:color="000000" w:sz="4" w:space="0"/>
                  <w:bottom w:val="single" w:color="000000" w:sz="4" w:space="0"/>
                  <w:right w:val="single" w:color="000000" w:sz="4" w:space="0"/>
                  <w:insideH w:val="single" w:color="000000" w:sz="2" w:space="0"/>
                  <w:insideV w:val="single" w:color="000000" w:sz="2" w:space="0"/>
                </w:tblBorders>
                <w:tblCellMar>
                  <w:top w:w="0" w:type="dxa"/>
                  <w:left w:w="0" w:type="dxa"/>
                  <w:bottom w:w="0" w:type="dxa"/>
                  <w:right w:w="0" w:type="dxa"/>
                </w:tblCellMar>
              </w:tblPrEx>
              <w:trPr>
                <w:trHeight w:val="492" w:hRule="atLeast"/>
              </w:trPr>
              <w:tc>
                <w:tcPr>
                  <w:tcW w:w="935" w:type="pct"/>
                  <w:vMerge w:val="continue"/>
                  <w:tcBorders>
                    <w:top w:val="single" w:color="000000" w:sz="12" w:space="0"/>
                    <w:left w:val="nil"/>
                    <w:bottom w:val="single" w:color="000000" w:sz="12" w:space="0"/>
                  </w:tcBorders>
                  <w:noWrap w:val="0"/>
                  <w:vAlign w:val="top"/>
                </w:tcPr>
                <w:p w14:paraId="764DCD6A">
                  <w:pPr>
                    <w:spacing w:line="240" w:lineRule="auto"/>
                    <w:rPr>
                      <w:rFonts w:hint="default" w:ascii="Times New Roman" w:hAnsi="Times New Roman" w:eastAsia="宋体" w:cs="Times New Roman"/>
                      <w:color w:val="auto"/>
                      <w:sz w:val="21"/>
                      <w:szCs w:val="21"/>
                    </w:rPr>
                  </w:pPr>
                </w:p>
              </w:tc>
              <w:tc>
                <w:tcPr>
                  <w:tcW w:w="754" w:type="pct"/>
                  <w:tcBorders>
                    <w:bottom w:val="single" w:color="000000" w:sz="12" w:space="0"/>
                  </w:tcBorders>
                  <w:noWrap w:val="0"/>
                  <w:vAlign w:val="top"/>
                </w:tcPr>
                <w:p w14:paraId="162D519E">
                  <w:pPr>
                    <w:pStyle w:val="36"/>
                    <w:spacing w:before="148" w:line="240" w:lineRule="auto"/>
                    <w:ind w:left="305"/>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悬浮物</w:t>
                  </w:r>
                </w:p>
              </w:tc>
              <w:tc>
                <w:tcPr>
                  <w:tcW w:w="1113" w:type="pct"/>
                  <w:tcBorders>
                    <w:bottom w:val="single" w:color="000000" w:sz="12" w:space="0"/>
                  </w:tcBorders>
                  <w:noWrap w:val="0"/>
                  <w:vAlign w:val="top"/>
                </w:tcPr>
                <w:p w14:paraId="357B4D91">
                  <w:pPr>
                    <w:spacing w:before="186" w:line="240" w:lineRule="auto"/>
                    <w:ind w:left="672"/>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3"/>
                      <w:sz w:val="21"/>
                      <w:szCs w:val="21"/>
                    </w:rPr>
                    <w:t>0.</w:t>
                  </w:r>
                  <w:r>
                    <w:rPr>
                      <w:rFonts w:hint="eastAsia" w:cs="Times New Roman"/>
                      <w:color w:val="auto"/>
                      <w:spacing w:val="3"/>
                      <w:sz w:val="21"/>
                      <w:szCs w:val="21"/>
                      <w:lang w:val="en-US" w:eastAsia="zh-CN"/>
                    </w:rPr>
                    <w:t>346</w:t>
                  </w:r>
                </w:p>
              </w:tc>
              <w:tc>
                <w:tcPr>
                  <w:tcW w:w="1093" w:type="pct"/>
                  <w:tcBorders>
                    <w:bottom w:val="single" w:color="000000" w:sz="12" w:space="0"/>
                  </w:tcBorders>
                  <w:noWrap w:val="0"/>
                  <w:vAlign w:val="top"/>
                </w:tcPr>
                <w:p w14:paraId="1D60284B">
                  <w:pPr>
                    <w:spacing w:before="117" w:line="240" w:lineRule="auto"/>
                    <w:ind w:left="50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4"/>
                      <w:position w:val="3"/>
                      <w:sz w:val="21"/>
                      <w:szCs w:val="21"/>
                    </w:rPr>
                    <w:t>300</w:t>
                  </w:r>
                  <w:r>
                    <w:rPr>
                      <w:rFonts w:hint="default" w:ascii="Times New Roman" w:hAnsi="Times New Roman" w:eastAsia="宋体" w:cs="Times New Roman"/>
                      <w:color w:val="auto"/>
                      <w:position w:val="3"/>
                      <w:sz w:val="21"/>
                      <w:szCs w:val="21"/>
                    </w:rPr>
                    <w:t>mg</w:t>
                  </w:r>
                  <w:r>
                    <w:rPr>
                      <w:rFonts w:hint="default" w:ascii="Times New Roman" w:hAnsi="Times New Roman" w:eastAsia="宋体" w:cs="Times New Roman"/>
                      <w:color w:val="auto"/>
                      <w:spacing w:val="4"/>
                      <w:position w:val="3"/>
                      <w:sz w:val="21"/>
                      <w:szCs w:val="21"/>
                    </w:rPr>
                    <w:t>/L</w:t>
                  </w:r>
                </w:p>
              </w:tc>
              <w:tc>
                <w:tcPr>
                  <w:tcW w:w="1103" w:type="pct"/>
                  <w:vMerge w:val="continue"/>
                  <w:tcBorders>
                    <w:top w:val="single" w:color="000000" w:sz="12" w:space="0"/>
                    <w:bottom w:val="single" w:color="000000" w:sz="12" w:space="0"/>
                    <w:right w:val="nil"/>
                  </w:tcBorders>
                  <w:noWrap w:val="0"/>
                  <w:vAlign w:val="top"/>
                </w:tcPr>
                <w:p w14:paraId="249DCB56">
                  <w:pPr>
                    <w:rPr>
                      <w:rFonts w:ascii="Arial"/>
                      <w:color w:val="auto"/>
                      <w:sz w:val="21"/>
                    </w:rPr>
                  </w:pPr>
                </w:p>
              </w:tc>
            </w:tr>
          </w:tbl>
          <w:p w14:paraId="72C8CE2C">
            <w:pPr>
              <w:pStyle w:val="20"/>
              <w:ind w:left="0" w:leftChars="0" w:firstLine="0" w:firstLineChars="0"/>
              <w:jc w:val="both"/>
              <w:rPr>
                <w:rFonts w:hint="default"/>
                <w:b/>
                <w:bCs/>
                <w:color w:val="auto"/>
                <w:lang w:val="en-US" w:eastAsia="zh-CN"/>
              </w:rPr>
            </w:pPr>
            <w:r>
              <w:rPr>
                <w:rFonts w:hint="default"/>
                <w:b/>
                <w:bCs/>
                <w:color w:val="auto"/>
                <w:lang w:val="en-US" w:eastAsia="zh-CN"/>
              </w:rPr>
              <w:t>2.3废水防治措施</w:t>
            </w:r>
          </w:p>
          <w:p w14:paraId="2CBB5B46">
            <w:pPr>
              <w:pStyle w:val="20"/>
              <w:ind w:left="0" w:leftChars="0" w:firstLine="480" w:firstLineChars="200"/>
              <w:jc w:val="both"/>
              <w:rPr>
                <w:rFonts w:hint="default"/>
                <w:color w:val="auto"/>
                <w:lang w:val="en-US" w:eastAsia="zh-CN"/>
              </w:rPr>
            </w:pPr>
            <w:r>
              <w:rPr>
                <w:rFonts w:hint="eastAsia"/>
                <w:color w:val="auto"/>
                <w:lang w:val="en-US" w:eastAsia="zh-CN"/>
              </w:rPr>
              <w:t>清洗用水及蒸汽用水：本项目生产废水排入沉淀池，循环使用。</w:t>
            </w:r>
          </w:p>
          <w:p w14:paraId="2A762765">
            <w:pPr>
              <w:pStyle w:val="20"/>
              <w:ind w:left="0" w:leftChars="0" w:firstLine="480" w:firstLineChars="200"/>
              <w:jc w:val="both"/>
              <w:rPr>
                <w:rFonts w:hint="default"/>
                <w:color w:val="auto"/>
                <w:lang w:val="en-US" w:eastAsia="zh-CN"/>
              </w:rPr>
            </w:pPr>
            <w:r>
              <w:rPr>
                <w:rFonts w:hint="default"/>
                <w:color w:val="auto"/>
                <w:lang w:val="en-US" w:eastAsia="zh-CN"/>
              </w:rPr>
              <w:t>生活污水：本项目生活污水收集后，排入园区下水管网。</w:t>
            </w:r>
          </w:p>
          <w:p w14:paraId="760BDB58">
            <w:pPr>
              <w:pStyle w:val="20"/>
              <w:ind w:left="0" w:leftChars="0" w:firstLine="0" w:firstLineChars="0"/>
              <w:jc w:val="both"/>
              <w:rPr>
                <w:rFonts w:hint="default"/>
                <w:b/>
                <w:bCs/>
                <w:color w:val="auto"/>
                <w:lang w:val="en-US" w:eastAsia="zh-CN"/>
              </w:rPr>
            </w:pPr>
            <w:r>
              <w:rPr>
                <w:rFonts w:hint="default"/>
                <w:b/>
                <w:bCs/>
                <w:color w:val="auto"/>
                <w:lang w:val="en-US" w:eastAsia="zh-CN"/>
              </w:rPr>
              <w:t>2.4废水监测计划</w:t>
            </w:r>
          </w:p>
          <w:p w14:paraId="0B155C3D">
            <w:pPr>
              <w:pStyle w:val="20"/>
              <w:ind w:left="0" w:leftChars="0" w:firstLine="480" w:firstLineChars="200"/>
              <w:jc w:val="both"/>
              <w:rPr>
                <w:rFonts w:hint="default"/>
                <w:color w:val="auto"/>
                <w:lang w:val="en-US" w:eastAsia="zh-CN"/>
              </w:rPr>
            </w:pPr>
            <w:r>
              <w:rPr>
                <w:rFonts w:hint="default"/>
                <w:color w:val="auto"/>
                <w:lang w:val="en-US" w:eastAsia="zh-CN"/>
              </w:rPr>
              <w:t>本项目的废水不外排，根据《排污许可证申请与核发技术规范石墨及其他 非金属矿物制品制造》（HJ1119-2020）的相关要求，本项目行业类别为非金属</w:t>
            </w:r>
          </w:p>
          <w:p w14:paraId="09B334A8">
            <w:pPr>
              <w:pStyle w:val="20"/>
              <w:ind w:left="0" w:leftChars="0" w:firstLine="0" w:firstLineChars="0"/>
              <w:jc w:val="both"/>
              <w:rPr>
                <w:rFonts w:hint="default"/>
                <w:color w:val="auto"/>
                <w:lang w:val="en-US" w:eastAsia="zh-CN"/>
              </w:rPr>
            </w:pPr>
            <w:r>
              <w:rPr>
                <w:rFonts w:hint="default"/>
                <w:color w:val="auto"/>
                <w:lang w:val="en-US" w:eastAsia="zh-CN"/>
              </w:rPr>
              <w:t>矿物制品业，排放类型为间接排放，不需设置废水监测计划。</w:t>
            </w:r>
          </w:p>
          <w:p w14:paraId="325A23BE">
            <w:pPr>
              <w:pStyle w:val="20"/>
              <w:ind w:left="0" w:leftChars="0" w:firstLine="0" w:firstLineChars="0"/>
              <w:jc w:val="both"/>
              <w:rPr>
                <w:rFonts w:hint="default"/>
                <w:b/>
                <w:bCs/>
                <w:color w:val="auto"/>
                <w:lang w:val="en-US" w:eastAsia="zh-CN"/>
              </w:rPr>
            </w:pPr>
            <w:r>
              <w:rPr>
                <w:rFonts w:hint="default"/>
                <w:b/>
                <w:bCs/>
                <w:color w:val="auto"/>
                <w:lang w:val="en-US" w:eastAsia="zh-CN"/>
              </w:rPr>
              <w:t>2.5废水排放依托可行性</w:t>
            </w:r>
          </w:p>
          <w:p w14:paraId="2729517E">
            <w:pPr>
              <w:pStyle w:val="20"/>
              <w:ind w:left="0" w:leftChars="0" w:firstLine="480" w:firstLineChars="200"/>
              <w:jc w:val="both"/>
              <w:rPr>
                <w:rFonts w:hint="default"/>
                <w:color w:val="auto"/>
                <w:lang w:val="en-US" w:eastAsia="zh-CN"/>
              </w:rPr>
            </w:pPr>
            <w:r>
              <w:rPr>
                <w:rFonts w:hint="default"/>
                <w:color w:val="auto"/>
                <w:lang w:val="en-US" w:eastAsia="zh-CN"/>
              </w:rPr>
              <w:t>本项目区域污水管网已覆盖，</w:t>
            </w:r>
            <w:r>
              <w:rPr>
                <w:rFonts w:hint="eastAsia"/>
                <w:color w:val="auto"/>
                <w:lang w:val="en-US" w:eastAsia="zh-CN"/>
              </w:rPr>
              <w:t>污水管网通向</w:t>
            </w:r>
            <w:r>
              <w:rPr>
                <w:rFonts w:hint="default"/>
                <w:color w:val="auto"/>
                <w:highlight w:val="none"/>
                <w:lang w:val="en-US" w:eastAsia="zh-CN"/>
              </w:rPr>
              <w:t>吉木萨尔县第二污水处理厂</w:t>
            </w:r>
            <w:r>
              <w:rPr>
                <w:rFonts w:hint="eastAsia"/>
                <w:color w:val="auto"/>
                <w:highlight w:val="none"/>
                <w:lang w:val="en-US" w:eastAsia="zh-CN"/>
              </w:rPr>
              <w:t>，该厂</w:t>
            </w:r>
            <w:r>
              <w:rPr>
                <w:rFonts w:hint="default"/>
                <w:color w:val="auto"/>
                <w:highlight w:val="none"/>
                <w:lang w:val="en-US" w:eastAsia="zh-CN"/>
              </w:rPr>
              <w:t>处理规模为3万</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lang w:val="en-US" w:eastAsia="zh-CN"/>
              </w:rPr>
              <w:t>/d</w:t>
            </w:r>
            <w:r>
              <w:rPr>
                <w:rFonts w:hint="default"/>
                <w:color w:val="auto"/>
                <w:highlight w:val="none"/>
                <w:lang w:val="en-US" w:eastAsia="zh-CN"/>
              </w:rPr>
              <w:t>，尚有余量；污水接收标</w:t>
            </w:r>
            <w:r>
              <w:rPr>
                <w:rFonts w:hint="default"/>
                <w:color w:val="auto"/>
                <w:lang w:val="en-US" w:eastAsia="zh-CN"/>
              </w:rPr>
              <w:t>准为《污水综合排放标准》（GB8978-1996）三级标准，通过改良A</w:t>
            </w:r>
            <w:r>
              <w:rPr>
                <w:rFonts w:hint="default"/>
                <w:color w:val="auto"/>
                <w:vertAlign w:val="subscript"/>
                <w:lang w:val="en-US" w:eastAsia="zh-CN"/>
              </w:rPr>
              <w:t>2</w:t>
            </w:r>
            <w:r>
              <w:rPr>
                <w:rFonts w:hint="default"/>
                <w:color w:val="auto"/>
                <w:lang w:val="en-US" w:eastAsia="zh-CN"/>
              </w:rPr>
              <w:t>/O工艺处理后，尾水水质达到《城镇污水处理厂污染物排放标准》（GB18918-2002）中一级A标准后用于园区企业的循环冷却用水及周围生态林的灌溉。</w:t>
            </w:r>
          </w:p>
          <w:p w14:paraId="36B46679">
            <w:pPr>
              <w:pStyle w:val="20"/>
              <w:ind w:left="0" w:leftChars="0" w:firstLine="480" w:firstLineChars="200"/>
              <w:jc w:val="both"/>
              <w:rPr>
                <w:rFonts w:hint="default"/>
                <w:color w:val="auto"/>
                <w:lang w:val="en-US" w:eastAsia="zh-CN"/>
              </w:rPr>
            </w:pPr>
            <w:r>
              <w:rPr>
                <w:rFonts w:hint="default"/>
                <w:color w:val="auto"/>
                <w:lang w:val="en-US" w:eastAsia="zh-CN"/>
              </w:rPr>
              <w:t>项目</w:t>
            </w:r>
            <w:r>
              <w:rPr>
                <w:rFonts w:hint="eastAsia"/>
                <w:color w:val="auto"/>
                <w:lang w:val="en-US" w:eastAsia="zh-CN"/>
              </w:rPr>
              <w:t>生活污水</w:t>
            </w:r>
            <w:r>
              <w:rPr>
                <w:rFonts w:hint="default"/>
                <w:color w:val="auto"/>
                <w:lang w:val="en-US" w:eastAsia="zh-CN"/>
              </w:rPr>
              <w:t>污染物排放浓度符合《污水综合排放标准》（GB8978-1996）表2三级标</w:t>
            </w:r>
            <w:r>
              <w:rPr>
                <w:rFonts w:hint="default"/>
                <w:color w:val="auto"/>
                <w:highlight w:val="none"/>
                <w:lang w:val="en-US" w:eastAsia="zh-CN"/>
              </w:rPr>
              <w:t>准，能够符合吉木萨尔县第二污水处理厂纳管要求。</w:t>
            </w:r>
          </w:p>
          <w:p w14:paraId="7192F83B">
            <w:pPr>
              <w:pStyle w:val="20"/>
              <w:ind w:left="0" w:leftChars="0" w:firstLine="480" w:firstLineChars="200"/>
              <w:jc w:val="both"/>
              <w:rPr>
                <w:rFonts w:hint="default"/>
                <w:color w:val="auto"/>
                <w:lang w:val="en-US" w:eastAsia="zh-CN"/>
              </w:rPr>
            </w:pPr>
            <w:r>
              <w:rPr>
                <w:rFonts w:hint="default"/>
                <w:color w:val="auto"/>
                <w:lang w:val="en-US" w:eastAsia="zh-CN"/>
              </w:rPr>
              <w:t>项目在采取上述废水处理措施后，满足相关环保要求，因此项目建设对水环境影响很小。</w:t>
            </w:r>
          </w:p>
          <w:p w14:paraId="7CC0F7B3">
            <w:pPr>
              <w:pStyle w:val="20"/>
              <w:ind w:left="0" w:leftChars="0" w:firstLine="0" w:firstLineChars="0"/>
              <w:jc w:val="both"/>
              <w:rPr>
                <w:rFonts w:hint="default"/>
                <w:b/>
                <w:bCs/>
                <w:color w:val="auto"/>
                <w:lang w:val="en-US" w:eastAsia="zh-CN"/>
              </w:rPr>
            </w:pPr>
            <w:r>
              <w:rPr>
                <w:rFonts w:hint="default"/>
                <w:b/>
                <w:bCs/>
                <w:color w:val="auto"/>
                <w:lang w:val="en-US" w:eastAsia="zh-CN"/>
              </w:rPr>
              <w:t>3.噪声</w:t>
            </w:r>
          </w:p>
          <w:p w14:paraId="7F87D303">
            <w:pPr>
              <w:pStyle w:val="20"/>
              <w:ind w:left="0" w:leftChars="0" w:firstLine="0" w:firstLineChars="0"/>
              <w:jc w:val="both"/>
              <w:rPr>
                <w:rFonts w:hint="default"/>
                <w:b/>
                <w:bCs/>
                <w:color w:val="auto"/>
                <w:lang w:val="en-US" w:eastAsia="zh-CN"/>
              </w:rPr>
            </w:pPr>
            <w:r>
              <w:rPr>
                <w:rFonts w:hint="default"/>
                <w:color w:val="auto"/>
                <w:lang w:val="en-US" w:eastAsia="zh-CN"/>
              </w:rPr>
              <w:t>3</w:t>
            </w:r>
            <w:r>
              <w:rPr>
                <w:rFonts w:hint="default"/>
                <w:b/>
                <w:bCs/>
                <w:color w:val="auto"/>
                <w:lang w:val="en-US" w:eastAsia="zh-CN"/>
              </w:rPr>
              <w:t>.1噪声源</w:t>
            </w:r>
          </w:p>
          <w:p w14:paraId="4DBF6BE2">
            <w:pPr>
              <w:overflowPunct w:val="0"/>
              <w:adjustRightInd w:val="0"/>
              <w:snapToGrid w:val="0"/>
              <w:spacing w:line="360" w:lineRule="auto"/>
              <w:ind w:firstLine="480" w:firstLineChars="200"/>
              <w:jc w:val="both"/>
              <w:rPr>
                <w:color w:val="auto"/>
                <w:sz w:val="24"/>
              </w:rPr>
            </w:pPr>
            <w:r>
              <w:rPr>
                <w:color w:val="auto"/>
                <w:sz w:val="24"/>
              </w:rPr>
              <w:t>本项目运营期站内主要噪声为泵类、压缩机等设备运行过程产生的噪声，噪声声级值在</w:t>
            </w:r>
            <w:r>
              <w:rPr>
                <w:rFonts w:eastAsia="Times New Roman"/>
                <w:color w:val="auto"/>
                <w:sz w:val="24"/>
              </w:rPr>
              <w:t>80-85dB(A)</w:t>
            </w:r>
            <w:r>
              <w:rPr>
                <w:color w:val="auto"/>
                <w:sz w:val="24"/>
              </w:rPr>
              <w:t>之间。主要噪声源强见表</w:t>
            </w:r>
            <w:r>
              <w:rPr>
                <w:rFonts w:hint="eastAsia"/>
                <w:color w:val="auto"/>
                <w:sz w:val="24"/>
              </w:rPr>
              <w:t>4-</w:t>
            </w:r>
            <w:r>
              <w:rPr>
                <w:rFonts w:hint="eastAsia"/>
                <w:color w:val="auto"/>
                <w:sz w:val="24"/>
                <w:lang w:val="en-US" w:eastAsia="zh-CN"/>
              </w:rPr>
              <w:t>9</w:t>
            </w:r>
            <w:r>
              <w:rPr>
                <w:color w:val="auto"/>
                <w:sz w:val="24"/>
              </w:rPr>
              <w:t>。</w:t>
            </w:r>
          </w:p>
          <w:p w14:paraId="791B2C8B">
            <w:pPr>
              <w:autoSpaceDE w:val="0"/>
              <w:autoSpaceDN w:val="0"/>
              <w:adjustRightInd w:val="0"/>
              <w:snapToGrid w:val="0"/>
              <w:jc w:val="center"/>
              <w:textAlignment w:val="baseline"/>
              <w:rPr>
                <w:b/>
                <w:bCs/>
                <w:color w:val="auto"/>
              </w:rPr>
            </w:pPr>
            <w:r>
              <w:rPr>
                <w:b/>
                <w:bCs/>
                <w:color w:val="auto"/>
              </w:rPr>
              <w:t>表</w:t>
            </w:r>
            <w:r>
              <w:rPr>
                <w:rFonts w:hint="eastAsia"/>
                <w:b/>
                <w:bCs/>
                <w:color w:val="auto"/>
              </w:rPr>
              <w:t>4-</w:t>
            </w:r>
            <w:r>
              <w:rPr>
                <w:rFonts w:hint="eastAsia"/>
                <w:b/>
                <w:bCs/>
                <w:color w:val="auto"/>
                <w:lang w:val="en-US" w:eastAsia="zh-CN"/>
              </w:rPr>
              <w:t>9</w:t>
            </w:r>
            <w:r>
              <w:rPr>
                <w:b/>
                <w:bCs/>
                <w:color w:val="auto"/>
              </w:rPr>
              <w:t>主要设备噪声源强单位：dB(A)</w:t>
            </w:r>
          </w:p>
          <w:tbl>
            <w:tblPr>
              <w:tblStyle w:val="23"/>
              <w:tblW w:w="4914"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03"/>
              <w:gridCol w:w="702"/>
              <w:gridCol w:w="1133"/>
              <w:gridCol w:w="863"/>
              <w:gridCol w:w="1902"/>
              <w:gridCol w:w="440"/>
              <w:gridCol w:w="492"/>
              <w:gridCol w:w="493"/>
              <w:gridCol w:w="783"/>
              <w:gridCol w:w="890"/>
            </w:tblGrid>
            <w:tr w14:paraId="742AA5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89" w:type="pct"/>
                  <w:vMerge w:val="restart"/>
                  <w:noWrap w:val="0"/>
                  <w:vAlign w:val="center"/>
                </w:tcPr>
                <w:p w14:paraId="414C034D">
                  <w:pPr>
                    <w:pStyle w:val="58"/>
                    <w:rPr>
                      <w:color w:val="auto"/>
                    </w:rPr>
                  </w:pPr>
                  <w:r>
                    <w:rPr>
                      <w:rFonts w:hint="eastAsia"/>
                      <w:color w:val="auto"/>
                    </w:rPr>
                    <w:t>序号</w:t>
                  </w:r>
                </w:p>
              </w:tc>
              <w:tc>
                <w:tcPr>
                  <w:tcW w:w="438" w:type="pct"/>
                  <w:vMerge w:val="restart"/>
                  <w:noWrap w:val="0"/>
                  <w:vAlign w:val="center"/>
                </w:tcPr>
                <w:p w14:paraId="10B98077">
                  <w:pPr>
                    <w:pStyle w:val="58"/>
                    <w:rPr>
                      <w:color w:val="auto"/>
                    </w:rPr>
                  </w:pPr>
                  <w:r>
                    <w:rPr>
                      <w:rFonts w:hint="eastAsia"/>
                      <w:color w:val="auto"/>
                    </w:rPr>
                    <w:t>建筑物名称</w:t>
                  </w:r>
                </w:p>
              </w:tc>
              <w:tc>
                <w:tcPr>
                  <w:tcW w:w="708" w:type="pct"/>
                  <w:vMerge w:val="restart"/>
                  <w:noWrap w:val="0"/>
                  <w:vAlign w:val="center"/>
                </w:tcPr>
                <w:p w14:paraId="1ED28CEE">
                  <w:pPr>
                    <w:pStyle w:val="58"/>
                    <w:rPr>
                      <w:color w:val="auto"/>
                    </w:rPr>
                  </w:pPr>
                  <w:r>
                    <w:rPr>
                      <w:rFonts w:hint="eastAsia"/>
                      <w:color w:val="auto"/>
                    </w:rPr>
                    <w:t>声源名称</w:t>
                  </w:r>
                </w:p>
              </w:tc>
              <w:tc>
                <w:tcPr>
                  <w:tcW w:w="539" w:type="pct"/>
                  <w:vMerge w:val="restart"/>
                  <w:noWrap w:val="0"/>
                  <w:vAlign w:val="center"/>
                </w:tcPr>
                <w:p w14:paraId="4DB32F0B">
                  <w:pPr>
                    <w:pStyle w:val="58"/>
                    <w:rPr>
                      <w:color w:val="auto"/>
                    </w:rPr>
                  </w:pPr>
                  <w:r>
                    <w:rPr>
                      <w:rFonts w:hint="eastAsia"/>
                      <w:color w:val="auto"/>
                    </w:rPr>
                    <w:t>声功率级/</w:t>
                  </w:r>
                  <w:r>
                    <w:rPr>
                      <w:color w:val="auto"/>
                    </w:rPr>
                    <w:t>dB（A）</w:t>
                  </w:r>
                </w:p>
              </w:tc>
              <w:tc>
                <w:tcPr>
                  <w:tcW w:w="1188" w:type="pct"/>
                  <w:vMerge w:val="restart"/>
                  <w:noWrap w:val="0"/>
                  <w:vAlign w:val="center"/>
                </w:tcPr>
                <w:p w14:paraId="34348E4C">
                  <w:pPr>
                    <w:pStyle w:val="58"/>
                    <w:rPr>
                      <w:color w:val="auto"/>
                    </w:rPr>
                  </w:pPr>
                  <w:r>
                    <w:rPr>
                      <w:rFonts w:hint="eastAsia"/>
                      <w:color w:val="auto"/>
                    </w:rPr>
                    <w:t>声源控制措施</w:t>
                  </w:r>
                </w:p>
              </w:tc>
              <w:tc>
                <w:tcPr>
                  <w:tcW w:w="890" w:type="pct"/>
                  <w:gridSpan w:val="3"/>
                  <w:noWrap w:val="0"/>
                  <w:vAlign w:val="center"/>
                </w:tcPr>
                <w:p w14:paraId="0B675BE9">
                  <w:pPr>
                    <w:pStyle w:val="58"/>
                    <w:rPr>
                      <w:color w:val="auto"/>
                    </w:rPr>
                  </w:pPr>
                  <w:r>
                    <w:rPr>
                      <w:rFonts w:hint="eastAsia"/>
                      <w:color w:val="auto"/>
                    </w:rPr>
                    <w:t>空间相对位置</w:t>
                  </w:r>
                  <w:r>
                    <w:rPr>
                      <w:color w:val="auto"/>
                    </w:rPr>
                    <w:t>/m</w:t>
                  </w:r>
                </w:p>
              </w:tc>
              <w:tc>
                <w:tcPr>
                  <w:tcW w:w="489" w:type="pct"/>
                  <w:vMerge w:val="restart"/>
                  <w:noWrap w:val="0"/>
                  <w:vAlign w:val="center"/>
                </w:tcPr>
                <w:p w14:paraId="246A0AA1">
                  <w:pPr>
                    <w:pStyle w:val="58"/>
                    <w:rPr>
                      <w:color w:val="auto"/>
                    </w:rPr>
                  </w:pPr>
                  <w:r>
                    <w:rPr>
                      <w:rFonts w:hint="eastAsia"/>
                      <w:color w:val="auto"/>
                    </w:rPr>
                    <w:t>距室内边界距离/m</w:t>
                  </w:r>
                </w:p>
              </w:tc>
              <w:tc>
                <w:tcPr>
                  <w:tcW w:w="556" w:type="pct"/>
                  <w:vMerge w:val="restart"/>
                  <w:noWrap w:val="0"/>
                  <w:vAlign w:val="center"/>
                </w:tcPr>
                <w:p w14:paraId="3C30F733">
                  <w:pPr>
                    <w:pStyle w:val="58"/>
                    <w:rPr>
                      <w:color w:val="auto"/>
                    </w:rPr>
                  </w:pPr>
                  <w:r>
                    <w:rPr>
                      <w:rFonts w:hint="eastAsia"/>
                      <w:color w:val="auto"/>
                    </w:rPr>
                    <w:t>降噪效果</w:t>
                  </w:r>
                </w:p>
              </w:tc>
            </w:tr>
            <w:tr w14:paraId="4FAE4D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89" w:type="pct"/>
                  <w:vMerge w:val="continue"/>
                  <w:noWrap w:val="0"/>
                  <w:vAlign w:val="center"/>
                </w:tcPr>
                <w:p w14:paraId="6737A089">
                  <w:pPr>
                    <w:pStyle w:val="58"/>
                    <w:rPr>
                      <w:color w:val="auto"/>
                    </w:rPr>
                  </w:pPr>
                </w:p>
              </w:tc>
              <w:tc>
                <w:tcPr>
                  <w:tcW w:w="438" w:type="pct"/>
                  <w:vMerge w:val="continue"/>
                  <w:noWrap w:val="0"/>
                  <w:vAlign w:val="center"/>
                </w:tcPr>
                <w:p w14:paraId="5500EB33">
                  <w:pPr>
                    <w:pStyle w:val="58"/>
                    <w:rPr>
                      <w:color w:val="auto"/>
                    </w:rPr>
                  </w:pPr>
                </w:p>
              </w:tc>
              <w:tc>
                <w:tcPr>
                  <w:tcW w:w="708" w:type="pct"/>
                  <w:vMerge w:val="continue"/>
                  <w:noWrap w:val="0"/>
                  <w:vAlign w:val="center"/>
                </w:tcPr>
                <w:p w14:paraId="5330A3C6">
                  <w:pPr>
                    <w:pStyle w:val="58"/>
                    <w:rPr>
                      <w:color w:val="auto"/>
                      <w:sz w:val="18"/>
                      <w:szCs w:val="18"/>
                    </w:rPr>
                  </w:pPr>
                </w:p>
              </w:tc>
              <w:tc>
                <w:tcPr>
                  <w:tcW w:w="539" w:type="pct"/>
                  <w:vMerge w:val="continue"/>
                  <w:noWrap w:val="0"/>
                  <w:vAlign w:val="center"/>
                </w:tcPr>
                <w:p w14:paraId="7AC873F3">
                  <w:pPr>
                    <w:pStyle w:val="58"/>
                    <w:rPr>
                      <w:color w:val="auto"/>
                      <w:sz w:val="18"/>
                      <w:szCs w:val="18"/>
                    </w:rPr>
                  </w:pPr>
                </w:p>
              </w:tc>
              <w:tc>
                <w:tcPr>
                  <w:tcW w:w="1188" w:type="pct"/>
                  <w:vMerge w:val="continue"/>
                  <w:noWrap w:val="0"/>
                  <w:vAlign w:val="center"/>
                </w:tcPr>
                <w:p w14:paraId="245D96D9">
                  <w:pPr>
                    <w:pStyle w:val="58"/>
                    <w:rPr>
                      <w:color w:val="auto"/>
                      <w:sz w:val="18"/>
                      <w:szCs w:val="18"/>
                    </w:rPr>
                  </w:pPr>
                </w:p>
              </w:tc>
              <w:tc>
                <w:tcPr>
                  <w:tcW w:w="275" w:type="pct"/>
                  <w:noWrap w:val="0"/>
                  <w:vAlign w:val="center"/>
                </w:tcPr>
                <w:p w14:paraId="3C8D7F67">
                  <w:pPr>
                    <w:pStyle w:val="58"/>
                    <w:rPr>
                      <w:color w:val="auto"/>
                      <w:sz w:val="18"/>
                      <w:szCs w:val="18"/>
                    </w:rPr>
                  </w:pPr>
                  <w:r>
                    <w:rPr>
                      <w:color w:val="auto"/>
                      <w:sz w:val="18"/>
                      <w:szCs w:val="18"/>
                    </w:rPr>
                    <w:t>X</w:t>
                  </w:r>
                </w:p>
              </w:tc>
              <w:tc>
                <w:tcPr>
                  <w:tcW w:w="307" w:type="pct"/>
                  <w:noWrap w:val="0"/>
                  <w:vAlign w:val="center"/>
                </w:tcPr>
                <w:p w14:paraId="429085F7">
                  <w:pPr>
                    <w:pStyle w:val="58"/>
                    <w:rPr>
                      <w:color w:val="auto"/>
                      <w:sz w:val="18"/>
                      <w:szCs w:val="18"/>
                    </w:rPr>
                  </w:pPr>
                  <w:r>
                    <w:rPr>
                      <w:rFonts w:hint="eastAsia"/>
                      <w:color w:val="auto"/>
                      <w:sz w:val="18"/>
                      <w:szCs w:val="18"/>
                    </w:rPr>
                    <w:t>Y</w:t>
                  </w:r>
                </w:p>
              </w:tc>
              <w:tc>
                <w:tcPr>
                  <w:tcW w:w="307" w:type="pct"/>
                  <w:noWrap w:val="0"/>
                  <w:vAlign w:val="center"/>
                </w:tcPr>
                <w:p w14:paraId="7E627021">
                  <w:pPr>
                    <w:pStyle w:val="58"/>
                    <w:rPr>
                      <w:color w:val="auto"/>
                      <w:sz w:val="18"/>
                      <w:szCs w:val="18"/>
                    </w:rPr>
                  </w:pPr>
                  <w:r>
                    <w:rPr>
                      <w:rFonts w:hint="eastAsia"/>
                      <w:color w:val="auto"/>
                      <w:sz w:val="18"/>
                      <w:szCs w:val="18"/>
                    </w:rPr>
                    <w:t>Z</w:t>
                  </w:r>
                </w:p>
              </w:tc>
              <w:tc>
                <w:tcPr>
                  <w:tcW w:w="489" w:type="pct"/>
                  <w:vMerge w:val="continue"/>
                  <w:noWrap w:val="0"/>
                  <w:vAlign w:val="center"/>
                </w:tcPr>
                <w:p w14:paraId="404D3B51">
                  <w:pPr>
                    <w:pStyle w:val="58"/>
                    <w:rPr>
                      <w:color w:val="auto"/>
                    </w:rPr>
                  </w:pPr>
                </w:p>
              </w:tc>
              <w:tc>
                <w:tcPr>
                  <w:tcW w:w="556" w:type="pct"/>
                  <w:vMerge w:val="continue"/>
                  <w:noWrap w:val="0"/>
                  <w:vAlign w:val="center"/>
                </w:tcPr>
                <w:p w14:paraId="7CCFAA0F">
                  <w:pPr>
                    <w:pStyle w:val="58"/>
                    <w:rPr>
                      <w:color w:val="auto"/>
                    </w:rPr>
                  </w:pPr>
                </w:p>
              </w:tc>
            </w:tr>
            <w:tr w14:paraId="7A12BD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3" w:hRule="atLeast"/>
                <w:jc w:val="center"/>
              </w:trPr>
              <w:tc>
                <w:tcPr>
                  <w:tcW w:w="189" w:type="pct"/>
                  <w:noWrap w:val="0"/>
                  <w:vAlign w:val="center"/>
                </w:tcPr>
                <w:p w14:paraId="6530C452">
                  <w:pPr>
                    <w:pStyle w:val="58"/>
                    <w:rPr>
                      <w:color w:val="auto"/>
                    </w:rPr>
                  </w:pPr>
                  <w:r>
                    <w:rPr>
                      <w:rFonts w:hint="eastAsia"/>
                      <w:color w:val="auto"/>
                    </w:rPr>
                    <w:t>1</w:t>
                  </w:r>
                </w:p>
              </w:tc>
              <w:tc>
                <w:tcPr>
                  <w:tcW w:w="438" w:type="pct"/>
                  <w:vMerge w:val="restart"/>
                  <w:noWrap w:val="0"/>
                  <w:vAlign w:val="center"/>
                </w:tcPr>
                <w:p w14:paraId="46C7C1A4">
                  <w:pPr>
                    <w:pStyle w:val="58"/>
                    <w:rPr>
                      <w:rFonts w:hint="eastAsia"/>
                      <w:color w:val="auto"/>
                    </w:rPr>
                  </w:pPr>
                  <w:r>
                    <w:rPr>
                      <w:rFonts w:hint="eastAsia"/>
                      <w:color w:val="auto"/>
                    </w:rPr>
                    <w:t>生产</w:t>
                  </w:r>
                </w:p>
                <w:p w14:paraId="5BB21C54">
                  <w:pPr>
                    <w:pStyle w:val="58"/>
                    <w:rPr>
                      <w:color w:val="auto"/>
                    </w:rPr>
                  </w:pPr>
                  <w:r>
                    <w:rPr>
                      <w:rFonts w:hint="eastAsia"/>
                      <w:color w:val="auto"/>
                    </w:rPr>
                    <w:t>车间</w:t>
                  </w:r>
                </w:p>
              </w:tc>
              <w:tc>
                <w:tcPr>
                  <w:tcW w:w="708" w:type="pct"/>
                  <w:noWrap w:val="0"/>
                  <w:vAlign w:val="center"/>
                </w:tcPr>
                <w:p w14:paraId="06A29546">
                  <w:pPr>
                    <w:widowControl/>
                    <w:jc w:val="center"/>
                    <w:rPr>
                      <w:rFonts w:hint="eastAsia"/>
                      <w:color w:val="auto"/>
                    </w:rPr>
                  </w:pPr>
                  <w:r>
                    <w:rPr>
                      <w:rFonts w:hint="eastAsia"/>
                      <w:color w:val="auto"/>
                      <w:kern w:val="0"/>
                      <w:szCs w:val="21"/>
                    </w:rPr>
                    <w:t>切割机</w:t>
                  </w:r>
                </w:p>
              </w:tc>
              <w:tc>
                <w:tcPr>
                  <w:tcW w:w="539" w:type="pct"/>
                  <w:noWrap w:val="0"/>
                  <w:vAlign w:val="center"/>
                </w:tcPr>
                <w:p w14:paraId="3841B5B9">
                  <w:pPr>
                    <w:pStyle w:val="58"/>
                    <w:rPr>
                      <w:color w:val="auto"/>
                    </w:rPr>
                  </w:pPr>
                  <w:r>
                    <w:rPr>
                      <w:rFonts w:hint="eastAsia"/>
                      <w:color w:val="auto"/>
                    </w:rPr>
                    <w:t>85</w:t>
                  </w:r>
                </w:p>
              </w:tc>
              <w:tc>
                <w:tcPr>
                  <w:tcW w:w="1188" w:type="pct"/>
                  <w:vMerge w:val="restart"/>
                  <w:noWrap w:val="0"/>
                  <w:vAlign w:val="center"/>
                </w:tcPr>
                <w:p w14:paraId="42D67786">
                  <w:pPr>
                    <w:pStyle w:val="58"/>
                    <w:rPr>
                      <w:color w:val="auto"/>
                    </w:rPr>
                  </w:pPr>
                  <w:r>
                    <w:rPr>
                      <w:rFonts w:hint="eastAsia"/>
                      <w:color w:val="auto"/>
                    </w:rPr>
                    <w:t>车间隔声、基础减振等选用低噪声设备</w:t>
                  </w:r>
                </w:p>
              </w:tc>
              <w:tc>
                <w:tcPr>
                  <w:tcW w:w="275" w:type="pct"/>
                  <w:noWrap w:val="0"/>
                  <w:vAlign w:val="center"/>
                </w:tcPr>
                <w:p w14:paraId="00A54A4D">
                  <w:pPr>
                    <w:pStyle w:val="58"/>
                    <w:rPr>
                      <w:rFonts w:hint="default" w:eastAsia="宋体"/>
                      <w:color w:val="auto"/>
                      <w:lang w:val="en-US" w:eastAsia="zh-CN"/>
                    </w:rPr>
                  </w:pPr>
                  <w:r>
                    <w:rPr>
                      <w:rFonts w:hint="eastAsia"/>
                      <w:color w:val="auto"/>
                      <w:lang w:val="en-US" w:eastAsia="zh-CN"/>
                    </w:rPr>
                    <w:t>130</w:t>
                  </w:r>
                </w:p>
              </w:tc>
              <w:tc>
                <w:tcPr>
                  <w:tcW w:w="307" w:type="pct"/>
                  <w:noWrap w:val="0"/>
                  <w:vAlign w:val="center"/>
                </w:tcPr>
                <w:p w14:paraId="36308FEA">
                  <w:pPr>
                    <w:pStyle w:val="58"/>
                    <w:rPr>
                      <w:rFonts w:hint="default" w:eastAsia="宋体"/>
                      <w:color w:val="auto"/>
                      <w:lang w:val="en-US" w:eastAsia="zh-CN"/>
                    </w:rPr>
                  </w:pPr>
                  <w:r>
                    <w:rPr>
                      <w:rFonts w:hint="eastAsia"/>
                      <w:color w:val="auto"/>
                      <w:lang w:val="en-US" w:eastAsia="zh-CN"/>
                    </w:rPr>
                    <w:t>25</w:t>
                  </w:r>
                </w:p>
              </w:tc>
              <w:tc>
                <w:tcPr>
                  <w:tcW w:w="307" w:type="pct"/>
                  <w:noWrap w:val="0"/>
                  <w:vAlign w:val="center"/>
                </w:tcPr>
                <w:p w14:paraId="4C21A0B6">
                  <w:pPr>
                    <w:pStyle w:val="58"/>
                    <w:rPr>
                      <w:rFonts w:hint="eastAsia"/>
                      <w:color w:val="auto"/>
                    </w:rPr>
                  </w:pPr>
                  <w:r>
                    <w:rPr>
                      <w:rFonts w:hint="eastAsia"/>
                      <w:color w:val="auto"/>
                    </w:rPr>
                    <w:t>1</w:t>
                  </w:r>
                </w:p>
              </w:tc>
              <w:tc>
                <w:tcPr>
                  <w:tcW w:w="489" w:type="pct"/>
                  <w:noWrap w:val="0"/>
                  <w:vAlign w:val="center"/>
                </w:tcPr>
                <w:p w14:paraId="678949F9">
                  <w:pPr>
                    <w:pStyle w:val="58"/>
                    <w:rPr>
                      <w:rFonts w:hint="eastAsia"/>
                      <w:color w:val="auto"/>
                    </w:rPr>
                  </w:pPr>
                  <w:r>
                    <w:rPr>
                      <w:rFonts w:hint="eastAsia"/>
                      <w:color w:val="auto"/>
                    </w:rPr>
                    <w:t>5</w:t>
                  </w:r>
                </w:p>
              </w:tc>
              <w:tc>
                <w:tcPr>
                  <w:tcW w:w="556" w:type="pct"/>
                  <w:noWrap w:val="0"/>
                  <w:vAlign w:val="center"/>
                </w:tcPr>
                <w:p w14:paraId="2D2589E1">
                  <w:pPr>
                    <w:pStyle w:val="58"/>
                    <w:rPr>
                      <w:color w:val="auto"/>
                    </w:rPr>
                  </w:pPr>
                  <w:r>
                    <w:rPr>
                      <w:color w:val="auto"/>
                    </w:rPr>
                    <w:t>15~20dB</w:t>
                  </w:r>
                </w:p>
              </w:tc>
            </w:tr>
            <w:tr w14:paraId="34F398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89" w:type="pct"/>
                  <w:noWrap w:val="0"/>
                  <w:vAlign w:val="center"/>
                </w:tcPr>
                <w:p w14:paraId="10090CDB">
                  <w:pPr>
                    <w:pStyle w:val="58"/>
                    <w:rPr>
                      <w:color w:val="auto"/>
                    </w:rPr>
                  </w:pPr>
                  <w:r>
                    <w:rPr>
                      <w:rFonts w:hint="eastAsia"/>
                      <w:color w:val="auto"/>
                    </w:rPr>
                    <w:t>2</w:t>
                  </w:r>
                </w:p>
              </w:tc>
              <w:tc>
                <w:tcPr>
                  <w:tcW w:w="438" w:type="pct"/>
                  <w:vMerge w:val="continue"/>
                  <w:noWrap w:val="0"/>
                  <w:vAlign w:val="center"/>
                </w:tcPr>
                <w:p w14:paraId="6565C3E6">
                  <w:pPr>
                    <w:pStyle w:val="58"/>
                    <w:rPr>
                      <w:color w:val="auto"/>
                    </w:rPr>
                  </w:pPr>
                </w:p>
              </w:tc>
              <w:tc>
                <w:tcPr>
                  <w:tcW w:w="708" w:type="pct"/>
                  <w:noWrap w:val="0"/>
                  <w:vAlign w:val="center"/>
                </w:tcPr>
                <w:p w14:paraId="0E09A1CC">
                  <w:pPr>
                    <w:widowControl/>
                    <w:jc w:val="center"/>
                    <w:rPr>
                      <w:color w:val="auto"/>
                    </w:rPr>
                  </w:pPr>
                  <w:r>
                    <w:rPr>
                      <w:color w:val="auto"/>
                      <w:kern w:val="0"/>
                      <w:szCs w:val="21"/>
                    </w:rPr>
                    <w:t>提升机</w:t>
                  </w:r>
                </w:p>
              </w:tc>
              <w:tc>
                <w:tcPr>
                  <w:tcW w:w="539" w:type="pct"/>
                  <w:noWrap w:val="0"/>
                  <w:vAlign w:val="center"/>
                </w:tcPr>
                <w:p w14:paraId="57AACB9F">
                  <w:pPr>
                    <w:pStyle w:val="58"/>
                    <w:rPr>
                      <w:rFonts w:hint="eastAsia"/>
                      <w:color w:val="auto"/>
                    </w:rPr>
                  </w:pPr>
                  <w:r>
                    <w:rPr>
                      <w:rFonts w:hint="eastAsia"/>
                      <w:color w:val="auto"/>
                    </w:rPr>
                    <w:t>75</w:t>
                  </w:r>
                </w:p>
              </w:tc>
              <w:tc>
                <w:tcPr>
                  <w:tcW w:w="1188" w:type="pct"/>
                  <w:vMerge w:val="continue"/>
                  <w:noWrap w:val="0"/>
                  <w:vAlign w:val="center"/>
                </w:tcPr>
                <w:p w14:paraId="6F4DBD36">
                  <w:pPr>
                    <w:pStyle w:val="58"/>
                    <w:rPr>
                      <w:color w:val="auto"/>
                    </w:rPr>
                  </w:pPr>
                </w:p>
              </w:tc>
              <w:tc>
                <w:tcPr>
                  <w:tcW w:w="275" w:type="pct"/>
                  <w:noWrap w:val="0"/>
                  <w:vAlign w:val="center"/>
                </w:tcPr>
                <w:p w14:paraId="389320BD">
                  <w:pPr>
                    <w:pStyle w:val="58"/>
                    <w:rPr>
                      <w:rFonts w:hint="default" w:eastAsia="宋体"/>
                      <w:color w:val="auto"/>
                      <w:lang w:val="en-US" w:eastAsia="zh-CN"/>
                    </w:rPr>
                  </w:pPr>
                  <w:r>
                    <w:rPr>
                      <w:rFonts w:hint="eastAsia"/>
                      <w:color w:val="auto"/>
                      <w:lang w:val="en-US" w:eastAsia="zh-CN"/>
                    </w:rPr>
                    <w:t>95</w:t>
                  </w:r>
                </w:p>
              </w:tc>
              <w:tc>
                <w:tcPr>
                  <w:tcW w:w="307" w:type="pct"/>
                  <w:noWrap w:val="0"/>
                  <w:vAlign w:val="center"/>
                </w:tcPr>
                <w:p w14:paraId="6F23C9C1">
                  <w:pPr>
                    <w:pStyle w:val="58"/>
                    <w:rPr>
                      <w:rFonts w:hint="eastAsia" w:eastAsia="宋体"/>
                      <w:color w:val="auto"/>
                      <w:lang w:eastAsia="zh-CN"/>
                    </w:rPr>
                  </w:pPr>
                  <w:r>
                    <w:rPr>
                      <w:rFonts w:hint="eastAsia"/>
                      <w:color w:val="auto"/>
                    </w:rPr>
                    <w:t>1</w:t>
                  </w:r>
                  <w:r>
                    <w:rPr>
                      <w:rFonts w:hint="eastAsia"/>
                      <w:color w:val="auto"/>
                      <w:lang w:val="en-US" w:eastAsia="zh-CN"/>
                    </w:rPr>
                    <w:t>3</w:t>
                  </w:r>
                </w:p>
              </w:tc>
              <w:tc>
                <w:tcPr>
                  <w:tcW w:w="307" w:type="pct"/>
                  <w:noWrap w:val="0"/>
                  <w:vAlign w:val="center"/>
                </w:tcPr>
                <w:p w14:paraId="6CAEF43F">
                  <w:pPr>
                    <w:pStyle w:val="58"/>
                    <w:rPr>
                      <w:rFonts w:hint="eastAsia"/>
                      <w:color w:val="auto"/>
                    </w:rPr>
                  </w:pPr>
                  <w:r>
                    <w:rPr>
                      <w:rFonts w:hint="eastAsia"/>
                      <w:color w:val="auto"/>
                    </w:rPr>
                    <w:t>1</w:t>
                  </w:r>
                </w:p>
              </w:tc>
              <w:tc>
                <w:tcPr>
                  <w:tcW w:w="489" w:type="pct"/>
                  <w:noWrap w:val="0"/>
                  <w:vAlign w:val="center"/>
                </w:tcPr>
                <w:p w14:paraId="71743EB1">
                  <w:pPr>
                    <w:pStyle w:val="58"/>
                    <w:rPr>
                      <w:color w:val="auto"/>
                    </w:rPr>
                  </w:pPr>
                  <w:r>
                    <w:rPr>
                      <w:rFonts w:hint="eastAsia"/>
                      <w:color w:val="auto"/>
                    </w:rPr>
                    <w:t>4</w:t>
                  </w:r>
                </w:p>
              </w:tc>
              <w:tc>
                <w:tcPr>
                  <w:tcW w:w="556" w:type="pct"/>
                  <w:noWrap w:val="0"/>
                  <w:vAlign w:val="center"/>
                </w:tcPr>
                <w:p w14:paraId="334D346A">
                  <w:pPr>
                    <w:pStyle w:val="58"/>
                    <w:rPr>
                      <w:color w:val="auto"/>
                    </w:rPr>
                  </w:pPr>
                  <w:r>
                    <w:rPr>
                      <w:color w:val="auto"/>
                    </w:rPr>
                    <w:t>15~20dB</w:t>
                  </w:r>
                </w:p>
              </w:tc>
            </w:tr>
            <w:tr w14:paraId="282B03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0" w:hRule="atLeast"/>
                <w:jc w:val="center"/>
              </w:trPr>
              <w:tc>
                <w:tcPr>
                  <w:tcW w:w="189" w:type="pct"/>
                  <w:noWrap w:val="0"/>
                  <w:vAlign w:val="center"/>
                </w:tcPr>
                <w:p w14:paraId="2482823B">
                  <w:pPr>
                    <w:pStyle w:val="58"/>
                    <w:rPr>
                      <w:rFonts w:hint="eastAsia"/>
                      <w:color w:val="auto"/>
                    </w:rPr>
                  </w:pPr>
                  <w:r>
                    <w:rPr>
                      <w:rFonts w:hint="eastAsia"/>
                      <w:color w:val="auto"/>
                    </w:rPr>
                    <w:t>3</w:t>
                  </w:r>
                </w:p>
              </w:tc>
              <w:tc>
                <w:tcPr>
                  <w:tcW w:w="438" w:type="pct"/>
                  <w:vMerge w:val="continue"/>
                  <w:noWrap w:val="0"/>
                  <w:vAlign w:val="center"/>
                </w:tcPr>
                <w:p w14:paraId="4AA30367">
                  <w:pPr>
                    <w:pStyle w:val="58"/>
                    <w:rPr>
                      <w:color w:val="auto"/>
                    </w:rPr>
                  </w:pPr>
                </w:p>
              </w:tc>
              <w:tc>
                <w:tcPr>
                  <w:tcW w:w="708" w:type="pct"/>
                  <w:noWrap w:val="0"/>
                  <w:vAlign w:val="center"/>
                </w:tcPr>
                <w:p w14:paraId="691D96AF">
                  <w:pPr>
                    <w:widowControl/>
                    <w:jc w:val="center"/>
                    <w:rPr>
                      <w:color w:val="auto"/>
                    </w:rPr>
                  </w:pPr>
                  <w:r>
                    <w:rPr>
                      <w:rFonts w:hint="eastAsia"/>
                      <w:color w:val="auto"/>
                      <w:kern w:val="0"/>
                      <w:szCs w:val="21"/>
                    </w:rPr>
                    <w:t>输送带</w:t>
                  </w:r>
                </w:p>
              </w:tc>
              <w:tc>
                <w:tcPr>
                  <w:tcW w:w="539" w:type="pct"/>
                  <w:noWrap w:val="0"/>
                  <w:vAlign w:val="center"/>
                </w:tcPr>
                <w:p w14:paraId="21A9B89D">
                  <w:pPr>
                    <w:pStyle w:val="58"/>
                    <w:rPr>
                      <w:color w:val="auto"/>
                    </w:rPr>
                  </w:pPr>
                  <w:r>
                    <w:rPr>
                      <w:rFonts w:hint="eastAsia"/>
                      <w:color w:val="auto"/>
                    </w:rPr>
                    <w:t>65</w:t>
                  </w:r>
                </w:p>
              </w:tc>
              <w:tc>
                <w:tcPr>
                  <w:tcW w:w="1188" w:type="pct"/>
                  <w:vMerge w:val="continue"/>
                  <w:noWrap w:val="0"/>
                  <w:vAlign w:val="center"/>
                </w:tcPr>
                <w:p w14:paraId="00504C04">
                  <w:pPr>
                    <w:pStyle w:val="58"/>
                    <w:rPr>
                      <w:color w:val="auto"/>
                    </w:rPr>
                  </w:pPr>
                </w:p>
              </w:tc>
              <w:tc>
                <w:tcPr>
                  <w:tcW w:w="275" w:type="pct"/>
                  <w:noWrap w:val="0"/>
                  <w:vAlign w:val="center"/>
                </w:tcPr>
                <w:p w14:paraId="7B1222DC">
                  <w:pPr>
                    <w:pStyle w:val="58"/>
                    <w:rPr>
                      <w:rFonts w:hint="default" w:eastAsia="宋体"/>
                      <w:color w:val="auto"/>
                      <w:lang w:val="en-US" w:eastAsia="zh-CN"/>
                    </w:rPr>
                  </w:pPr>
                  <w:r>
                    <w:rPr>
                      <w:rFonts w:hint="eastAsia"/>
                      <w:color w:val="auto"/>
                      <w:lang w:val="en-US" w:eastAsia="zh-CN"/>
                    </w:rPr>
                    <w:t>95</w:t>
                  </w:r>
                </w:p>
              </w:tc>
              <w:tc>
                <w:tcPr>
                  <w:tcW w:w="307" w:type="pct"/>
                  <w:noWrap w:val="0"/>
                  <w:vAlign w:val="center"/>
                </w:tcPr>
                <w:p w14:paraId="1C2277C1">
                  <w:pPr>
                    <w:pStyle w:val="58"/>
                    <w:rPr>
                      <w:color w:val="auto"/>
                    </w:rPr>
                  </w:pPr>
                  <w:r>
                    <w:rPr>
                      <w:rFonts w:hint="eastAsia"/>
                      <w:color w:val="auto"/>
                    </w:rPr>
                    <w:t>14</w:t>
                  </w:r>
                </w:p>
              </w:tc>
              <w:tc>
                <w:tcPr>
                  <w:tcW w:w="307" w:type="pct"/>
                  <w:noWrap w:val="0"/>
                  <w:vAlign w:val="center"/>
                </w:tcPr>
                <w:p w14:paraId="68DC1C6A">
                  <w:pPr>
                    <w:pStyle w:val="58"/>
                    <w:rPr>
                      <w:rFonts w:hint="eastAsia"/>
                      <w:color w:val="auto"/>
                    </w:rPr>
                  </w:pPr>
                  <w:r>
                    <w:rPr>
                      <w:rFonts w:hint="eastAsia"/>
                      <w:color w:val="auto"/>
                    </w:rPr>
                    <w:t>1</w:t>
                  </w:r>
                </w:p>
              </w:tc>
              <w:tc>
                <w:tcPr>
                  <w:tcW w:w="489" w:type="pct"/>
                  <w:noWrap w:val="0"/>
                  <w:vAlign w:val="center"/>
                </w:tcPr>
                <w:p w14:paraId="37366368">
                  <w:pPr>
                    <w:pStyle w:val="58"/>
                    <w:rPr>
                      <w:color w:val="auto"/>
                    </w:rPr>
                  </w:pPr>
                  <w:r>
                    <w:rPr>
                      <w:rFonts w:hint="eastAsia"/>
                      <w:color w:val="auto"/>
                    </w:rPr>
                    <w:t>5</w:t>
                  </w:r>
                </w:p>
              </w:tc>
              <w:tc>
                <w:tcPr>
                  <w:tcW w:w="556" w:type="pct"/>
                  <w:noWrap w:val="0"/>
                  <w:vAlign w:val="center"/>
                </w:tcPr>
                <w:p w14:paraId="7737932D">
                  <w:pPr>
                    <w:rPr>
                      <w:color w:val="auto"/>
                    </w:rPr>
                  </w:pPr>
                  <w:r>
                    <w:rPr>
                      <w:color w:val="auto"/>
                    </w:rPr>
                    <w:t>15~20dB</w:t>
                  </w:r>
                </w:p>
              </w:tc>
            </w:tr>
            <w:tr w14:paraId="58806C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89" w:type="pct"/>
                  <w:noWrap w:val="0"/>
                  <w:vAlign w:val="center"/>
                </w:tcPr>
                <w:p w14:paraId="03172A2D">
                  <w:pPr>
                    <w:pStyle w:val="58"/>
                    <w:rPr>
                      <w:rFonts w:hint="eastAsia"/>
                      <w:color w:val="auto"/>
                    </w:rPr>
                  </w:pPr>
                  <w:r>
                    <w:rPr>
                      <w:rFonts w:hint="eastAsia"/>
                      <w:color w:val="auto"/>
                    </w:rPr>
                    <w:t>4</w:t>
                  </w:r>
                </w:p>
              </w:tc>
              <w:tc>
                <w:tcPr>
                  <w:tcW w:w="438" w:type="pct"/>
                  <w:vMerge w:val="continue"/>
                  <w:noWrap w:val="0"/>
                  <w:vAlign w:val="center"/>
                </w:tcPr>
                <w:p w14:paraId="36E8ECCE">
                  <w:pPr>
                    <w:pStyle w:val="58"/>
                    <w:rPr>
                      <w:color w:val="auto"/>
                    </w:rPr>
                  </w:pPr>
                </w:p>
              </w:tc>
              <w:tc>
                <w:tcPr>
                  <w:tcW w:w="708" w:type="pct"/>
                  <w:noWrap w:val="0"/>
                  <w:vAlign w:val="center"/>
                </w:tcPr>
                <w:p w14:paraId="173DCD31">
                  <w:pPr>
                    <w:widowControl/>
                    <w:jc w:val="center"/>
                    <w:rPr>
                      <w:color w:val="auto"/>
                    </w:rPr>
                  </w:pPr>
                  <w:r>
                    <w:rPr>
                      <w:rFonts w:hint="eastAsia"/>
                      <w:color w:val="auto"/>
                      <w:kern w:val="0"/>
                      <w:szCs w:val="21"/>
                    </w:rPr>
                    <w:t>搅拌系统</w:t>
                  </w:r>
                </w:p>
              </w:tc>
              <w:tc>
                <w:tcPr>
                  <w:tcW w:w="539" w:type="pct"/>
                  <w:noWrap w:val="0"/>
                  <w:vAlign w:val="center"/>
                </w:tcPr>
                <w:p w14:paraId="71DCDB62">
                  <w:pPr>
                    <w:pStyle w:val="58"/>
                    <w:rPr>
                      <w:color w:val="auto"/>
                    </w:rPr>
                  </w:pPr>
                  <w:r>
                    <w:rPr>
                      <w:rFonts w:hint="eastAsia"/>
                      <w:color w:val="auto"/>
                    </w:rPr>
                    <w:t>80</w:t>
                  </w:r>
                </w:p>
              </w:tc>
              <w:tc>
                <w:tcPr>
                  <w:tcW w:w="1188" w:type="pct"/>
                  <w:vMerge w:val="continue"/>
                  <w:noWrap w:val="0"/>
                  <w:vAlign w:val="center"/>
                </w:tcPr>
                <w:p w14:paraId="52B3E14E">
                  <w:pPr>
                    <w:pStyle w:val="58"/>
                    <w:rPr>
                      <w:color w:val="auto"/>
                    </w:rPr>
                  </w:pPr>
                </w:p>
              </w:tc>
              <w:tc>
                <w:tcPr>
                  <w:tcW w:w="275" w:type="pct"/>
                  <w:noWrap w:val="0"/>
                  <w:vAlign w:val="center"/>
                </w:tcPr>
                <w:p w14:paraId="428B9EA1">
                  <w:pPr>
                    <w:pStyle w:val="58"/>
                    <w:rPr>
                      <w:rFonts w:hint="default" w:eastAsia="宋体"/>
                      <w:color w:val="auto"/>
                      <w:lang w:val="en-US" w:eastAsia="zh-CN"/>
                    </w:rPr>
                  </w:pPr>
                  <w:r>
                    <w:rPr>
                      <w:rFonts w:hint="eastAsia"/>
                      <w:color w:val="auto"/>
                      <w:lang w:val="en-US" w:eastAsia="zh-CN"/>
                    </w:rPr>
                    <w:t>100</w:t>
                  </w:r>
                </w:p>
              </w:tc>
              <w:tc>
                <w:tcPr>
                  <w:tcW w:w="307" w:type="pct"/>
                  <w:noWrap w:val="0"/>
                  <w:vAlign w:val="center"/>
                </w:tcPr>
                <w:p w14:paraId="6CE9D09D">
                  <w:pPr>
                    <w:pStyle w:val="58"/>
                    <w:rPr>
                      <w:color w:val="auto"/>
                    </w:rPr>
                  </w:pPr>
                  <w:r>
                    <w:rPr>
                      <w:rFonts w:hint="eastAsia"/>
                      <w:color w:val="auto"/>
                    </w:rPr>
                    <w:t>5</w:t>
                  </w:r>
                </w:p>
              </w:tc>
              <w:tc>
                <w:tcPr>
                  <w:tcW w:w="307" w:type="pct"/>
                  <w:noWrap w:val="0"/>
                  <w:vAlign w:val="center"/>
                </w:tcPr>
                <w:p w14:paraId="081E1F83">
                  <w:pPr>
                    <w:pStyle w:val="58"/>
                    <w:rPr>
                      <w:rFonts w:hint="eastAsia"/>
                      <w:color w:val="auto"/>
                    </w:rPr>
                  </w:pPr>
                  <w:r>
                    <w:rPr>
                      <w:rFonts w:hint="eastAsia"/>
                      <w:color w:val="auto"/>
                    </w:rPr>
                    <w:t>1</w:t>
                  </w:r>
                </w:p>
              </w:tc>
              <w:tc>
                <w:tcPr>
                  <w:tcW w:w="489" w:type="pct"/>
                  <w:noWrap w:val="0"/>
                  <w:vAlign w:val="center"/>
                </w:tcPr>
                <w:p w14:paraId="78B0FE78">
                  <w:pPr>
                    <w:pStyle w:val="58"/>
                    <w:rPr>
                      <w:rFonts w:hint="default" w:eastAsia="宋体"/>
                      <w:color w:val="auto"/>
                      <w:lang w:val="en-US" w:eastAsia="zh-CN"/>
                    </w:rPr>
                  </w:pPr>
                  <w:r>
                    <w:rPr>
                      <w:rFonts w:hint="eastAsia"/>
                      <w:color w:val="auto"/>
                      <w:lang w:val="en-US" w:eastAsia="zh-CN"/>
                    </w:rPr>
                    <w:t>10</w:t>
                  </w:r>
                </w:p>
              </w:tc>
              <w:tc>
                <w:tcPr>
                  <w:tcW w:w="556" w:type="pct"/>
                  <w:noWrap w:val="0"/>
                  <w:vAlign w:val="center"/>
                </w:tcPr>
                <w:p w14:paraId="46AF5279">
                  <w:pPr>
                    <w:rPr>
                      <w:color w:val="auto"/>
                    </w:rPr>
                  </w:pPr>
                  <w:r>
                    <w:rPr>
                      <w:color w:val="auto"/>
                    </w:rPr>
                    <w:t>15~20dB</w:t>
                  </w:r>
                </w:p>
              </w:tc>
            </w:tr>
            <w:tr w14:paraId="101FAA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89" w:type="pct"/>
                  <w:noWrap w:val="0"/>
                  <w:vAlign w:val="center"/>
                </w:tcPr>
                <w:p w14:paraId="63A09475">
                  <w:pPr>
                    <w:pStyle w:val="58"/>
                    <w:rPr>
                      <w:color w:val="auto"/>
                    </w:rPr>
                  </w:pPr>
                  <w:r>
                    <w:rPr>
                      <w:rFonts w:hint="eastAsia"/>
                      <w:color w:val="auto"/>
                    </w:rPr>
                    <w:t>5</w:t>
                  </w:r>
                </w:p>
              </w:tc>
              <w:tc>
                <w:tcPr>
                  <w:tcW w:w="438" w:type="pct"/>
                  <w:vMerge w:val="continue"/>
                  <w:noWrap w:val="0"/>
                  <w:vAlign w:val="center"/>
                </w:tcPr>
                <w:p w14:paraId="01CDD487">
                  <w:pPr>
                    <w:pStyle w:val="58"/>
                    <w:rPr>
                      <w:color w:val="auto"/>
                    </w:rPr>
                  </w:pPr>
                </w:p>
              </w:tc>
              <w:tc>
                <w:tcPr>
                  <w:tcW w:w="708" w:type="pct"/>
                  <w:noWrap w:val="0"/>
                  <w:vAlign w:val="center"/>
                </w:tcPr>
                <w:p w14:paraId="19F0D9AB">
                  <w:pPr>
                    <w:widowControl/>
                    <w:jc w:val="center"/>
                    <w:rPr>
                      <w:color w:val="auto"/>
                      <w:kern w:val="0"/>
                      <w:szCs w:val="21"/>
                    </w:rPr>
                  </w:pPr>
                  <w:r>
                    <w:rPr>
                      <w:rFonts w:hint="eastAsia"/>
                      <w:color w:val="auto"/>
                      <w:kern w:val="0"/>
                      <w:szCs w:val="21"/>
                    </w:rPr>
                    <w:t>风机</w:t>
                  </w:r>
                </w:p>
              </w:tc>
              <w:tc>
                <w:tcPr>
                  <w:tcW w:w="539" w:type="pct"/>
                  <w:noWrap w:val="0"/>
                  <w:vAlign w:val="center"/>
                </w:tcPr>
                <w:p w14:paraId="5CC5C823">
                  <w:pPr>
                    <w:pStyle w:val="58"/>
                    <w:rPr>
                      <w:color w:val="auto"/>
                    </w:rPr>
                  </w:pPr>
                  <w:r>
                    <w:rPr>
                      <w:rFonts w:hint="eastAsia"/>
                      <w:color w:val="auto"/>
                    </w:rPr>
                    <w:t>80</w:t>
                  </w:r>
                </w:p>
              </w:tc>
              <w:tc>
                <w:tcPr>
                  <w:tcW w:w="1188" w:type="pct"/>
                  <w:vMerge w:val="continue"/>
                  <w:noWrap w:val="0"/>
                  <w:vAlign w:val="center"/>
                </w:tcPr>
                <w:p w14:paraId="43D8186A">
                  <w:pPr>
                    <w:pStyle w:val="58"/>
                    <w:rPr>
                      <w:color w:val="auto"/>
                    </w:rPr>
                  </w:pPr>
                </w:p>
              </w:tc>
              <w:tc>
                <w:tcPr>
                  <w:tcW w:w="275" w:type="pct"/>
                  <w:noWrap w:val="0"/>
                  <w:vAlign w:val="center"/>
                </w:tcPr>
                <w:p w14:paraId="3410CC43">
                  <w:pPr>
                    <w:pStyle w:val="58"/>
                    <w:rPr>
                      <w:rFonts w:hint="default" w:eastAsia="宋体"/>
                      <w:color w:val="auto"/>
                      <w:lang w:val="en-US" w:eastAsia="zh-CN"/>
                    </w:rPr>
                  </w:pPr>
                  <w:r>
                    <w:rPr>
                      <w:rFonts w:hint="eastAsia"/>
                      <w:color w:val="auto"/>
                      <w:lang w:val="en-US" w:eastAsia="zh-CN"/>
                    </w:rPr>
                    <w:t>96</w:t>
                  </w:r>
                </w:p>
              </w:tc>
              <w:tc>
                <w:tcPr>
                  <w:tcW w:w="307" w:type="pct"/>
                  <w:noWrap w:val="0"/>
                  <w:vAlign w:val="center"/>
                </w:tcPr>
                <w:p w14:paraId="1BE033CD">
                  <w:pPr>
                    <w:pStyle w:val="58"/>
                    <w:rPr>
                      <w:color w:val="auto"/>
                    </w:rPr>
                  </w:pPr>
                  <w:r>
                    <w:rPr>
                      <w:rFonts w:hint="eastAsia"/>
                      <w:color w:val="auto"/>
                    </w:rPr>
                    <w:t>15</w:t>
                  </w:r>
                </w:p>
              </w:tc>
              <w:tc>
                <w:tcPr>
                  <w:tcW w:w="307" w:type="pct"/>
                  <w:noWrap w:val="0"/>
                  <w:vAlign w:val="center"/>
                </w:tcPr>
                <w:p w14:paraId="6C504E9E">
                  <w:pPr>
                    <w:pStyle w:val="58"/>
                    <w:rPr>
                      <w:color w:val="auto"/>
                    </w:rPr>
                  </w:pPr>
                  <w:r>
                    <w:rPr>
                      <w:rFonts w:hint="eastAsia"/>
                      <w:color w:val="auto"/>
                    </w:rPr>
                    <w:t>1</w:t>
                  </w:r>
                </w:p>
              </w:tc>
              <w:tc>
                <w:tcPr>
                  <w:tcW w:w="489" w:type="pct"/>
                  <w:noWrap w:val="0"/>
                  <w:vAlign w:val="center"/>
                </w:tcPr>
                <w:p w14:paraId="2DDAFCE9">
                  <w:pPr>
                    <w:pStyle w:val="58"/>
                    <w:rPr>
                      <w:color w:val="auto"/>
                    </w:rPr>
                  </w:pPr>
                  <w:r>
                    <w:rPr>
                      <w:rFonts w:hint="eastAsia"/>
                      <w:color w:val="auto"/>
                    </w:rPr>
                    <w:t>5</w:t>
                  </w:r>
                </w:p>
              </w:tc>
              <w:tc>
                <w:tcPr>
                  <w:tcW w:w="556" w:type="pct"/>
                  <w:noWrap w:val="0"/>
                  <w:vAlign w:val="center"/>
                </w:tcPr>
                <w:p w14:paraId="00970704">
                  <w:pPr>
                    <w:rPr>
                      <w:color w:val="auto"/>
                    </w:rPr>
                  </w:pPr>
                  <w:r>
                    <w:rPr>
                      <w:color w:val="auto"/>
                    </w:rPr>
                    <w:t>15~20dB</w:t>
                  </w:r>
                </w:p>
              </w:tc>
            </w:tr>
          </w:tbl>
          <w:p w14:paraId="3650ACF3">
            <w:pPr>
              <w:spacing w:line="360" w:lineRule="auto"/>
              <w:jc w:val="both"/>
              <w:rPr>
                <w:b/>
                <w:bCs/>
                <w:color w:val="auto"/>
                <w:sz w:val="24"/>
              </w:rPr>
            </w:pPr>
            <w:r>
              <w:rPr>
                <w:b/>
                <w:bCs/>
                <w:color w:val="auto"/>
                <w:sz w:val="24"/>
              </w:rPr>
              <w:t>3.2预测方法</w:t>
            </w:r>
          </w:p>
          <w:p w14:paraId="50EAE670">
            <w:pPr>
              <w:spacing w:line="360" w:lineRule="auto"/>
              <w:ind w:firstLine="480" w:firstLineChars="200"/>
              <w:jc w:val="both"/>
              <w:rPr>
                <w:color w:val="auto"/>
                <w:sz w:val="24"/>
              </w:rPr>
            </w:pPr>
            <w:r>
              <w:rPr>
                <w:color w:val="auto"/>
                <w:sz w:val="24"/>
              </w:rPr>
              <w:t>本次噪声评价厂界按整个厂界计算，将厂界内所有声源的声级叠加，以厂区的中心作为声源原点。简化为单个室外的点声源进行预测。</w:t>
            </w:r>
          </w:p>
          <w:p w14:paraId="3BD5B734">
            <w:pPr>
              <w:spacing w:line="360" w:lineRule="auto"/>
              <w:ind w:firstLine="480" w:firstLineChars="200"/>
              <w:jc w:val="both"/>
              <w:rPr>
                <w:color w:val="auto"/>
                <w:sz w:val="24"/>
              </w:rPr>
            </w:pPr>
            <w:r>
              <w:rPr>
                <w:color w:val="auto"/>
                <w:sz w:val="24"/>
              </w:rPr>
              <w:t>（1）计算某个室内靠近围护结构处的倍频带声压级：</w:t>
            </w:r>
          </w:p>
          <w:p w14:paraId="481BDD4B">
            <w:pPr>
              <w:spacing w:line="360" w:lineRule="auto"/>
              <w:ind w:firstLine="480" w:firstLineChars="200"/>
              <w:jc w:val="center"/>
              <w:rPr>
                <w:color w:val="auto"/>
                <w:sz w:val="24"/>
              </w:rPr>
            </w:pPr>
            <w:bookmarkStart w:id="1" w:name="_Toc91387362"/>
            <w:bookmarkEnd w:id="1"/>
            <w:r>
              <w:rPr>
                <w:color w:val="auto"/>
                <w:sz w:val="24"/>
              </w:rPr>
              <w:object>
                <v:shape id="_x0000_i1026" o:spt="75" type="#_x0000_t75" style="height:27.15pt;width:245.15pt;" o:ole="t" filled="f" o:preferrelative="t" stroked="f" coordsize="21600,21600">
                  <v:path/>
                  <v:fill on="f" focussize="0,0"/>
                  <v:stroke on="f" joinstyle="miter"/>
                  <v:imagedata r:id="rId16" o:title=""/>
                  <o:lock v:ext="edit" aspectratio="t"/>
                  <w10:wrap type="none"/>
                  <w10:anchorlock/>
                </v:shape>
                <o:OLEObject Type="Embed" ProgID="Equation.3" ShapeID="_x0000_i1026" DrawAspect="Content" ObjectID="_1468075726" r:id="rId15">
                  <o:LockedField>false</o:LockedField>
                </o:OLEObject>
              </w:object>
            </w:r>
          </w:p>
          <w:p w14:paraId="6C3466B5">
            <w:pPr>
              <w:spacing w:line="360" w:lineRule="auto"/>
              <w:ind w:firstLine="480" w:firstLineChars="200"/>
              <w:jc w:val="both"/>
              <w:rPr>
                <w:color w:val="auto"/>
                <w:sz w:val="24"/>
              </w:rPr>
            </w:pPr>
            <w:bookmarkStart w:id="2" w:name="_Toc91387363"/>
            <w:r>
              <w:rPr>
                <w:color w:val="auto"/>
                <w:sz w:val="24"/>
              </w:rPr>
              <w:t>式中：</w:t>
            </w:r>
            <w:bookmarkEnd w:id="2"/>
            <w:r>
              <w:rPr>
                <w:color w:val="auto"/>
                <w:sz w:val="24"/>
              </w:rPr>
              <w:t>L1——某个室内声源在靠近围护结构处产生的倍频带声压级，dB；</w:t>
            </w:r>
          </w:p>
          <w:p w14:paraId="492E1AC5">
            <w:pPr>
              <w:spacing w:line="360" w:lineRule="auto"/>
              <w:ind w:firstLine="1200" w:firstLineChars="500"/>
              <w:jc w:val="both"/>
              <w:rPr>
                <w:color w:val="auto"/>
                <w:sz w:val="24"/>
              </w:rPr>
            </w:pPr>
            <w:r>
              <w:rPr>
                <w:color w:val="auto"/>
                <w:sz w:val="24"/>
              </w:rPr>
              <w:t>Lw1——某个声源的倍频带声功率级，dB；</w:t>
            </w:r>
          </w:p>
          <w:p w14:paraId="1B3C5AFE">
            <w:pPr>
              <w:spacing w:line="360" w:lineRule="auto"/>
              <w:ind w:firstLine="1200" w:firstLineChars="500"/>
              <w:jc w:val="both"/>
              <w:rPr>
                <w:color w:val="auto"/>
                <w:sz w:val="24"/>
              </w:rPr>
            </w:pPr>
            <w:r>
              <w:rPr>
                <w:color w:val="auto"/>
                <w:sz w:val="24"/>
              </w:rPr>
              <w:t>r1——室内某个声源与靠近围护结构处的距离，m；</w:t>
            </w:r>
          </w:p>
          <w:p w14:paraId="332EC33A">
            <w:pPr>
              <w:spacing w:line="360" w:lineRule="auto"/>
              <w:ind w:firstLine="1200" w:firstLineChars="500"/>
              <w:jc w:val="both"/>
              <w:rPr>
                <w:color w:val="auto"/>
                <w:sz w:val="24"/>
              </w:rPr>
            </w:pPr>
            <w:r>
              <w:rPr>
                <w:color w:val="auto"/>
                <w:sz w:val="24"/>
              </w:rPr>
              <w:t>R——房间常数m</w:t>
            </w:r>
            <w:r>
              <w:rPr>
                <w:color w:val="auto"/>
                <w:sz w:val="24"/>
                <w:vertAlign w:val="superscript"/>
              </w:rPr>
              <w:t>2</w:t>
            </w:r>
            <w:r>
              <w:rPr>
                <w:color w:val="auto"/>
                <w:sz w:val="24"/>
              </w:rPr>
              <w:t>；</w:t>
            </w:r>
          </w:p>
          <w:p w14:paraId="7118CA29">
            <w:pPr>
              <w:spacing w:line="360" w:lineRule="auto"/>
              <w:ind w:firstLine="1200" w:firstLineChars="500"/>
              <w:jc w:val="both"/>
              <w:rPr>
                <w:color w:val="auto"/>
                <w:sz w:val="24"/>
              </w:rPr>
            </w:pPr>
            <w:r>
              <w:rPr>
                <w:color w:val="auto"/>
                <w:sz w:val="24"/>
              </w:rPr>
              <w:t>Q——方向因子，无量纲值。</w:t>
            </w:r>
          </w:p>
          <w:p w14:paraId="617D7A6B">
            <w:pPr>
              <w:spacing w:line="360" w:lineRule="auto"/>
              <w:ind w:firstLine="480" w:firstLineChars="200"/>
              <w:jc w:val="both"/>
              <w:rPr>
                <w:color w:val="auto"/>
                <w:sz w:val="24"/>
              </w:rPr>
            </w:pPr>
            <w:r>
              <w:rPr>
                <w:color w:val="auto"/>
                <w:sz w:val="24"/>
              </w:rPr>
              <w:t>（2）计算出所有室内声源在靠近围护结构处产生的总倍频带声压级：</w:t>
            </w:r>
          </w:p>
          <w:p w14:paraId="0EA41B0D">
            <w:pPr>
              <w:spacing w:line="360" w:lineRule="auto"/>
              <w:ind w:firstLine="480" w:firstLineChars="200"/>
              <w:jc w:val="center"/>
              <w:rPr>
                <w:color w:val="auto"/>
                <w:sz w:val="24"/>
              </w:rPr>
            </w:pPr>
            <w:r>
              <w:rPr>
                <w:color w:val="auto"/>
                <w:sz w:val="24"/>
              </w:rPr>
              <w:object>
                <v:shape id="_x0000_i1027" o:spt="75" type="#_x0000_t75" style="height:41.45pt;width:147.4pt;" o:ole="t" fillcolor="#000005" filled="f" o:preferrelative="t" stroked="f" coordsize="21600,21600">
                  <v:path/>
                  <v:fill on="f" focussize="0,0"/>
                  <v:stroke on="f" joinstyle="miter"/>
                  <v:imagedata r:id="rId18" o:title=""/>
                  <o:lock v:ext="edit" aspectratio="t"/>
                  <w10:wrap type="none"/>
                  <w10:anchorlock/>
                </v:shape>
                <o:OLEObject Type="Embed" ProgID="Equation.3" ShapeID="_x0000_i1027" DrawAspect="Content" ObjectID="_1468075727" r:id="rId17">
                  <o:LockedField>false</o:LockedField>
                </o:OLEObject>
              </w:object>
            </w:r>
          </w:p>
          <w:p w14:paraId="3F3764C5">
            <w:pPr>
              <w:spacing w:line="360" w:lineRule="auto"/>
              <w:ind w:firstLine="480" w:firstLineChars="200"/>
              <w:jc w:val="both"/>
              <w:rPr>
                <w:color w:val="auto"/>
                <w:sz w:val="24"/>
              </w:rPr>
            </w:pPr>
            <w:r>
              <w:rPr>
                <w:color w:val="auto"/>
                <w:sz w:val="24"/>
              </w:rPr>
              <w:t>（3）计算出室外靠近围护结构处的声压级：</w:t>
            </w:r>
          </w:p>
          <w:p w14:paraId="67E100D5">
            <w:pPr>
              <w:spacing w:line="360" w:lineRule="auto"/>
              <w:ind w:firstLine="480" w:firstLineChars="200"/>
              <w:jc w:val="center"/>
              <w:rPr>
                <w:color w:val="auto"/>
                <w:sz w:val="24"/>
              </w:rPr>
            </w:pPr>
            <w:r>
              <w:rPr>
                <w:color w:val="auto"/>
                <w:sz w:val="24"/>
              </w:rPr>
              <w:object>
                <v:shape id="_x0000_i1028" o:spt="75" type="#_x0000_t75" style="height:17.65pt;width:118.2pt;" o:ole="t" fillcolor="#000005" filled="f" o:preferrelative="t" stroked="f" coordsize="21600,21600">
                  <v:path/>
                  <v:fill on="f" focussize="0,0"/>
                  <v:stroke on="f" joinstyle="miter"/>
                  <v:imagedata r:id="rId20" o:title=""/>
                  <o:lock v:ext="edit" aspectratio="t"/>
                  <w10:wrap type="none"/>
                  <w10:anchorlock/>
                </v:shape>
                <o:OLEObject Type="Embed" ProgID="Equation.3" ShapeID="_x0000_i1028" DrawAspect="Content" ObjectID="_1468075728" r:id="rId19">
                  <o:LockedField>false</o:LockedField>
                </o:OLEObject>
              </w:object>
            </w:r>
          </w:p>
          <w:p w14:paraId="45076934">
            <w:pPr>
              <w:spacing w:line="360" w:lineRule="auto"/>
              <w:ind w:firstLine="480" w:firstLineChars="200"/>
              <w:jc w:val="both"/>
              <w:rPr>
                <w:color w:val="auto"/>
                <w:sz w:val="24"/>
              </w:rPr>
            </w:pPr>
            <w:r>
              <w:rPr>
                <w:color w:val="auto"/>
                <w:sz w:val="24"/>
              </w:rPr>
              <w:t>（4）将室外声级L</w:t>
            </w:r>
            <w:r>
              <w:rPr>
                <w:color w:val="auto"/>
                <w:sz w:val="24"/>
                <w:vertAlign w:val="subscript"/>
              </w:rPr>
              <w:t>2</w:t>
            </w:r>
            <w:r>
              <w:rPr>
                <w:color w:val="auto"/>
                <w:sz w:val="24"/>
              </w:rPr>
              <w:t>(T)和透声面积换算成等效的室外声源，计算出等效声源第i个倍频带的声功率级L</w:t>
            </w:r>
            <w:r>
              <w:rPr>
                <w:color w:val="auto"/>
                <w:sz w:val="24"/>
                <w:vertAlign w:val="subscript"/>
              </w:rPr>
              <w:t>w2</w:t>
            </w:r>
            <w:r>
              <w:rPr>
                <w:color w:val="auto"/>
                <w:sz w:val="24"/>
              </w:rPr>
              <w:t>：</w:t>
            </w:r>
          </w:p>
          <w:p w14:paraId="7C6C0A66">
            <w:pPr>
              <w:spacing w:line="360" w:lineRule="auto"/>
              <w:ind w:firstLine="480" w:firstLineChars="200"/>
              <w:jc w:val="center"/>
              <w:rPr>
                <w:color w:val="auto"/>
                <w:sz w:val="24"/>
              </w:rPr>
            </w:pPr>
            <w:r>
              <w:rPr>
                <w:color w:val="auto"/>
                <w:sz w:val="24"/>
              </w:rPr>
              <w:object>
                <v:shape id="_x0000_i1029" o:spt="75" type="#_x0000_t75" style="height:21.05pt;width:125.65pt;" o:ole="t" fillcolor="#000005" filled="f" o:preferrelative="t" stroked="f" coordsize="21600,21600">
                  <v:path/>
                  <v:fill on="f" focussize="0,0"/>
                  <v:stroke on="f" joinstyle="miter"/>
                  <v:imagedata r:id="rId22" o:title=""/>
                  <o:lock v:ext="edit" aspectratio="t"/>
                  <w10:wrap type="none"/>
                  <w10:anchorlock/>
                </v:shape>
                <o:OLEObject Type="Embed" ProgID="Equation.3" ShapeID="_x0000_i1029" DrawAspect="Content" ObjectID="_1468075729" r:id="rId21">
                  <o:LockedField>false</o:LockedField>
                </o:OLEObject>
              </w:object>
            </w:r>
          </w:p>
          <w:p w14:paraId="199D01E0">
            <w:pPr>
              <w:spacing w:line="360" w:lineRule="auto"/>
              <w:ind w:firstLine="480" w:firstLineChars="200"/>
              <w:jc w:val="both"/>
              <w:rPr>
                <w:color w:val="auto"/>
                <w:sz w:val="24"/>
              </w:rPr>
            </w:pPr>
            <w:r>
              <w:rPr>
                <w:color w:val="auto"/>
                <w:sz w:val="24"/>
              </w:rPr>
              <w:t>式中：S为透声面积，m</w:t>
            </w:r>
            <w:r>
              <w:rPr>
                <w:color w:val="auto"/>
                <w:sz w:val="24"/>
                <w:vertAlign w:val="superscript"/>
              </w:rPr>
              <w:t>2</w:t>
            </w:r>
            <w:r>
              <w:rPr>
                <w:color w:val="auto"/>
                <w:sz w:val="24"/>
              </w:rPr>
              <w:t>。</w:t>
            </w:r>
          </w:p>
          <w:p w14:paraId="3B55E592">
            <w:pPr>
              <w:spacing w:line="360" w:lineRule="auto"/>
              <w:ind w:firstLine="480" w:firstLineChars="200"/>
              <w:jc w:val="both"/>
              <w:rPr>
                <w:color w:val="auto"/>
                <w:sz w:val="24"/>
              </w:rPr>
            </w:pPr>
            <w:r>
              <w:rPr>
                <w:color w:val="auto"/>
                <w:sz w:val="24"/>
              </w:rPr>
              <w:t>（5）等效室外声源的位置为围护结构的位置，其倍频带声功率级为Lw，由此按室外声源方法计算等效室外声源在预测点产生的声级。</w:t>
            </w:r>
          </w:p>
          <w:p w14:paraId="4F6785A3">
            <w:pPr>
              <w:spacing w:line="360" w:lineRule="auto"/>
              <w:ind w:firstLine="480" w:firstLineChars="200"/>
              <w:jc w:val="both"/>
              <w:rPr>
                <w:color w:val="auto"/>
                <w:sz w:val="24"/>
              </w:rPr>
            </w:pPr>
            <w:r>
              <w:rPr>
                <w:color w:val="auto"/>
                <w:sz w:val="24"/>
              </w:rPr>
              <w:t>（6）计算某个声源在预测点的倍频带声压级：</w:t>
            </w:r>
          </w:p>
          <w:p w14:paraId="78BCE516">
            <w:pPr>
              <w:spacing w:line="360" w:lineRule="auto"/>
              <w:ind w:firstLine="480" w:firstLineChars="200"/>
              <w:jc w:val="center"/>
              <w:rPr>
                <w:color w:val="auto"/>
                <w:sz w:val="24"/>
              </w:rPr>
            </w:pPr>
            <w:r>
              <w:rPr>
                <w:color w:val="auto"/>
                <w:sz w:val="24"/>
              </w:rPr>
              <w:object>
                <v:shape id="_x0000_i1030" o:spt="75" type="#_x0000_t75" style="height:47.6pt;width:156.25pt;" o:ole="t" fillcolor="#000005" filled="f" o:preferrelative="t" stroked="f" coordsize="21600,21600">
                  <v:path/>
                  <v:fill on="f" focussize="0,0"/>
                  <v:stroke on="f" joinstyle="miter"/>
                  <v:imagedata r:id="rId24" o:title=""/>
                  <o:lock v:ext="edit" aspectratio="t"/>
                  <w10:wrap type="none"/>
                  <w10:anchorlock/>
                </v:shape>
                <o:OLEObject Type="Embed" ProgID="Equation.3" ShapeID="_x0000_i1030" DrawAspect="Content" ObjectID="_1468075730" r:id="rId23">
                  <o:LockedField>false</o:LockedField>
                </o:OLEObject>
              </w:object>
            </w:r>
          </w:p>
          <w:p w14:paraId="61F39C06">
            <w:pPr>
              <w:spacing w:line="360" w:lineRule="auto"/>
              <w:ind w:firstLine="480" w:firstLineChars="200"/>
              <w:jc w:val="both"/>
              <w:rPr>
                <w:color w:val="auto"/>
                <w:sz w:val="24"/>
              </w:rPr>
            </w:pPr>
            <w:r>
              <w:rPr>
                <w:color w:val="auto"/>
                <w:sz w:val="24"/>
              </w:rPr>
              <w:t>式中：L(r)——点声源在预测点产生的倍频带声压级，dB；</w:t>
            </w:r>
          </w:p>
          <w:p w14:paraId="5CC65C77">
            <w:pPr>
              <w:spacing w:line="360" w:lineRule="auto"/>
              <w:ind w:firstLine="1200" w:firstLineChars="500"/>
              <w:jc w:val="both"/>
              <w:rPr>
                <w:color w:val="auto"/>
                <w:sz w:val="24"/>
              </w:rPr>
            </w:pPr>
            <w:r>
              <w:rPr>
                <w:color w:val="auto"/>
                <w:sz w:val="24"/>
              </w:rPr>
              <w:t>L(r</w:t>
            </w:r>
            <w:r>
              <w:rPr>
                <w:color w:val="auto"/>
                <w:sz w:val="24"/>
                <w:vertAlign w:val="subscript"/>
              </w:rPr>
              <w:t>0</w:t>
            </w:r>
            <w:r>
              <w:rPr>
                <w:color w:val="auto"/>
                <w:sz w:val="24"/>
              </w:rPr>
              <w:t>)——参考位置r</w:t>
            </w:r>
            <w:r>
              <w:rPr>
                <w:color w:val="auto"/>
                <w:sz w:val="24"/>
                <w:vertAlign w:val="subscript"/>
              </w:rPr>
              <w:t>0</w:t>
            </w:r>
            <w:r>
              <w:rPr>
                <w:color w:val="auto"/>
                <w:sz w:val="24"/>
              </w:rPr>
              <w:t>处的倍频带声压级，dB；</w:t>
            </w:r>
          </w:p>
          <w:p w14:paraId="7F9DA3BA">
            <w:pPr>
              <w:spacing w:line="360" w:lineRule="auto"/>
              <w:ind w:firstLine="1200" w:firstLineChars="500"/>
              <w:jc w:val="both"/>
              <w:rPr>
                <w:color w:val="auto"/>
                <w:sz w:val="24"/>
              </w:rPr>
            </w:pPr>
            <w:r>
              <w:rPr>
                <w:color w:val="auto"/>
                <w:sz w:val="24"/>
              </w:rPr>
              <w:t>R——预测点距声源的距离，m；</w:t>
            </w:r>
          </w:p>
          <w:p w14:paraId="2B5E662D">
            <w:pPr>
              <w:spacing w:line="360" w:lineRule="auto"/>
              <w:ind w:firstLine="1200" w:firstLineChars="500"/>
              <w:jc w:val="both"/>
              <w:rPr>
                <w:color w:val="auto"/>
                <w:sz w:val="24"/>
              </w:rPr>
            </w:pPr>
            <w:r>
              <w:rPr>
                <w:color w:val="auto"/>
                <w:sz w:val="24"/>
              </w:rPr>
              <w:t>r</w:t>
            </w:r>
            <w:r>
              <w:rPr>
                <w:color w:val="auto"/>
                <w:sz w:val="24"/>
                <w:vertAlign w:val="subscript"/>
              </w:rPr>
              <w:t>0</w:t>
            </w:r>
            <w:r>
              <w:rPr>
                <w:color w:val="auto"/>
                <w:sz w:val="24"/>
              </w:rPr>
              <w:t>——参考位置距声源的距离，m；</w:t>
            </w:r>
          </w:p>
          <w:p w14:paraId="2FA4E81D">
            <w:pPr>
              <w:spacing w:line="360" w:lineRule="auto"/>
              <w:ind w:firstLine="1200" w:firstLineChars="500"/>
              <w:jc w:val="both"/>
              <w:rPr>
                <w:color w:val="auto"/>
                <w:sz w:val="24"/>
              </w:rPr>
            </w:pPr>
            <w:r>
              <w:rPr>
                <w:color w:val="auto"/>
                <w:sz w:val="24"/>
              </w:rPr>
              <w:t>ΔL——各种因素引起的衰减量(包括声屏障、遮挡物、空气吸收、地面效应等引起的衰减量）。</w:t>
            </w:r>
          </w:p>
          <w:p w14:paraId="56F117F5">
            <w:pPr>
              <w:spacing w:line="360" w:lineRule="auto"/>
              <w:ind w:firstLine="480" w:firstLineChars="200"/>
              <w:jc w:val="both"/>
              <w:rPr>
                <w:color w:val="auto"/>
                <w:sz w:val="24"/>
              </w:rPr>
            </w:pPr>
            <w:r>
              <w:rPr>
                <w:color w:val="auto"/>
                <w:sz w:val="24"/>
              </w:rPr>
              <w:t>如果已知声源的倍频带声功率级Lw，且声源可看作是位于地面上的，则</w:t>
            </w:r>
          </w:p>
          <w:p w14:paraId="635D4D0D">
            <w:pPr>
              <w:spacing w:line="360" w:lineRule="auto"/>
              <w:ind w:firstLine="480" w:firstLineChars="200"/>
              <w:jc w:val="center"/>
              <w:rPr>
                <w:color w:val="auto"/>
                <w:sz w:val="24"/>
              </w:rPr>
            </w:pPr>
            <w:r>
              <w:rPr>
                <w:color w:val="auto"/>
                <w:sz w:val="24"/>
              </w:rPr>
              <w:object>
                <v:shape id="_x0000_i1031" o:spt="75" type="#_x0000_t75" style="height:18.35pt;width:114.8pt;" o:ole="t" fillcolor="#000005" filled="f" o:preferrelative="t" stroked="f" coordsize="21600,21600">
                  <v:path/>
                  <v:fill on="f" focussize="0,0"/>
                  <v:stroke on="f" joinstyle="miter"/>
                  <v:imagedata r:id="rId26" o:title=""/>
                  <o:lock v:ext="edit" aspectratio="t"/>
                  <w10:wrap type="none"/>
                  <w10:anchorlock/>
                </v:shape>
                <o:OLEObject Type="Embed" ProgID="Equation.3" ShapeID="_x0000_i1031" DrawAspect="Content" ObjectID="_1468075731" r:id="rId25">
                  <o:LockedField>false</o:LockedField>
                </o:OLEObject>
              </w:object>
            </w:r>
          </w:p>
          <w:p w14:paraId="320A5358">
            <w:pPr>
              <w:spacing w:line="360" w:lineRule="auto"/>
              <w:ind w:firstLine="480" w:firstLineChars="200"/>
              <w:jc w:val="both"/>
              <w:rPr>
                <w:color w:val="auto"/>
                <w:sz w:val="24"/>
              </w:rPr>
            </w:pPr>
            <w:r>
              <w:rPr>
                <w:color w:val="auto"/>
                <w:sz w:val="24"/>
              </w:rPr>
              <w:t>（7）由各倍频带声压级合成计算出该声源产生的A声级LA。</w:t>
            </w:r>
          </w:p>
          <w:p w14:paraId="26B790C8">
            <w:pPr>
              <w:spacing w:line="360" w:lineRule="auto"/>
              <w:ind w:firstLine="480" w:firstLineChars="200"/>
              <w:jc w:val="both"/>
              <w:rPr>
                <w:color w:val="auto"/>
                <w:sz w:val="24"/>
              </w:rPr>
            </w:pPr>
            <w:r>
              <w:rPr>
                <w:color w:val="auto"/>
                <w:sz w:val="24"/>
              </w:rPr>
              <w:t>（8）计算总声压级</w:t>
            </w:r>
          </w:p>
          <w:p w14:paraId="5E0FB2BB">
            <w:pPr>
              <w:spacing w:line="360" w:lineRule="auto"/>
              <w:ind w:firstLine="480" w:firstLineChars="200"/>
              <w:jc w:val="both"/>
              <w:rPr>
                <w:color w:val="auto"/>
                <w:sz w:val="24"/>
              </w:rPr>
            </w:pPr>
            <w:r>
              <w:rPr>
                <w:color w:val="auto"/>
                <w:sz w:val="24"/>
              </w:rPr>
              <w:t>设第i个室外声源在预测点产生的A声级为L</w:t>
            </w:r>
            <w:r>
              <w:rPr>
                <w:color w:val="auto"/>
                <w:sz w:val="24"/>
                <w:vertAlign w:val="subscript"/>
              </w:rPr>
              <w:t>Ain,i</w:t>
            </w:r>
            <w:r>
              <w:rPr>
                <w:color w:val="auto"/>
                <w:sz w:val="24"/>
              </w:rPr>
              <w:t>，在T时间内该声源工作时间为tin,i；第j个等效室外声源在预测点产生的A声级为L</w:t>
            </w:r>
            <w:r>
              <w:rPr>
                <w:color w:val="auto"/>
                <w:sz w:val="24"/>
                <w:vertAlign w:val="subscript"/>
              </w:rPr>
              <w:t>Aout,j</w:t>
            </w:r>
            <w:r>
              <w:rPr>
                <w:color w:val="auto"/>
                <w:sz w:val="24"/>
              </w:rPr>
              <w:t>，在T时间内该声源工作时间为T</w:t>
            </w:r>
            <w:r>
              <w:rPr>
                <w:color w:val="auto"/>
                <w:sz w:val="24"/>
                <w:vertAlign w:val="subscript"/>
              </w:rPr>
              <w:t>out,j</w:t>
            </w:r>
            <w:r>
              <w:rPr>
                <w:color w:val="auto"/>
                <w:sz w:val="24"/>
              </w:rPr>
              <w:t>，则预测点的总等效声级为：</w:t>
            </w:r>
          </w:p>
          <w:p w14:paraId="1B3C8CE5">
            <w:pPr>
              <w:spacing w:line="360" w:lineRule="auto"/>
              <w:ind w:firstLine="480" w:firstLineChars="200"/>
              <w:jc w:val="center"/>
              <w:rPr>
                <w:color w:val="auto"/>
                <w:sz w:val="24"/>
              </w:rPr>
            </w:pPr>
            <w:r>
              <w:rPr>
                <w:color w:val="auto"/>
                <w:sz w:val="24"/>
              </w:rPr>
              <w:object>
                <v:shape id="_x0000_i1032" o:spt="75" type="#_x0000_t75" style="height:38.7pt;width:269pt;" o:ole="t" fillcolor="#000005" filled="f" o:preferrelative="t" stroked="f" coordsize="21600,21600">
                  <v:path/>
                  <v:fill on="f" focussize="0,0"/>
                  <v:stroke on="f" joinstyle="miter"/>
                  <v:imagedata r:id="rId28" o:title=""/>
                  <o:lock v:ext="edit" aspectratio="t"/>
                  <w10:wrap type="none"/>
                  <w10:anchorlock/>
                </v:shape>
                <o:OLEObject Type="Embed" ProgID="Equation.3" ShapeID="_x0000_i1032" DrawAspect="Content" ObjectID="_1468075732" r:id="rId27">
                  <o:LockedField>false</o:LockedField>
                </o:OLEObject>
              </w:object>
            </w:r>
          </w:p>
          <w:p w14:paraId="2F303783">
            <w:pPr>
              <w:spacing w:line="360" w:lineRule="auto"/>
              <w:ind w:firstLine="480" w:firstLineChars="200"/>
              <w:jc w:val="both"/>
              <w:rPr>
                <w:color w:val="auto"/>
                <w:sz w:val="24"/>
              </w:rPr>
            </w:pPr>
            <w:r>
              <w:rPr>
                <w:color w:val="auto"/>
                <w:sz w:val="24"/>
              </w:rPr>
              <w:t>式中：T——计算等效声级的时间；N——室外声源个数；</w:t>
            </w:r>
          </w:p>
          <w:p w14:paraId="43B9D845">
            <w:pPr>
              <w:spacing w:line="360" w:lineRule="auto"/>
              <w:ind w:firstLine="1200" w:firstLineChars="500"/>
              <w:jc w:val="both"/>
              <w:rPr>
                <w:color w:val="auto"/>
                <w:sz w:val="24"/>
              </w:rPr>
            </w:pPr>
            <w:r>
              <w:rPr>
                <w:color w:val="auto"/>
                <w:sz w:val="24"/>
              </w:rPr>
              <w:t>M——等效室外声源个数。</w:t>
            </w:r>
          </w:p>
          <w:p w14:paraId="6FE5BF92">
            <w:pPr>
              <w:spacing w:line="360" w:lineRule="auto"/>
              <w:ind w:firstLine="480" w:firstLineChars="200"/>
              <w:jc w:val="both"/>
              <w:rPr>
                <w:color w:val="auto"/>
                <w:sz w:val="24"/>
              </w:rPr>
            </w:pPr>
            <w:r>
              <w:rPr>
                <w:color w:val="auto"/>
                <w:sz w:val="24"/>
              </w:rPr>
              <w:t>（9）多声源对某个受声点的理论估算方法，是将几个声源的A声级按能量叠加，等效为合声源对某个受声点上的理论声级，其公式为：</w:t>
            </w:r>
          </w:p>
          <w:p w14:paraId="273A03E5">
            <w:pPr>
              <w:spacing w:line="360" w:lineRule="auto"/>
              <w:ind w:firstLine="480" w:firstLineChars="200"/>
              <w:jc w:val="center"/>
              <w:rPr>
                <w:color w:val="auto"/>
                <w:sz w:val="24"/>
              </w:rPr>
            </w:pPr>
            <w:r>
              <w:rPr>
                <w:color w:val="auto"/>
                <w:sz w:val="24"/>
              </w:rPr>
              <w:object>
                <v:shape id="_x0000_i1033" o:spt="75" type="#_x0000_t75" style="height:33.3pt;width:101.9pt;" o:ole="t" fillcolor="#000005" filled="f" o:preferrelative="t" stroked="f" coordsize="21600,21600">
                  <v:path/>
                  <v:fill on="f" focussize="0,0"/>
                  <v:stroke on="f" joinstyle="miter"/>
                  <v:imagedata r:id="rId30" o:title=""/>
                  <o:lock v:ext="edit" aspectratio="t"/>
                  <w10:wrap type="none"/>
                  <w10:anchorlock/>
                </v:shape>
                <o:OLEObject Type="Embed" ProgID="Equation.3" ShapeID="_x0000_i1033" DrawAspect="Content" ObjectID="_1468075733" r:id="rId29">
                  <o:LockedField>false</o:LockedField>
                </o:OLEObject>
              </w:object>
            </w:r>
          </w:p>
          <w:p w14:paraId="158A4A45">
            <w:pPr>
              <w:spacing w:line="360" w:lineRule="auto"/>
              <w:ind w:firstLine="480" w:firstLineChars="200"/>
              <w:jc w:val="both"/>
              <w:rPr>
                <w:color w:val="auto"/>
                <w:sz w:val="24"/>
              </w:rPr>
            </w:pPr>
            <w:r>
              <w:rPr>
                <w:color w:val="auto"/>
                <w:sz w:val="24"/>
              </w:rPr>
              <w:t>式中：L</w:t>
            </w:r>
            <w:r>
              <w:rPr>
                <w:color w:val="auto"/>
                <w:sz w:val="24"/>
                <w:vertAlign w:val="subscript"/>
              </w:rPr>
              <w:t>合</w:t>
            </w:r>
            <w:r>
              <w:rPr>
                <w:color w:val="auto"/>
                <w:sz w:val="24"/>
              </w:rPr>
              <w:t>——受声点总等效声级，dB(A)；N——声源总数</w:t>
            </w:r>
          </w:p>
          <w:p w14:paraId="56F65BBB">
            <w:pPr>
              <w:spacing w:line="360" w:lineRule="auto"/>
              <w:ind w:firstLine="1200" w:firstLineChars="500"/>
              <w:jc w:val="both"/>
              <w:rPr>
                <w:color w:val="auto"/>
                <w:sz w:val="24"/>
              </w:rPr>
            </w:pPr>
            <w:r>
              <w:rPr>
                <w:color w:val="auto"/>
                <w:sz w:val="24"/>
              </w:rPr>
              <w:t>Li——第i声源对某预测点的等效声级，dB(A)</w:t>
            </w:r>
          </w:p>
          <w:p w14:paraId="63AD53EE">
            <w:pPr>
              <w:autoSpaceDE w:val="0"/>
              <w:autoSpaceDN w:val="0"/>
              <w:adjustRightInd w:val="0"/>
              <w:spacing w:line="360" w:lineRule="auto"/>
              <w:jc w:val="both"/>
              <w:outlineLvl w:val="3"/>
              <w:rPr>
                <w:b/>
                <w:bCs/>
                <w:color w:val="auto"/>
                <w:sz w:val="24"/>
              </w:rPr>
            </w:pPr>
            <w:r>
              <w:rPr>
                <w:b/>
                <w:bCs/>
                <w:color w:val="auto"/>
                <w:sz w:val="24"/>
              </w:rPr>
              <w:t>3.3预测结果与评价</w:t>
            </w:r>
          </w:p>
          <w:p w14:paraId="6ABF6741">
            <w:pPr>
              <w:spacing w:line="360" w:lineRule="auto"/>
              <w:ind w:firstLine="480" w:firstLineChars="200"/>
              <w:jc w:val="both"/>
              <w:rPr>
                <w:color w:val="auto"/>
                <w:sz w:val="24"/>
              </w:rPr>
            </w:pPr>
            <w:r>
              <w:rPr>
                <w:color w:val="auto"/>
                <w:sz w:val="24"/>
              </w:rPr>
              <w:t>利用以上预测公式，应用过程中根据具体情况</w:t>
            </w:r>
            <w:r>
              <w:rPr>
                <w:rFonts w:hint="eastAsia"/>
                <w:color w:val="auto"/>
                <w:sz w:val="24"/>
                <w:lang w:eastAsia="zh-CN"/>
              </w:rPr>
              <w:t>做必要</w:t>
            </w:r>
            <w:r>
              <w:rPr>
                <w:color w:val="auto"/>
                <w:sz w:val="24"/>
              </w:rPr>
              <w:t>简化，使室内噪声源通过等效变换成若干等效室外声源，然后计算出与噪声源不同距离处的理论噪声值，得出本项目运行时对厂界噪声环境的影响状况。本项目由于夜间不生产，故夜间贡献值以“0”计，计算结果见下表</w:t>
            </w:r>
            <w:r>
              <w:rPr>
                <w:rFonts w:hint="eastAsia"/>
                <w:color w:val="auto"/>
                <w:sz w:val="24"/>
              </w:rPr>
              <w:t>4-</w:t>
            </w:r>
            <w:r>
              <w:rPr>
                <w:rFonts w:hint="eastAsia"/>
                <w:color w:val="auto"/>
                <w:sz w:val="24"/>
                <w:lang w:val="en-US" w:eastAsia="zh-CN"/>
              </w:rPr>
              <w:t>10</w:t>
            </w:r>
            <w:r>
              <w:rPr>
                <w:color w:val="auto"/>
                <w:sz w:val="24"/>
              </w:rPr>
              <w:t>。</w:t>
            </w:r>
          </w:p>
          <w:p w14:paraId="58ACB857">
            <w:pPr>
              <w:jc w:val="center"/>
              <w:rPr>
                <w:b/>
                <w:bCs/>
                <w:color w:val="auto"/>
              </w:rPr>
            </w:pPr>
            <w:r>
              <w:rPr>
                <w:b/>
                <w:bCs/>
                <w:color w:val="auto"/>
              </w:rPr>
              <w:t>表</w:t>
            </w:r>
            <w:r>
              <w:rPr>
                <w:rFonts w:hint="eastAsia"/>
                <w:b/>
                <w:bCs/>
                <w:color w:val="auto"/>
              </w:rPr>
              <w:t>4-</w:t>
            </w:r>
            <w:r>
              <w:rPr>
                <w:rFonts w:hint="eastAsia"/>
                <w:b/>
                <w:bCs/>
                <w:color w:val="auto"/>
                <w:lang w:val="en-US" w:eastAsia="zh-CN"/>
              </w:rPr>
              <w:t>10</w:t>
            </w:r>
            <w:r>
              <w:rPr>
                <w:b/>
                <w:bCs/>
                <w:color w:val="auto"/>
              </w:rPr>
              <w:t>厂界噪声预测值dB（A）</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476"/>
              <w:gridCol w:w="1145"/>
              <w:gridCol w:w="2187"/>
              <w:gridCol w:w="3360"/>
            </w:tblGrid>
            <w:tr w14:paraId="258D3DF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1476" w:type="dxa"/>
                  <w:vMerge w:val="restart"/>
                  <w:tcBorders>
                    <w:top w:val="single" w:color="auto" w:sz="12" w:space="0"/>
                    <w:left w:val="nil"/>
                  </w:tcBorders>
                  <w:noWrap w:val="0"/>
                  <w:vAlign w:val="center"/>
                </w:tcPr>
                <w:p w14:paraId="1F69470E">
                  <w:pPr>
                    <w:adjustRightInd w:val="0"/>
                    <w:snapToGrid w:val="0"/>
                    <w:jc w:val="center"/>
                    <w:rPr>
                      <w:b/>
                      <w:bCs/>
                      <w:color w:val="auto"/>
                      <w:szCs w:val="21"/>
                    </w:rPr>
                  </w:pPr>
                  <w:r>
                    <w:rPr>
                      <w:b/>
                      <w:bCs/>
                      <w:color w:val="auto"/>
                      <w:szCs w:val="21"/>
                    </w:rPr>
                    <w:t>测点</w:t>
                  </w:r>
                </w:p>
                <w:p w14:paraId="60DFCFC4">
                  <w:pPr>
                    <w:adjustRightInd w:val="0"/>
                    <w:snapToGrid w:val="0"/>
                    <w:jc w:val="center"/>
                    <w:rPr>
                      <w:b/>
                      <w:bCs/>
                      <w:color w:val="auto"/>
                      <w:szCs w:val="21"/>
                    </w:rPr>
                  </w:pPr>
                  <w:r>
                    <w:rPr>
                      <w:b/>
                      <w:bCs/>
                      <w:color w:val="auto"/>
                      <w:szCs w:val="21"/>
                    </w:rPr>
                    <w:t>编号</w:t>
                  </w:r>
                </w:p>
              </w:tc>
              <w:tc>
                <w:tcPr>
                  <w:tcW w:w="3332" w:type="dxa"/>
                  <w:gridSpan w:val="2"/>
                  <w:tcBorders>
                    <w:top w:val="single" w:color="auto" w:sz="12" w:space="0"/>
                  </w:tcBorders>
                  <w:noWrap w:val="0"/>
                  <w:vAlign w:val="center"/>
                </w:tcPr>
                <w:p w14:paraId="7FD49081">
                  <w:pPr>
                    <w:adjustRightInd w:val="0"/>
                    <w:snapToGrid w:val="0"/>
                    <w:jc w:val="center"/>
                    <w:rPr>
                      <w:b/>
                      <w:bCs/>
                      <w:color w:val="auto"/>
                      <w:szCs w:val="21"/>
                    </w:rPr>
                  </w:pPr>
                  <w:r>
                    <w:rPr>
                      <w:b/>
                      <w:bCs/>
                      <w:color w:val="auto"/>
                      <w:szCs w:val="21"/>
                    </w:rPr>
                    <w:t>昼间各测点声压级dB(A)</w:t>
                  </w:r>
                </w:p>
              </w:tc>
              <w:tc>
                <w:tcPr>
                  <w:tcW w:w="3360" w:type="dxa"/>
                  <w:tcBorders>
                    <w:top w:val="single" w:color="auto" w:sz="12" w:space="0"/>
                    <w:right w:val="nil"/>
                  </w:tcBorders>
                  <w:noWrap w:val="0"/>
                  <w:vAlign w:val="center"/>
                </w:tcPr>
                <w:p w14:paraId="5A9BE4D0">
                  <w:pPr>
                    <w:adjustRightInd w:val="0"/>
                    <w:snapToGrid w:val="0"/>
                    <w:jc w:val="center"/>
                    <w:rPr>
                      <w:b/>
                      <w:bCs/>
                      <w:color w:val="auto"/>
                      <w:szCs w:val="21"/>
                    </w:rPr>
                  </w:pPr>
                  <w:r>
                    <w:rPr>
                      <w:b/>
                      <w:bCs/>
                      <w:color w:val="auto"/>
                      <w:szCs w:val="21"/>
                    </w:rPr>
                    <w:t>夜间各测点声压级dB(A)</w:t>
                  </w:r>
                </w:p>
              </w:tc>
            </w:tr>
            <w:tr w14:paraId="2995B2D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1476" w:type="dxa"/>
                  <w:vMerge w:val="continue"/>
                  <w:tcBorders>
                    <w:left w:val="nil"/>
                    <w:bottom w:val="single" w:color="auto" w:sz="12" w:space="0"/>
                  </w:tcBorders>
                  <w:noWrap w:val="0"/>
                  <w:vAlign w:val="center"/>
                </w:tcPr>
                <w:p w14:paraId="03216866">
                  <w:pPr>
                    <w:adjustRightInd w:val="0"/>
                    <w:snapToGrid w:val="0"/>
                    <w:jc w:val="center"/>
                    <w:rPr>
                      <w:b/>
                      <w:bCs/>
                      <w:color w:val="auto"/>
                      <w:szCs w:val="21"/>
                    </w:rPr>
                  </w:pPr>
                </w:p>
              </w:tc>
              <w:tc>
                <w:tcPr>
                  <w:tcW w:w="3332" w:type="dxa"/>
                  <w:gridSpan w:val="2"/>
                  <w:tcBorders>
                    <w:bottom w:val="single" w:color="auto" w:sz="12" w:space="0"/>
                  </w:tcBorders>
                  <w:noWrap w:val="0"/>
                  <w:vAlign w:val="center"/>
                </w:tcPr>
                <w:p w14:paraId="222830C7">
                  <w:pPr>
                    <w:adjustRightInd w:val="0"/>
                    <w:snapToGrid w:val="0"/>
                    <w:jc w:val="center"/>
                    <w:rPr>
                      <w:b/>
                      <w:bCs/>
                      <w:color w:val="auto"/>
                      <w:szCs w:val="21"/>
                    </w:rPr>
                  </w:pPr>
                  <w:r>
                    <w:rPr>
                      <w:b/>
                      <w:bCs/>
                      <w:color w:val="auto"/>
                      <w:szCs w:val="21"/>
                    </w:rPr>
                    <w:t>贡献值</w:t>
                  </w:r>
                </w:p>
              </w:tc>
              <w:tc>
                <w:tcPr>
                  <w:tcW w:w="3360" w:type="dxa"/>
                  <w:tcBorders>
                    <w:bottom w:val="single" w:color="auto" w:sz="12" w:space="0"/>
                    <w:right w:val="nil"/>
                  </w:tcBorders>
                  <w:noWrap w:val="0"/>
                  <w:vAlign w:val="center"/>
                </w:tcPr>
                <w:p w14:paraId="15A8A00C">
                  <w:pPr>
                    <w:adjustRightInd w:val="0"/>
                    <w:snapToGrid w:val="0"/>
                    <w:jc w:val="center"/>
                    <w:rPr>
                      <w:b/>
                      <w:bCs/>
                      <w:color w:val="auto"/>
                      <w:szCs w:val="21"/>
                    </w:rPr>
                  </w:pPr>
                  <w:r>
                    <w:rPr>
                      <w:b/>
                      <w:bCs/>
                      <w:color w:val="auto"/>
                      <w:szCs w:val="21"/>
                    </w:rPr>
                    <w:t>贡献值</w:t>
                  </w:r>
                </w:p>
              </w:tc>
            </w:tr>
            <w:tr w14:paraId="4DB4F40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1476" w:type="dxa"/>
                  <w:tcBorders>
                    <w:top w:val="single" w:color="auto" w:sz="12" w:space="0"/>
                    <w:left w:val="nil"/>
                  </w:tcBorders>
                  <w:noWrap w:val="0"/>
                  <w:vAlign w:val="center"/>
                </w:tcPr>
                <w:p w14:paraId="551387AF">
                  <w:pPr>
                    <w:jc w:val="center"/>
                    <w:rPr>
                      <w:color w:val="auto"/>
                      <w:szCs w:val="21"/>
                    </w:rPr>
                  </w:pPr>
                  <w:r>
                    <w:rPr>
                      <w:color w:val="auto"/>
                      <w:szCs w:val="21"/>
                    </w:rPr>
                    <w:t>厂界东面</w:t>
                  </w:r>
                </w:p>
              </w:tc>
              <w:tc>
                <w:tcPr>
                  <w:tcW w:w="3332" w:type="dxa"/>
                  <w:gridSpan w:val="2"/>
                  <w:tcBorders>
                    <w:top w:val="single" w:color="auto" w:sz="12" w:space="0"/>
                  </w:tcBorders>
                  <w:noWrap w:val="0"/>
                  <w:vAlign w:val="center"/>
                </w:tcPr>
                <w:p w14:paraId="6F348E2C">
                  <w:pPr>
                    <w:pStyle w:val="47"/>
                    <w:ind w:firstLine="0" w:firstLine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w:t>
                  </w:r>
                  <w:r>
                    <w:rPr>
                      <w:rFonts w:ascii="Times New Roman" w:hAnsi="Times New Roman" w:cs="Times New Roman"/>
                      <w:color w:val="auto"/>
                      <w:sz w:val="21"/>
                      <w:szCs w:val="21"/>
                    </w:rPr>
                    <w:t>2.2</w:t>
                  </w:r>
                </w:p>
              </w:tc>
              <w:tc>
                <w:tcPr>
                  <w:tcW w:w="3360" w:type="dxa"/>
                  <w:tcBorders>
                    <w:top w:val="single" w:color="auto" w:sz="12" w:space="0"/>
                    <w:right w:val="nil"/>
                  </w:tcBorders>
                  <w:noWrap w:val="0"/>
                  <w:vAlign w:val="center"/>
                </w:tcPr>
                <w:p w14:paraId="30C46E6C">
                  <w:pPr>
                    <w:autoSpaceDE w:val="0"/>
                    <w:autoSpaceDN w:val="0"/>
                    <w:jc w:val="center"/>
                    <w:rPr>
                      <w:rFonts w:hint="default" w:eastAsia="宋体"/>
                      <w:color w:val="auto"/>
                      <w:szCs w:val="21"/>
                      <w:lang w:val="en-US" w:eastAsia="zh-CN"/>
                    </w:rPr>
                  </w:pPr>
                  <w:r>
                    <w:rPr>
                      <w:rFonts w:hint="eastAsia"/>
                      <w:color w:val="auto"/>
                      <w:szCs w:val="21"/>
                      <w:lang w:val="en-US" w:eastAsia="zh-CN"/>
                    </w:rPr>
                    <w:t>43</w:t>
                  </w:r>
                </w:p>
              </w:tc>
            </w:tr>
            <w:tr w14:paraId="59733CB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1476" w:type="dxa"/>
                  <w:tcBorders>
                    <w:left w:val="nil"/>
                  </w:tcBorders>
                  <w:noWrap w:val="0"/>
                  <w:vAlign w:val="center"/>
                </w:tcPr>
                <w:p w14:paraId="7C8C382A">
                  <w:pPr>
                    <w:jc w:val="center"/>
                    <w:rPr>
                      <w:color w:val="auto"/>
                      <w:szCs w:val="21"/>
                    </w:rPr>
                  </w:pPr>
                  <w:r>
                    <w:rPr>
                      <w:color w:val="auto"/>
                      <w:szCs w:val="21"/>
                    </w:rPr>
                    <w:t>厂界南面</w:t>
                  </w:r>
                </w:p>
              </w:tc>
              <w:tc>
                <w:tcPr>
                  <w:tcW w:w="3332" w:type="dxa"/>
                  <w:gridSpan w:val="2"/>
                  <w:noWrap w:val="0"/>
                  <w:vAlign w:val="center"/>
                </w:tcPr>
                <w:p w14:paraId="45046348">
                  <w:pPr>
                    <w:pStyle w:val="47"/>
                    <w:ind w:firstLine="0" w:firstLine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50</w:t>
                  </w:r>
                  <w:r>
                    <w:rPr>
                      <w:rFonts w:ascii="Times New Roman" w:hAnsi="Times New Roman" w:cs="Times New Roman"/>
                      <w:color w:val="auto"/>
                      <w:sz w:val="21"/>
                      <w:szCs w:val="21"/>
                    </w:rPr>
                    <w:t>.3</w:t>
                  </w:r>
                </w:p>
              </w:tc>
              <w:tc>
                <w:tcPr>
                  <w:tcW w:w="3360" w:type="dxa"/>
                  <w:tcBorders>
                    <w:right w:val="nil"/>
                  </w:tcBorders>
                  <w:noWrap w:val="0"/>
                  <w:vAlign w:val="center"/>
                </w:tcPr>
                <w:p w14:paraId="0F006D35">
                  <w:pPr>
                    <w:autoSpaceDE w:val="0"/>
                    <w:autoSpaceDN w:val="0"/>
                    <w:jc w:val="center"/>
                    <w:rPr>
                      <w:rFonts w:hint="default" w:eastAsia="宋体"/>
                      <w:color w:val="auto"/>
                      <w:szCs w:val="21"/>
                      <w:lang w:val="en-US" w:eastAsia="zh-CN"/>
                    </w:rPr>
                  </w:pPr>
                  <w:r>
                    <w:rPr>
                      <w:rFonts w:hint="eastAsia"/>
                      <w:color w:val="auto"/>
                      <w:szCs w:val="21"/>
                      <w:lang w:val="en-US" w:eastAsia="zh-CN"/>
                    </w:rPr>
                    <w:t>44</w:t>
                  </w:r>
                </w:p>
              </w:tc>
            </w:tr>
            <w:tr w14:paraId="7B79FB3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1476" w:type="dxa"/>
                  <w:tcBorders>
                    <w:left w:val="nil"/>
                  </w:tcBorders>
                  <w:noWrap w:val="0"/>
                  <w:vAlign w:val="center"/>
                </w:tcPr>
                <w:p w14:paraId="4C09DC3D">
                  <w:pPr>
                    <w:jc w:val="center"/>
                    <w:rPr>
                      <w:color w:val="auto"/>
                      <w:szCs w:val="21"/>
                    </w:rPr>
                  </w:pPr>
                  <w:r>
                    <w:rPr>
                      <w:color w:val="auto"/>
                      <w:szCs w:val="21"/>
                    </w:rPr>
                    <w:t>厂界西面</w:t>
                  </w:r>
                </w:p>
              </w:tc>
              <w:tc>
                <w:tcPr>
                  <w:tcW w:w="3332" w:type="dxa"/>
                  <w:gridSpan w:val="2"/>
                  <w:noWrap w:val="0"/>
                  <w:vAlign w:val="center"/>
                </w:tcPr>
                <w:p w14:paraId="35532179">
                  <w:pPr>
                    <w:pStyle w:val="47"/>
                    <w:ind w:firstLine="0" w:firstLine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w:t>
                  </w:r>
                  <w:r>
                    <w:rPr>
                      <w:rFonts w:ascii="Times New Roman" w:hAnsi="Times New Roman" w:cs="Times New Roman"/>
                      <w:color w:val="auto"/>
                      <w:sz w:val="21"/>
                      <w:szCs w:val="21"/>
                    </w:rPr>
                    <w:t>4.6</w:t>
                  </w:r>
                </w:p>
              </w:tc>
              <w:tc>
                <w:tcPr>
                  <w:tcW w:w="3360" w:type="dxa"/>
                  <w:tcBorders>
                    <w:right w:val="nil"/>
                  </w:tcBorders>
                  <w:noWrap w:val="0"/>
                  <w:vAlign w:val="center"/>
                </w:tcPr>
                <w:p w14:paraId="21464765">
                  <w:pPr>
                    <w:autoSpaceDE w:val="0"/>
                    <w:autoSpaceDN w:val="0"/>
                    <w:jc w:val="center"/>
                    <w:rPr>
                      <w:rFonts w:hint="default" w:eastAsia="宋体"/>
                      <w:color w:val="auto"/>
                      <w:szCs w:val="21"/>
                      <w:lang w:val="en-US" w:eastAsia="zh-CN"/>
                    </w:rPr>
                  </w:pPr>
                  <w:r>
                    <w:rPr>
                      <w:rFonts w:hint="eastAsia"/>
                      <w:color w:val="auto"/>
                      <w:szCs w:val="21"/>
                      <w:lang w:val="en-US" w:eastAsia="zh-CN"/>
                    </w:rPr>
                    <w:t>42</w:t>
                  </w:r>
                </w:p>
              </w:tc>
            </w:tr>
            <w:tr w14:paraId="1CF5988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cantSplit/>
                <w:trHeight w:val="23" w:hRule="atLeast"/>
              </w:trPr>
              <w:tc>
                <w:tcPr>
                  <w:tcW w:w="1476" w:type="dxa"/>
                  <w:tcBorders>
                    <w:left w:val="nil"/>
                  </w:tcBorders>
                  <w:noWrap w:val="0"/>
                  <w:vAlign w:val="center"/>
                </w:tcPr>
                <w:p w14:paraId="13B557D3">
                  <w:pPr>
                    <w:jc w:val="center"/>
                    <w:rPr>
                      <w:color w:val="auto"/>
                      <w:szCs w:val="21"/>
                    </w:rPr>
                  </w:pPr>
                  <w:r>
                    <w:rPr>
                      <w:color w:val="auto"/>
                      <w:szCs w:val="21"/>
                    </w:rPr>
                    <w:t>厂界北面</w:t>
                  </w:r>
                </w:p>
              </w:tc>
              <w:tc>
                <w:tcPr>
                  <w:tcW w:w="3332" w:type="dxa"/>
                  <w:gridSpan w:val="2"/>
                  <w:noWrap w:val="0"/>
                  <w:vAlign w:val="center"/>
                </w:tcPr>
                <w:p w14:paraId="20499840">
                  <w:pPr>
                    <w:pStyle w:val="47"/>
                    <w:ind w:firstLine="0" w:firstLineChars="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5</w:t>
                  </w:r>
                  <w:r>
                    <w:rPr>
                      <w:rFonts w:ascii="Times New Roman" w:hAnsi="Times New Roman" w:cs="Times New Roman"/>
                      <w:color w:val="auto"/>
                      <w:sz w:val="21"/>
                      <w:szCs w:val="21"/>
                    </w:rPr>
                    <w:t>3.5</w:t>
                  </w:r>
                </w:p>
              </w:tc>
              <w:tc>
                <w:tcPr>
                  <w:tcW w:w="3360" w:type="dxa"/>
                  <w:tcBorders>
                    <w:right w:val="nil"/>
                  </w:tcBorders>
                  <w:noWrap w:val="0"/>
                  <w:vAlign w:val="center"/>
                </w:tcPr>
                <w:p w14:paraId="0D7035B4">
                  <w:pPr>
                    <w:autoSpaceDE w:val="0"/>
                    <w:autoSpaceDN w:val="0"/>
                    <w:jc w:val="center"/>
                    <w:rPr>
                      <w:rFonts w:hint="default" w:eastAsia="宋体"/>
                      <w:color w:val="auto"/>
                      <w:szCs w:val="21"/>
                      <w:lang w:val="en-US" w:eastAsia="zh-CN"/>
                    </w:rPr>
                  </w:pPr>
                  <w:r>
                    <w:rPr>
                      <w:rFonts w:hint="eastAsia"/>
                      <w:color w:val="auto"/>
                      <w:szCs w:val="21"/>
                      <w:lang w:val="en-US" w:eastAsia="zh-CN"/>
                    </w:rPr>
                    <w:t>44</w:t>
                  </w:r>
                </w:p>
              </w:tc>
            </w:tr>
            <w:tr w14:paraId="745B914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 w:hRule="atLeast"/>
              </w:trPr>
              <w:tc>
                <w:tcPr>
                  <w:tcW w:w="2621" w:type="dxa"/>
                  <w:gridSpan w:val="2"/>
                  <w:tcBorders>
                    <w:left w:val="nil"/>
                    <w:bottom w:val="single" w:color="auto" w:sz="12" w:space="0"/>
                  </w:tcBorders>
                  <w:noWrap w:val="0"/>
                  <w:vAlign w:val="center"/>
                </w:tcPr>
                <w:p w14:paraId="14A86051">
                  <w:pPr>
                    <w:pStyle w:val="47"/>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《工业企业厂界环境噪声排放标准》</w:t>
                  </w:r>
                  <w:r>
                    <w:rPr>
                      <w:rFonts w:hint="eastAsia" w:ascii="Times New Roman" w:hAnsi="Times New Roman" w:cs="Times New Roman"/>
                      <w:color w:val="auto"/>
                      <w:sz w:val="21"/>
                      <w:szCs w:val="21"/>
                      <w:lang w:val="en-US" w:eastAsia="zh-CN"/>
                    </w:rPr>
                    <w:t>3</w:t>
                  </w:r>
                  <w:r>
                    <w:rPr>
                      <w:rFonts w:ascii="Times New Roman" w:hAnsi="Times New Roman" w:cs="Times New Roman"/>
                      <w:color w:val="auto"/>
                      <w:sz w:val="21"/>
                      <w:szCs w:val="21"/>
                    </w:rPr>
                    <w:t>类排放限制</w:t>
                  </w:r>
                </w:p>
              </w:tc>
              <w:tc>
                <w:tcPr>
                  <w:tcW w:w="2187" w:type="dxa"/>
                  <w:tcBorders>
                    <w:bottom w:val="single" w:color="auto" w:sz="12" w:space="0"/>
                  </w:tcBorders>
                  <w:noWrap w:val="0"/>
                  <w:vAlign w:val="center"/>
                </w:tcPr>
                <w:p w14:paraId="191B8417">
                  <w:pPr>
                    <w:pStyle w:val="47"/>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昼间≤6</w:t>
                  </w:r>
                  <w:r>
                    <w:rPr>
                      <w:rFonts w:hint="eastAsia" w:ascii="Times New Roman" w:hAnsi="Times New Roman" w:cs="Times New Roman"/>
                      <w:color w:val="auto"/>
                      <w:sz w:val="21"/>
                      <w:szCs w:val="21"/>
                      <w:lang w:val="en-US" w:eastAsia="zh-CN"/>
                    </w:rPr>
                    <w:t>5</w:t>
                  </w:r>
                  <w:r>
                    <w:rPr>
                      <w:rFonts w:ascii="Times New Roman" w:hAnsi="Times New Roman" w:cs="Times New Roman"/>
                      <w:color w:val="auto"/>
                      <w:sz w:val="21"/>
                      <w:szCs w:val="21"/>
                    </w:rPr>
                    <w:t>dB(A)</w:t>
                  </w:r>
                </w:p>
              </w:tc>
              <w:tc>
                <w:tcPr>
                  <w:tcW w:w="3360" w:type="dxa"/>
                  <w:tcBorders>
                    <w:bottom w:val="single" w:color="auto" w:sz="12" w:space="0"/>
                    <w:right w:val="nil"/>
                  </w:tcBorders>
                  <w:noWrap w:val="0"/>
                  <w:vAlign w:val="center"/>
                </w:tcPr>
                <w:p w14:paraId="52876227">
                  <w:pPr>
                    <w:pStyle w:val="47"/>
                    <w:ind w:firstLine="0" w:firstLineChars="0"/>
                    <w:jc w:val="center"/>
                    <w:rPr>
                      <w:rFonts w:ascii="Times New Roman" w:hAnsi="Times New Roman" w:cs="Times New Roman"/>
                      <w:color w:val="auto"/>
                      <w:sz w:val="21"/>
                      <w:szCs w:val="21"/>
                    </w:rPr>
                  </w:pPr>
                  <w:r>
                    <w:rPr>
                      <w:rFonts w:ascii="Times New Roman" w:hAnsi="Times New Roman" w:cs="Times New Roman"/>
                      <w:color w:val="auto"/>
                      <w:sz w:val="21"/>
                      <w:szCs w:val="21"/>
                    </w:rPr>
                    <w:t>夜间≤5</w:t>
                  </w:r>
                  <w:r>
                    <w:rPr>
                      <w:rFonts w:hint="eastAsia" w:ascii="Times New Roman" w:hAnsi="Times New Roman" w:cs="Times New Roman"/>
                      <w:color w:val="auto"/>
                      <w:sz w:val="21"/>
                      <w:szCs w:val="21"/>
                      <w:lang w:val="en-US" w:eastAsia="zh-CN"/>
                    </w:rPr>
                    <w:t>5</w:t>
                  </w:r>
                  <w:r>
                    <w:rPr>
                      <w:rFonts w:ascii="Times New Roman" w:hAnsi="Times New Roman" w:cs="Times New Roman"/>
                      <w:color w:val="auto"/>
                      <w:sz w:val="21"/>
                      <w:szCs w:val="21"/>
                    </w:rPr>
                    <w:t>dB(A)</w:t>
                  </w:r>
                </w:p>
              </w:tc>
            </w:tr>
          </w:tbl>
          <w:p w14:paraId="70B62E2A">
            <w:pPr>
              <w:spacing w:line="360" w:lineRule="auto"/>
              <w:ind w:firstLine="480" w:firstLineChars="200"/>
              <w:jc w:val="both"/>
              <w:rPr>
                <w:color w:val="auto"/>
                <w:sz w:val="24"/>
              </w:rPr>
            </w:pPr>
            <w:r>
              <w:rPr>
                <w:color w:val="auto"/>
                <w:sz w:val="24"/>
              </w:rPr>
              <w:t>由上表可知，厂界噪声贡献值均能满足《工业企业厂界环境噪声排放标准》（GB12348-2008）</w:t>
            </w:r>
            <w:r>
              <w:rPr>
                <w:rFonts w:hint="eastAsia"/>
                <w:color w:val="auto"/>
                <w:sz w:val="24"/>
                <w:lang w:val="en-US" w:eastAsia="zh-CN"/>
              </w:rPr>
              <w:t>3</w:t>
            </w:r>
            <w:r>
              <w:rPr>
                <w:rFonts w:hint="eastAsia"/>
                <w:color w:val="auto"/>
                <w:sz w:val="24"/>
              </w:rPr>
              <w:t>类</w:t>
            </w:r>
            <w:r>
              <w:rPr>
                <w:color w:val="auto"/>
                <w:sz w:val="24"/>
              </w:rPr>
              <w:t>排放限值昼间≤</w:t>
            </w:r>
            <w:r>
              <w:rPr>
                <w:rFonts w:hint="eastAsia"/>
                <w:color w:val="auto"/>
                <w:sz w:val="24"/>
              </w:rPr>
              <w:t>6</w:t>
            </w:r>
            <w:r>
              <w:rPr>
                <w:rFonts w:hint="eastAsia"/>
                <w:color w:val="auto"/>
                <w:sz w:val="24"/>
                <w:lang w:val="en-US" w:eastAsia="zh-CN"/>
              </w:rPr>
              <w:t>5</w:t>
            </w:r>
            <w:r>
              <w:rPr>
                <w:rFonts w:hint="eastAsia"/>
                <w:color w:val="auto"/>
                <w:sz w:val="24"/>
              </w:rPr>
              <w:t>dB</w:t>
            </w:r>
            <w:r>
              <w:rPr>
                <w:color w:val="auto"/>
                <w:sz w:val="24"/>
              </w:rPr>
              <w:t>(A)，夜间≤5</w:t>
            </w:r>
            <w:r>
              <w:rPr>
                <w:rFonts w:hint="eastAsia"/>
                <w:color w:val="auto"/>
                <w:sz w:val="24"/>
              </w:rPr>
              <w:t>5</w:t>
            </w:r>
            <w:r>
              <w:rPr>
                <w:color w:val="auto"/>
                <w:sz w:val="24"/>
              </w:rPr>
              <w:t>dB(A)要求。根据预测结果，本项目运营后产生的噪声对周围环境的影响不大。</w:t>
            </w:r>
          </w:p>
          <w:p w14:paraId="7051AFD1">
            <w:pPr>
              <w:spacing w:line="360" w:lineRule="auto"/>
              <w:ind w:firstLine="480" w:firstLineChars="200"/>
              <w:jc w:val="both"/>
              <w:rPr>
                <w:color w:val="auto"/>
                <w:sz w:val="24"/>
              </w:rPr>
            </w:pPr>
            <w:r>
              <w:rPr>
                <w:color w:val="auto"/>
                <w:sz w:val="24"/>
              </w:rPr>
              <w:t>综上所述，建设项目噪声排放对周围的环境影响较小，噪声防治措施可行。企业在生产过程中应注意加强设备噪声治理，在项目设备安装过程中应重视减震工程的设计及施工质量。确保厂界噪声达标，不影响周边环境。</w:t>
            </w:r>
          </w:p>
          <w:p w14:paraId="33217C91">
            <w:pPr>
              <w:topLinePunct/>
              <w:spacing w:line="360" w:lineRule="auto"/>
              <w:ind w:firstLine="480" w:firstLineChars="200"/>
              <w:jc w:val="both"/>
              <w:rPr>
                <w:color w:val="auto"/>
                <w:sz w:val="24"/>
              </w:rPr>
            </w:pPr>
            <w:r>
              <w:rPr>
                <w:color w:val="auto"/>
                <w:sz w:val="24"/>
              </w:rPr>
              <w:t>为进一步减小运营过程中噪声对工作人员的影响，建设单位拟采取如下措施：</w:t>
            </w:r>
          </w:p>
          <w:p w14:paraId="3A75C736">
            <w:pPr>
              <w:topLinePunct/>
              <w:spacing w:line="360" w:lineRule="auto"/>
              <w:ind w:firstLine="480" w:firstLineChars="200"/>
              <w:jc w:val="both"/>
              <w:rPr>
                <w:color w:val="auto"/>
                <w:sz w:val="24"/>
              </w:rPr>
            </w:pPr>
            <w:r>
              <w:rPr>
                <w:color w:val="auto"/>
                <w:sz w:val="24"/>
              </w:rPr>
              <w:t>（1）加强设备维护，对各机械设备及运输车辆进行定期检查、维护以及维修，及时更换一些破损零部件，确保机械设备正常运转，减少非正常生产噪声；</w:t>
            </w:r>
          </w:p>
          <w:p w14:paraId="645ACD46">
            <w:pPr>
              <w:topLinePunct/>
              <w:spacing w:line="360" w:lineRule="auto"/>
              <w:ind w:firstLine="480" w:firstLineChars="200"/>
              <w:jc w:val="both"/>
              <w:rPr>
                <w:color w:val="auto"/>
                <w:sz w:val="24"/>
              </w:rPr>
            </w:pPr>
            <w:r>
              <w:rPr>
                <w:color w:val="auto"/>
                <w:sz w:val="24"/>
              </w:rPr>
              <w:t>（2）加强职工劳动保护，高噪声接触岗位要求职工佩戴耳罩，采用轮岗制度减少职工对高噪声接触时间。</w:t>
            </w:r>
          </w:p>
          <w:p w14:paraId="71D48AD5">
            <w:pPr>
              <w:topLinePunct/>
              <w:spacing w:line="360" w:lineRule="auto"/>
              <w:ind w:firstLine="480" w:firstLineChars="200"/>
              <w:jc w:val="both"/>
              <w:rPr>
                <w:color w:val="auto"/>
                <w:sz w:val="24"/>
              </w:rPr>
            </w:pPr>
            <w:r>
              <w:rPr>
                <w:color w:val="auto"/>
                <w:sz w:val="24"/>
              </w:rPr>
              <w:t>（3）高噪声设备采取集中控制，采取密闭隔离、减振等措施。</w:t>
            </w:r>
          </w:p>
          <w:p w14:paraId="448F44AA">
            <w:pPr>
              <w:topLinePunct/>
              <w:spacing w:line="360" w:lineRule="auto"/>
              <w:ind w:firstLine="480" w:firstLineChars="200"/>
              <w:jc w:val="both"/>
              <w:rPr>
                <w:rFonts w:hint="default"/>
                <w:color w:val="auto"/>
                <w:lang w:val="en-US" w:eastAsia="zh-CN"/>
              </w:rPr>
            </w:pPr>
            <w:r>
              <w:rPr>
                <w:color w:val="auto"/>
                <w:sz w:val="24"/>
              </w:rPr>
              <w:t>（4）加强车辆管理，避免车辆不必要的怠速、制动、起动以及鸣号；</w:t>
            </w:r>
          </w:p>
          <w:p w14:paraId="6C020BF8">
            <w:pPr>
              <w:topLinePunct/>
              <w:spacing w:line="360" w:lineRule="auto"/>
              <w:jc w:val="both"/>
              <w:rPr>
                <w:b/>
                <w:bCs/>
                <w:color w:val="auto"/>
                <w:sz w:val="24"/>
              </w:rPr>
            </w:pPr>
            <w:r>
              <w:rPr>
                <w:rFonts w:hint="eastAsia"/>
                <w:b/>
                <w:bCs/>
                <w:color w:val="auto"/>
                <w:sz w:val="24"/>
              </w:rPr>
              <w:t>3</w:t>
            </w:r>
            <w:r>
              <w:rPr>
                <w:b/>
                <w:bCs/>
                <w:color w:val="auto"/>
                <w:sz w:val="24"/>
              </w:rPr>
              <w:t>.4</w:t>
            </w:r>
            <w:r>
              <w:rPr>
                <w:rFonts w:hint="eastAsia"/>
                <w:b/>
                <w:bCs/>
                <w:color w:val="auto"/>
                <w:sz w:val="24"/>
              </w:rPr>
              <w:t>排污口设置及监测计划</w:t>
            </w:r>
          </w:p>
          <w:p w14:paraId="0522DEEA">
            <w:pPr>
              <w:spacing w:line="360" w:lineRule="auto"/>
              <w:ind w:firstLine="480" w:firstLineChars="200"/>
              <w:jc w:val="both"/>
              <w:rPr>
                <w:color w:val="auto"/>
                <w:sz w:val="24"/>
                <w:szCs w:val="32"/>
              </w:rPr>
            </w:pPr>
            <w:r>
              <w:rPr>
                <w:color w:val="auto"/>
                <w:sz w:val="24"/>
                <w:szCs w:val="32"/>
              </w:rPr>
              <w:t>根据《排污单位自行监测技术指南总则》(HJ819-2017)，本项目噪声监测要求见表</w:t>
            </w:r>
            <w:r>
              <w:rPr>
                <w:rFonts w:hint="eastAsia"/>
                <w:color w:val="auto"/>
                <w:sz w:val="24"/>
                <w:szCs w:val="32"/>
              </w:rPr>
              <w:t>4-</w:t>
            </w:r>
            <w:r>
              <w:rPr>
                <w:rFonts w:hint="eastAsia"/>
                <w:color w:val="auto"/>
                <w:sz w:val="24"/>
                <w:szCs w:val="32"/>
                <w:lang w:val="en-US" w:eastAsia="zh-CN"/>
              </w:rPr>
              <w:t>11</w:t>
            </w:r>
            <w:r>
              <w:rPr>
                <w:color w:val="auto"/>
                <w:sz w:val="24"/>
                <w:szCs w:val="32"/>
              </w:rPr>
              <w:t>。</w:t>
            </w:r>
          </w:p>
          <w:p w14:paraId="5902A383">
            <w:pPr>
              <w:topLinePunct/>
              <w:ind w:firstLine="422" w:firstLineChars="200"/>
              <w:jc w:val="center"/>
              <w:rPr>
                <w:b/>
                <w:bCs/>
                <w:color w:val="auto"/>
              </w:rPr>
            </w:pPr>
            <w:r>
              <w:rPr>
                <w:rFonts w:hint="eastAsia"/>
                <w:b/>
                <w:bCs/>
                <w:color w:val="auto"/>
              </w:rPr>
              <w:t>表4-</w:t>
            </w:r>
            <w:r>
              <w:rPr>
                <w:rFonts w:hint="eastAsia"/>
                <w:b/>
                <w:bCs/>
                <w:color w:val="auto"/>
                <w:lang w:val="en-US" w:eastAsia="zh-CN"/>
              </w:rPr>
              <w:t>11</w:t>
            </w:r>
            <w:r>
              <w:rPr>
                <w:rFonts w:hint="eastAsia"/>
                <w:b/>
                <w:bCs/>
                <w:color w:val="auto"/>
              </w:rPr>
              <w:t>项目噪声监测计划表</w:t>
            </w:r>
          </w:p>
          <w:tbl>
            <w:tblPr>
              <w:tblStyle w:val="23"/>
              <w:tblW w:w="81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3"/>
              <w:gridCol w:w="1215"/>
              <w:gridCol w:w="1617"/>
              <w:gridCol w:w="1241"/>
              <w:gridCol w:w="2694"/>
            </w:tblGrid>
            <w:tr w14:paraId="3A980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3" w:hRule="atLeast"/>
                <w:jc w:val="center"/>
              </w:trPr>
              <w:tc>
                <w:tcPr>
                  <w:tcW w:w="838" w:type="pct"/>
                  <w:tcBorders>
                    <w:top w:val="single" w:color="000000" w:sz="12" w:space="0"/>
                    <w:left w:val="nil"/>
                    <w:bottom w:val="single" w:color="auto" w:sz="12" w:space="0"/>
                    <w:right w:val="single" w:color="auto" w:sz="4" w:space="0"/>
                  </w:tcBorders>
                  <w:noWrap w:val="0"/>
                  <w:vAlign w:val="center"/>
                </w:tcPr>
                <w:p w14:paraId="797CF658">
                  <w:pPr>
                    <w:jc w:val="center"/>
                    <w:rPr>
                      <w:b/>
                      <w:color w:val="auto"/>
                      <w:szCs w:val="21"/>
                    </w:rPr>
                  </w:pPr>
                  <w:r>
                    <w:rPr>
                      <w:b/>
                      <w:color w:val="auto"/>
                      <w:szCs w:val="21"/>
                    </w:rPr>
                    <w:t>污染物类别</w:t>
                  </w:r>
                </w:p>
              </w:tc>
              <w:tc>
                <w:tcPr>
                  <w:tcW w:w="747" w:type="pct"/>
                  <w:tcBorders>
                    <w:top w:val="single" w:color="000000" w:sz="12" w:space="0"/>
                    <w:bottom w:val="single" w:color="auto" w:sz="12" w:space="0"/>
                  </w:tcBorders>
                  <w:noWrap w:val="0"/>
                  <w:vAlign w:val="center"/>
                </w:tcPr>
                <w:p w14:paraId="6F1DAE48">
                  <w:pPr>
                    <w:jc w:val="center"/>
                    <w:rPr>
                      <w:b/>
                      <w:color w:val="auto"/>
                      <w:szCs w:val="21"/>
                    </w:rPr>
                  </w:pPr>
                  <w:r>
                    <w:rPr>
                      <w:b/>
                      <w:color w:val="auto"/>
                      <w:szCs w:val="21"/>
                    </w:rPr>
                    <w:t>监测点位</w:t>
                  </w:r>
                </w:p>
              </w:tc>
              <w:tc>
                <w:tcPr>
                  <w:tcW w:w="994" w:type="pct"/>
                  <w:tcBorders>
                    <w:top w:val="single" w:color="000000" w:sz="12" w:space="0"/>
                    <w:left w:val="single" w:color="auto" w:sz="4" w:space="0"/>
                    <w:bottom w:val="single" w:color="auto" w:sz="12" w:space="0"/>
                    <w:right w:val="single" w:color="auto" w:sz="4" w:space="0"/>
                  </w:tcBorders>
                  <w:noWrap w:val="0"/>
                  <w:vAlign w:val="center"/>
                </w:tcPr>
                <w:p w14:paraId="3CF28C5B">
                  <w:pPr>
                    <w:jc w:val="center"/>
                    <w:rPr>
                      <w:b/>
                      <w:color w:val="auto"/>
                      <w:szCs w:val="21"/>
                    </w:rPr>
                  </w:pPr>
                  <w:r>
                    <w:rPr>
                      <w:b/>
                      <w:color w:val="auto"/>
                      <w:szCs w:val="21"/>
                    </w:rPr>
                    <w:t>监测因子</w:t>
                  </w:r>
                </w:p>
              </w:tc>
              <w:tc>
                <w:tcPr>
                  <w:tcW w:w="763" w:type="pct"/>
                  <w:tcBorders>
                    <w:top w:val="single" w:color="000000" w:sz="12" w:space="0"/>
                    <w:left w:val="single" w:color="auto" w:sz="4" w:space="0"/>
                    <w:bottom w:val="single" w:color="auto" w:sz="12" w:space="0"/>
                    <w:right w:val="single" w:color="auto" w:sz="4" w:space="0"/>
                  </w:tcBorders>
                  <w:noWrap w:val="0"/>
                  <w:vAlign w:val="center"/>
                </w:tcPr>
                <w:p w14:paraId="31C67042">
                  <w:pPr>
                    <w:jc w:val="center"/>
                    <w:rPr>
                      <w:b/>
                      <w:color w:val="auto"/>
                      <w:szCs w:val="21"/>
                    </w:rPr>
                  </w:pPr>
                  <w:r>
                    <w:rPr>
                      <w:b/>
                      <w:color w:val="auto"/>
                      <w:szCs w:val="21"/>
                    </w:rPr>
                    <w:t>监测频次</w:t>
                  </w:r>
                </w:p>
              </w:tc>
              <w:tc>
                <w:tcPr>
                  <w:tcW w:w="1656" w:type="pct"/>
                  <w:tcBorders>
                    <w:top w:val="single" w:color="000000" w:sz="12" w:space="0"/>
                    <w:left w:val="single" w:color="auto" w:sz="4" w:space="0"/>
                    <w:bottom w:val="single" w:color="auto" w:sz="12" w:space="0"/>
                    <w:right w:val="nil"/>
                  </w:tcBorders>
                  <w:noWrap w:val="0"/>
                  <w:vAlign w:val="center"/>
                </w:tcPr>
                <w:p w14:paraId="300AFF82">
                  <w:pPr>
                    <w:jc w:val="center"/>
                    <w:rPr>
                      <w:b/>
                      <w:color w:val="auto"/>
                      <w:szCs w:val="21"/>
                    </w:rPr>
                  </w:pPr>
                  <w:r>
                    <w:rPr>
                      <w:b/>
                      <w:color w:val="auto"/>
                      <w:szCs w:val="21"/>
                    </w:rPr>
                    <w:t>执行标准</w:t>
                  </w:r>
                </w:p>
              </w:tc>
            </w:tr>
            <w:tr w14:paraId="0B101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38" w:type="pct"/>
                  <w:tcBorders>
                    <w:top w:val="single" w:color="auto" w:sz="12" w:space="0"/>
                    <w:left w:val="nil"/>
                    <w:bottom w:val="single" w:color="000000" w:sz="12" w:space="0"/>
                    <w:right w:val="single" w:color="auto" w:sz="4" w:space="0"/>
                  </w:tcBorders>
                  <w:noWrap w:val="0"/>
                  <w:vAlign w:val="center"/>
                </w:tcPr>
                <w:p w14:paraId="3F195E3D">
                  <w:pPr>
                    <w:jc w:val="center"/>
                    <w:rPr>
                      <w:color w:val="auto"/>
                      <w:sz w:val="21"/>
                      <w:szCs w:val="21"/>
                    </w:rPr>
                  </w:pPr>
                  <w:r>
                    <w:rPr>
                      <w:color w:val="auto"/>
                      <w:sz w:val="21"/>
                      <w:szCs w:val="21"/>
                    </w:rPr>
                    <w:t>噪声</w:t>
                  </w:r>
                </w:p>
              </w:tc>
              <w:tc>
                <w:tcPr>
                  <w:tcW w:w="747" w:type="pct"/>
                  <w:tcBorders>
                    <w:top w:val="single" w:color="auto" w:sz="12" w:space="0"/>
                    <w:bottom w:val="single" w:color="000000" w:sz="12" w:space="0"/>
                  </w:tcBorders>
                  <w:noWrap w:val="0"/>
                  <w:vAlign w:val="center"/>
                </w:tcPr>
                <w:p w14:paraId="5598D2BA">
                  <w:pPr>
                    <w:jc w:val="center"/>
                    <w:rPr>
                      <w:color w:val="auto"/>
                      <w:sz w:val="21"/>
                      <w:szCs w:val="21"/>
                    </w:rPr>
                  </w:pPr>
                  <w:r>
                    <w:rPr>
                      <w:color w:val="auto"/>
                      <w:sz w:val="21"/>
                      <w:szCs w:val="21"/>
                    </w:rPr>
                    <w:t>厂界</w:t>
                  </w:r>
                </w:p>
              </w:tc>
              <w:tc>
                <w:tcPr>
                  <w:tcW w:w="994" w:type="pct"/>
                  <w:tcBorders>
                    <w:top w:val="single" w:color="auto" w:sz="12" w:space="0"/>
                    <w:left w:val="single" w:color="auto" w:sz="4" w:space="0"/>
                    <w:bottom w:val="single" w:color="000000" w:sz="12" w:space="0"/>
                    <w:right w:val="single" w:color="auto" w:sz="4" w:space="0"/>
                  </w:tcBorders>
                  <w:noWrap w:val="0"/>
                  <w:vAlign w:val="center"/>
                </w:tcPr>
                <w:p w14:paraId="45622746">
                  <w:pPr>
                    <w:jc w:val="center"/>
                    <w:rPr>
                      <w:color w:val="auto"/>
                      <w:sz w:val="21"/>
                      <w:szCs w:val="21"/>
                    </w:rPr>
                  </w:pPr>
                  <w:r>
                    <w:rPr>
                      <w:color w:val="auto"/>
                      <w:sz w:val="21"/>
                      <w:szCs w:val="21"/>
                    </w:rPr>
                    <w:t>连续等效A声级</w:t>
                  </w:r>
                </w:p>
              </w:tc>
              <w:tc>
                <w:tcPr>
                  <w:tcW w:w="763" w:type="pct"/>
                  <w:tcBorders>
                    <w:top w:val="single" w:color="auto" w:sz="12" w:space="0"/>
                    <w:left w:val="single" w:color="auto" w:sz="4" w:space="0"/>
                    <w:bottom w:val="single" w:color="000000" w:sz="12" w:space="0"/>
                    <w:right w:val="single" w:color="auto" w:sz="4" w:space="0"/>
                  </w:tcBorders>
                  <w:noWrap w:val="0"/>
                  <w:vAlign w:val="center"/>
                </w:tcPr>
                <w:p w14:paraId="078BB9D4">
                  <w:pPr>
                    <w:jc w:val="center"/>
                    <w:rPr>
                      <w:color w:val="auto"/>
                      <w:sz w:val="21"/>
                      <w:szCs w:val="21"/>
                    </w:rPr>
                  </w:pPr>
                  <w:r>
                    <w:rPr>
                      <w:color w:val="auto"/>
                      <w:sz w:val="21"/>
                      <w:szCs w:val="21"/>
                    </w:rPr>
                    <w:t>1次/季度</w:t>
                  </w:r>
                </w:p>
              </w:tc>
              <w:tc>
                <w:tcPr>
                  <w:tcW w:w="1656" w:type="pct"/>
                  <w:tcBorders>
                    <w:top w:val="single" w:color="auto" w:sz="12" w:space="0"/>
                    <w:left w:val="single" w:color="auto" w:sz="4" w:space="0"/>
                    <w:bottom w:val="single" w:color="000000" w:sz="12" w:space="0"/>
                    <w:right w:val="nil"/>
                  </w:tcBorders>
                  <w:noWrap w:val="0"/>
                  <w:vAlign w:val="center"/>
                </w:tcPr>
                <w:p w14:paraId="1BE49EDD">
                  <w:pPr>
                    <w:jc w:val="both"/>
                    <w:rPr>
                      <w:color w:val="auto"/>
                      <w:sz w:val="21"/>
                      <w:szCs w:val="21"/>
                    </w:rPr>
                  </w:pPr>
                  <w:r>
                    <w:rPr>
                      <w:color w:val="auto"/>
                      <w:sz w:val="21"/>
                      <w:szCs w:val="21"/>
                    </w:rPr>
                    <w:t>《工业企业厂界环境噪声排放标准》（GB12348-2008）</w:t>
                  </w:r>
                  <w:r>
                    <w:rPr>
                      <w:rFonts w:hint="eastAsia"/>
                      <w:color w:val="auto"/>
                      <w:sz w:val="21"/>
                      <w:szCs w:val="21"/>
                      <w:lang w:val="en-US" w:eastAsia="zh-CN"/>
                    </w:rPr>
                    <w:t>3</w:t>
                  </w:r>
                  <w:r>
                    <w:rPr>
                      <w:rFonts w:hint="eastAsia"/>
                      <w:color w:val="auto"/>
                      <w:sz w:val="21"/>
                      <w:szCs w:val="21"/>
                    </w:rPr>
                    <w:t>类</w:t>
                  </w:r>
                </w:p>
              </w:tc>
            </w:tr>
          </w:tbl>
          <w:p w14:paraId="73A7B4AC">
            <w:pPr>
              <w:topLinePunct/>
              <w:spacing w:line="360" w:lineRule="auto"/>
              <w:jc w:val="left"/>
              <w:rPr>
                <w:rFonts w:hint="eastAsia" w:ascii="Times New Roman" w:hAnsi="Times New Roman" w:eastAsia="宋体" w:cs="Times New Roman"/>
                <w:b/>
                <w:bCs/>
                <w:color w:val="auto"/>
                <w:sz w:val="24"/>
              </w:rPr>
            </w:pPr>
            <w:r>
              <w:rPr>
                <w:b/>
                <w:bCs/>
                <w:color w:val="auto"/>
                <w:sz w:val="24"/>
              </w:rPr>
              <w:t>4</w:t>
            </w:r>
            <w:r>
              <w:rPr>
                <w:rFonts w:hint="eastAsia" w:ascii="Times New Roman" w:hAnsi="Times New Roman" w:eastAsia="宋体" w:cs="Times New Roman"/>
                <w:b/>
                <w:bCs/>
                <w:color w:val="auto"/>
                <w:sz w:val="24"/>
              </w:rPr>
              <w:t>.固体废物</w:t>
            </w:r>
          </w:p>
          <w:p w14:paraId="1D2705F2">
            <w:pPr>
              <w:topLinePunct/>
              <w:spacing w:line="360" w:lineRule="auto"/>
              <w:jc w:val="left"/>
              <w:rPr>
                <w:rFonts w:ascii="Times New Roman" w:hAnsi="Times New Roman" w:cs="Times New Roman"/>
                <w:b/>
                <w:bCs/>
                <w:color w:val="auto"/>
                <w:sz w:val="24"/>
              </w:rPr>
            </w:pPr>
            <w:r>
              <w:rPr>
                <w:rFonts w:hint="eastAsia" w:ascii="Times New Roman" w:hAnsi="Times New Roman" w:eastAsia="宋体" w:cs="Times New Roman"/>
                <w:b/>
                <w:bCs/>
                <w:color w:val="auto"/>
                <w:sz w:val="24"/>
                <w:lang w:val="en-US"/>
              </w:rPr>
              <w:t>4.1</w:t>
            </w:r>
            <w:r>
              <w:rPr>
                <w:rFonts w:hint="eastAsia" w:ascii="Times New Roman" w:hAnsi="Times New Roman" w:eastAsia="宋体" w:cs="Times New Roman"/>
                <w:b/>
                <w:bCs/>
                <w:color w:val="auto"/>
                <w:sz w:val="24"/>
              </w:rPr>
              <w:t>固废产出情况</w:t>
            </w:r>
          </w:p>
          <w:p w14:paraId="209049AB">
            <w:pPr>
              <w:widowControl/>
              <w:spacing w:line="360" w:lineRule="auto"/>
              <w:ind w:firstLine="480" w:firstLineChars="200"/>
              <w:jc w:val="both"/>
              <w:rPr>
                <w:color w:val="auto"/>
                <w:sz w:val="24"/>
                <w:lang w:val="zh-CN" w:bidi="zh-CN"/>
              </w:rPr>
            </w:pPr>
            <w:r>
              <w:rPr>
                <w:color w:val="auto"/>
                <w:sz w:val="24"/>
                <w:lang w:val="zh-CN" w:bidi="zh-CN"/>
              </w:rPr>
              <w:t>本项目</w:t>
            </w:r>
            <w:r>
              <w:rPr>
                <w:color w:val="auto"/>
                <w:sz w:val="24"/>
                <w:lang w:bidi="zh-CN"/>
              </w:rPr>
              <w:t>产生的</w:t>
            </w:r>
            <w:r>
              <w:rPr>
                <w:color w:val="auto"/>
                <w:sz w:val="24"/>
                <w:lang w:val="zh-CN" w:bidi="zh-CN"/>
              </w:rPr>
              <w:t>固体废物</w:t>
            </w:r>
            <w:r>
              <w:rPr>
                <w:color w:val="auto"/>
                <w:sz w:val="24"/>
                <w:lang w:bidi="zh-CN"/>
              </w:rPr>
              <w:t>为废金属边角料</w:t>
            </w:r>
            <w:r>
              <w:rPr>
                <w:color w:val="auto"/>
                <w:sz w:val="24"/>
                <w:lang w:val="zh-CN" w:bidi="zh-CN"/>
              </w:rPr>
              <w:t>、</w:t>
            </w:r>
            <w:r>
              <w:rPr>
                <w:rFonts w:hint="eastAsia"/>
                <w:color w:val="auto"/>
                <w:sz w:val="24"/>
                <w:lang w:val="en-US" w:bidi="zh-CN"/>
              </w:rPr>
              <w:t>除尘灰、</w:t>
            </w:r>
            <w:r>
              <w:rPr>
                <w:rFonts w:hint="eastAsia"/>
                <w:color w:val="auto"/>
                <w:sz w:val="24"/>
                <w:lang w:bidi="zh-CN"/>
              </w:rPr>
              <w:t>不合格产品、</w:t>
            </w:r>
            <w:r>
              <w:rPr>
                <w:color w:val="auto"/>
                <w:sz w:val="24"/>
                <w:lang w:val="zh-CN" w:bidi="zh-CN"/>
              </w:rPr>
              <w:t>危险废物（废机油）、生活垃圾等。</w:t>
            </w:r>
          </w:p>
          <w:p w14:paraId="1DAF2A3E">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ascii="Times New Roman" w:hAnsi="Times New Roman" w:eastAsia="宋体" w:cs="Times New Roman"/>
                <w:color w:val="auto"/>
                <w:sz w:val="24"/>
                <w:lang w:val="en-US" w:eastAsia="zh-CN" w:bidi="zh-CN"/>
              </w:rPr>
              <w:t>①生活垃圾</w:t>
            </w:r>
          </w:p>
          <w:p w14:paraId="6BC4D9BE">
            <w:pPr>
              <w:widowControl/>
              <w:spacing w:line="360" w:lineRule="auto"/>
              <w:ind w:firstLine="480" w:firstLineChars="200"/>
              <w:jc w:val="both"/>
              <w:rPr>
                <w:rFonts w:hint="default" w:ascii="Times New Roman" w:hAnsi="Times New Roman" w:eastAsia="宋体" w:cs="Times New Roman"/>
                <w:color w:val="auto"/>
                <w:kern w:val="2"/>
                <w:sz w:val="24"/>
                <w:szCs w:val="24"/>
                <w:lang w:val="en-US" w:eastAsia="zh-CN" w:bidi="zh-CN"/>
              </w:rPr>
            </w:pPr>
            <w:r>
              <w:rPr>
                <w:rFonts w:ascii="Times New Roman" w:hAnsi="Times New Roman" w:eastAsia="宋体" w:cs="Times New Roman"/>
                <w:color w:val="auto"/>
                <w:sz w:val="24"/>
                <w:lang w:val="en-US" w:eastAsia="zh-CN" w:bidi="zh-CN"/>
              </w:rPr>
              <w:t>本项目劳动定员</w:t>
            </w:r>
            <w:r>
              <w:rPr>
                <w:rFonts w:hint="eastAsia" w:cs="Times New Roman"/>
                <w:color w:val="auto"/>
                <w:sz w:val="24"/>
                <w:lang w:val="en-US" w:eastAsia="zh-CN" w:bidi="zh-CN"/>
              </w:rPr>
              <w:t>10</w:t>
            </w:r>
            <w:r>
              <w:rPr>
                <w:rFonts w:hint="eastAsia" w:ascii="Times New Roman" w:hAnsi="Times New Roman" w:eastAsia="宋体" w:cs="Times New Roman"/>
                <w:color w:val="auto"/>
                <w:sz w:val="24"/>
                <w:lang w:val="en-US" w:eastAsia="zh-CN" w:bidi="zh-CN"/>
              </w:rPr>
              <w:t>0</w:t>
            </w:r>
            <w:r>
              <w:rPr>
                <w:rFonts w:ascii="Times New Roman" w:hAnsi="Times New Roman" w:eastAsia="宋体" w:cs="Times New Roman"/>
                <w:color w:val="auto"/>
                <w:sz w:val="24"/>
                <w:lang w:val="en-US" w:eastAsia="zh-CN" w:bidi="zh-CN"/>
              </w:rPr>
              <w:t>人，生活垃圾产生量按</w:t>
            </w:r>
            <w:r>
              <w:rPr>
                <w:rFonts w:hint="eastAsia" w:cs="Times New Roman"/>
                <w:color w:val="auto"/>
                <w:sz w:val="24"/>
                <w:lang w:val="en-US" w:eastAsia="zh-CN" w:bidi="zh-CN"/>
              </w:rPr>
              <w:t>1</w:t>
            </w:r>
            <w:r>
              <w:rPr>
                <w:rFonts w:ascii="Times New Roman" w:hAnsi="Times New Roman" w:eastAsia="宋体" w:cs="Times New Roman"/>
                <w:color w:val="auto"/>
                <w:sz w:val="24"/>
                <w:lang w:val="en-US" w:eastAsia="zh-CN" w:bidi="zh-CN"/>
              </w:rPr>
              <w:t>kg/人·d计，每年运行约</w:t>
            </w:r>
            <w:r>
              <w:rPr>
                <w:rFonts w:hint="eastAsia" w:cs="Times New Roman"/>
                <w:color w:val="auto"/>
                <w:sz w:val="24"/>
                <w:lang w:val="en-US" w:eastAsia="zh-CN" w:bidi="zh-CN"/>
              </w:rPr>
              <w:t>180</w:t>
            </w:r>
            <w:r>
              <w:rPr>
                <w:rFonts w:ascii="Times New Roman" w:hAnsi="Times New Roman" w:eastAsia="宋体" w:cs="Times New Roman"/>
                <w:color w:val="auto"/>
                <w:sz w:val="24"/>
                <w:lang w:val="en-US" w:eastAsia="zh-CN" w:bidi="zh-CN"/>
              </w:rPr>
              <w:t>天，则项目生活垃圾产生量约</w:t>
            </w:r>
            <w:r>
              <w:rPr>
                <w:rFonts w:hint="eastAsia" w:cs="Times New Roman"/>
                <w:color w:val="auto"/>
                <w:sz w:val="24"/>
                <w:lang w:val="en-US" w:eastAsia="zh-CN" w:bidi="zh-CN"/>
              </w:rPr>
              <w:t>100</w:t>
            </w:r>
            <w:r>
              <w:rPr>
                <w:rFonts w:ascii="Times New Roman" w:hAnsi="Times New Roman" w:eastAsia="宋体" w:cs="Times New Roman"/>
                <w:color w:val="auto"/>
                <w:sz w:val="24"/>
                <w:lang w:val="en-US" w:eastAsia="zh-CN" w:bidi="zh-CN"/>
              </w:rPr>
              <w:t>kg/d（</w:t>
            </w:r>
            <w:r>
              <w:rPr>
                <w:rFonts w:hint="eastAsia" w:cs="Times New Roman"/>
                <w:color w:val="auto"/>
                <w:kern w:val="2"/>
                <w:sz w:val="24"/>
                <w:szCs w:val="24"/>
                <w:lang w:val="en-US" w:eastAsia="zh-CN" w:bidi="zh-CN"/>
              </w:rPr>
              <w:t>18</w:t>
            </w:r>
            <w:r>
              <w:rPr>
                <w:rFonts w:ascii="Times New Roman" w:hAnsi="Times New Roman" w:eastAsia="宋体" w:cs="Times New Roman"/>
                <w:color w:val="auto"/>
                <w:kern w:val="2"/>
                <w:sz w:val="24"/>
                <w:szCs w:val="24"/>
                <w:lang w:val="en-US" w:eastAsia="zh-CN" w:bidi="zh-CN"/>
              </w:rPr>
              <w:t>t/a）。</w:t>
            </w:r>
            <w:r>
              <w:rPr>
                <w:rFonts w:hint="eastAsia" w:ascii="Times New Roman" w:hAnsi="Times New Roman" w:eastAsia="宋体" w:cs="Times New Roman"/>
                <w:color w:val="auto"/>
                <w:kern w:val="2"/>
                <w:sz w:val="24"/>
                <w:szCs w:val="24"/>
                <w:lang w:val="en-US" w:eastAsia="zh-CN" w:bidi="zh-CN"/>
              </w:rPr>
              <w:t>委托环卫部门定期清运。</w:t>
            </w:r>
          </w:p>
          <w:p w14:paraId="26AEDF76">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ascii="Times New Roman" w:hAnsi="Times New Roman" w:eastAsia="宋体" w:cs="Times New Roman"/>
                <w:color w:val="auto"/>
                <w:sz w:val="24"/>
                <w:lang w:val="en-US" w:eastAsia="zh-CN" w:bidi="zh-CN"/>
              </w:rPr>
              <w:t>②废金属边角料</w:t>
            </w:r>
          </w:p>
          <w:p w14:paraId="3170FC66">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ascii="Times New Roman" w:hAnsi="Times New Roman" w:eastAsia="宋体" w:cs="Times New Roman"/>
                <w:color w:val="auto"/>
                <w:sz w:val="24"/>
                <w:lang w:val="en-US" w:eastAsia="zh-CN" w:bidi="zh-CN"/>
              </w:rPr>
              <w:t>项目产生的废金属边角料产生量约为钢筋用量的</w:t>
            </w:r>
            <w:r>
              <w:rPr>
                <w:rFonts w:hint="eastAsia" w:ascii="Times New Roman" w:hAnsi="Times New Roman" w:eastAsia="宋体" w:cs="Times New Roman"/>
                <w:color w:val="auto"/>
                <w:sz w:val="24"/>
                <w:lang w:val="en-US" w:eastAsia="zh-CN" w:bidi="zh-CN"/>
              </w:rPr>
              <w:t>6</w:t>
            </w:r>
            <w:r>
              <w:rPr>
                <w:rFonts w:ascii="Times New Roman" w:hAnsi="Times New Roman" w:eastAsia="宋体" w:cs="Times New Roman"/>
                <w:color w:val="auto"/>
                <w:sz w:val="24"/>
                <w:lang w:val="en-US" w:eastAsia="zh-CN" w:bidi="zh-CN"/>
              </w:rPr>
              <w:t>%，即</w:t>
            </w:r>
            <w:r>
              <w:rPr>
                <w:rFonts w:hint="eastAsia" w:cs="Times New Roman"/>
                <w:color w:val="auto"/>
                <w:sz w:val="24"/>
                <w:lang w:val="en-US" w:eastAsia="zh-CN" w:bidi="zh-CN"/>
              </w:rPr>
              <w:t>108.32</w:t>
            </w:r>
            <w:r>
              <w:rPr>
                <w:rFonts w:ascii="Times New Roman" w:hAnsi="Times New Roman" w:eastAsia="宋体" w:cs="Times New Roman"/>
                <w:color w:val="auto"/>
                <w:sz w:val="24"/>
                <w:lang w:val="en-US" w:eastAsia="zh-CN" w:bidi="zh-CN"/>
              </w:rPr>
              <w:t>t，由建设单位统一收集外售物资回收单位。</w:t>
            </w:r>
          </w:p>
          <w:p w14:paraId="4A664E8B">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ascii="Times New Roman" w:hAnsi="Times New Roman" w:eastAsia="宋体" w:cs="Times New Roman"/>
                <w:color w:val="auto"/>
                <w:sz w:val="24"/>
                <w:lang w:val="en-US" w:eastAsia="zh-CN" w:bidi="zh-CN"/>
              </w:rPr>
              <w:t>③除尘灰</w:t>
            </w:r>
          </w:p>
          <w:p w14:paraId="62323D29">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ascii="Times New Roman" w:hAnsi="Times New Roman" w:eastAsia="宋体" w:cs="Times New Roman"/>
                <w:color w:val="auto"/>
                <w:sz w:val="24"/>
                <w:lang w:val="en-US" w:eastAsia="zh-CN" w:bidi="zh-CN"/>
              </w:rPr>
              <w:t>本项目混合搅拌工序除尘器收集粉尘颗粒物量为</w:t>
            </w:r>
            <w:r>
              <w:rPr>
                <w:rFonts w:hint="eastAsia" w:cs="Times New Roman"/>
                <w:color w:val="auto"/>
                <w:sz w:val="24"/>
                <w:lang w:val="en-US" w:eastAsia="zh-CN" w:bidi="zh-CN"/>
              </w:rPr>
              <w:t>65.074</w:t>
            </w:r>
            <w:r>
              <w:rPr>
                <w:rFonts w:ascii="Times New Roman" w:hAnsi="Times New Roman" w:eastAsia="宋体" w:cs="Times New Roman"/>
                <w:color w:val="auto"/>
                <w:sz w:val="24"/>
                <w:lang w:val="en-US" w:eastAsia="zh-CN" w:bidi="zh-CN"/>
              </w:rPr>
              <w:t>t/a，经布袋除尘器收集后全部回用于生产系统，不外排。</w:t>
            </w:r>
          </w:p>
          <w:p w14:paraId="2063B0D8">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ascii="Times New Roman" w:hAnsi="Times New Roman" w:eastAsia="宋体" w:cs="Times New Roman"/>
                <w:color w:val="auto"/>
                <w:sz w:val="24"/>
                <w:lang w:val="en-US" w:eastAsia="zh-CN" w:bidi="zh-CN"/>
              </w:rPr>
              <w:t>④</w:t>
            </w:r>
            <w:r>
              <w:rPr>
                <w:rFonts w:hint="eastAsia" w:ascii="Times New Roman" w:hAnsi="Times New Roman" w:eastAsia="宋体" w:cs="Times New Roman"/>
                <w:color w:val="auto"/>
                <w:sz w:val="24"/>
                <w:lang w:val="en-US" w:eastAsia="zh-CN" w:bidi="zh-CN"/>
              </w:rPr>
              <w:t>不合格品</w:t>
            </w:r>
          </w:p>
          <w:p w14:paraId="02DE2EB5">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hint="eastAsia" w:ascii="Times New Roman" w:hAnsi="Times New Roman" w:eastAsia="宋体" w:cs="Times New Roman"/>
                <w:color w:val="auto"/>
                <w:sz w:val="24"/>
                <w:lang w:val="en-US" w:eastAsia="zh-CN" w:bidi="zh-CN"/>
              </w:rPr>
              <w:t>根据建设单</w:t>
            </w:r>
            <w:r>
              <w:rPr>
                <w:rFonts w:ascii="Times New Roman" w:hAnsi="Times New Roman" w:eastAsia="宋体" w:cs="Times New Roman"/>
                <w:color w:val="auto"/>
                <w:sz w:val="24"/>
                <w:lang w:val="en-US" w:eastAsia="zh-CN" w:bidi="zh-CN"/>
              </w:rPr>
              <w:t>位介绍，</w:t>
            </w:r>
            <w:r>
              <w:rPr>
                <w:rFonts w:hint="eastAsia" w:ascii="Times New Roman" w:hAnsi="Times New Roman" w:eastAsia="宋体" w:cs="Times New Roman"/>
                <w:color w:val="auto"/>
                <w:sz w:val="24"/>
                <w:lang w:val="en-US" w:eastAsia="zh-CN" w:bidi="zh-CN"/>
              </w:rPr>
              <w:t>预应力水泥管桩</w:t>
            </w:r>
            <w:r>
              <w:rPr>
                <w:rFonts w:ascii="Times New Roman" w:hAnsi="Times New Roman" w:eastAsia="宋体" w:cs="Times New Roman"/>
                <w:color w:val="auto"/>
                <w:sz w:val="24"/>
                <w:lang w:val="en-US" w:eastAsia="zh-CN" w:bidi="zh-CN"/>
              </w:rPr>
              <w:t>在养护期间，存在少量产品因各种非人为因素产生裂痕、破损等现象，因而不能正常使用。此部分不合格产品占生产总量约</w:t>
            </w:r>
            <w:r>
              <w:rPr>
                <w:rFonts w:hint="eastAsia" w:ascii="Times New Roman" w:hAnsi="Times New Roman" w:eastAsia="宋体" w:cs="Times New Roman"/>
                <w:color w:val="auto"/>
                <w:sz w:val="24"/>
                <w:lang w:val="en-US" w:eastAsia="zh-CN" w:bidi="zh-CN"/>
              </w:rPr>
              <w:t>58</w:t>
            </w:r>
            <w:r>
              <w:rPr>
                <w:rFonts w:ascii="Times New Roman" w:hAnsi="Times New Roman" w:eastAsia="宋体" w:cs="Times New Roman"/>
                <w:color w:val="auto"/>
                <w:sz w:val="24"/>
                <w:lang w:val="en-US" w:eastAsia="zh-CN" w:bidi="zh-CN"/>
              </w:rPr>
              <w:t>t/a。不合格产品在未完全硬化阶段经人工破碎后，内部钢筋外售至废品回收单位处置，混凝土渣集中收集后，</w:t>
            </w:r>
            <w:r>
              <w:rPr>
                <w:rFonts w:hint="eastAsia" w:cs="Times New Roman"/>
                <w:color w:val="auto"/>
                <w:sz w:val="24"/>
                <w:lang w:val="en-US" w:eastAsia="zh-CN" w:bidi="zh-CN"/>
              </w:rPr>
              <w:t>人工破碎回用于生产</w:t>
            </w:r>
            <w:r>
              <w:rPr>
                <w:rFonts w:ascii="Times New Roman" w:hAnsi="Times New Roman" w:eastAsia="宋体" w:cs="Times New Roman"/>
                <w:color w:val="auto"/>
                <w:sz w:val="24"/>
                <w:lang w:val="en-US" w:eastAsia="zh-CN" w:bidi="zh-CN"/>
              </w:rPr>
              <w:t>。</w:t>
            </w:r>
          </w:p>
          <w:p w14:paraId="7A0D5AF0">
            <w:pPr>
              <w:widowControl/>
              <w:spacing w:line="360" w:lineRule="auto"/>
              <w:ind w:firstLine="480" w:firstLineChars="200"/>
              <w:jc w:val="both"/>
              <w:rPr>
                <w:rFonts w:hint="eastAsia" w:cs="Times New Roman"/>
                <w:color w:val="auto"/>
                <w:sz w:val="24"/>
                <w:lang w:val="en-US" w:eastAsia="zh-CN" w:bidi="zh-CN"/>
              </w:rPr>
            </w:pPr>
            <w:r>
              <w:rPr>
                <w:rFonts w:hint="eastAsia" w:cs="Times New Roman"/>
                <w:color w:val="auto"/>
                <w:sz w:val="24"/>
                <w:lang w:val="en-US" w:eastAsia="zh-CN" w:bidi="zh-CN"/>
              </w:rPr>
              <w:t>⑤沉淀池沉渣</w:t>
            </w:r>
          </w:p>
          <w:p w14:paraId="6CADA9BB">
            <w:pPr>
              <w:widowControl/>
              <w:spacing w:line="360" w:lineRule="auto"/>
              <w:ind w:firstLine="480" w:firstLineChars="200"/>
              <w:jc w:val="both"/>
              <w:rPr>
                <w:rFonts w:hint="eastAsia" w:cs="Times New Roman"/>
                <w:color w:val="auto"/>
                <w:sz w:val="24"/>
                <w:lang w:val="en-US" w:eastAsia="zh-CN" w:bidi="zh-CN"/>
              </w:rPr>
            </w:pPr>
            <w:r>
              <w:rPr>
                <w:rFonts w:hint="eastAsia" w:cs="Times New Roman"/>
                <w:color w:val="auto"/>
                <w:sz w:val="24"/>
                <w:lang w:val="en-US" w:eastAsia="zh-CN" w:bidi="zh-CN"/>
              </w:rPr>
              <w:t>本项目站内搅拌系统罐体清洗和运输车辆罐体清洗冲刷下来的含水废料每年产生约1t/a，池底废料定期清理，废料中主要固体为砂子和石子，经砂石分离设备处理后全部回用于混凝土的生产过程中，生产废料不外排。</w:t>
            </w:r>
          </w:p>
          <w:p w14:paraId="13C309FF">
            <w:pPr>
              <w:widowControl/>
              <w:spacing w:line="360" w:lineRule="auto"/>
              <w:ind w:firstLine="480" w:firstLineChars="200"/>
              <w:jc w:val="both"/>
              <w:rPr>
                <w:rFonts w:hint="eastAsia" w:cs="Times New Roman"/>
                <w:color w:val="auto"/>
                <w:sz w:val="24"/>
                <w:lang w:val="en-US" w:eastAsia="zh-CN" w:bidi="zh-CN"/>
              </w:rPr>
            </w:pPr>
            <w:r>
              <w:rPr>
                <w:rFonts w:hint="eastAsia" w:cs="Times New Roman"/>
                <w:color w:val="auto"/>
                <w:sz w:val="24"/>
                <w:lang w:val="en-US" w:eastAsia="zh-CN" w:bidi="zh-CN"/>
              </w:rPr>
              <w:t>⑥废包装材料</w:t>
            </w:r>
          </w:p>
          <w:p w14:paraId="2E2BC2B1">
            <w:pPr>
              <w:widowControl/>
              <w:spacing w:line="360" w:lineRule="auto"/>
              <w:ind w:firstLine="480" w:firstLineChars="200"/>
              <w:jc w:val="both"/>
              <w:rPr>
                <w:rFonts w:hint="default" w:cs="Times New Roman"/>
                <w:color w:val="auto"/>
                <w:sz w:val="24"/>
                <w:lang w:val="en-US" w:eastAsia="zh-CN" w:bidi="zh-CN"/>
              </w:rPr>
            </w:pPr>
            <w:r>
              <w:rPr>
                <w:rFonts w:hint="eastAsia" w:cs="Times New Roman"/>
                <w:color w:val="auto"/>
                <w:sz w:val="24"/>
                <w:lang w:val="en-US" w:eastAsia="zh-CN" w:bidi="zh-CN"/>
              </w:rPr>
              <w:t>本项目的废包装材料为废弃聚氨酯包装桶和废布袋等，每年产生约0.1t，暂存于厂区的垃圾桶内，定期委托环卫部门拉运。</w:t>
            </w:r>
          </w:p>
          <w:p w14:paraId="0B62036C">
            <w:pPr>
              <w:widowControl/>
              <w:spacing w:line="360" w:lineRule="auto"/>
              <w:ind w:firstLine="480" w:firstLineChars="200"/>
              <w:jc w:val="both"/>
              <w:rPr>
                <w:rFonts w:hint="default" w:ascii="Times New Roman" w:hAnsi="Times New Roman" w:eastAsia="宋体" w:cs="Times New Roman"/>
                <w:color w:val="auto"/>
                <w:sz w:val="24"/>
                <w:lang w:val="en-US" w:eastAsia="zh-CN" w:bidi="zh-CN"/>
              </w:rPr>
            </w:pPr>
            <w:r>
              <w:rPr>
                <w:rFonts w:hint="eastAsia" w:cs="Times New Roman"/>
                <w:color w:val="auto"/>
                <w:sz w:val="24"/>
                <w:lang w:val="en-US" w:eastAsia="zh-CN" w:bidi="zh-CN"/>
              </w:rPr>
              <w:t>⑦</w:t>
            </w:r>
            <w:r>
              <w:rPr>
                <w:rFonts w:ascii="Times New Roman" w:hAnsi="Times New Roman" w:eastAsia="宋体" w:cs="Times New Roman"/>
                <w:color w:val="auto"/>
                <w:sz w:val="24"/>
                <w:lang w:val="en-US" w:eastAsia="zh-CN" w:bidi="zh-CN"/>
              </w:rPr>
              <w:t>废机油</w:t>
            </w:r>
            <w:r>
              <w:rPr>
                <w:rFonts w:hint="eastAsia" w:cs="Times New Roman"/>
                <w:color w:val="auto"/>
                <w:sz w:val="24"/>
                <w:lang w:val="en-US" w:eastAsia="zh-CN" w:bidi="zh-CN"/>
              </w:rPr>
              <w:t>及废机油桶</w:t>
            </w:r>
          </w:p>
          <w:p w14:paraId="0817A5F4">
            <w:pPr>
              <w:widowControl/>
              <w:spacing w:line="360" w:lineRule="auto"/>
              <w:ind w:firstLine="480" w:firstLineChars="200"/>
              <w:jc w:val="both"/>
              <w:rPr>
                <w:rFonts w:ascii="Times New Roman" w:hAnsi="Times New Roman" w:eastAsia="宋体" w:cs="Times New Roman"/>
                <w:color w:val="auto"/>
                <w:sz w:val="24"/>
                <w:lang w:val="en-US" w:eastAsia="zh-CN" w:bidi="zh-CN"/>
              </w:rPr>
            </w:pPr>
            <w:r>
              <w:rPr>
                <w:rFonts w:ascii="Times New Roman" w:hAnsi="Times New Roman" w:eastAsia="宋体" w:cs="Times New Roman"/>
                <w:color w:val="auto"/>
                <w:sz w:val="24"/>
                <w:lang w:val="en-US" w:eastAsia="zh-CN" w:bidi="zh-CN"/>
              </w:rPr>
              <w:t>本项目机油用于设备润滑、维修和保养，机油定期补充损耗定期更换，机油使用量为100kg/a，废机油产生量为100kg/a。废机油属于《国家危险废物名录》(2021年版）中代码为HW08-900-214-08的危险废物，产生的危险废物暂存于厂区内危废暂存间（占地面积20m</w:t>
            </w:r>
            <w:r>
              <w:rPr>
                <w:rFonts w:ascii="Times New Roman" w:hAnsi="Times New Roman" w:eastAsia="宋体" w:cs="Times New Roman"/>
                <w:color w:val="auto"/>
                <w:sz w:val="24"/>
                <w:vertAlign w:val="superscript"/>
                <w:lang w:val="en-US" w:eastAsia="zh-CN" w:bidi="zh-CN"/>
              </w:rPr>
              <w:t>2</w:t>
            </w:r>
            <w:r>
              <w:rPr>
                <w:rFonts w:ascii="Times New Roman" w:hAnsi="Times New Roman" w:eastAsia="宋体" w:cs="Times New Roman"/>
                <w:color w:val="auto"/>
                <w:sz w:val="24"/>
                <w:lang w:val="en-US" w:eastAsia="zh-CN" w:bidi="zh-CN"/>
              </w:rPr>
              <w:t>），并委托有资质的单位进行收运处置。</w:t>
            </w:r>
          </w:p>
          <w:p w14:paraId="6556E92B">
            <w:pPr>
              <w:spacing w:line="360" w:lineRule="auto"/>
              <w:ind w:firstLine="480" w:firstLineChars="200"/>
              <w:jc w:val="both"/>
              <w:rPr>
                <w:color w:val="auto"/>
                <w:sz w:val="24"/>
              </w:rPr>
            </w:pPr>
            <w:r>
              <w:rPr>
                <w:color w:val="auto"/>
                <w:sz w:val="24"/>
              </w:rPr>
              <w:t>综上本项目固体废物产排情况见表4-1</w:t>
            </w:r>
            <w:r>
              <w:rPr>
                <w:rFonts w:hint="eastAsia"/>
                <w:color w:val="auto"/>
                <w:sz w:val="24"/>
                <w:lang w:val="en-US" w:eastAsia="zh-CN"/>
              </w:rPr>
              <w:t>2</w:t>
            </w:r>
            <w:r>
              <w:rPr>
                <w:color w:val="auto"/>
                <w:sz w:val="24"/>
              </w:rPr>
              <w:t>。</w:t>
            </w:r>
          </w:p>
          <w:p w14:paraId="394EC3A6">
            <w:pPr>
              <w:ind w:firstLine="422" w:firstLineChars="200"/>
              <w:jc w:val="center"/>
              <w:rPr>
                <w:b/>
                <w:bCs/>
                <w:color w:val="auto"/>
                <w:szCs w:val="21"/>
              </w:rPr>
            </w:pPr>
            <w:r>
              <w:rPr>
                <w:b/>
                <w:bCs/>
                <w:color w:val="auto"/>
                <w:szCs w:val="21"/>
              </w:rPr>
              <w:t>表4-1</w:t>
            </w:r>
            <w:r>
              <w:rPr>
                <w:rFonts w:hint="eastAsia"/>
                <w:b/>
                <w:bCs/>
                <w:color w:val="auto"/>
                <w:szCs w:val="21"/>
                <w:lang w:val="en-US" w:eastAsia="zh-CN"/>
              </w:rPr>
              <w:t>2</w:t>
            </w:r>
            <w:r>
              <w:rPr>
                <w:b/>
                <w:bCs/>
                <w:color w:val="auto"/>
                <w:szCs w:val="21"/>
              </w:rPr>
              <w:t>营运期固废产排情况一览表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fixed"/>
              <w:tblCellMar>
                <w:top w:w="0" w:type="dxa"/>
                <w:left w:w="0" w:type="dxa"/>
                <w:bottom w:w="0" w:type="dxa"/>
                <w:right w:w="0" w:type="dxa"/>
              </w:tblCellMar>
            </w:tblPr>
            <w:tblGrid>
              <w:gridCol w:w="357"/>
              <w:gridCol w:w="483"/>
              <w:gridCol w:w="843"/>
              <w:gridCol w:w="893"/>
              <w:gridCol w:w="1401"/>
              <w:gridCol w:w="781"/>
              <w:gridCol w:w="958"/>
              <w:gridCol w:w="1414"/>
              <w:gridCol w:w="998"/>
            </w:tblGrid>
            <w:tr w14:paraId="6EA46EF6">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top w:val="single" w:color="000000" w:sz="12" w:space="0"/>
                    <w:left w:val="nil"/>
                    <w:bottom w:val="single" w:color="000000" w:sz="12" w:space="0"/>
                  </w:tcBorders>
                  <w:noWrap w:val="0"/>
                  <w:vAlign w:val="center"/>
                </w:tcPr>
                <w:p w14:paraId="6C93B0B3">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序号</w:t>
                  </w:r>
                </w:p>
              </w:tc>
              <w:tc>
                <w:tcPr>
                  <w:tcW w:w="297" w:type="pct"/>
                  <w:tcBorders>
                    <w:top w:val="single" w:color="000000" w:sz="12" w:space="0"/>
                    <w:bottom w:val="single" w:color="000000" w:sz="12" w:space="0"/>
                  </w:tcBorders>
                  <w:noWrap w:val="0"/>
                  <w:vAlign w:val="center"/>
                </w:tcPr>
                <w:p w14:paraId="6BD6E3AC">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产生环节</w:t>
                  </w:r>
                </w:p>
              </w:tc>
              <w:tc>
                <w:tcPr>
                  <w:tcW w:w="518" w:type="pct"/>
                  <w:tcBorders>
                    <w:top w:val="single" w:color="000000" w:sz="12" w:space="0"/>
                    <w:bottom w:val="single" w:color="000000" w:sz="12" w:space="0"/>
                  </w:tcBorders>
                  <w:noWrap w:val="0"/>
                  <w:vAlign w:val="center"/>
                </w:tcPr>
                <w:p w14:paraId="0E7A0D48">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名称</w:t>
                  </w:r>
                </w:p>
              </w:tc>
              <w:tc>
                <w:tcPr>
                  <w:tcW w:w="549" w:type="pct"/>
                  <w:tcBorders>
                    <w:top w:val="single" w:color="000000" w:sz="12" w:space="0"/>
                    <w:bottom w:val="single" w:color="000000" w:sz="12" w:space="0"/>
                  </w:tcBorders>
                  <w:noWrap w:val="0"/>
                  <w:vAlign w:val="center"/>
                </w:tcPr>
                <w:p w14:paraId="0B6D2834">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属性</w:t>
                  </w:r>
                </w:p>
              </w:tc>
              <w:tc>
                <w:tcPr>
                  <w:tcW w:w="861" w:type="pct"/>
                  <w:tcBorders>
                    <w:top w:val="single" w:color="000000" w:sz="12" w:space="0"/>
                    <w:bottom w:val="single" w:color="000000" w:sz="12" w:space="0"/>
                  </w:tcBorders>
                  <w:noWrap w:val="0"/>
                  <w:vAlign w:val="center"/>
                </w:tcPr>
                <w:p w14:paraId="7B5296EA">
                  <w:pPr>
                    <w:pStyle w:val="29"/>
                    <w:jc w:val="center"/>
                    <w:rPr>
                      <w:rFonts w:ascii="Times New Roman" w:hAnsi="Times New Roman" w:cs="Times New Roman"/>
                      <w:b/>
                      <w:bCs/>
                      <w:color w:val="auto"/>
                      <w:szCs w:val="21"/>
                      <w:lang w:val="en-US"/>
                    </w:rPr>
                  </w:pPr>
                  <w:r>
                    <w:rPr>
                      <w:rFonts w:hint="eastAsia" w:ascii="Times New Roman" w:hAnsi="Times New Roman" w:cs="Times New Roman"/>
                      <w:b/>
                      <w:bCs/>
                      <w:color w:val="auto"/>
                      <w:szCs w:val="21"/>
                      <w:lang w:val="en-US"/>
                    </w:rPr>
                    <w:t>代码</w:t>
                  </w:r>
                </w:p>
              </w:tc>
              <w:tc>
                <w:tcPr>
                  <w:tcW w:w="480" w:type="pct"/>
                  <w:tcBorders>
                    <w:top w:val="single" w:color="000000" w:sz="12" w:space="0"/>
                    <w:bottom w:val="single" w:color="000000" w:sz="12" w:space="0"/>
                  </w:tcBorders>
                  <w:noWrap w:val="0"/>
                  <w:vAlign w:val="center"/>
                </w:tcPr>
                <w:p w14:paraId="5CB3C2B3">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物理性状</w:t>
                  </w:r>
                </w:p>
              </w:tc>
              <w:tc>
                <w:tcPr>
                  <w:tcW w:w="589" w:type="pct"/>
                  <w:tcBorders>
                    <w:top w:val="single" w:color="000000" w:sz="12" w:space="0"/>
                    <w:bottom w:val="single" w:color="000000" w:sz="12" w:space="0"/>
                  </w:tcBorders>
                  <w:noWrap w:val="0"/>
                  <w:vAlign w:val="center"/>
                </w:tcPr>
                <w:p w14:paraId="5A04084A">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年产生量（t/a）</w:t>
                  </w:r>
                </w:p>
              </w:tc>
              <w:tc>
                <w:tcPr>
                  <w:tcW w:w="869" w:type="pct"/>
                  <w:tcBorders>
                    <w:top w:val="single" w:color="000000" w:sz="12" w:space="0"/>
                    <w:bottom w:val="single" w:color="000000" w:sz="12" w:space="0"/>
                  </w:tcBorders>
                  <w:noWrap w:val="0"/>
                  <w:vAlign w:val="center"/>
                </w:tcPr>
                <w:p w14:paraId="3C057B16">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处理方式</w:t>
                  </w:r>
                </w:p>
              </w:tc>
              <w:tc>
                <w:tcPr>
                  <w:tcW w:w="613" w:type="pct"/>
                  <w:tcBorders>
                    <w:top w:val="single" w:color="000000" w:sz="12" w:space="0"/>
                    <w:bottom w:val="single" w:color="000000" w:sz="12" w:space="0"/>
                    <w:right w:val="nil"/>
                  </w:tcBorders>
                  <w:noWrap w:val="0"/>
                  <w:vAlign w:val="center"/>
                </w:tcPr>
                <w:p w14:paraId="302EC7DA">
                  <w:pPr>
                    <w:pStyle w:val="29"/>
                    <w:jc w:val="center"/>
                    <w:rPr>
                      <w:rFonts w:ascii="Times New Roman" w:hAnsi="Times New Roman" w:cs="Times New Roman"/>
                      <w:b/>
                      <w:bCs/>
                      <w:color w:val="auto"/>
                      <w:szCs w:val="21"/>
                    </w:rPr>
                  </w:pPr>
                  <w:r>
                    <w:rPr>
                      <w:rFonts w:ascii="Times New Roman" w:hAnsi="Times New Roman" w:cs="Times New Roman"/>
                      <w:b/>
                      <w:bCs/>
                      <w:color w:val="auto"/>
                      <w:szCs w:val="21"/>
                    </w:rPr>
                    <w:t>最终去向</w:t>
                  </w:r>
                </w:p>
              </w:tc>
            </w:tr>
            <w:tr w14:paraId="2F7BF31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top w:val="single" w:color="000000" w:sz="12" w:space="0"/>
                    <w:left w:val="nil"/>
                    <w:tl2br w:val="nil"/>
                    <w:tr2bl w:val="nil"/>
                  </w:tcBorders>
                  <w:noWrap w:val="0"/>
                  <w:vAlign w:val="center"/>
                </w:tcPr>
                <w:p w14:paraId="05F619BB">
                  <w:pPr>
                    <w:pStyle w:val="29"/>
                    <w:jc w:val="center"/>
                    <w:rPr>
                      <w:rFonts w:ascii="Times New Roman" w:hAnsi="Times New Roman" w:cs="Times New Roman"/>
                      <w:color w:val="auto"/>
                      <w:szCs w:val="21"/>
                    </w:rPr>
                  </w:pPr>
                  <w:r>
                    <w:rPr>
                      <w:rFonts w:ascii="Times New Roman" w:hAnsi="Times New Roman" w:cs="Times New Roman"/>
                      <w:color w:val="auto"/>
                      <w:szCs w:val="21"/>
                    </w:rPr>
                    <w:t>1</w:t>
                  </w:r>
                </w:p>
              </w:tc>
              <w:tc>
                <w:tcPr>
                  <w:tcW w:w="297" w:type="pct"/>
                  <w:tcBorders>
                    <w:top w:val="single" w:color="000000" w:sz="12" w:space="0"/>
                    <w:tl2br w:val="nil"/>
                    <w:tr2bl w:val="nil"/>
                  </w:tcBorders>
                  <w:noWrap w:val="0"/>
                  <w:vAlign w:val="center"/>
                </w:tcPr>
                <w:p w14:paraId="786A7401">
                  <w:pPr>
                    <w:pStyle w:val="29"/>
                    <w:jc w:val="center"/>
                    <w:rPr>
                      <w:rFonts w:ascii="Times New Roman" w:hAnsi="Times New Roman" w:cs="Times New Roman"/>
                      <w:color w:val="auto"/>
                      <w:szCs w:val="21"/>
                    </w:rPr>
                  </w:pPr>
                  <w:r>
                    <w:rPr>
                      <w:rFonts w:ascii="Times New Roman" w:hAnsi="Times New Roman" w:cs="Times New Roman"/>
                      <w:color w:val="auto"/>
                      <w:szCs w:val="21"/>
                    </w:rPr>
                    <w:t>职工生活</w:t>
                  </w:r>
                </w:p>
              </w:tc>
              <w:tc>
                <w:tcPr>
                  <w:tcW w:w="518" w:type="pct"/>
                  <w:tcBorders>
                    <w:top w:val="single" w:color="000000" w:sz="12" w:space="0"/>
                    <w:tl2br w:val="nil"/>
                    <w:tr2bl w:val="nil"/>
                  </w:tcBorders>
                  <w:noWrap w:val="0"/>
                  <w:vAlign w:val="center"/>
                </w:tcPr>
                <w:p w14:paraId="74368BAE">
                  <w:pPr>
                    <w:pStyle w:val="29"/>
                    <w:jc w:val="center"/>
                    <w:rPr>
                      <w:rFonts w:ascii="Times New Roman" w:hAnsi="Times New Roman" w:cs="Times New Roman"/>
                      <w:color w:val="auto"/>
                      <w:szCs w:val="21"/>
                    </w:rPr>
                  </w:pPr>
                  <w:r>
                    <w:rPr>
                      <w:rFonts w:ascii="Times New Roman" w:hAnsi="Times New Roman" w:cs="Times New Roman"/>
                      <w:color w:val="auto"/>
                      <w:szCs w:val="21"/>
                    </w:rPr>
                    <w:t>生活垃圾</w:t>
                  </w:r>
                </w:p>
              </w:tc>
              <w:tc>
                <w:tcPr>
                  <w:tcW w:w="549" w:type="pct"/>
                  <w:tcBorders>
                    <w:top w:val="single" w:color="000000" w:sz="12" w:space="0"/>
                    <w:tl2br w:val="nil"/>
                    <w:tr2bl w:val="nil"/>
                  </w:tcBorders>
                  <w:noWrap w:val="0"/>
                  <w:vAlign w:val="center"/>
                </w:tcPr>
                <w:p w14:paraId="668DBE72">
                  <w:pPr>
                    <w:pStyle w:val="29"/>
                    <w:jc w:val="center"/>
                    <w:rPr>
                      <w:rFonts w:ascii="Times New Roman" w:hAnsi="Times New Roman" w:cs="Times New Roman"/>
                      <w:color w:val="auto"/>
                      <w:szCs w:val="21"/>
                    </w:rPr>
                  </w:pPr>
                  <w:r>
                    <w:rPr>
                      <w:rFonts w:ascii="Times New Roman" w:hAnsi="Times New Roman" w:cs="Times New Roman"/>
                      <w:color w:val="auto"/>
                      <w:szCs w:val="21"/>
                    </w:rPr>
                    <w:t>一般固废</w:t>
                  </w:r>
                </w:p>
              </w:tc>
              <w:tc>
                <w:tcPr>
                  <w:tcW w:w="861" w:type="pct"/>
                  <w:tcBorders>
                    <w:top w:val="single" w:color="000000" w:sz="12" w:space="0"/>
                    <w:tl2br w:val="nil"/>
                    <w:tr2bl w:val="nil"/>
                  </w:tcBorders>
                  <w:noWrap w:val="0"/>
                  <w:vAlign w:val="center"/>
                </w:tcPr>
                <w:p w14:paraId="78FCF598">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900-002-61</w:t>
                  </w:r>
                </w:p>
              </w:tc>
              <w:tc>
                <w:tcPr>
                  <w:tcW w:w="480" w:type="pct"/>
                  <w:tcBorders>
                    <w:top w:val="single" w:color="000000" w:sz="12" w:space="0"/>
                    <w:tl2br w:val="nil"/>
                    <w:tr2bl w:val="nil"/>
                  </w:tcBorders>
                  <w:noWrap w:val="0"/>
                  <w:vAlign w:val="center"/>
                </w:tcPr>
                <w:p w14:paraId="04C31B34">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固态</w:t>
                  </w:r>
                </w:p>
              </w:tc>
              <w:tc>
                <w:tcPr>
                  <w:tcW w:w="589" w:type="pct"/>
                  <w:tcBorders>
                    <w:top w:val="single" w:color="000000" w:sz="12" w:space="0"/>
                    <w:tl2br w:val="nil"/>
                    <w:tr2bl w:val="nil"/>
                  </w:tcBorders>
                  <w:noWrap w:val="0"/>
                  <w:vAlign w:val="center"/>
                </w:tcPr>
                <w:p w14:paraId="4754727E">
                  <w:pPr>
                    <w:pStyle w:val="29"/>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18</w:t>
                  </w:r>
                </w:p>
              </w:tc>
              <w:tc>
                <w:tcPr>
                  <w:tcW w:w="869" w:type="pct"/>
                  <w:tcBorders>
                    <w:top w:val="single" w:color="000000" w:sz="12" w:space="0"/>
                    <w:tl2br w:val="nil"/>
                    <w:tr2bl w:val="nil"/>
                  </w:tcBorders>
                  <w:noWrap w:val="0"/>
                  <w:vAlign w:val="center"/>
                </w:tcPr>
                <w:p w14:paraId="7EBED546">
                  <w:pPr>
                    <w:pStyle w:val="29"/>
                    <w:jc w:val="center"/>
                    <w:rPr>
                      <w:rFonts w:ascii="Times New Roman" w:hAnsi="Times New Roman" w:cs="Times New Roman"/>
                      <w:color w:val="auto"/>
                      <w:szCs w:val="21"/>
                    </w:rPr>
                  </w:pPr>
                  <w:r>
                    <w:rPr>
                      <w:rFonts w:ascii="Times New Roman" w:hAnsi="Times New Roman" w:cs="Times New Roman"/>
                      <w:color w:val="auto"/>
                      <w:szCs w:val="21"/>
                    </w:rPr>
                    <w:t>统一收集</w:t>
                  </w:r>
                </w:p>
              </w:tc>
              <w:tc>
                <w:tcPr>
                  <w:tcW w:w="613" w:type="pct"/>
                  <w:tcBorders>
                    <w:top w:val="single" w:color="000000" w:sz="12" w:space="0"/>
                    <w:right w:val="nil"/>
                    <w:tl2br w:val="nil"/>
                    <w:tr2bl w:val="nil"/>
                  </w:tcBorders>
                  <w:noWrap w:val="0"/>
                  <w:vAlign w:val="center"/>
                </w:tcPr>
                <w:p w14:paraId="5AB6BA57">
                  <w:pPr>
                    <w:pStyle w:val="29"/>
                    <w:jc w:val="center"/>
                    <w:rPr>
                      <w:rFonts w:ascii="Times New Roman" w:hAnsi="Times New Roman" w:cs="Times New Roman"/>
                      <w:color w:val="auto"/>
                      <w:szCs w:val="21"/>
                    </w:rPr>
                  </w:pPr>
                  <w:r>
                    <w:rPr>
                      <w:rFonts w:ascii="Times New Roman" w:hAnsi="Times New Roman" w:cs="Times New Roman"/>
                      <w:color w:val="auto"/>
                      <w:szCs w:val="21"/>
                    </w:rPr>
                    <w:t>由当地环卫部门统一处理</w:t>
                  </w:r>
                </w:p>
              </w:tc>
            </w:tr>
            <w:tr w14:paraId="117176E1">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left w:val="nil"/>
                    <w:tl2br w:val="nil"/>
                    <w:tr2bl w:val="nil"/>
                  </w:tcBorders>
                  <w:noWrap w:val="0"/>
                  <w:vAlign w:val="center"/>
                </w:tcPr>
                <w:p w14:paraId="4275F986">
                  <w:pPr>
                    <w:pStyle w:val="29"/>
                    <w:jc w:val="center"/>
                    <w:rPr>
                      <w:rFonts w:ascii="Times New Roman" w:hAnsi="Times New Roman" w:cs="Times New Roman"/>
                      <w:color w:val="auto"/>
                      <w:szCs w:val="21"/>
                    </w:rPr>
                  </w:pPr>
                  <w:r>
                    <w:rPr>
                      <w:rFonts w:ascii="Times New Roman" w:hAnsi="Times New Roman" w:cs="Times New Roman"/>
                      <w:color w:val="auto"/>
                      <w:szCs w:val="21"/>
                    </w:rPr>
                    <w:t>2</w:t>
                  </w:r>
                </w:p>
              </w:tc>
              <w:tc>
                <w:tcPr>
                  <w:tcW w:w="297" w:type="pct"/>
                  <w:tcBorders>
                    <w:tl2br w:val="nil"/>
                    <w:tr2bl w:val="nil"/>
                  </w:tcBorders>
                  <w:noWrap w:val="0"/>
                  <w:vAlign w:val="center"/>
                </w:tcPr>
                <w:p w14:paraId="5A5FBB5D">
                  <w:pPr>
                    <w:pStyle w:val="29"/>
                    <w:jc w:val="center"/>
                    <w:rPr>
                      <w:rFonts w:ascii="Times New Roman" w:hAnsi="Times New Roman" w:cs="Times New Roman"/>
                      <w:color w:val="auto"/>
                      <w:szCs w:val="21"/>
                    </w:rPr>
                  </w:pPr>
                  <w:r>
                    <w:rPr>
                      <w:rFonts w:ascii="Times New Roman" w:hAnsi="Times New Roman" w:cs="Times New Roman"/>
                      <w:color w:val="auto"/>
                      <w:szCs w:val="21"/>
                    </w:rPr>
                    <w:t>生产过程</w:t>
                  </w:r>
                </w:p>
              </w:tc>
              <w:tc>
                <w:tcPr>
                  <w:tcW w:w="518" w:type="pct"/>
                  <w:tcBorders>
                    <w:tl2br w:val="nil"/>
                    <w:tr2bl w:val="nil"/>
                  </w:tcBorders>
                  <w:noWrap w:val="0"/>
                  <w:vAlign w:val="center"/>
                </w:tcPr>
                <w:p w14:paraId="01FB924A">
                  <w:pPr>
                    <w:pStyle w:val="29"/>
                    <w:jc w:val="center"/>
                    <w:rPr>
                      <w:rFonts w:ascii="Times New Roman" w:hAnsi="Times New Roman" w:cs="Times New Roman"/>
                      <w:color w:val="auto"/>
                      <w:szCs w:val="21"/>
                    </w:rPr>
                  </w:pPr>
                  <w:r>
                    <w:rPr>
                      <w:rFonts w:ascii="Times New Roman" w:hAnsi="Times New Roman" w:cs="Times New Roman"/>
                      <w:color w:val="auto"/>
                      <w:szCs w:val="21"/>
                      <w:lang w:val="en-US"/>
                    </w:rPr>
                    <w:t>废金属边角料</w:t>
                  </w:r>
                </w:p>
              </w:tc>
              <w:tc>
                <w:tcPr>
                  <w:tcW w:w="549" w:type="pct"/>
                  <w:tcBorders>
                    <w:tl2br w:val="nil"/>
                    <w:tr2bl w:val="nil"/>
                  </w:tcBorders>
                  <w:noWrap w:val="0"/>
                  <w:vAlign w:val="center"/>
                </w:tcPr>
                <w:p w14:paraId="14133D5C">
                  <w:pPr>
                    <w:pStyle w:val="29"/>
                    <w:jc w:val="center"/>
                    <w:rPr>
                      <w:rFonts w:ascii="Times New Roman" w:hAnsi="Times New Roman" w:cs="Times New Roman"/>
                      <w:color w:val="auto"/>
                      <w:szCs w:val="21"/>
                    </w:rPr>
                  </w:pPr>
                  <w:r>
                    <w:rPr>
                      <w:rFonts w:ascii="Times New Roman" w:hAnsi="Times New Roman" w:cs="Times New Roman"/>
                      <w:color w:val="auto"/>
                      <w:szCs w:val="21"/>
                    </w:rPr>
                    <w:t>一般固废</w:t>
                  </w:r>
                </w:p>
              </w:tc>
              <w:tc>
                <w:tcPr>
                  <w:tcW w:w="861" w:type="pct"/>
                  <w:tcBorders>
                    <w:tl2br w:val="nil"/>
                    <w:tr2bl w:val="nil"/>
                  </w:tcBorders>
                  <w:noWrap w:val="0"/>
                  <w:vAlign w:val="center"/>
                </w:tcPr>
                <w:p w14:paraId="231BDF48">
                  <w:pPr>
                    <w:jc w:val="center"/>
                    <w:rPr>
                      <w:rFonts w:hint="default" w:ascii="Times New Roman" w:hAnsi="Times New Roman" w:cs="Times New Roman"/>
                      <w:color w:val="auto"/>
                      <w:szCs w:val="21"/>
                    </w:rPr>
                  </w:pPr>
                  <w:r>
                    <w:rPr>
                      <w:rFonts w:hint="default" w:ascii="Times New Roman" w:hAnsi="Times New Roman" w:cs="Times New Roman"/>
                      <w:color w:val="auto"/>
                      <w:szCs w:val="21"/>
                    </w:rPr>
                    <w:t>900-001-72</w:t>
                  </w:r>
                </w:p>
              </w:tc>
              <w:tc>
                <w:tcPr>
                  <w:tcW w:w="480" w:type="pct"/>
                  <w:tcBorders>
                    <w:tl2br w:val="nil"/>
                    <w:tr2bl w:val="nil"/>
                  </w:tcBorders>
                  <w:noWrap w:val="0"/>
                  <w:vAlign w:val="center"/>
                </w:tcPr>
                <w:p w14:paraId="42EECF7D">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固态</w:t>
                  </w:r>
                </w:p>
              </w:tc>
              <w:tc>
                <w:tcPr>
                  <w:tcW w:w="589" w:type="pct"/>
                  <w:tcBorders>
                    <w:tl2br w:val="nil"/>
                    <w:tr2bl w:val="nil"/>
                  </w:tcBorders>
                  <w:noWrap w:val="0"/>
                  <w:vAlign w:val="center"/>
                </w:tcPr>
                <w:p w14:paraId="754D06E2">
                  <w:pPr>
                    <w:pStyle w:val="29"/>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108.32</w:t>
                  </w:r>
                </w:p>
              </w:tc>
              <w:tc>
                <w:tcPr>
                  <w:tcW w:w="869" w:type="pct"/>
                  <w:tcBorders>
                    <w:tl2br w:val="nil"/>
                    <w:tr2bl w:val="nil"/>
                  </w:tcBorders>
                  <w:noWrap w:val="0"/>
                  <w:vAlign w:val="center"/>
                </w:tcPr>
                <w:p w14:paraId="1C663D68">
                  <w:pPr>
                    <w:pStyle w:val="29"/>
                    <w:jc w:val="center"/>
                    <w:rPr>
                      <w:rFonts w:ascii="Times New Roman" w:hAnsi="Times New Roman" w:cs="Times New Roman"/>
                      <w:color w:val="auto"/>
                      <w:szCs w:val="21"/>
                      <w:lang w:val="en-US"/>
                    </w:rPr>
                  </w:pPr>
                  <w:r>
                    <w:rPr>
                      <w:rFonts w:ascii="Times New Roman" w:hAnsi="Times New Roman" w:cs="Times New Roman"/>
                      <w:color w:val="auto"/>
                      <w:szCs w:val="21"/>
                      <w:lang w:val="en-US"/>
                    </w:rPr>
                    <w:t>集中收集</w:t>
                  </w:r>
                </w:p>
              </w:tc>
              <w:tc>
                <w:tcPr>
                  <w:tcW w:w="613" w:type="pct"/>
                  <w:tcBorders>
                    <w:right w:val="nil"/>
                    <w:tl2br w:val="nil"/>
                    <w:tr2bl w:val="nil"/>
                  </w:tcBorders>
                  <w:noWrap w:val="0"/>
                  <w:vAlign w:val="center"/>
                </w:tcPr>
                <w:p w14:paraId="5ABC4305">
                  <w:pPr>
                    <w:pStyle w:val="29"/>
                    <w:jc w:val="center"/>
                    <w:rPr>
                      <w:rFonts w:ascii="Times New Roman" w:hAnsi="Times New Roman" w:cs="Times New Roman"/>
                      <w:color w:val="auto"/>
                      <w:szCs w:val="21"/>
                    </w:rPr>
                  </w:pPr>
                  <w:r>
                    <w:rPr>
                      <w:rFonts w:ascii="Times New Roman" w:hAnsi="Times New Roman" w:cs="Times New Roman"/>
                      <w:color w:val="auto"/>
                      <w:szCs w:val="21"/>
                      <w:lang w:val="en-US"/>
                    </w:rPr>
                    <w:t>统一收集外售物资回收单位</w:t>
                  </w:r>
                </w:p>
              </w:tc>
            </w:tr>
            <w:tr w14:paraId="7DD74580">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left w:val="nil"/>
                    <w:tl2br w:val="nil"/>
                    <w:tr2bl w:val="nil"/>
                  </w:tcBorders>
                  <w:noWrap w:val="0"/>
                  <w:vAlign w:val="center"/>
                </w:tcPr>
                <w:p w14:paraId="40D8EF4F">
                  <w:pPr>
                    <w:pStyle w:val="29"/>
                    <w:jc w:val="center"/>
                    <w:rPr>
                      <w:rFonts w:ascii="Times New Roman" w:hAnsi="Times New Roman" w:cs="Times New Roman"/>
                      <w:color w:val="auto"/>
                      <w:szCs w:val="21"/>
                      <w:lang w:val="en-US"/>
                    </w:rPr>
                  </w:pPr>
                  <w:r>
                    <w:rPr>
                      <w:rFonts w:hint="eastAsia" w:ascii="Times New Roman" w:hAnsi="Times New Roman" w:cs="Times New Roman"/>
                      <w:color w:val="auto"/>
                      <w:szCs w:val="21"/>
                      <w:lang w:val="en-US"/>
                    </w:rPr>
                    <w:t>3</w:t>
                  </w:r>
                </w:p>
              </w:tc>
              <w:tc>
                <w:tcPr>
                  <w:tcW w:w="297" w:type="pct"/>
                  <w:tcBorders>
                    <w:tl2br w:val="nil"/>
                    <w:tr2bl w:val="nil"/>
                  </w:tcBorders>
                  <w:noWrap w:val="0"/>
                  <w:vAlign w:val="center"/>
                </w:tcPr>
                <w:p w14:paraId="5A90E9C0">
                  <w:pPr>
                    <w:pStyle w:val="29"/>
                    <w:jc w:val="center"/>
                    <w:rPr>
                      <w:rFonts w:ascii="Times New Roman" w:hAnsi="Times New Roman" w:cs="Times New Roman"/>
                      <w:color w:val="auto"/>
                      <w:szCs w:val="21"/>
                    </w:rPr>
                  </w:pPr>
                  <w:r>
                    <w:rPr>
                      <w:rFonts w:ascii="Times New Roman" w:hAnsi="Times New Roman" w:cs="Times New Roman"/>
                      <w:color w:val="auto"/>
                      <w:szCs w:val="21"/>
                    </w:rPr>
                    <w:t>生产过程</w:t>
                  </w:r>
                </w:p>
              </w:tc>
              <w:tc>
                <w:tcPr>
                  <w:tcW w:w="518" w:type="pct"/>
                  <w:tcBorders>
                    <w:tl2br w:val="nil"/>
                    <w:tr2bl w:val="nil"/>
                  </w:tcBorders>
                  <w:noWrap w:val="0"/>
                  <w:vAlign w:val="center"/>
                </w:tcPr>
                <w:p w14:paraId="3B53C58C">
                  <w:pPr>
                    <w:pStyle w:val="29"/>
                    <w:jc w:val="center"/>
                    <w:rPr>
                      <w:rFonts w:ascii="Times New Roman" w:hAnsi="Times New Roman" w:cs="Times New Roman"/>
                      <w:color w:val="auto"/>
                      <w:szCs w:val="21"/>
                      <w:lang w:val="en-US"/>
                    </w:rPr>
                  </w:pPr>
                  <w:r>
                    <w:rPr>
                      <w:rFonts w:ascii="Times New Roman" w:hAnsi="Times New Roman" w:cs="Times New Roman"/>
                      <w:color w:val="auto"/>
                      <w:szCs w:val="21"/>
                      <w:lang w:val="en-US"/>
                    </w:rPr>
                    <w:t>除尘灰</w:t>
                  </w:r>
                </w:p>
              </w:tc>
              <w:tc>
                <w:tcPr>
                  <w:tcW w:w="549" w:type="pct"/>
                  <w:tcBorders>
                    <w:tl2br w:val="nil"/>
                    <w:tr2bl w:val="nil"/>
                  </w:tcBorders>
                  <w:noWrap w:val="0"/>
                  <w:vAlign w:val="center"/>
                </w:tcPr>
                <w:p w14:paraId="612FC408">
                  <w:pPr>
                    <w:pStyle w:val="29"/>
                    <w:jc w:val="center"/>
                    <w:rPr>
                      <w:rFonts w:ascii="Times New Roman" w:hAnsi="Times New Roman" w:cs="Times New Roman"/>
                      <w:color w:val="auto"/>
                      <w:szCs w:val="21"/>
                    </w:rPr>
                  </w:pPr>
                  <w:r>
                    <w:rPr>
                      <w:rFonts w:ascii="Times New Roman" w:hAnsi="Times New Roman" w:cs="Times New Roman"/>
                      <w:color w:val="auto"/>
                      <w:szCs w:val="21"/>
                    </w:rPr>
                    <w:t>一般固废</w:t>
                  </w:r>
                </w:p>
              </w:tc>
              <w:tc>
                <w:tcPr>
                  <w:tcW w:w="861" w:type="pct"/>
                  <w:tcBorders>
                    <w:tl2br w:val="nil"/>
                    <w:tr2bl w:val="nil"/>
                  </w:tcBorders>
                  <w:noWrap w:val="0"/>
                  <w:vAlign w:val="center"/>
                </w:tcPr>
                <w:p w14:paraId="188DA349">
                  <w:pPr>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480" w:type="pct"/>
                  <w:tcBorders>
                    <w:tl2br w:val="nil"/>
                    <w:tr2bl w:val="nil"/>
                  </w:tcBorders>
                  <w:noWrap w:val="0"/>
                  <w:vAlign w:val="center"/>
                </w:tcPr>
                <w:p w14:paraId="7116ED12">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固态</w:t>
                  </w:r>
                </w:p>
              </w:tc>
              <w:tc>
                <w:tcPr>
                  <w:tcW w:w="589" w:type="pct"/>
                  <w:tcBorders>
                    <w:tl2br w:val="nil"/>
                    <w:tr2bl w:val="nil"/>
                  </w:tcBorders>
                  <w:noWrap w:val="0"/>
                  <w:vAlign w:val="center"/>
                </w:tcPr>
                <w:p w14:paraId="4E3BC073">
                  <w:pPr>
                    <w:pStyle w:val="29"/>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65.074</w:t>
                  </w:r>
                </w:p>
              </w:tc>
              <w:tc>
                <w:tcPr>
                  <w:tcW w:w="869" w:type="pct"/>
                  <w:tcBorders>
                    <w:tl2br w:val="nil"/>
                    <w:tr2bl w:val="nil"/>
                  </w:tcBorders>
                  <w:noWrap w:val="0"/>
                  <w:vAlign w:val="center"/>
                </w:tcPr>
                <w:p w14:paraId="0E2DE411">
                  <w:pPr>
                    <w:pStyle w:val="29"/>
                    <w:jc w:val="both"/>
                    <w:rPr>
                      <w:rFonts w:ascii="Times New Roman" w:hAnsi="Times New Roman" w:cs="Times New Roman"/>
                      <w:color w:val="auto"/>
                      <w:szCs w:val="21"/>
                      <w:lang w:val="en-US"/>
                    </w:rPr>
                  </w:pPr>
                  <w:r>
                    <w:rPr>
                      <w:rFonts w:ascii="Times New Roman" w:hAnsi="Times New Roman" w:cs="Times New Roman"/>
                      <w:color w:val="auto"/>
                      <w:szCs w:val="21"/>
                      <w:lang w:val="en-US"/>
                    </w:rPr>
                    <w:t>布袋除尘器收集</w:t>
                  </w:r>
                </w:p>
              </w:tc>
              <w:tc>
                <w:tcPr>
                  <w:tcW w:w="613" w:type="pct"/>
                  <w:tcBorders>
                    <w:right w:val="nil"/>
                    <w:tl2br w:val="nil"/>
                    <w:tr2bl w:val="nil"/>
                  </w:tcBorders>
                  <w:noWrap w:val="0"/>
                  <w:vAlign w:val="center"/>
                </w:tcPr>
                <w:p w14:paraId="4A12BED8">
                  <w:pPr>
                    <w:pStyle w:val="29"/>
                    <w:jc w:val="both"/>
                    <w:rPr>
                      <w:rFonts w:ascii="Times New Roman" w:hAnsi="Times New Roman" w:cs="Times New Roman"/>
                      <w:color w:val="auto"/>
                      <w:szCs w:val="21"/>
                      <w:lang w:val="en-US"/>
                    </w:rPr>
                  </w:pPr>
                  <w:r>
                    <w:rPr>
                      <w:rFonts w:ascii="Times New Roman" w:hAnsi="Times New Roman" w:cs="Times New Roman"/>
                      <w:color w:val="auto"/>
                      <w:szCs w:val="21"/>
                      <w:lang w:val="en-US"/>
                    </w:rPr>
                    <w:t>回用于生产</w:t>
                  </w:r>
                </w:p>
              </w:tc>
            </w:tr>
            <w:tr w14:paraId="362AFE9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left w:val="nil"/>
                    <w:tl2br w:val="nil"/>
                    <w:tr2bl w:val="nil"/>
                  </w:tcBorders>
                  <w:noWrap w:val="0"/>
                  <w:vAlign w:val="center"/>
                </w:tcPr>
                <w:p w14:paraId="363DC696">
                  <w:pPr>
                    <w:pStyle w:val="29"/>
                    <w:jc w:val="center"/>
                    <w:rPr>
                      <w:rFonts w:ascii="Times New Roman" w:hAnsi="Times New Roman" w:cs="Times New Roman"/>
                      <w:color w:val="auto"/>
                      <w:szCs w:val="21"/>
                      <w:lang w:val="en-US"/>
                    </w:rPr>
                  </w:pPr>
                  <w:r>
                    <w:rPr>
                      <w:rFonts w:hint="eastAsia" w:ascii="Times New Roman" w:hAnsi="Times New Roman" w:cs="Times New Roman"/>
                      <w:color w:val="auto"/>
                      <w:szCs w:val="21"/>
                      <w:lang w:val="en-US"/>
                    </w:rPr>
                    <w:t>4</w:t>
                  </w:r>
                </w:p>
              </w:tc>
              <w:tc>
                <w:tcPr>
                  <w:tcW w:w="297" w:type="pct"/>
                  <w:tcBorders>
                    <w:tl2br w:val="nil"/>
                    <w:tr2bl w:val="nil"/>
                  </w:tcBorders>
                  <w:noWrap w:val="0"/>
                  <w:vAlign w:val="center"/>
                </w:tcPr>
                <w:p w14:paraId="6B0D39DA">
                  <w:pPr>
                    <w:pStyle w:val="29"/>
                    <w:jc w:val="center"/>
                    <w:rPr>
                      <w:rFonts w:ascii="Times New Roman" w:hAnsi="Times New Roman" w:cs="Times New Roman"/>
                      <w:color w:val="auto"/>
                      <w:szCs w:val="21"/>
                    </w:rPr>
                  </w:pPr>
                  <w:r>
                    <w:rPr>
                      <w:rFonts w:ascii="Times New Roman" w:hAnsi="Times New Roman" w:cs="Times New Roman"/>
                      <w:color w:val="auto"/>
                      <w:szCs w:val="21"/>
                    </w:rPr>
                    <w:t>生产过程</w:t>
                  </w:r>
                </w:p>
              </w:tc>
              <w:tc>
                <w:tcPr>
                  <w:tcW w:w="518" w:type="pct"/>
                  <w:tcBorders>
                    <w:tl2br w:val="nil"/>
                    <w:tr2bl w:val="nil"/>
                  </w:tcBorders>
                  <w:noWrap w:val="0"/>
                  <w:vAlign w:val="center"/>
                </w:tcPr>
                <w:p w14:paraId="1324625A">
                  <w:pPr>
                    <w:pStyle w:val="39"/>
                    <w:rPr>
                      <w:color w:val="auto"/>
                      <w:lang w:val="en-US" w:eastAsia="zh-CN"/>
                    </w:rPr>
                  </w:pPr>
                  <w:r>
                    <w:rPr>
                      <w:rFonts w:hint="eastAsia"/>
                      <w:color w:val="auto"/>
                      <w:lang w:val="en-US" w:eastAsia="zh-CN"/>
                    </w:rPr>
                    <w:t>不合格品</w:t>
                  </w:r>
                </w:p>
              </w:tc>
              <w:tc>
                <w:tcPr>
                  <w:tcW w:w="549" w:type="pct"/>
                  <w:tcBorders>
                    <w:tl2br w:val="nil"/>
                    <w:tr2bl w:val="nil"/>
                  </w:tcBorders>
                  <w:noWrap w:val="0"/>
                  <w:vAlign w:val="center"/>
                </w:tcPr>
                <w:p w14:paraId="462D5C7C">
                  <w:pPr>
                    <w:pStyle w:val="39"/>
                    <w:rPr>
                      <w:color w:val="auto"/>
                      <w:lang w:val="en-US" w:eastAsia="zh-CN"/>
                    </w:rPr>
                  </w:pPr>
                  <w:r>
                    <w:rPr>
                      <w:color w:val="auto"/>
                      <w:szCs w:val="21"/>
                    </w:rPr>
                    <w:t>一般固废</w:t>
                  </w:r>
                </w:p>
              </w:tc>
              <w:tc>
                <w:tcPr>
                  <w:tcW w:w="861" w:type="pct"/>
                  <w:tcBorders>
                    <w:tl2br w:val="nil"/>
                    <w:tr2bl w:val="nil"/>
                  </w:tcBorders>
                  <w:noWrap w:val="0"/>
                  <w:vAlign w:val="center"/>
                </w:tcPr>
                <w:p w14:paraId="7A3557A4">
                  <w:pPr>
                    <w:pStyle w:val="39"/>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302-999-46</w:t>
                  </w:r>
                </w:p>
              </w:tc>
              <w:tc>
                <w:tcPr>
                  <w:tcW w:w="480" w:type="pct"/>
                  <w:tcBorders>
                    <w:tl2br w:val="nil"/>
                    <w:tr2bl w:val="nil"/>
                  </w:tcBorders>
                  <w:noWrap w:val="0"/>
                  <w:vAlign w:val="center"/>
                </w:tcPr>
                <w:p w14:paraId="2C5223A2">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固态</w:t>
                  </w:r>
                </w:p>
              </w:tc>
              <w:tc>
                <w:tcPr>
                  <w:tcW w:w="589" w:type="pct"/>
                  <w:tcBorders>
                    <w:tl2br w:val="nil"/>
                    <w:tr2bl w:val="nil"/>
                  </w:tcBorders>
                  <w:noWrap w:val="0"/>
                  <w:vAlign w:val="center"/>
                </w:tcPr>
                <w:p w14:paraId="6B1C1F1E">
                  <w:pPr>
                    <w:pStyle w:val="29"/>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58</w:t>
                  </w:r>
                </w:p>
              </w:tc>
              <w:tc>
                <w:tcPr>
                  <w:tcW w:w="869" w:type="pct"/>
                  <w:tcBorders>
                    <w:tl2br w:val="nil"/>
                    <w:tr2bl w:val="nil"/>
                  </w:tcBorders>
                  <w:noWrap w:val="0"/>
                  <w:vAlign w:val="center"/>
                </w:tcPr>
                <w:p w14:paraId="64C1EFCC">
                  <w:pPr>
                    <w:pStyle w:val="29"/>
                    <w:jc w:val="both"/>
                    <w:rPr>
                      <w:rFonts w:ascii="Times New Roman" w:hAnsi="Times New Roman" w:cs="Times New Roman"/>
                      <w:color w:val="auto"/>
                      <w:szCs w:val="21"/>
                    </w:rPr>
                  </w:pPr>
                  <w:r>
                    <w:rPr>
                      <w:rFonts w:hint="eastAsia"/>
                      <w:color w:val="auto"/>
                      <w:lang w:val="en-US"/>
                    </w:rPr>
                    <w:t>内部钢筋外售，混凝土渣定期清运</w:t>
                  </w:r>
                </w:p>
              </w:tc>
              <w:tc>
                <w:tcPr>
                  <w:tcW w:w="613" w:type="pct"/>
                  <w:tcBorders>
                    <w:right w:val="nil"/>
                    <w:tl2br w:val="nil"/>
                    <w:tr2bl w:val="nil"/>
                  </w:tcBorders>
                  <w:noWrap w:val="0"/>
                  <w:vAlign w:val="center"/>
                </w:tcPr>
                <w:p w14:paraId="1F807B4C">
                  <w:pPr>
                    <w:pStyle w:val="29"/>
                    <w:jc w:val="both"/>
                    <w:rPr>
                      <w:rFonts w:ascii="Times New Roman" w:hAnsi="Times New Roman" w:cs="Times New Roman"/>
                      <w:color w:val="auto"/>
                      <w:szCs w:val="21"/>
                    </w:rPr>
                  </w:pPr>
                  <w:r>
                    <w:rPr>
                      <w:rFonts w:hint="eastAsia"/>
                      <w:color w:val="auto"/>
                      <w:lang w:val="en-US"/>
                    </w:rPr>
                    <w:t>建筑垃圾堆放点</w:t>
                  </w:r>
                </w:p>
              </w:tc>
            </w:tr>
            <w:tr w14:paraId="4B57386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left w:val="nil"/>
                    <w:tl2br w:val="nil"/>
                    <w:tr2bl w:val="nil"/>
                  </w:tcBorders>
                  <w:noWrap w:val="0"/>
                  <w:vAlign w:val="center"/>
                </w:tcPr>
                <w:p w14:paraId="30645043">
                  <w:pPr>
                    <w:pStyle w:val="29"/>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5</w:t>
                  </w:r>
                </w:p>
              </w:tc>
              <w:tc>
                <w:tcPr>
                  <w:tcW w:w="297" w:type="pct"/>
                  <w:tcBorders>
                    <w:tl2br w:val="nil"/>
                    <w:tr2bl w:val="nil"/>
                  </w:tcBorders>
                  <w:noWrap w:val="0"/>
                  <w:vAlign w:val="center"/>
                </w:tcPr>
                <w:p w14:paraId="28100246">
                  <w:pPr>
                    <w:pStyle w:val="29"/>
                    <w:jc w:val="center"/>
                    <w:rPr>
                      <w:rFonts w:ascii="Times New Roman" w:hAnsi="Times New Roman" w:cs="Times New Roman"/>
                      <w:color w:val="auto"/>
                      <w:szCs w:val="21"/>
                    </w:rPr>
                  </w:pPr>
                  <w:r>
                    <w:rPr>
                      <w:rFonts w:ascii="Times New Roman" w:hAnsi="Times New Roman" w:cs="Times New Roman"/>
                      <w:color w:val="auto"/>
                      <w:szCs w:val="21"/>
                    </w:rPr>
                    <w:t>生产过程</w:t>
                  </w:r>
                </w:p>
              </w:tc>
              <w:tc>
                <w:tcPr>
                  <w:tcW w:w="518" w:type="pct"/>
                  <w:tcBorders>
                    <w:tl2br w:val="nil"/>
                    <w:tr2bl w:val="nil"/>
                  </w:tcBorders>
                  <w:noWrap w:val="0"/>
                  <w:vAlign w:val="center"/>
                </w:tcPr>
                <w:p w14:paraId="0EC557B2">
                  <w:pPr>
                    <w:pStyle w:val="39"/>
                    <w:rPr>
                      <w:rFonts w:hint="default"/>
                      <w:color w:val="auto"/>
                      <w:lang w:val="en-US" w:eastAsia="zh-CN"/>
                    </w:rPr>
                  </w:pPr>
                  <w:r>
                    <w:rPr>
                      <w:rFonts w:hint="eastAsia"/>
                      <w:color w:val="auto"/>
                      <w:lang w:val="en-US" w:eastAsia="zh-CN"/>
                    </w:rPr>
                    <w:t>沉淀池沉渣</w:t>
                  </w:r>
                </w:p>
              </w:tc>
              <w:tc>
                <w:tcPr>
                  <w:tcW w:w="549" w:type="pct"/>
                  <w:tcBorders>
                    <w:tl2br w:val="nil"/>
                    <w:tr2bl w:val="nil"/>
                  </w:tcBorders>
                  <w:noWrap w:val="0"/>
                  <w:vAlign w:val="center"/>
                </w:tcPr>
                <w:p w14:paraId="44F2123F">
                  <w:pPr>
                    <w:pStyle w:val="39"/>
                    <w:rPr>
                      <w:color w:val="auto"/>
                      <w:szCs w:val="21"/>
                    </w:rPr>
                  </w:pPr>
                  <w:r>
                    <w:rPr>
                      <w:color w:val="auto"/>
                      <w:szCs w:val="21"/>
                    </w:rPr>
                    <w:t>一般固废</w:t>
                  </w:r>
                </w:p>
              </w:tc>
              <w:tc>
                <w:tcPr>
                  <w:tcW w:w="861" w:type="pct"/>
                  <w:tcBorders>
                    <w:tl2br w:val="nil"/>
                    <w:tr2bl w:val="nil"/>
                  </w:tcBorders>
                  <w:noWrap w:val="0"/>
                  <w:vAlign w:val="center"/>
                </w:tcPr>
                <w:p w14:paraId="4F9A842F">
                  <w:pPr>
                    <w:pStyle w:val="39"/>
                    <w:rPr>
                      <w:rFonts w:hint="default" w:ascii="Times New Roman" w:hAnsi="Times New Roman" w:cs="Times New Roman"/>
                      <w:color w:val="auto"/>
                      <w:lang w:val="en-US" w:eastAsia="zh-CN"/>
                    </w:rPr>
                  </w:pPr>
                  <w:r>
                    <w:rPr>
                      <w:rFonts w:hint="eastAsia"/>
                      <w:color w:val="auto"/>
                      <w:sz w:val="21"/>
                      <w:szCs w:val="21"/>
                      <w:lang w:val="en-US" w:eastAsia="zh-CN"/>
                    </w:rPr>
                    <w:t>900-099-17</w:t>
                  </w:r>
                </w:p>
              </w:tc>
              <w:tc>
                <w:tcPr>
                  <w:tcW w:w="480" w:type="pct"/>
                  <w:tcBorders>
                    <w:tl2br w:val="nil"/>
                    <w:tr2bl w:val="nil"/>
                  </w:tcBorders>
                  <w:noWrap w:val="0"/>
                  <w:vAlign w:val="center"/>
                </w:tcPr>
                <w:p w14:paraId="33C63976">
                  <w:pPr>
                    <w:pStyle w:val="29"/>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固态</w:t>
                  </w:r>
                </w:p>
              </w:tc>
              <w:tc>
                <w:tcPr>
                  <w:tcW w:w="589" w:type="pct"/>
                  <w:tcBorders>
                    <w:tl2br w:val="nil"/>
                    <w:tr2bl w:val="nil"/>
                  </w:tcBorders>
                  <w:noWrap w:val="0"/>
                  <w:vAlign w:val="center"/>
                </w:tcPr>
                <w:p w14:paraId="0E79E4E9">
                  <w:pPr>
                    <w:pStyle w:val="29"/>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1</w:t>
                  </w:r>
                </w:p>
              </w:tc>
              <w:tc>
                <w:tcPr>
                  <w:tcW w:w="869" w:type="pct"/>
                  <w:tcBorders>
                    <w:tl2br w:val="nil"/>
                    <w:tr2bl w:val="nil"/>
                  </w:tcBorders>
                  <w:noWrap w:val="0"/>
                  <w:vAlign w:val="center"/>
                </w:tcPr>
                <w:p w14:paraId="5F542C18">
                  <w:pPr>
                    <w:pStyle w:val="29"/>
                    <w:jc w:val="both"/>
                    <w:rPr>
                      <w:rFonts w:hint="default" w:eastAsia="宋体"/>
                      <w:color w:val="auto"/>
                      <w:lang w:val="en-US" w:eastAsia="zh-CN"/>
                    </w:rPr>
                  </w:pPr>
                  <w:r>
                    <w:rPr>
                      <w:rFonts w:hint="eastAsia"/>
                      <w:color w:val="auto"/>
                      <w:lang w:val="en-US" w:eastAsia="zh-CN"/>
                    </w:rPr>
                    <w:t>定期清运，回用于生产</w:t>
                  </w:r>
                </w:p>
              </w:tc>
              <w:tc>
                <w:tcPr>
                  <w:tcW w:w="613" w:type="pct"/>
                  <w:tcBorders>
                    <w:right w:val="nil"/>
                    <w:tl2br w:val="nil"/>
                    <w:tr2bl w:val="nil"/>
                  </w:tcBorders>
                  <w:noWrap w:val="0"/>
                  <w:vAlign w:val="center"/>
                </w:tcPr>
                <w:p w14:paraId="7E597783">
                  <w:pPr>
                    <w:pStyle w:val="29"/>
                    <w:jc w:val="both"/>
                    <w:rPr>
                      <w:rFonts w:hint="eastAsia" w:eastAsia="宋体"/>
                      <w:color w:val="auto"/>
                      <w:lang w:val="en-US" w:eastAsia="zh-CN"/>
                    </w:rPr>
                  </w:pPr>
                  <w:r>
                    <w:rPr>
                      <w:rFonts w:hint="eastAsia"/>
                      <w:color w:val="auto"/>
                      <w:lang w:val="en-US" w:eastAsia="zh-CN"/>
                    </w:rPr>
                    <w:t>回用于生产</w:t>
                  </w:r>
                </w:p>
              </w:tc>
            </w:tr>
            <w:tr w14:paraId="14527EA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left w:val="nil"/>
                    <w:tl2br w:val="nil"/>
                    <w:tr2bl w:val="nil"/>
                  </w:tcBorders>
                  <w:noWrap w:val="0"/>
                  <w:vAlign w:val="center"/>
                </w:tcPr>
                <w:p w14:paraId="1D2A1327">
                  <w:pPr>
                    <w:pStyle w:val="29"/>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6</w:t>
                  </w:r>
                </w:p>
              </w:tc>
              <w:tc>
                <w:tcPr>
                  <w:tcW w:w="297" w:type="pct"/>
                  <w:tcBorders>
                    <w:tl2br w:val="nil"/>
                    <w:tr2bl w:val="nil"/>
                  </w:tcBorders>
                  <w:noWrap w:val="0"/>
                  <w:vAlign w:val="center"/>
                </w:tcPr>
                <w:p w14:paraId="1A428122">
                  <w:pPr>
                    <w:pStyle w:val="29"/>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生产过程</w:t>
                  </w:r>
                </w:p>
              </w:tc>
              <w:tc>
                <w:tcPr>
                  <w:tcW w:w="518" w:type="pct"/>
                  <w:tcBorders>
                    <w:tl2br w:val="nil"/>
                    <w:tr2bl w:val="nil"/>
                  </w:tcBorders>
                  <w:noWrap w:val="0"/>
                  <w:vAlign w:val="center"/>
                </w:tcPr>
                <w:p w14:paraId="1CA39E35">
                  <w:pPr>
                    <w:pStyle w:val="39"/>
                    <w:rPr>
                      <w:rFonts w:hint="eastAsia"/>
                      <w:color w:val="auto"/>
                      <w:lang w:val="en-US" w:eastAsia="zh-CN"/>
                    </w:rPr>
                  </w:pPr>
                  <w:r>
                    <w:rPr>
                      <w:rFonts w:hint="eastAsia"/>
                      <w:color w:val="auto"/>
                      <w:lang w:val="en-US" w:eastAsia="zh-CN"/>
                    </w:rPr>
                    <w:t>废包装材料</w:t>
                  </w:r>
                </w:p>
              </w:tc>
              <w:tc>
                <w:tcPr>
                  <w:tcW w:w="549" w:type="pct"/>
                  <w:tcBorders>
                    <w:tl2br w:val="nil"/>
                    <w:tr2bl w:val="nil"/>
                  </w:tcBorders>
                  <w:noWrap w:val="0"/>
                  <w:vAlign w:val="center"/>
                </w:tcPr>
                <w:p w14:paraId="5386FD67">
                  <w:pPr>
                    <w:pStyle w:val="39"/>
                    <w:rPr>
                      <w:color w:val="auto"/>
                      <w:szCs w:val="21"/>
                    </w:rPr>
                  </w:pPr>
                  <w:r>
                    <w:rPr>
                      <w:color w:val="auto"/>
                      <w:szCs w:val="21"/>
                    </w:rPr>
                    <w:t>一般固废</w:t>
                  </w:r>
                </w:p>
              </w:tc>
              <w:tc>
                <w:tcPr>
                  <w:tcW w:w="861" w:type="pct"/>
                  <w:tcBorders>
                    <w:tl2br w:val="nil"/>
                    <w:tr2bl w:val="nil"/>
                  </w:tcBorders>
                  <w:noWrap w:val="0"/>
                  <w:vAlign w:val="center"/>
                </w:tcPr>
                <w:p w14:paraId="74A0D294">
                  <w:pPr>
                    <w:pStyle w:val="39"/>
                    <w:rPr>
                      <w:rFonts w:hint="eastAsia"/>
                      <w:color w:val="auto"/>
                      <w:sz w:val="21"/>
                      <w:szCs w:val="21"/>
                      <w:lang w:val="en-US" w:eastAsia="zh-CN"/>
                    </w:rPr>
                  </w:pPr>
                  <w:r>
                    <w:rPr>
                      <w:rFonts w:hint="eastAsia"/>
                      <w:color w:val="auto"/>
                      <w:sz w:val="21"/>
                      <w:szCs w:val="21"/>
                      <w:lang w:val="en-US" w:eastAsia="zh-CN"/>
                    </w:rPr>
                    <w:t>900-009-17</w:t>
                  </w:r>
                </w:p>
              </w:tc>
              <w:tc>
                <w:tcPr>
                  <w:tcW w:w="480" w:type="pct"/>
                  <w:tcBorders>
                    <w:tl2br w:val="nil"/>
                    <w:tr2bl w:val="nil"/>
                  </w:tcBorders>
                  <w:noWrap w:val="0"/>
                  <w:vAlign w:val="center"/>
                </w:tcPr>
                <w:p w14:paraId="697E4533">
                  <w:pPr>
                    <w:pStyle w:val="29"/>
                    <w:jc w:val="center"/>
                    <w:rPr>
                      <w:rFonts w:hint="eastAsia"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固态</w:t>
                  </w:r>
                </w:p>
              </w:tc>
              <w:tc>
                <w:tcPr>
                  <w:tcW w:w="589" w:type="pct"/>
                  <w:tcBorders>
                    <w:tl2br w:val="nil"/>
                    <w:tr2bl w:val="nil"/>
                  </w:tcBorders>
                  <w:noWrap w:val="0"/>
                  <w:vAlign w:val="center"/>
                </w:tcPr>
                <w:p w14:paraId="3E8663AE">
                  <w:pPr>
                    <w:pStyle w:val="29"/>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0.1</w:t>
                  </w:r>
                </w:p>
              </w:tc>
              <w:tc>
                <w:tcPr>
                  <w:tcW w:w="869" w:type="pct"/>
                  <w:tcBorders>
                    <w:tl2br w:val="nil"/>
                    <w:tr2bl w:val="nil"/>
                  </w:tcBorders>
                  <w:noWrap w:val="0"/>
                  <w:vAlign w:val="center"/>
                </w:tcPr>
                <w:p w14:paraId="76A83425">
                  <w:pPr>
                    <w:pStyle w:val="29"/>
                    <w:jc w:val="both"/>
                    <w:rPr>
                      <w:rFonts w:hint="default"/>
                      <w:color w:val="auto"/>
                      <w:lang w:val="en-US" w:eastAsia="zh-CN"/>
                    </w:rPr>
                  </w:pPr>
                  <w:r>
                    <w:rPr>
                      <w:rFonts w:hint="eastAsia"/>
                      <w:color w:val="auto"/>
                      <w:lang w:val="en-US" w:eastAsia="zh-CN"/>
                    </w:rPr>
                    <w:t>统一收集</w:t>
                  </w:r>
                </w:p>
              </w:tc>
              <w:tc>
                <w:tcPr>
                  <w:tcW w:w="613" w:type="pct"/>
                  <w:tcBorders>
                    <w:right w:val="nil"/>
                    <w:tl2br w:val="nil"/>
                    <w:tr2bl w:val="nil"/>
                  </w:tcBorders>
                  <w:noWrap w:val="0"/>
                  <w:vAlign w:val="center"/>
                </w:tcPr>
                <w:p w14:paraId="28A87278">
                  <w:pPr>
                    <w:pStyle w:val="29"/>
                    <w:jc w:val="both"/>
                    <w:rPr>
                      <w:rFonts w:hint="eastAsia"/>
                      <w:color w:val="auto"/>
                      <w:lang w:val="en-US" w:eastAsia="zh-CN"/>
                    </w:rPr>
                  </w:pPr>
                  <w:r>
                    <w:rPr>
                      <w:rFonts w:ascii="Times New Roman" w:hAnsi="Times New Roman" w:cs="Times New Roman"/>
                      <w:color w:val="auto"/>
                      <w:szCs w:val="21"/>
                    </w:rPr>
                    <w:t>由当地环卫部门统一处理</w:t>
                  </w:r>
                </w:p>
              </w:tc>
            </w:tr>
            <w:tr w14:paraId="6FD4E98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23" w:hRule="atLeast"/>
                <w:jc w:val="center"/>
              </w:trPr>
              <w:tc>
                <w:tcPr>
                  <w:tcW w:w="220" w:type="pct"/>
                  <w:tcBorders>
                    <w:left w:val="nil"/>
                    <w:bottom w:val="single" w:color="000000" w:sz="12" w:space="0"/>
                    <w:tl2br w:val="nil"/>
                    <w:tr2bl w:val="nil"/>
                  </w:tcBorders>
                  <w:noWrap w:val="0"/>
                  <w:vAlign w:val="center"/>
                </w:tcPr>
                <w:p w14:paraId="672B6B04">
                  <w:pPr>
                    <w:pStyle w:val="29"/>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6</w:t>
                  </w:r>
                </w:p>
              </w:tc>
              <w:tc>
                <w:tcPr>
                  <w:tcW w:w="297" w:type="pct"/>
                  <w:tcBorders>
                    <w:bottom w:val="single" w:color="000000" w:sz="12" w:space="0"/>
                    <w:tl2br w:val="nil"/>
                    <w:tr2bl w:val="nil"/>
                  </w:tcBorders>
                  <w:noWrap w:val="0"/>
                  <w:vAlign w:val="center"/>
                </w:tcPr>
                <w:p w14:paraId="1866EAAE">
                  <w:pPr>
                    <w:pStyle w:val="29"/>
                    <w:jc w:val="center"/>
                    <w:rPr>
                      <w:rFonts w:ascii="Times New Roman" w:hAnsi="Times New Roman" w:cs="Times New Roman"/>
                      <w:color w:val="auto"/>
                      <w:szCs w:val="21"/>
                    </w:rPr>
                  </w:pPr>
                  <w:r>
                    <w:rPr>
                      <w:rFonts w:ascii="Times New Roman" w:hAnsi="Times New Roman" w:cs="Times New Roman"/>
                      <w:color w:val="auto"/>
                      <w:szCs w:val="21"/>
                    </w:rPr>
                    <w:t>机械维修</w:t>
                  </w:r>
                </w:p>
              </w:tc>
              <w:tc>
                <w:tcPr>
                  <w:tcW w:w="518" w:type="pct"/>
                  <w:tcBorders>
                    <w:bottom w:val="single" w:color="000000" w:sz="12" w:space="0"/>
                    <w:tl2br w:val="nil"/>
                    <w:tr2bl w:val="nil"/>
                  </w:tcBorders>
                  <w:noWrap w:val="0"/>
                  <w:vAlign w:val="center"/>
                </w:tcPr>
                <w:p w14:paraId="7CAFAFE4">
                  <w:pPr>
                    <w:pStyle w:val="29"/>
                    <w:jc w:val="center"/>
                    <w:rPr>
                      <w:rFonts w:hint="default" w:ascii="Times New Roman" w:hAnsi="Times New Roman" w:eastAsia="宋体" w:cs="Times New Roman"/>
                      <w:color w:val="auto"/>
                      <w:szCs w:val="21"/>
                      <w:lang w:val="en-US" w:eastAsia="zh-CN"/>
                    </w:rPr>
                  </w:pPr>
                  <w:r>
                    <w:rPr>
                      <w:rFonts w:ascii="Times New Roman" w:hAnsi="Times New Roman" w:cs="Times New Roman"/>
                      <w:color w:val="auto"/>
                      <w:szCs w:val="21"/>
                    </w:rPr>
                    <w:t>废</w:t>
                  </w:r>
                  <w:r>
                    <w:rPr>
                      <w:rFonts w:ascii="Times New Roman" w:hAnsi="Times New Roman" w:cs="Times New Roman"/>
                      <w:color w:val="auto"/>
                      <w:szCs w:val="21"/>
                      <w:lang w:val="en-US"/>
                    </w:rPr>
                    <w:t>机</w:t>
                  </w:r>
                  <w:r>
                    <w:rPr>
                      <w:rFonts w:ascii="Times New Roman" w:hAnsi="Times New Roman" w:cs="Times New Roman"/>
                      <w:color w:val="auto"/>
                      <w:szCs w:val="21"/>
                    </w:rPr>
                    <w:t>油</w:t>
                  </w:r>
                  <w:r>
                    <w:rPr>
                      <w:rFonts w:hint="eastAsia" w:ascii="Times New Roman" w:hAnsi="Times New Roman" w:cs="Times New Roman"/>
                      <w:color w:val="auto"/>
                      <w:szCs w:val="21"/>
                      <w:lang w:val="en-US" w:eastAsia="zh-CN"/>
                    </w:rPr>
                    <w:t>及废机油桶</w:t>
                  </w:r>
                </w:p>
              </w:tc>
              <w:tc>
                <w:tcPr>
                  <w:tcW w:w="549" w:type="pct"/>
                  <w:tcBorders>
                    <w:bottom w:val="single" w:color="000000" w:sz="12" w:space="0"/>
                    <w:tl2br w:val="nil"/>
                    <w:tr2bl w:val="nil"/>
                  </w:tcBorders>
                  <w:noWrap w:val="0"/>
                  <w:vAlign w:val="center"/>
                </w:tcPr>
                <w:p w14:paraId="4873CFD2">
                  <w:pPr>
                    <w:pStyle w:val="29"/>
                    <w:jc w:val="center"/>
                    <w:rPr>
                      <w:rFonts w:ascii="Times New Roman" w:hAnsi="Times New Roman" w:cs="Times New Roman"/>
                      <w:color w:val="auto"/>
                      <w:szCs w:val="21"/>
                    </w:rPr>
                  </w:pPr>
                  <w:r>
                    <w:rPr>
                      <w:rFonts w:ascii="Times New Roman" w:hAnsi="Times New Roman" w:cs="Times New Roman"/>
                      <w:color w:val="auto"/>
                      <w:szCs w:val="21"/>
                    </w:rPr>
                    <w:t>危险废物</w:t>
                  </w:r>
                </w:p>
              </w:tc>
              <w:tc>
                <w:tcPr>
                  <w:tcW w:w="861" w:type="pct"/>
                  <w:tcBorders>
                    <w:bottom w:val="single" w:color="000000" w:sz="12" w:space="0"/>
                    <w:tl2br w:val="nil"/>
                    <w:tr2bl w:val="nil"/>
                  </w:tcBorders>
                  <w:noWrap w:val="0"/>
                  <w:vAlign w:val="center"/>
                </w:tcPr>
                <w:p w14:paraId="420FDF5C">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HW08</w:t>
                  </w:r>
                </w:p>
                <w:p w14:paraId="346430E5">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900-214-08</w:t>
                  </w:r>
                </w:p>
              </w:tc>
              <w:tc>
                <w:tcPr>
                  <w:tcW w:w="480" w:type="pct"/>
                  <w:tcBorders>
                    <w:bottom w:val="single" w:color="000000" w:sz="12" w:space="0"/>
                    <w:tl2br w:val="nil"/>
                    <w:tr2bl w:val="nil"/>
                  </w:tcBorders>
                  <w:noWrap w:val="0"/>
                  <w:vAlign w:val="center"/>
                </w:tcPr>
                <w:p w14:paraId="66304B50">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液态</w:t>
                  </w:r>
                </w:p>
              </w:tc>
              <w:tc>
                <w:tcPr>
                  <w:tcW w:w="589" w:type="pct"/>
                  <w:tcBorders>
                    <w:bottom w:val="single" w:color="000000" w:sz="12" w:space="0"/>
                    <w:tl2br w:val="nil"/>
                    <w:tr2bl w:val="nil"/>
                  </w:tcBorders>
                  <w:noWrap w:val="0"/>
                  <w:vAlign w:val="center"/>
                </w:tcPr>
                <w:p w14:paraId="740D726A">
                  <w:pPr>
                    <w:pStyle w:val="29"/>
                    <w:jc w:val="center"/>
                    <w:rPr>
                      <w:rFonts w:hint="default" w:ascii="Times New Roman" w:hAnsi="Times New Roman" w:cs="Times New Roman"/>
                      <w:color w:val="auto"/>
                      <w:szCs w:val="21"/>
                    </w:rPr>
                  </w:pPr>
                  <w:r>
                    <w:rPr>
                      <w:rFonts w:hint="default" w:ascii="Times New Roman" w:hAnsi="Times New Roman" w:cs="Times New Roman"/>
                      <w:color w:val="auto"/>
                      <w:szCs w:val="21"/>
                    </w:rPr>
                    <w:t>0.1</w:t>
                  </w:r>
                </w:p>
              </w:tc>
              <w:tc>
                <w:tcPr>
                  <w:tcW w:w="869" w:type="pct"/>
                  <w:tcBorders>
                    <w:bottom w:val="single" w:color="000000" w:sz="12" w:space="0"/>
                    <w:tl2br w:val="nil"/>
                    <w:tr2bl w:val="nil"/>
                  </w:tcBorders>
                  <w:noWrap w:val="0"/>
                  <w:vAlign w:val="center"/>
                </w:tcPr>
                <w:p w14:paraId="5CB2A593">
                  <w:pPr>
                    <w:pStyle w:val="29"/>
                    <w:jc w:val="both"/>
                    <w:rPr>
                      <w:rFonts w:ascii="Times New Roman" w:hAnsi="Times New Roman" w:cs="Times New Roman"/>
                      <w:color w:val="auto"/>
                      <w:szCs w:val="21"/>
                    </w:rPr>
                  </w:pPr>
                  <w:r>
                    <w:rPr>
                      <w:rFonts w:ascii="Times New Roman" w:hAnsi="Times New Roman" w:cs="Times New Roman"/>
                      <w:color w:val="auto"/>
                      <w:szCs w:val="21"/>
                    </w:rPr>
                    <w:t>暂存于危废暂存间内，定期交由有资质单位处理</w:t>
                  </w:r>
                </w:p>
              </w:tc>
              <w:tc>
                <w:tcPr>
                  <w:tcW w:w="613" w:type="pct"/>
                  <w:tcBorders>
                    <w:bottom w:val="single" w:color="000000" w:sz="12" w:space="0"/>
                    <w:right w:val="nil"/>
                    <w:tl2br w:val="nil"/>
                    <w:tr2bl w:val="nil"/>
                  </w:tcBorders>
                  <w:noWrap w:val="0"/>
                  <w:vAlign w:val="center"/>
                </w:tcPr>
                <w:p w14:paraId="6768C7A7">
                  <w:pPr>
                    <w:pStyle w:val="29"/>
                    <w:jc w:val="both"/>
                    <w:rPr>
                      <w:rFonts w:ascii="Times New Roman" w:hAnsi="Times New Roman" w:cs="Times New Roman"/>
                      <w:color w:val="auto"/>
                      <w:szCs w:val="21"/>
                    </w:rPr>
                  </w:pPr>
                  <w:r>
                    <w:rPr>
                      <w:rFonts w:ascii="Times New Roman" w:hAnsi="Times New Roman" w:cs="Times New Roman"/>
                      <w:color w:val="auto"/>
                      <w:szCs w:val="21"/>
                    </w:rPr>
                    <w:t>有资质单位处理</w:t>
                  </w:r>
                </w:p>
              </w:tc>
            </w:tr>
          </w:tbl>
          <w:p w14:paraId="6E89CC9D">
            <w:pPr>
              <w:spacing w:line="360" w:lineRule="auto"/>
              <w:rPr>
                <w:color w:val="auto"/>
              </w:rPr>
            </w:pPr>
            <w:r>
              <w:rPr>
                <w:b/>
                <w:bCs/>
                <w:color w:val="auto"/>
                <w:sz w:val="24"/>
              </w:rPr>
              <w:t>4.2固废环境管理要求及措施</w:t>
            </w:r>
          </w:p>
          <w:p w14:paraId="7A0E1D58">
            <w:pPr>
              <w:spacing w:line="360" w:lineRule="auto"/>
              <w:ind w:firstLine="480" w:firstLineChars="200"/>
              <w:jc w:val="both"/>
              <w:rPr>
                <w:color w:val="auto"/>
              </w:rPr>
            </w:pPr>
            <w:r>
              <w:rPr>
                <w:color w:val="auto"/>
                <w:sz w:val="24"/>
              </w:rPr>
              <w:t>本项目生活垃圾暂存于垃圾桶、袋中，集中收集后交环卫部门处理，</w:t>
            </w:r>
            <w:r>
              <w:rPr>
                <w:rFonts w:hint="eastAsia"/>
                <w:color w:val="auto"/>
                <w:sz w:val="24"/>
              </w:rPr>
              <w:t>废金属边角料</w:t>
            </w:r>
            <w:r>
              <w:rPr>
                <w:color w:val="auto"/>
                <w:sz w:val="24"/>
              </w:rPr>
              <w:t>统一收集外售物资回收单位</w:t>
            </w:r>
            <w:r>
              <w:rPr>
                <w:rFonts w:hint="eastAsia"/>
                <w:color w:val="auto"/>
                <w:sz w:val="24"/>
              </w:rPr>
              <w:t>、项目产生的除尘灰经布袋收集后回用于搅拌及拌合工序，</w:t>
            </w:r>
            <w:r>
              <w:rPr>
                <w:color w:val="auto"/>
                <w:sz w:val="24"/>
              </w:rPr>
              <w:t>危险废物废机油</w:t>
            </w:r>
            <w:r>
              <w:rPr>
                <w:rStyle w:val="48"/>
                <w:color w:val="auto"/>
                <w:sz w:val="24"/>
                <w:szCs w:val="24"/>
              </w:rPr>
              <w:t>集中收集在危险废物暂存间内，定期委托有资质的单位处置。建设单位</w:t>
            </w:r>
            <w:r>
              <w:rPr>
                <w:color w:val="auto"/>
                <w:sz w:val="24"/>
              </w:rPr>
              <w:t>严格按照《一般工业固体废物贮存和填埋污染控制标准》（GB18599-2020）对固体废物进行处理处置。</w:t>
            </w:r>
          </w:p>
          <w:p w14:paraId="19B19578">
            <w:pPr>
              <w:wordWrap w:val="0"/>
              <w:spacing w:line="360" w:lineRule="auto"/>
              <w:ind w:firstLine="482"/>
              <w:jc w:val="both"/>
              <w:rPr>
                <w:color w:val="auto"/>
                <w:sz w:val="24"/>
              </w:rPr>
            </w:pPr>
            <w:r>
              <w:rPr>
                <w:color w:val="auto"/>
                <w:sz w:val="24"/>
              </w:rPr>
              <w:t>本项目危险废物贮存在危险废物暂存间内，危废暂存间按照</w:t>
            </w:r>
            <w:r>
              <w:rPr>
                <w:rFonts w:hint="eastAsia"/>
                <w:color w:val="auto"/>
                <w:sz w:val="24"/>
              </w:rPr>
              <w:t>《危险废物贮存污染控制标准》（GB18597-2023）</w:t>
            </w:r>
            <w:r>
              <w:rPr>
                <w:color w:val="auto"/>
                <w:kern w:val="0"/>
                <w:sz w:val="24"/>
                <w:lang w:bidi="ar"/>
              </w:rPr>
              <w:t>中</w:t>
            </w:r>
            <w:r>
              <w:rPr>
                <w:color w:val="auto"/>
                <w:sz w:val="24"/>
              </w:rPr>
              <w:t>的要求，建设危废暂存间必须做防渗处理，并满足生态环境管理部门的要求，在醒目的位置安装危废的标识牌。危废暂存间用于暂存废机油，危险废物收集后存放于危废暂存间，并做好防扬散、防流失、防渗漏措施，由危废处置单位委托具有危险货物专业运输资质的运输单位进行承运，并根据规定实施危废转移联单制度。</w:t>
            </w:r>
          </w:p>
          <w:p w14:paraId="1E1E9AB5">
            <w:pPr>
              <w:spacing w:line="360" w:lineRule="auto"/>
              <w:ind w:firstLine="480" w:firstLineChars="200"/>
              <w:rPr>
                <w:color w:val="auto"/>
                <w:sz w:val="24"/>
              </w:rPr>
            </w:pPr>
            <w:r>
              <w:rPr>
                <w:color w:val="auto"/>
                <w:sz w:val="24"/>
              </w:rPr>
              <w:t>（1）贮存场所污染防治措施</w:t>
            </w:r>
          </w:p>
          <w:p w14:paraId="614601F8">
            <w:pPr>
              <w:spacing w:line="360" w:lineRule="auto"/>
              <w:ind w:firstLine="480" w:firstLineChars="200"/>
              <w:rPr>
                <w:rFonts w:hint="eastAsia" w:eastAsia="宋体"/>
                <w:color w:val="auto"/>
                <w:sz w:val="24"/>
                <w:lang w:eastAsia="zh-CN"/>
              </w:rPr>
            </w:pPr>
            <w:r>
              <w:rPr>
                <w:color w:val="auto"/>
                <w:sz w:val="24"/>
              </w:rPr>
              <w:t>项目危险废物暂存场所严格按照</w:t>
            </w:r>
            <w:r>
              <w:rPr>
                <w:rFonts w:hint="eastAsia"/>
                <w:color w:val="auto"/>
                <w:sz w:val="24"/>
              </w:rPr>
              <w:t>《危险废物贮存污染控制标准》（GB18597-2023）</w:t>
            </w:r>
            <w:r>
              <w:rPr>
                <w:color w:val="auto"/>
                <w:sz w:val="24"/>
              </w:rPr>
              <w:t>中的要求规范建设和维护使用，做到防扬散、防流失、防渗漏等措施，具体情况如下：</w:t>
            </w:r>
          </w:p>
          <w:p w14:paraId="14C57E32">
            <w:pPr>
              <w:spacing w:line="360" w:lineRule="auto"/>
              <w:ind w:firstLine="480" w:firstLineChars="200"/>
              <w:rPr>
                <w:color w:val="auto"/>
                <w:sz w:val="24"/>
              </w:rPr>
            </w:pPr>
            <w:r>
              <w:rPr>
                <w:color w:val="auto"/>
                <w:sz w:val="24"/>
              </w:rPr>
              <w:t>①在危险废物暂存场所显著位置张贴危险废物的标识，根据</w:t>
            </w:r>
            <w:r>
              <w:rPr>
                <w:rFonts w:hint="eastAsia"/>
                <w:color w:val="auto"/>
                <w:sz w:val="24"/>
              </w:rPr>
              <w:t>《危险废物贮存污染控制标准》（GB18597-2023）</w:t>
            </w:r>
            <w:r>
              <w:rPr>
                <w:color w:val="auto"/>
                <w:sz w:val="24"/>
              </w:rPr>
              <w:t>中的相关要求，盛装危险废物的容器上必须粘贴符合标准的标签。</w:t>
            </w:r>
          </w:p>
          <w:p w14:paraId="2693A32F">
            <w:pPr>
              <w:spacing w:line="360" w:lineRule="auto"/>
              <w:ind w:firstLine="480" w:firstLineChars="200"/>
              <w:rPr>
                <w:color w:val="auto"/>
                <w:sz w:val="24"/>
              </w:rPr>
            </w:pPr>
            <w:r>
              <w:rPr>
                <w:color w:val="auto"/>
                <w:sz w:val="24"/>
              </w:rPr>
              <w:t>②本项目危险废物暂存场所按照</w:t>
            </w:r>
            <w:r>
              <w:rPr>
                <w:rFonts w:hint="eastAsia"/>
                <w:color w:val="auto"/>
                <w:sz w:val="24"/>
              </w:rPr>
              <w:t>《危险废物贮存污染控制标准》（GB18597-2023）</w:t>
            </w:r>
            <w:r>
              <w:rPr>
                <w:color w:val="auto"/>
                <w:sz w:val="24"/>
              </w:rPr>
              <w:t>中的要求进行建设，设置防渗、防漏等措施。</w:t>
            </w:r>
          </w:p>
          <w:p w14:paraId="2D484BFC">
            <w:pPr>
              <w:spacing w:line="360" w:lineRule="auto"/>
              <w:ind w:firstLine="480" w:firstLineChars="200"/>
              <w:rPr>
                <w:color w:val="auto"/>
                <w:sz w:val="24"/>
              </w:rPr>
            </w:pPr>
            <w:r>
              <w:rPr>
                <w:color w:val="auto"/>
                <w:sz w:val="24"/>
              </w:rPr>
              <w:t>③贮存场所地面须作硬化处理，设置废水导排管道或渠道，如产生冲洗废水需收集处理或纳入建设项目废水处理设施处理；贮存液态或半固态废物的，还应设置泄漏液体收集装置；场所应设置警示标志。装载危险废物的容器应确保完好无损。</w:t>
            </w:r>
          </w:p>
          <w:p w14:paraId="641703B3">
            <w:pPr>
              <w:spacing w:line="360" w:lineRule="auto"/>
              <w:ind w:firstLine="480" w:firstLineChars="200"/>
              <w:rPr>
                <w:color w:val="auto"/>
                <w:sz w:val="24"/>
              </w:rPr>
            </w:pPr>
            <w:r>
              <w:rPr>
                <w:color w:val="auto"/>
                <w:sz w:val="24"/>
              </w:rPr>
              <w:t>④项目应加强危险储存场所的安全防范措施，防止破损、倾倒等情况发生，防止出现危险废物渗滤液、有机废气等二次污染情况。</w:t>
            </w:r>
          </w:p>
          <w:p w14:paraId="46253F41">
            <w:pPr>
              <w:spacing w:line="360" w:lineRule="auto"/>
              <w:ind w:firstLine="480" w:firstLineChars="200"/>
              <w:rPr>
                <w:color w:val="auto"/>
                <w:sz w:val="24"/>
              </w:rPr>
            </w:pPr>
            <w:r>
              <w:rPr>
                <w:color w:val="auto"/>
                <w:sz w:val="24"/>
              </w:rPr>
              <w:t>（2）管理制度建设</w:t>
            </w:r>
          </w:p>
          <w:p w14:paraId="5567B268">
            <w:pPr>
              <w:spacing w:line="360" w:lineRule="auto"/>
              <w:ind w:firstLine="480" w:firstLineChars="200"/>
              <w:rPr>
                <w:rFonts w:hint="eastAsia" w:eastAsia="宋体"/>
                <w:color w:val="auto"/>
                <w:sz w:val="24"/>
                <w:lang w:eastAsia="zh-CN"/>
              </w:rPr>
            </w:pPr>
            <w:r>
              <w:rPr>
                <w:color w:val="auto"/>
                <w:sz w:val="24"/>
              </w:rPr>
              <w:t>①建立固废防治责任制度：建设单位按要求建立、健全污染环境防治责任制度，明确责任人。负责人熟悉危险废物管理相关法规、制度、标准、规范。</w:t>
            </w:r>
          </w:p>
          <w:p w14:paraId="6384EC3B">
            <w:pPr>
              <w:spacing w:line="360" w:lineRule="auto"/>
              <w:ind w:firstLine="480" w:firstLineChars="200"/>
              <w:rPr>
                <w:color w:val="auto"/>
                <w:sz w:val="24"/>
              </w:rPr>
            </w:pPr>
            <w:r>
              <w:rPr>
                <w:color w:val="auto"/>
                <w:sz w:val="24"/>
              </w:rPr>
              <w:t>②制定危险废物管理计划：按要求制定危险废物管理计划，计划涵盖危险废物的产生环节、种类、危害特性、产生量、利用处置方式并报环保部门备案，如发生重大改变及时申报。</w:t>
            </w:r>
          </w:p>
          <w:p w14:paraId="307E7BAA">
            <w:pPr>
              <w:spacing w:line="360" w:lineRule="auto"/>
              <w:ind w:firstLine="480" w:firstLineChars="200"/>
              <w:rPr>
                <w:rFonts w:hint="eastAsia" w:eastAsia="宋体"/>
                <w:color w:val="auto"/>
                <w:sz w:val="24"/>
                <w:lang w:eastAsia="zh-CN"/>
              </w:rPr>
            </w:pPr>
            <w:r>
              <w:rPr>
                <w:color w:val="auto"/>
                <w:sz w:val="24"/>
              </w:rPr>
              <w:t>③建立申报登记制度：如实地向所在地县级以上地方人民政府环境保护行政主管部门申报危险废物的种类、产生量、流向、贮存、处置等有关资料。</w:t>
            </w:r>
          </w:p>
          <w:p w14:paraId="6EFBCD87">
            <w:pPr>
              <w:spacing w:line="360" w:lineRule="auto"/>
              <w:ind w:firstLine="480" w:firstLineChars="200"/>
              <w:rPr>
                <w:color w:val="auto"/>
                <w:sz w:val="24"/>
              </w:rPr>
            </w:pPr>
            <w:r>
              <w:rPr>
                <w:color w:val="auto"/>
                <w:sz w:val="24"/>
              </w:rPr>
              <w:t>④固废的暂存制度：项目产生的危险废物贮存执行</w:t>
            </w:r>
            <w:r>
              <w:rPr>
                <w:rFonts w:hint="eastAsia"/>
                <w:color w:val="auto"/>
                <w:sz w:val="24"/>
              </w:rPr>
              <w:t>《危险废物贮存污染控制标准》（GB18597-2023）</w:t>
            </w:r>
            <w:r>
              <w:rPr>
                <w:color w:val="auto"/>
                <w:sz w:val="24"/>
              </w:rPr>
              <w:t>及《危险废物收集储存运输技术规范》（HJ2025-2012）中相关规定要求，根据危险废物的包装、贮存设施的选址、设计、运行、安全防护、监测和关闭等要求进行合理的贮存。</w:t>
            </w:r>
          </w:p>
          <w:p w14:paraId="0D9824CD">
            <w:pPr>
              <w:spacing w:line="360" w:lineRule="auto"/>
              <w:rPr>
                <w:b/>
                <w:bCs/>
                <w:color w:val="auto"/>
                <w:sz w:val="24"/>
              </w:rPr>
            </w:pPr>
            <w:r>
              <w:rPr>
                <w:b/>
                <w:bCs/>
                <w:color w:val="auto"/>
                <w:sz w:val="24"/>
              </w:rPr>
              <w:t>4.3危险废物转运要求</w:t>
            </w:r>
          </w:p>
          <w:p w14:paraId="4F42C77B">
            <w:pPr>
              <w:spacing w:line="360" w:lineRule="auto"/>
              <w:ind w:firstLine="480" w:firstLineChars="200"/>
              <w:rPr>
                <w:color w:val="auto"/>
                <w:sz w:val="24"/>
              </w:rPr>
            </w:pPr>
            <w:r>
              <w:rPr>
                <w:color w:val="auto"/>
                <w:sz w:val="24"/>
              </w:rPr>
              <w:t>①危险废物的运输应采取危险废物转移电子联单制度，保证运输安全，防止非法转移和非法处置，保证危险废物的安全监控，防止危险废物污染事故发生。②危险废物产生者和危险废物贮存设施经营者均须</w:t>
            </w:r>
            <w:r>
              <w:rPr>
                <w:rFonts w:hint="eastAsia"/>
                <w:color w:val="auto"/>
                <w:sz w:val="24"/>
              </w:rPr>
              <w:t>做好</w:t>
            </w:r>
            <w:r>
              <w:rPr>
                <w:color w:val="auto"/>
                <w:sz w:val="24"/>
              </w:rPr>
              <w:t>危险废物情况的记录，记录上须注明危险废物的名称、来源、数量、特性和包装容器的类别、入库日期、存放库位、废物出库日期及接收单位名称，危险废物的记录和货单在危险废物回收后应继续保留5年。</w:t>
            </w:r>
          </w:p>
          <w:p w14:paraId="2C0390B1">
            <w:pPr>
              <w:spacing w:line="360" w:lineRule="auto"/>
              <w:ind w:firstLine="480" w:firstLineChars="200"/>
              <w:rPr>
                <w:color w:val="auto"/>
                <w:sz w:val="24"/>
              </w:rPr>
            </w:pPr>
            <w:r>
              <w:rPr>
                <w:rFonts w:hint="eastAsia"/>
                <w:color w:val="auto"/>
                <w:sz w:val="24"/>
              </w:rPr>
              <w:t>③</w:t>
            </w:r>
            <w:r>
              <w:rPr>
                <w:color w:val="auto"/>
                <w:sz w:val="24"/>
              </w:rPr>
              <w:t>建设单位严格按照转移电子联单要求做好危废的去向记录，确保废物由有资质的单位进行处置，不得随意倾倒。针对危险废物，应严格按照《危险废物贮存污染控制标准</w:t>
            </w:r>
            <w:r>
              <w:rPr>
                <w:rFonts w:hint="eastAsia"/>
                <w:color w:val="auto"/>
                <w:sz w:val="24"/>
              </w:rPr>
              <w:t>》《</w:t>
            </w:r>
            <w:r>
              <w:rPr>
                <w:color w:val="auto"/>
                <w:sz w:val="24"/>
              </w:rPr>
              <w:t>危险废物转移管理办法》和“五联单”方式对危险废物进行暂存和转移管理，并及时交与具备处理资质的单位进行处理，将管理联单和危废处理协议送生态环境局备案。</w:t>
            </w:r>
          </w:p>
          <w:p w14:paraId="3BC39FB6">
            <w:pPr>
              <w:spacing w:line="360" w:lineRule="auto"/>
              <w:ind w:firstLine="480" w:firstLineChars="200"/>
              <w:rPr>
                <w:color w:val="auto"/>
                <w:sz w:val="24"/>
              </w:rPr>
            </w:pPr>
            <w:r>
              <w:rPr>
                <w:color w:val="auto"/>
                <w:sz w:val="24"/>
              </w:rPr>
              <w:t>综上所述，本项目的各类固体废物均能得到合理妥善的处置，因此对环境影响较小。</w:t>
            </w:r>
          </w:p>
          <w:p w14:paraId="6ADC8735">
            <w:pPr>
              <w:spacing w:line="360" w:lineRule="auto"/>
              <w:rPr>
                <w:b/>
                <w:bCs/>
                <w:color w:val="auto"/>
                <w:sz w:val="24"/>
              </w:rPr>
            </w:pPr>
            <w:r>
              <w:rPr>
                <w:b/>
                <w:bCs/>
                <w:color w:val="auto"/>
                <w:sz w:val="24"/>
              </w:rPr>
              <w:t>5.地下水、土壤防治措施</w:t>
            </w:r>
          </w:p>
          <w:p w14:paraId="299D25A7">
            <w:pPr>
              <w:spacing w:line="360" w:lineRule="auto"/>
              <w:ind w:firstLine="480" w:firstLineChars="200"/>
              <w:rPr>
                <w:color w:val="auto"/>
                <w:sz w:val="24"/>
                <w:lang w:val="zh-CN"/>
              </w:rPr>
            </w:pPr>
            <w:r>
              <w:rPr>
                <w:color w:val="auto"/>
                <w:sz w:val="24"/>
                <w:lang w:val="zh-CN"/>
              </w:rPr>
              <w:t>根据《环境影响评价技术导则地下水环境》（HJ6010-2016）中附录A确定建设项目所属的地下水环境影响评价项目类别，</w:t>
            </w:r>
            <w:r>
              <w:rPr>
                <w:color w:val="auto"/>
                <w:sz w:val="24"/>
              </w:rPr>
              <w:t>本项目属于J非金属矿采选及制品制造—60、</w:t>
            </w:r>
            <w:r>
              <w:rPr>
                <w:rFonts w:hint="eastAsia"/>
                <w:color w:val="auto"/>
                <w:sz w:val="24"/>
              </w:rPr>
              <w:t>水泥制品制造</w:t>
            </w:r>
            <w:r>
              <w:rPr>
                <w:color w:val="auto"/>
                <w:sz w:val="24"/>
              </w:rPr>
              <w:t>、商品</w:t>
            </w:r>
            <w:r>
              <w:rPr>
                <w:rFonts w:hint="eastAsia"/>
                <w:color w:val="auto"/>
                <w:sz w:val="24"/>
              </w:rPr>
              <w:t>水泥制品</w:t>
            </w:r>
            <w:r>
              <w:rPr>
                <w:color w:val="auto"/>
                <w:sz w:val="24"/>
              </w:rPr>
              <w:t>加工—报告表</w:t>
            </w:r>
            <w:r>
              <w:rPr>
                <w:color w:val="auto"/>
                <w:sz w:val="24"/>
                <w:lang w:val="zh-CN"/>
              </w:rPr>
              <w:t>Ⅳ类。本项目地下水环境影响评价类别为Ⅳ类，根据《环境影响评价技术导则地下水环境》（HJ6010-2016）Ⅳ类建设项目可不开展地下水环境影响评价。</w:t>
            </w:r>
          </w:p>
          <w:p w14:paraId="190DCD63">
            <w:pPr>
              <w:spacing w:line="360" w:lineRule="auto"/>
              <w:ind w:firstLine="480" w:firstLineChars="200"/>
              <w:rPr>
                <w:color w:val="auto"/>
                <w:sz w:val="24"/>
              </w:rPr>
            </w:pPr>
            <w:r>
              <w:rPr>
                <w:color w:val="auto"/>
                <w:sz w:val="24"/>
              </w:rPr>
              <w:t>根据项目特点，进行分区并对不同分区采取相应的防渗措施。</w:t>
            </w:r>
          </w:p>
          <w:p w14:paraId="17F05981">
            <w:pPr>
              <w:spacing w:line="360" w:lineRule="auto"/>
              <w:ind w:firstLine="480" w:firstLineChars="200"/>
              <w:rPr>
                <w:color w:val="auto"/>
                <w:sz w:val="24"/>
              </w:rPr>
            </w:pPr>
            <w:r>
              <w:rPr>
                <w:color w:val="auto"/>
                <w:sz w:val="24"/>
              </w:rPr>
              <w:t>（1）防渗分区</w:t>
            </w:r>
          </w:p>
          <w:p w14:paraId="3E224393">
            <w:pPr>
              <w:spacing w:line="360" w:lineRule="auto"/>
              <w:ind w:firstLine="480" w:firstLineChars="200"/>
              <w:rPr>
                <w:color w:val="auto"/>
                <w:sz w:val="24"/>
              </w:rPr>
            </w:pPr>
            <w:r>
              <w:rPr>
                <w:color w:val="auto"/>
                <w:sz w:val="24"/>
              </w:rPr>
              <w:t>根据装置、单元的特点和所处的区域及部位，本项目厂区划分为一般污染防治区、重点污染防治区、简单防渗区。</w:t>
            </w:r>
          </w:p>
          <w:p w14:paraId="78B27AC9">
            <w:pPr>
              <w:spacing w:line="360" w:lineRule="auto"/>
              <w:ind w:firstLine="480" w:firstLineChars="200"/>
              <w:rPr>
                <w:color w:val="auto"/>
                <w:sz w:val="24"/>
              </w:rPr>
            </w:pPr>
            <w:r>
              <w:rPr>
                <w:color w:val="auto"/>
                <w:sz w:val="24"/>
              </w:rPr>
              <w:t>重点污染防治区：危废暂存间</w:t>
            </w:r>
            <w:r>
              <w:rPr>
                <w:rFonts w:hint="eastAsia"/>
                <w:color w:val="auto"/>
                <w:sz w:val="24"/>
                <w:lang w:eastAsia="zh-CN"/>
              </w:rPr>
              <w:t>、</w:t>
            </w:r>
            <w:r>
              <w:rPr>
                <w:rFonts w:hint="eastAsia"/>
                <w:color w:val="auto"/>
                <w:sz w:val="24"/>
                <w:lang w:val="en-US" w:eastAsia="zh-CN"/>
              </w:rPr>
              <w:t>沉淀池</w:t>
            </w:r>
            <w:r>
              <w:rPr>
                <w:color w:val="auto"/>
                <w:sz w:val="24"/>
              </w:rPr>
              <w:t>。</w:t>
            </w:r>
          </w:p>
          <w:p w14:paraId="0577A154">
            <w:pPr>
              <w:spacing w:line="360" w:lineRule="auto"/>
              <w:ind w:firstLine="480" w:firstLineChars="200"/>
              <w:rPr>
                <w:color w:val="auto"/>
                <w:sz w:val="24"/>
              </w:rPr>
            </w:pPr>
            <w:r>
              <w:rPr>
                <w:color w:val="auto"/>
                <w:sz w:val="24"/>
              </w:rPr>
              <w:t>一般污染防治区：生产车间。</w:t>
            </w:r>
          </w:p>
          <w:p w14:paraId="0F50E158">
            <w:pPr>
              <w:spacing w:line="360" w:lineRule="auto"/>
              <w:ind w:firstLine="480" w:firstLineChars="200"/>
              <w:rPr>
                <w:color w:val="auto"/>
                <w:sz w:val="24"/>
              </w:rPr>
            </w:pPr>
            <w:r>
              <w:rPr>
                <w:color w:val="auto"/>
                <w:sz w:val="24"/>
              </w:rPr>
              <w:t>简单污染防治区：生活区、进出场道路。</w:t>
            </w:r>
          </w:p>
          <w:p w14:paraId="3BFA261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color w:val="auto"/>
                <w:sz w:val="24"/>
              </w:rPr>
            </w:pPr>
            <w:r>
              <w:rPr>
                <w:color w:val="auto"/>
                <w:sz w:val="24"/>
              </w:rPr>
              <w:t>（2）分区防渗处理</w:t>
            </w:r>
          </w:p>
          <w:p w14:paraId="73D074E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color w:val="auto"/>
                <w:sz w:val="24"/>
              </w:rPr>
            </w:pPr>
            <w:r>
              <w:rPr>
                <w:color w:val="auto"/>
                <w:sz w:val="24"/>
              </w:rPr>
              <w:t>重点防渗区：本项目重点防渗区</w:t>
            </w:r>
            <w:r>
              <w:rPr>
                <w:rFonts w:hint="eastAsia"/>
                <w:color w:val="auto"/>
                <w:sz w:val="24"/>
                <w:lang w:val="en-US" w:eastAsia="zh-CN"/>
              </w:rPr>
              <w:t>为</w:t>
            </w:r>
            <w:r>
              <w:rPr>
                <w:color w:val="auto"/>
                <w:sz w:val="24"/>
              </w:rPr>
              <w:t>危废暂存间</w:t>
            </w:r>
            <w:r>
              <w:rPr>
                <w:rFonts w:hint="eastAsia"/>
                <w:color w:val="auto"/>
                <w:sz w:val="24"/>
                <w:lang w:eastAsia="zh-CN"/>
              </w:rPr>
              <w:t>、</w:t>
            </w:r>
            <w:r>
              <w:rPr>
                <w:rFonts w:hint="eastAsia"/>
                <w:color w:val="auto"/>
                <w:sz w:val="24"/>
                <w:lang w:val="en-US" w:eastAsia="zh-CN"/>
              </w:rPr>
              <w:t>沉淀池</w:t>
            </w:r>
            <w:r>
              <w:rPr>
                <w:rFonts w:hint="eastAsia"/>
                <w:color w:val="auto"/>
                <w:sz w:val="24"/>
                <w:lang w:eastAsia="zh-CN"/>
              </w:rPr>
              <w:t>；</w:t>
            </w:r>
            <w:r>
              <w:rPr>
                <w:color w:val="auto"/>
                <w:sz w:val="24"/>
              </w:rPr>
              <w:t>防渗方案黏土夯实+2mm厚高密度聚乙烯膜（HDPE）+水泥地面，防渗技术为：等效黏土防渗层Mb≥6.0m，K≤1×10</w:t>
            </w:r>
            <w:r>
              <w:rPr>
                <w:color w:val="auto"/>
                <w:sz w:val="24"/>
                <w:vertAlign w:val="superscript"/>
              </w:rPr>
              <w:t>-10</w:t>
            </w:r>
            <w:r>
              <w:rPr>
                <w:color w:val="auto"/>
                <w:sz w:val="24"/>
              </w:rPr>
              <w:t>cm/s。</w:t>
            </w:r>
          </w:p>
          <w:p w14:paraId="6FE14380">
            <w:pPr>
              <w:spacing w:line="360" w:lineRule="auto"/>
              <w:ind w:firstLine="480" w:firstLineChars="200"/>
              <w:jc w:val="both"/>
              <w:rPr>
                <w:color w:val="auto"/>
                <w:sz w:val="24"/>
              </w:rPr>
            </w:pPr>
            <w:r>
              <w:rPr>
                <w:color w:val="auto"/>
                <w:sz w:val="24"/>
              </w:rPr>
              <w:t>一般防渗区：采用厚度Mb=1.5m，渗透系数K≤10</w:t>
            </w:r>
            <w:r>
              <w:rPr>
                <w:color w:val="auto"/>
                <w:sz w:val="24"/>
                <w:vertAlign w:val="superscript"/>
              </w:rPr>
              <w:t>-7</w:t>
            </w:r>
            <w:r>
              <w:rPr>
                <w:color w:val="auto"/>
                <w:sz w:val="24"/>
              </w:rPr>
              <w:t>cm/s防渗等效的20cm厚P4等级</w:t>
            </w:r>
            <w:r>
              <w:rPr>
                <w:rFonts w:hint="eastAsia"/>
                <w:color w:val="auto"/>
                <w:sz w:val="24"/>
              </w:rPr>
              <w:t>水泥制品</w:t>
            </w:r>
            <w:r>
              <w:rPr>
                <w:color w:val="auto"/>
                <w:sz w:val="24"/>
              </w:rPr>
              <w:t>进行防渗。地面涂1mm厚环氧树脂进行防腐。要求防渗技术要求为：等效黏土防渗层Mb≥1.5m，K≤1×10</w:t>
            </w:r>
            <w:r>
              <w:rPr>
                <w:color w:val="auto"/>
                <w:sz w:val="24"/>
                <w:vertAlign w:val="superscript"/>
              </w:rPr>
              <w:t>-7</w:t>
            </w:r>
            <w:r>
              <w:rPr>
                <w:color w:val="auto"/>
                <w:sz w:val="24"/>
              </w:rPr>
              <w:t>cm/s；或参照GB16889执行。</w:t>
            </w:r>
          </w:p>
          <w:p w14:paraId="4EB7FE9D">
            <w:pPr>
              <w:spacing w:line="360" w:lineRule="auto"/>
              <w:ind w:firstLine="480" w:firstLineChars="200"/>
              <w:jc w:val="both"/>
              <w:rPr>
                <w:rFonts w:hint="default" w:eastAsia="宋体"/>
                <w:color w:val="auto"/>
                <w:sz w:val="24"/>
                <w:lang w:val="en-US" w:eastAsia="zh-CN"/>
              </w:rPr>
            </w:pPr>
            <w:r>
              <w:rPr>
                <w:color w:val="auto"/>
                <w:sz w:val="24"/>
              </w:rPr>
              <w:t>简单污染防治区：硬化地面即可，生活区以及进出场道路已依托现有厂区。本项目</w:t>
            </w:r>
            <w:r>
              <w:rPr>
                <w:rFonts w:hint="eastAsia"/>
                <w:color w:val="auto"/>
                <w:sz w:val="24"/>
                <w:lang w:val="en-US" w:eastAsia="zh-CN"/>
              </w:rPr>
              <w:t>各污染区防渗措施见表4-13。</w:t>
            </w:r>
          </w:p>
          <w:p w14:paraId="522E6578">
            <w:pPr>
              <w:jc w:val="center"/>
              <w:rPr>
                <w:b/>
                <w:bCs/>
                <w:color w:val="auto"/>
                <w:szCs w:val="21"/>
              </w:rPr>
            </w:pPr>
            <w:r>
              <w:rPr>
                <w:b/>
                <w:bCs/>
                <w:color w:val="auto"/>
                <w:szCs w:val="21"/>
              </w:rPr>
              <w:t>表4-1</w:t>
            </w:r>
            <w:r>
              <w:rPr>
                <w:rFonts w:hint="eastAsia"/>
                <w:b/>
                <w:bCs/>
                <w:color w:val="auto"/>
                <w:szCs w:val="21"/>
                <w:lang w:val="en-US" w:eastAsia="zh-CN"/>
              </w:rPr>
              <w:t>3</w:t>
            </w:r>
            <w:r>
              <w:rPr>
                <w:b/>
                <w:bCs/>
                <w:color w:val="auto"/>
                <w:szCs w:val="21"/>
              </w:rPr>
              <w:t>各污染区防渗措施</w:t>
            </w:r>
          </w:p>
          <w:tbl>
            <w:tblPr>
              <w:tblStyle w:val="24"/>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072"/>
              <w:gridCol w:w="1174"/>
              <w:gridCol w:w="1772"/>
              <w:gridCol w:w="1147"/>
              <w:gridCol w:w="1886"/>
            </w:tblGrid>
            <w:tr w14:paraId="7544EE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bottom w:val="single" w:color="auto" w:sz="12" w:space="0"/>
                  </w:tcBorders>
                  <w:noWrap w:val="0"/>
                  <w:vAlign w:val="center"/>
                </w:tcPr>
                <w:p w14:paraId="0DEB05D8">
                  <w:pPr>
                    <w:jc w:val="center"/>
                    <w:rPr>
                      <w:b/>
                      <w:bCs/>
                      <w:color w:val="auto"/>
                      <w:szCs w:val="21"/>
                    </w:rPr>
                  </w:pPr>
                  <w:r>
                    <w:rPr>
                      <w:b/>
                      <w:bCs/>
                      <w:color w:val="auto"/>
                      <w:szCs w:val="21"/>
                      <w:lang w:val="zh-TW" w:eastAsia="zh-TW"/>
                    </w:rPr>
                    <w:t>场区内建筑物</w:t>
                  </w:r>
                </w:p>
              </w:tc>
              <w:tc>
                <w:tcPr>
                  <w:tcW w:w="658" w:type="pct"/>
                  <w:tcBorders>
                    <w:bottom w:val="single" w:color="auto" w:sz="12" w:space="0"/>
                  </w:tcBorders>
                  <w:noWrap w:val="0"/>
                  <w:vAlign w:val="center"/>
                </w:tcPr>
                <w:p w14:paraId="2F1FB4AB">
                  <w:pPr>
                    <w:jc w:val="center"/>
                    <w:rPr>
                      <w:b/>
                      <w:bCs/>
                      <w:color w:val="auto"/>
                      <w:szCs w:val="21"/>
                    </w:rPr>
                  </w:pPr>
                  <w:r>
                    <w:rPr>
                      <w:b/>
                      <w:bCs/>
                      <w:color w:val="auto"/>
                      <w:szCs w:val="21"/>
                      <w:lang w:val="zh-TW" w:eastAsia="zh-TW"/>
                    </w:rPr>
                    <w:t>包气带防污性能</w:t>
                  </w:r>
                </w:p>
              </w:tc>
              <w:tc>
                <w:tcPr>
                  <w:tcW w:w="721" w:type="pct"/>
                  <w:tcBorders>
                    <w:bottom w:val="single" w:color="auto" w:sz="12" w:space="0"/>
                  </w:tcBorders>
                  <w:noWrap w:val="0"/>
                  <w:vAlign w:val="center"/>
                </w:tcPr>
                <w:p w14:paraId="4B8CE605">
                  <w:pPr>
                    <w:jc w:val="center"/>
                    <w:rPr>
                      <w:b/>
                      <w:bCs/>
                      <w:color w:val="auto"/>
                      <w:szCs w:val="21"/>
                    </w:rPr>
                  </w:pPr>
                  <w:r>
                    <w:rPr>
                      <w:b/>
                      <w:bCs/>
                      <w:color w:val="auto"/>
                      <w:szCs w:val="21"/>
                      <w:lang w:val="zh-TW" w:eastAsia="zh-TW"/>
                    </w:rPr>
                    <w:t>污染控制难易程度</w:t>
                  </w:r>
                </w:p>
              </w:tc>
              <w:tc>
                <w:tcPr>
                  <w:tcW w:w="1088" w:type="pct"/>
                  <w:tcBorders>
                    <w:bottom w:val="single" w:color="auto" w:sz="12" w:space="0"/>
                  </w:tcBorders>
                  <w:noWrap w:val="0"/>
                  <w:vAlign w:val="center"/>
                </w:tcPr>
                <w:p w14:paraId="123924C8">
                  <w:pPr>
                    <w:jc w:val="center"/>
                    <w:rPr>
                      <w:b/>
                      <w:bCs/>
                      <w:color w:val="auto"/>
                      <w:szCs w:val="21"/>
                      <w:lang w:val="zh-TW" w:eastAsia="zh-TW"/>
                    </w:rPr>
                  </w:pPr>
                  <w:r>
                    <w:rPr>
                      <w:b/>
                      <w:bCs/>
                      <w:color w:val="auto"/>
                      <w:szCs w:val="21"/>
                      <w:lang w:val="zh-TW" w:eastAsia="zh-TW"/>
                    </w:rPr>
                    <w:t>污染物类型</w:t>
                  </w:r>
                </w:p>
              </w:tc>
              <w:tc>
                <w:tcPr>
                  <w:tcW w:w="704" w:type="pct"/>
                  <w:tcBorders>
                    <w:bottom w:val="single" w:color="auto" w:sz="12" w:space="0"/>
                  </w:tcBorders>
                  <w:noWrap w:val="0"/>
                  <w:vAlign w:val="center"/>
                </w:tcPr>
                <w:p w14:paraId="13F9074D">
                  <w:pPr>
                    <w:jc w:val="center"/>
                    <w:rPr>
                      <w:b/>
                      <w:bCs/>
                      <w:color w:val="auto"/>
                      <w:szCs w:val="21"/>
                    </w:rPr>
                  </w:pPr>
                  <w:r>
                    <w:rPr>
                      <w:b/>
                      <w:bCs/>
                      <w:color w:val="auto"/>
                      <w:szCs w:val="21"/>
                      <w:lang w:val="zh-TW" w:eastAsia="zh-TW"/>
                    </w:rPr>
                    <w:t>防渗分区</w:t>
                  </w:r>
                </w:p>
              </w:tc>
              <w:tc>
                <w:tcPr>
                  <w:tcW w:w="1158" w:type="pct"/>
                  <w:tcBorders>
                    <w:bottom w:val="single" w:color="auto" w:sz="12" w:space="0"/>
                  </w:tcBorders>
                  <w:noWrap w:val="0"/>
                  <w:vAlign w:val="center"/>
                </w:tcPr>
                <w:p w14:paraId="26B8A6E0">
                  <w:pPr>
                    <w:widowControl/>
                    <w:jc w:val="center"/>
                    <w:rPr>
                      <w:rFonts w:eastAsia="宋体"/>
                      <w:b/>
                      <w:bCs/>
                      <w:color w:val="auto"/>
                      <w:szCs w:val="21"/>
                    </w:rPr>
                  </w:pPr>
                  <w:r>
                    <w:rPr>
                      <w:b/>
                      <w:bCs/>
                      <w:color w:val="auto"/>
                      <w:szCs w:val="21"/>
                      <w:lang w:bidi="ar"/>
                    </w:rPr>
                    <w:t>防渗处理措施</w:t>
                  </w:r>
                </w:p>
              </w:tc>
            </w:tr>
            <w:tr w14:paraId="6EC13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noWrap w:val="0"/>
                  <w:vAlign w:val="center"/>
                </w:tcPr>
                <w:p w14:paraId="36FDD3CE">
                  <w:pPr>
                    <w:jc w:val="center"/>
                    <w:rPr>
                      <w:rFonts w:hint="default" w:eastAsia="宋体"/>
                      <w:color w:val="auto"/>
                      <w:szCs w:val="21"/>
                      <w:lang w:val="en-US" w:eastAsia="zh-CN"/>
                    </w:rPr>
                  </w:pPr>
                  <w:r>
                    <w:rPr>
                      <w:color w:val="auto"/>
                      <w:szCs w:val="21"/>
                    </w:rPr>
                    <w:t>危废暂存间</w:t>
                  </w:r>
                  <w:r>
                    <w:rPr>
                      <w:rFonts w:hint="eastAsia"/>
                      <w:color w:val="auto"/>
                      <w:szCs w:val="21"/>
                      <w:lang w:eastAsia="zh-CN"/>
                    </w:rPr>
                    <w:t>、</w:t>
                  </w:r>
                  <w:r>
                    <w:rPr>
                      <w:rFonts w:hint="eastAsia"/>
                      <w:color w:val="auto"/>
                      <w:szCs w:val="21"/>
                      <w:lang w:val="en-US" w:eastAsia="zh-CN"/>
                    </w:rPr>
                    <w:t>甲醇储罐区</w:t>
                  </w:r>
                </w:p>
              </w:tc>
              <w:tc>
                <w:tcPr>
                  <w:tcW w:w="658" w:type="pct"/>
                  <w:tcBorders>
                    <w:tl2br w:val="nil"/>
                    <w:tr2bl w:val="nil"/>
                  </w:tcBorders>
                  <w:noWrap w:val="0"/>
                  <w:vAlign w:val="center"/>
                </w:tcPr>
                <w:p w14:paraId="101C696B">
                  <w:pPr>
                    <w:jc w:val="center"/>
                    <w:rPr>
                      <w:color w:val="auto"/>
                      <w:szCs w:val="21"/>
                    </w:rPr>
                  </w:pPr>
                  <w:r>
                    <w:rPr>
                      <w:color w:val="auto"/>
                      <w:szCs w:val="21"/>
                    </w:rPr>
                    <w:t>弱</w:t>
                  </w:r>
                </w:p>
              </w:tc>
              <w:tc>
                <w:tcPr>
                  <w:tcW w:w="721" w:type="pct"/>
                  <w:tcBorders>
                    <w:tl2br w:val="nil"/>
                    <w:tr2bl w:val="nil"/>
                  </w:tcBorders>
                  <w:noWrap w:val="0"/>
                  <w:vAlign w:val="center"/>
                </w:tcPr>
                <w:p w14:paraId="6FCB99D3">
                  <w:pPr>
                    <w:jc w:val="center"/>
                    <w:rPr>
                      <w:color w:val="auto"/>
                      <w:szCs w:val="21"/>
                    </w:rPr>
                  </w:pPr>
                  <w:r>
                    <w:rPr>
                      <w:color w:val="auto"/>
                      <w:szCs w:val="21"/>
                      <w:lang w:val="zh-TW" w:eastAsia="zh-TW"/>
                    </w:rPr>
                    <w:t>难</w:t>
                  </w:r>
                </w:p>
              </w:tc>
              <w:tc>
                <w:tcPr>
                  <w:tcW w:w="1088" w:type="pct"/>
                  <w:tcBorders>
                    <w:tl2br w:val="nil"/>
                    <w:tr2bl w:val="nil"/>
                  </w:tcBorders>
                  <w:noWrap w:val="0"/>
                  <w:vAlign w:val="center"/>
                </w:tcPr>
                <w:p w14:paraId="026412BF">
                  <w:pPr>
                    <w:jc w:val="center"/>
                    <w:rPr>
                      <w:color w:val="auto"/>
                      <w:szCs w:val="21"/>
                      <w:lang w:val="zh-TW" w:eastAsia="zh-TW"/>
                    </w:rPr>
                  </w:pPr>
                  <w:r>
                    <w:rPr>
                      <w:color w:val="auto"/>
                      <w:szCs w:val="21"/>
                    </w:rPr>
                    <w:t>非</w:t>
                  </w:r>
                  <w:r>
                    <w:rPr>
                      <w:color w:val="auto"/>
                      <w:szCs w:val="21"/>
                      <w:lang w:val="zh-TW" w:eastAsia="zh-TW"/>
                    </w:rPr>
                    <w:t>重金属、持久性有机物污染物</w:t>
                  </w:r>
                  <w:r>
                    <w:rPr>
                      <w:color w:val="auto"/>
                      <w:szCs w:val="21"/>
                    </w:rPr>
                    <w:t>的</w:t>
                  </w:r>
                  <w:r>
                    <w:rPr>
                      <w:color w:val="auto"/>
                      <w:szCs w:val="21"/>
                      <w:lang w:val="zh-TW" w:eastAsia="zh-TW"/>
                    </w:rPr>
                    <w:t>其他类型</w:t>
                  </w:r>
                </w:p>
              </w:tc>
              <w:tc>
                <w:tcPr>
                  <w:tcW w:w="704" w:type="pct"/>
                  <w:tcBorders>
                    <w:tl2br w:val="nil"/>
                    <w:tr2bl w:val="nil"/>
                  </w:tcBorders>
                  <w:noWrap w:val="0"/>
                  <w:vAlign w:val="center"/>
                </w:tcPr>
                <w:p w14:paraId="671D5DA6">
                  <w:pPr>
                    <w:jc w:val="center"/>
                    <w:rPr>
                      <w:color w:val="auto"/>
                      <w:szCs w:val="21"/>
                    </w:rPr>
                  </w:pPr>
                  <w:r>
                    <w:rPr>
                      <w:color w:val="auto"/>
                      <w:szCs w:val="21"/>
                    </w:rPr>
                    <w:t>重点防渗</w:t>
                  </w:r>
                </w:p>
              </w:tc>
              <w:tc>
                <w:tcPr>
                  <w:tcW w:w="1158" w:type="pct"/>
                  <w:tcBorders>
                    <w:tl2br w:val="nil"/>
                    <w:tr2bl w:val="nil"/>
                  </w:tcBorders>
                  <w:noWrap w:val="0"/>
                  <w:vAlign w:val="center"/>
                </w:tcPr>
                <w:p w14:paraId="6323D6C4">
                  <w:pPr>
                    <w:jc w:val="center"/>
                    <w:rPr>
                      <w:color w:val="auto"/>
                      <w:szCs w:val="21"/>
                    </w:rPr>
                  </w:pPr>
                  <w:r>
                    <w:rPr>
                      <w:color w:val="auto"/>
                      <w:szCs w:val="21"/>
                    </w:rPr>
                    <w:t>等效黏土防渗层Mb≥</w:t>
                  </w:r>
                  <w:r>
                    <w:rPr>
                      <w:rFonts w:hint="eastAsia"/>
                      <w:color w:val="auto"/>
                      <w:szCs w:val="21"/>
                      <w:lang w:val="en-US" w:eastAsia="zh-CN"/>
                    </w:rPr>
                    <w:t>6.0</w:t>
                  </w:r>
                  <w:r>
                    <w:rPr>
                      <w:color w:val="auto"/>
                      <w:szCs w:val="21"/>
                    </w:rPr>
                    <w:t>m，K≤1.0×10</w:t>
                  </w:r>
                  <w:r>
                    <w:rPr>
                      <w:color w:val="auto"/>
                      <w:szCs w:val="21"/>
                      <w:vertAlign w:val="superscript"/>
                    </w:rPr>
                    <w:t>-</w:t>
                  </w:r>
                  <w:r>
                    <w:rPr>
                      <w:rFonts w:hint="eastAsia"/>
                      <w:color w:val="auto"/>
                      <w:szCs w:val="21"/>
                      <w:vertAlign w:val="superscript"/>
                      <w:lang w:val="en-US" w:eastAsia="zh-CN"/>
                    </w:rPr>
                    <w:t>10</w:t>
                  </w:r>
                  <w:r>
                    <w:rPr>
                      <w:color w:val="auto"/>
                      <w:szCs w:val="21"/>
                    </w:rPr>
                    <w:t>cm/s</w:t>
                  </w:r>
                </w:p>
              </w:tc>
            </w:tr>
            <w:tr w14:paraId="121F9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noWrap w:val="0"/>
                  <w:vAlign w:val="center"/>
                </w:tcPr>
                <w:p w14:paraId="19329A15">
                  <w:pPr>
                    <w:jc w:val="center"/>
                    <w:rPr>
                      <w:color w:val="auto"/>
                      <w:szCs w:val="21"/>
                    </w:rPr>
                  </w:pPr>
                  <w:r>
                    <w:rPr>
                      <w:color w:val="auto"/>
                      <w:szCs w:val="21"/>
                    </w:rPr>
                    <w:t>生产区</w:t>
                  </w:r>
                </w:p>
              </w:tc>
              <w:tc>
                <w:tcPr>
                  <w:tcW w:w="658" w:type="pct"/>
                  <w:tcBorders>
                    <w:tl2br w:val="nil"/>
                    <w:tr2bl w:val="nil"/>
                  </w:tcBorders>
                  <w:noWrap w:val="0"/>
                  <w:vAlign w:val="center"/>
                </w:tcPr>
                <w:p w14:paraId="74372FC1">
                  <w:pPr>
                    <w:jc w:val="center"/>
                    <w:rPr>
                      <w:color w:val="auto"/>
                      <w:szCs w:val="21"/>
                    </w:rPr>
                  </w:pPr>
                  <w:r>
                    <w:rPr>
                      <w:color w:val="auto"/>
                      <w:szCs w:val="21"/>
                    </w:rPr>
                    <w:t>弱</w:t>
                  </w:r>
                </w:p>
              </w:tc>
              <w:tc>
                <w:tcPr>
                  <w:tcW w:w="721" w:type="pct"/>
                  <w:tcBorders>
                    <w:tl2br w:val="nil"/>
                    <w:tr2bl w:val="nil"/>
                  </w:tcBorders>
                  <w:noWrap w:val="0"/>
                  <w:vAlign w:val="center"/>
                </w:tcPr>
                <w:p w14:paraId="1EFAA6BE">
                  <w:pPr>
                    <w:jc w:val="center"/>
                    <w:rPr>
                      <w:color w:val="auto"/>
                      <w:szCs w:val="21"/>
                    </w:rPr>
                  </w:pPr>
                  <w:r>
                    <w:rPr>
                      <w:color w:val="auto"/>
                      <w:szCs w:val="21"/>
                    </w:rPr>
                    <w:t>易－</w:t>
                  </w:r>
                  <w:r>
                    <w:rPr>
                      <w:color w:val="auto"/>
                      <w:szCs w:val="21"/>
                      <w:lang w:val="zh-TW" w:eastAsia="zh-TW"/>
                    </w:rPr>
                    <w:t>难</w:t>
                  </w:r>
                </w:p>
              </w:tc>
              <w:tc>
                <w:tcPr>
                  <w:tcW w:w="1088" w:type="pct"/>
                  <w:tcBorders>
                    <w:tl2br w:val="nil"/>
                    <w:tr2bl w:val="nil"/>
                  </w:tcBorders>
                  <w:noWrap w:val="0"/>
                  <w:vAlign w:val="center"/>
                </w:tcPr>
                <w:p w14:paraId="4F8B94D6">
                  <w:pPr>
                    <w:jc w:val="center"/>
                    <w:rPr>
                      <w:color w:val="auto"/>
                      <w:szCs w:val="21"/>
                      <w:lang w:val="zh-TW" w:eastAsia="zh-TW"/>
                    </w:rPr>
                  </w:pPr>
                  <w:r>
                    <w:rPr>
                      <w:color w:val="auto"/>
                      <w:szCs w:val="21"/>
                    </w:rPr>
                    <w:t>非</w:t>
                  </w:r>
                  <w:r>
                    <w:rPr>
                      <w:color w:val="auto"/>
                      <w:szCs w:val="21"/>
                      <w:lang w:val="zh-TW" w:eastAsia="zh-TW"/>
                    </w:rPr>
                    <w:t>重金属、持久性有机物</w:t>
                  </w:r>
                </w:p>
              </w:tc>
              <w:tc>
                <w:tcPr>
                  <w:tcW w:w="704" w:type="pct"/>
                  <w:tcBorders>
                    <w:tl2br w:val="nil"/>
                    <w:tr2bl w:val="nil"/>
                  </w:tcBorders>
                  <w:noWrap w:val="0"/>
                  <w:vAlign w:val="center"/>
                </w:tcPr>
                <w:p w14:paraId="5834E5F5">
                  <w:pPr>
                    <w:jc w:val="center"/>
                    <w:rPr>
                      <w:color w:val="auto"/>
                      <w:szCs w:val="21"/>
                    </w:rPr>
                  </w:pPr>
                  <w:r>
                    <w:rPr>
                      <w:color w:val="auto"/>
                      <w:szCs w:val="21"/>
                    </w:rPr>
                    <w:t>一般防渗</w:t>
                  </w:r>
                </w:p>
              </w:tc>
              <w:tc>
                <w:tcPr>
                  <w:tcW w:w="1158" w:type="pct"/>
                  <w:tcBorders>
                    <w:tl2br w:val="nil"/>
                    <w:tr2bl w:val="nil"/>
                  </w:tcBorders>
                  <w:noWrap w:val="0"/>
                  <w:vAlign w:val="center"/>
                </w:tcPr>
                <w:p w14:paraId="6E4F1CB5">
                  <w:pPr>
                    <w:jc w:val="center"/>
                    <w:rPr>
                      <w:color w:val="auto"/>
                      <w:szCs w:val="21"/>
                    </w:rPr>
                  </w:pPr>
                  <w:r>
                    <w:rPr>
                      <w:color w:val="auto"/>
                      <w:szCs w:val="21"/>
                    </w:rPr>
                    <w:t>等效黏土防渗层Mb≥1.5m，K≤1.0×10</w:t>
                  </w:r>
                  <w:r>
                    <w:rPr>
                      <w:color w:val="auto"/>
                      <w:szCs w:val="21"/>
                      <w:vertAlign w:val="superscript"/>
                    </w:rPr>
                    <w:t>-7</w:t>
                  </w:r>
                  <w:r>
                    <w:rPr>
                      <w:color w:val="auto"/>
                      <w:szCs w:val="21"/>
                    </w:rPr>
                    <w:t>cm/s</w:t>
                  </w:r>
                </w:p>
              </w:tc>
            </w:tr>
            <w:tr w14:paraId="2E52E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pct"/>
                  <w:tcBorders>
                    <w:tl2br w:val="nil"/>
                    <w:tr2bl w:val="nil"/>
                  </w:tcBorders>
                  <w:noWrap w:val="0"/>
                  <w:vAlign w:val="center"/>
                </w:tcPr>
                <w:p w14:paraId="6296EA51">
                  <w:pPr>
                    <w:jc w:val="center"/>
                    <w:rPr>
                      <w:color w:val="auto"/>
                      <w:szCs w:val="21"/>
                    </w:rPr>
                  </w:pPr>
                  <w:r>
                    <w:rPr>
                      <w:color w:val="auto"/>
                      <w:szCs w:val="21"/>
                    </w:rPr>
                    <w:t>办公生活区</w:t>
                  </w:r>
                </w:p>
              </w:tc>
              <w:tc>
                <w:tcPr>
                  <w:tcW w:w="658" w:type="pct"/>
                  <w:tcBorders>
                    <w:tl2br w:val="nil"/>
                    <w:tr2bl w:val="nil"/>
                  </w:tcBorders>
                  <w:noWrap w:val="0"/>
                  <w:vAlign w:val="center"/>
                </w:tcPr>
                <w:p w14:paraId="07EBE6BA">
                  <w:pPr>
                    <w:jc w:val="center"/>
                    <w:rPr>
                      <w:color w:val="auto"/>
                      <w:szCs w:val="21"/>
                    </w:rPr>
                  </w:pPr>
                  <w:r>
                    <w:rPr>
                      <w:color w:val="auto"/>
                      <w:szCs w:val="21"/>
                    </w:rPr>
                    <w:t>弱</w:t>
                  </w:r>
                </w:p>
              </w:tc>
              <w:tc>
                <w:tcPr>
                  <w:tcW w:w="721" w:type="pct"/>
                  <w:tcBorders>
                    <w:tl2br w:val="nil"/>
                    <w:tr2bl w:val="nil"/>
                  </w:tcBorders>
                  <w:noWrap w:val="0"/>
                  <w:vAlign w:val="center"/>
                </w:tcPr>
                <w:p w14:paraId="4B5F76CF">
                  <w:pPr>
                    <w:jc w:val="center"/>
                    <w:rPr>
                      <w:color w:val="auto"/>
                      <w:szCs w:val="21"/>
                    </w:rPr>
                  </w:pPr>
                  <w:r>
                    <w:rPr>
                      <w:color w:val="auto"/>
                      <w:szCs w:val="21"/>
                    </w:rPr>
                    <w:t>易</w:t>
                  </w:r>
                </w:p>
              </w:tc>
              <w:tc>
                <w:tcPr>
                  <w:tcW w:w="1088" w:type="pct"/>
                  <w:tcBorders>
                    <w:tl2br w:val="nil"/>
                    <w:tr2bl w:val="nil"/>
                  </w:tcBorders>
                  <w:noWrap w:val="0"/>
                  <w:vAlign w:val="center"/>
                </w:tcPr>
                <w:p w14:paraId="569E7FA9">
                  <w:pPr>
                    <w:jc w:val="center"/>
                    <w:rPr>
                      <w:color w:val="auto"/>
                      <w:szCs w:val="21"/>
                    </w:rPr>
                  </w:pPr>
                  <w:r>
                    <w:rPr>
                      <w:color w:val="auto"/>
                      <w:szCs w:val="21"/>
                      <w:lang w:val="zh-TW" w:eastAsia="zh-TW"/>
                    </w:rPr>
                    <w:t>污染物</w:t>
                  </w:r>
                  <w:r>
                    <w:rPr>
                      <w:color w:val="auto"/>
                      <w:szCs w:val="21"/>
                    </w:rPr>
                    <w:t>的</w:t>
                  </w:r>
                  <w:r>
                    <w:rPr>
                      <w:color w:val="auto"/>
                      <w:szCs w:val="21"/>
                      <w:lang w:val="zh-TW" w:eastAsia="zh-TW"/>
                    </w:rPr>
                    <w:t>其他类型</w:t>
                  </w:r>
                </w:p>
              </w:tc>
              <w:tc>
                <w:tcPr>
                  <w:tcW w:w="704" w:type="pct"/>
                  <w:tcBorders>
                    <w:tl2br w:val="nil"/>
                    <w:tr2bl w:val="nil"/>
                  </w:tcBorders>
                  <w:noWrap w:val="0"/>
                  <w:vAlign w:val="center"/>
                </w:tcPr>
                <w:p w14:paraId="741C6BAA">
                  <w:pPr>
                    <w:jc w:val="center"/>
                    <w:rPr>
                      <w:color w:val="auto"/>
                      <w:szCs w:val="21"/>
                    </w:rPr>
                  </w:pPr>
                  <w:r>
                    <w:rPr>
                      <w:color w:val="auto"/>
                      <w:szCs w:val="21"/>
                    </w:rPr>
                    <w:t>简单防渗</w:t>
                  </w:r>
                </w:p>
              </w:tc>
              <w:tc>
                <w:tcPr>
                  <w:tcW w:w="1158" w:type="pct"/>
                  <w:tcBorders>
                    <w:tl2br w:val="nil"/>
                    <w:tr2bl w:val="nil"/>
                  </w:tcBorders>
                  <w:noWrap w:val="0"/>
                  <w:vAlign w:val="center"/>
                </w:tcPr>
                <w:p w14:paraId="1980711C">
                  <w:pPr>
                    <w:jc w:val="center"/>
                    <w:rPr>
                      <w:color w:val="auto"/>
                      <w:szCs w:val="21"/>
                    </w:rPr>
                  </w:pPr>
                  <w:r>
                    <w:rPr>
                      <w:color w:val="auto"/>
                      <w:szCs w:val="21"/>
                      <w:lang w:val="zh-TW" w:eastAsia="zh-TW"/>
                    </w:rPr>
                    <w:t>一般地面硬化</w:t>
                  </w:r>
                </w:p>
              </w:tc>
            </w:tr>
          </w:tbl>
          <w:p w14:paraId="2C8CFDAC">
            <w:pPr>
              <w:spacing w:line="360" w:lineRule="auto"/>
              <w:ind w:firstLine="480" w:firstLineChars="200"/>
              <w:rPr>
                <w:color w:val="auto"/>
                <w:sz w:val="24"/>
                <w:szCs w:val="20"/>
              </w:rPr>
            </w:pPr>
            <w:r>
              <w:rPr>
                <w:color w:val="auto"/>
                <w:sz w:val="24"/>
                <w:szCs w:val="20"/>
              </w:rPr>
              <w:t>（3）环境影响分析</w:t>
            </w:r>
          </w:p>
          <w:p w14:paraId="4BFED109">
            <w:pPr>
              <w:spacing w:line="360" w:lineRule="auto"/>
              <w:ind w:firstLine="480" w:firstLineChars="200"/>
              <w:rPr>
                <w:color w:val="auto"/>
                <w:sz w:val="24"/>
                <w:szCs w:val="20"/>
              </w:rPr>
            </w:pPr>
            <w:r>
              <w:rPr>
                <w:color w:val="auto"/>
                <w:sz w:val="24"/>
                <w:szCs w:val="20"/>
              </w:rPr>
              <w:t>根据项目特点，厂区进行分区并对不同分区采取相应的防渗措施。项目对可能产生地下水、土壤影响的各项途径均进行有效预防，各项防渗措施可以有效地防止对区域地下水、土壤造成污染。综上所述，项目不会对项目区地下水、土壤环境造成污染影响。</w:t>
            </w:r>
          </w:p>
          <w:p w14:paraId="4EFD58FB">
            <w:pPr>
              <w:spacing w:line="360" w:lineRule="auto"/>
              <w:rPr>
                <w:b/>
                <w:bCs/>
                <w:color w:val="auto"/>
                <w:sz w:val="24"/>
              </w:rPr>
            </w:pPr>
            <w:r>
              <w:rPr>
                <w:b/>
                <w:bCs/>
                <w:color w:val="auto"/>
                <w:sz w:val="24"/>
              </w:rPr>
              <w:t>6.环境风险分析</w:t>
            </w:r>
          </w:p>
          <w:p w14:paraId="670AEF41">
            <w:pPr>
              <w:spacing w:line="360" w:lineRule="auto"/>
              <w:rPr>
                <w:b/>
                <w:bCs/>
                <w:color w:val="auto"/>
                <w:sz w:val="24"/>
              </w:rPr>
            </w:pPr>
            <w:r>
              <w:rPr>
                <w:b/>
                <w:bCs/>
                <w:color w:val="auto"/>
                <w:sz w:val="24"/>
              </w:rPr>
              <w:t>6.1概述</w:t>
            </w:r>
          </w:p>
          <w:p w14:paraId="4F4DA6BA">
            <w:pPr>
              <w:spacing w:line="360" w:lineRule="auto"/>
              <w:ind w:firstLine="480" w:firstLineChars="200"/>
              <w:jc w:val="both"/>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使建设项目风险事故事故率、损失和环境影响能够达到可接受水平。</w:t>
            </w:r>
          </w:p>
          <w:p w14:paraId="7A8567B7">
            <w:pPr>
              <w:spacing w:line="360" w:lineRule="auto"/>
              <w:ind w:firstLine="480" w:firstLineChars="200"/>
              <w:jc w:val="both"/>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环境风险评价工作重点是事故引起厂（场）界外人群的伤害、环境质量的恶化及对生态系统影响的预测和防护。本次环境风险评价以《建设项目环境风险评价技术导则》（HJ169-2018）为依据，结合项目风险特征和所处环境特征进行风险评价。</w:t>
            </w:r>
          </w:p>
          <w:p w14:paraId="0A48F6C5">
            <w:pPr>
              <w:pStyle w:val="42"/>
              <w:ind w:firstLine="480"/>
              <w:jc w:val="both"/>
              <w:rPr>
                <w:color w:val="auto"/>
              </w:rPr>
            </w:pPr>
            <w:r>
              <w:rPr>
                <w:rFonts w:hint="eastAsia"/>
                <w:color w:val="auto"/>
              </w:rPr>
              <w:t>本项目涉及环境风险物质为</w:t>
            </w:r>
            <w:r>
              <w:rPr>
                <w:rFonts w:hint="eastAsia"/>
                <w:color w:val="auto"/>
                <w:lang w:val="en-US" w:eastAsia="zh-CN"/>
              </w:rPr>
              <w:t>废机油</w:t>
            </w:r>
            <w:r>
              <w:rPr>
                <w:rFonts w:hint="eastAsia"/>
                <w:color w:val="auto"/>
              </w:rPr>
              <w:t>、天然气。</w:t>
            </w:r>
          </w:p>
          <w:p w14:paraId="3F01D03E">
            <w:pPr>
              <w:pStyle w:val="42"/>
              <w:spacing w:line="360" w:lineRule="auto"/>
              <w:ind w:left="0" w:leftChars="0" w:firstLine="0" w:firstLineChars="0"/>
              <w:rPr>
                <w:rFonts w:hint="default" w:ascii="Times New Roman" w:hAnsi="Times New Roman" w:cs="Times New Roman"/>
                <w:b/>
                <w:bCs w:val="0"/>
                <w:color w:val="auto"/>
                <w:spacing w:val="-10"/>
                <w:szCs w:val="21"/>
                <w:highlight w:val="none"/>
                <w:lang w:val="en-US" w:eastAsia="zh-CN"/>
              </w:rPr>
            </w:pPr>
            <w:r>
              <w:rPr>
                <w:rFonts w:hint="eastAsia" w:cs="Times New Roman"/>
                <w:b/>
                <w:bCs w:val="0"/>
                <w:color w:val="auto"/>
                <w:spacing w:val="-10"/>
                <w:szCs w:val="21"/>
                <w:highlight w:val="none"/>
                <w:lang w:val="en-US" w:eastAsia="zh-CN"/>
              </w:rPr>
              <w:t>6.1环境风险潜势初判</w:t>
            </w:r>
          </w:p>
          <w:p w14:paraId="32B3D24E">
            <w:p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根据建设项目涉及的物质和工艺系统危险性及其所在地的环境敏感程度，结合事故情形下环境影响途径，对建设项目潜在环境危害程度进行概化分析，按照表4-1</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确定环境风险潜势。</w:t>
            </w:r>
          </w:p>
          <w:p w14:paraId="4149510C">
            <w:pPr>
              <w:pStyle w:val="42"/>
              <w:spacing w:line="240" w:lineRule="auto"/>
              <w:ind w:left="0" w:leftChars="0" w:firstLine="0" w:firstLineChars="0"/>
              <w:jc w:val="center"/>
              <w:rPr>
                <w:rFonts w:hint="default" w:cs="Times New Roman"/>
                <w:b/>
                <w:bCs w:val="0"/>
                <w:color w:val="auto"/>
                <w:spacing w:val="-10"/>
                <w:sz w:val="21"/>
                <w:szCs w:val="21"/>
                <w:highlight w:val="none"/>
                <w:lang w:val="en-US" w:eastAsia="zh-CN"/>
              </w:rPr>
            </w:pPr>
            <w:r>
              <w:rPr>
                <w:rFonts w:hint="eastAsia" w:cs="Times New Roman"/>
                <w:b/>
                <w:bCs w:val="0"/>
                <w:color w:val="auto"/>
                <w:spacing w:val="-10"/>
                <w:sz w:val="21"/>
                <w:szCs w:val="21"/>
                <w:highlight w:val="none"/>
                <w:lang w:val="en-US" w:eastAsia="zh-CN"/>
              </w:rPr>
              <w:t>表4-14   建设项目环境风险潜势划分一览表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07"/>
              <w:gridCol w:w="1455"/>
              <w:gridCol w:w="1455"/>
              <w:gridCol w:w="1455"/>
              <w:gridCol w:w="1456"/>
            </w:tblGrid>
            <w:tr w14:paraId="61FB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19" w:type="pct"/>
                  <w:vMerge w:val="restart"/>
                  <w:tcBorders>
                    <w:top w:val="single" w:color="000000" w:sz="12" w:space="0"/>
                    <w:left w:val="nil"/>
                  </w:tcBorders>
                  <w:noWrap w:val="0"/>
                  <w:vAlign w:val="center"/>
                </w:tcPr>
                <w:p w14:paraId="0CCC398B">
                  <w:pPr>
                    <w:jc w:val="center"/>
                    <w:rPr>
                      <w:b/>
                      <w:bCs/>
                      <w:color w:val="auto"/>
                      <w:szCs w:val="21"/>
                      <w:highlight w:val="none"/>
                    </w:rPr>
                  </w:pPr>
                  <w:r>
                    <w:rPr>
                      <w:b/>
                      <w:bCs/>
                      <w:color w:val="auto"/>
                      <w:szCs w:val="21"/>
                      <w:highlight w:val="none"/>
                    </w:rPr>
                    <w:t>环境敏感度（E）</w:t>
                  </w:r>
                </w:p>
              </w:tc>
              <w:tc>
                <w:tcPr>
                  <w:tcW w:w="3580" w:type="pct"/>
                  <w:gridSpan w:val="4"/>
                  <w:tcBorders>
                    <w:top w:val="single" w:color="000000" w:sz="12" w:space="0"/>
                    <w:right w:val="nil"/>
                  </w:tcBorders>
                  <w:noWrap w:val="0"/>
                  <w:vAlign w:val="center"/>
                </w:tcPr>
                <w:p w14:paraId="36D51877">
                  <w:pPr>
                    <w:jc w:val="center"/>
                    <w:rPr>
                      <w:b/>
                      <w:bCs/>
                      <w:color w:val="auto"/>
                      <w:szCs w:val="21"/>
                      <w:highlight w:val="none"/>
                    </w:rPr>
                  </w:pPr>
                  <w:r>
                    <w:rPr>
                      <w:b/>
                      <w:bCs/>
                      <w:color w:val="auto"/>
                      <w:szCs w:val="21"/>
                      <w:highlight w:val="none"/>
                    </w:rPr>
                    <w:t>危险物质及工艺系统危险性（P）</w:t>
                  </w:r>
                </w:p>
              </w:tc>
            </w:tr>
            <w:tr w14:paraId="13959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19" w:type="pct"/>
                  <w:vMerge w:val="continue"/>
                  <w:tcBorders>
                    <w:left w:val="nil"/>
                    <w:bottom w:val="single" w:color="000000" w:sz="12" w:space="0"/>
                  </w:tcBorders>
                  <w:noWrap w:val="0"/>
                  <w:vAlign w:val="center"/>
                </w:tcPr>
                <w:p w14:paraId="00C9A7D6">
                  <w:pPr>
                    <w:jc w:val="center"/>
                    <w:rPr>
                      <w:b/>
                      <w:bCs/>
                      <w:color w:val="auto"/>
                      <w:szCs w:val="21"/>
                      <w:highlight w:val="none"/>
                    </w:rPr>
                  </w:pPr>
                </w:p>
              </w:tc>
              <w:tc>
                <w:tcPr>
                  <w:tcW w:w="895" w:type="pct"/>
                  <w:tcBorders>
                    <w:bottom w:val="single" w:color="000000" w:sz="12" w:space="0"/>
                  </w:tcBorders>
                  <w:noWrap w:val="0"/>
                  <w:vAlign w:val="center"/>
                </w:tcPr>
                <w:p w14:paraId="03C36FBD">
                  <w:pPr>
                    <w:jc w:val="center"/>
                    <w:rPr>
                      <w:b/>
                      <w:bCs/>
                      <w:color w:val="auto"/>
                      <w:szCs w:val="21"/>
                      <w:highlight w:val="none"/>
                    </w:rPr>
                  </w:pPr>
                  <w:r>
                    <w:rPr>
                      <w:b/>
                      <w:bCs/>
                      <w:color w:val="auto"/>
                      <w:szCs w:val="21"/>
                      <w:highlight w:val="none"/>
                    </w:rPr>
                    <w:t>极高危害（P1）</w:t>
                  </w:r>
                </w:p>
              </w:tc>
              <w:tc>
                <w:tcPr>
                  <w:tcW w:w="895" w:type="pct"/>
                  <w:tcBorders>
                    <w:bottom w:val="single" w:color="000000" w:sz="12" w:space="0"/>
                  </w:tcBorders>
                  <w:noWrap w:val="0"/>
                  <w:vAlign w:val="center"/>
                </w:tcPr>
                <w:p w14:paraId="641F7D65">
                  <w:pPr>
                    <w:jc w:val="center"/>
                    <w:rPr>
                      <w:b/>
                      <w:bCs/>
                      <w:color w:val="auto"/>
                      <w:szCs w:val="21"/>
                      <w:highlight w:val="none"/>
                    </w:rPr>
                  </w:pPr>
                  <w:r>
                    <w:rPr>
                      <w:b/>
                      <w:bCs/>
                      <w:color w:val="auto"/>
                      <w:szCs w:val="21"/>
                      <w:highlight w:val="none"/>
                    </w:rPr>
                    <w:t>高度危害（P2）</w:t>
                  </w:r>
                </w:p>
              </w:tc>
              <w:tc>
                <w:tcPr>
                  <w:tcW w:w="895" w:type="pct"/>
                  <w:tcBorders>
                    <w:bottom w:val="single" w:color="000000" w:sz="12" w:space="0"/>
                  </w:tcBorders>
                  <w:noWrap w:val="0"/>
                  <w:vAlign w:val="center"/>
                </w:tcPr>
                <w:p w14:paraId="4459503F">
                  <w:pPr>
                    <w:jc w:val="center"/>
                    <w:rPr>
                      <w:b/>
                      <w:bCs/>
                      <w:color w:val="auto"/>
                      <w:szCs w:val="21"/>
                      <w:highlight w:val="none"/>
                    </w:rPr>
                  </w:pPr>
                  <w:r>
                    <w:rPr>
                      <w:b/>
                      <w:bCs/>
                      <w:color w:val="auto"/>
                      <w:szCs w:val="21"/>
                      <w:highlight w:val="none"/>
                    </w:rPr>
                    <w:t>中度危害（P3）</w:t>
                  </w:r>
                </w:p>
              </w:tc>
              <w:tc>
                <w:tcPr>
                  <w:tcW w:w="895" w:type="pct"/>
                  <w:tcBorders>
                    <w:bottom w:val="single" w:color="000000" w:sz="12" w:space="0"/>
                    <w:right w:val="nil"/>
                  </w:tcBorders>
                  <w:noWrap w:val="0"/>
                  <w:vAlign w:val="center"/>
                </w:tcPr>
                <w:p w14:paraId="1F637E4B">
                  <w:pPr>
                    <w:jc w:val="center"/>
                    <w:rPr>
                      <w:b/>
                      <w:bCs/>
                      <w:color w:val="auto"/>
                      <w:szCs w:val="21"/>
                      <w:highlight w:val="none"/>
                    </w:rPr>
                  </w:pPr>
                  <w:r>
                    <w:rPr>
                      <w:b/>
                      <w:bCs/>
                      <w:color w:val="auto"/>
                      <w:szCs w:val="21"/>
                      <w:highlight w:val="none"/>
                    </w:rPr>
                    <w:t>轻度危害（P4）</w:t>
                  </w:r>
                </w:p>
              </w:tc>
            </w:tr>
            <w:tr w14:paraId="2A1D7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419" w:type="pct"/>
                  <w:tcBorders>
                    <w:top w:val="single" w:color="000000" w:sz="12" w:space="0"/>
                    <w:left w:val="nil"/>
                    <w:tl2br w:val="nil"/>
                    <w:tr2bl w:val="nil"/>
                  </w:tcBorders>
                  <w:noWrap w:val="0"/>
                  <w:vAlign w:val="center"/>
                </w:tcPr>
                <w:p w14:paraId="086AC7FB">
                  <w:pPr>
                    <w:jc w:val="center"/>
                    <w:rPr>
                      <w:color w:val="auto"/>
                      <w:szCs w:val="21"/>
                      <w:highlight w:val="none"/>
                    </w:rPr>
                  </w:pPr>
                  <w:r>
                    <w:rPr>
                      <w:color w:val="auto"/>
                      <w:szCs w:val="21"/>
                      <w:highlight w:val="none"/>
                    </w:rPr>
                    <w:t>环境高度敏感区（E1）</w:t>
                  </w:r>
                </w:p>
              </w:tc>
              <w:tc>
                <w:tcPr>
                  <w:tcW w:w="895" w:type="pct"/>
                  <w:tcBorders>
                    <w:top w:val="single" w:color="000000" w:sz="12" w:space="0"/>
                    <w:tl2br w:val="nil"/>
                    <w:tr2bl w:val="nil"/>
                  </w:tcBorders>
                  <w:noWrap w:val="0"/>
                  <w:vAlign w:val="center"/>
                </w:tcPr>
                <w:p w14:paraId="67934FBF">
                  <w:pPr>
                    <w:jc w:val="center"/>
                    <w:rPr>
                      <w:color w:val="auto"/>
                      <w:szCs w:val="21"/>
                      <w:highlight w:val="none"/>
                    </w:rPr>
                  </w:pPr>
                  <w:r>
                    <w:rPr>
                      <w:color w:val="auto"/>
                      <w:szCs w:val="21"/>
                      <w:highlight w:val="none"/>
                    </w:rPr>
                    <w:t>IV</w:t>
                  </w:r>
                  <w:r>
                    <w:rPr>
                      <w:color w:val="auto"/>
                      <w:szCs w:val="21"/>
                      <w:highlight w:val="none"/>
                      <w:vertAlign w:val="superscript"/>
                    </w:rPr>
                    <w:t>＋</w:t>
                  </w:r>
                </w:p>
              </w:tc>
              <w:tc>
                <w:tcPr>
                  <w:tcW w:w="895" w:type="pct"/>
                  <w:tcBorders>
                    <w:top w:val="single" w:color="000000" w:sz="12" w:space="0"/>
                    <w:tl2br w:val="nil"/>
                    <w:tr2bl w:val="nil"/>
                  </w:tcBorders>
                  <w:noWrap w:val="0"/>
                  <w:vAlign w:val="center"/>
                </w:tcPr>
                <w:p w14:paraId="1A9731E1">
                  <w:pPr>
                    <w:jc w:val="center"/>
                    <w:rPr>
                      <w:color w:val="auto"/>
                      <w:szCs w:val="21"/>
                      <w:highlight w:val="none"/>
                    </w:rPr>
                  </w:pPr>
                  <w:r>
                    <w:rPr>
                      <w:color w:val="auto"/>
                      <w:szCs w:val="21"/>
                      <w:highlight w:val="none"/>
                    </w:rPr>
                    <w:t>IV</w:t>
                  </w:r>
                </w:p>
              </w:tc>
              <w:tc>
                <w:tcPr>
                  <w:tcW w:w="895" w:type="pct"/>
                  <w:tcBorders>
                    <w:top w:val="single" w:color="000000" w:sz="12" w:space="0"/>
                    <w:tl2br w:val="nil"/>
                    <w:tr2bl w:val="nil"/>
                  </w:tcBorders>
                  <w:noWrap w:val="0"/>
                  <w:vAlign w:val="center"/>
                </w:tcPr>
                <w:p w14:paraId="049BA4EB">
                  <w:pPr>
                    <w:jc w:val="center"/>
                    <w:rPr>
                      <w:color w:val="auto"/>
                      <w:szCs w:val="21"/>
                      <w:highlight w:val="none"/>
                    </w:rPr>
                  </w:pPr>
                  <w:r>
                    <w:rPr>
                      <w:color w:val="auto"/>
                      <w:szCs w:val="21"/>
                      <w:highlight w:val="none"/>
                    </w:rPr>
                    <w:t>III</w:t>
                  </w:r>
                </w:p>
              </w:tc>
              <w:tc>
                <w:tcPr>
                  <w:tcW w:w="895" w:type="pct"/>
                  <w:tcBorders>
                    <w:top w:val="single" w:color="000000" w:sz="12" w:space="0"/>
                    <w:right w:val="nil"/>
                    <w:tl2br w:val="nil"/>
                    <w:tr2bl w:val="nil"/>
                  </w:tcBorders>
                  <w:noWrap w:val="0"/>
                  <w:vAlign w:val="center"/>
                </w:tcPr>
                <w:p w14:paraId="6DC927D2">
                  <w:pPr>
                    <w:jc w:val="center"/>
                    <w:rPr>
                      <w:color w:val="auto"/>
                      <w:szCs w:val="21"/>
                      <w:highlight w:val="none"/>
                    </w:rPr>
                  </w:pPr>
                  <w:r>
                    <w:rPr>
                      <w:color w:val="auto"/>
                      <w:szCs w:val="21"/>
                      <w:highlight w:val="none"/>
                    </w:rPr>
                    <w:t>III</w:t>
                  </w:r>
                </w:p>
              </w:tc>
            </w:tr>
            <w:tr w14:paraId="01FC8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19" w:type="pct"/>
                  <w:tcBorders>
                    <w:left w:val="nil"/>
                    <w:tl2br w:val="nil"/>
                    <w:tr2bl w:val="nil"/>
                  </w:tcBorders>
                  <w:noWrap w:val="0"/>
                  <w:vAlign w:val="center"/>
                </w:tcPr>
                <w:p w14:paraId="6860362B">
                  <w:pPr>
                    <w:jc w:val="center"/>
                    <w:rPr>
                      <w:color w:val="auto"/>
                      <w:szCs w:val="21"/>
                      <w:highlight w:val="none"/>
                    </w:rPr>
                  </w:pPr>
                  <w:r>
                    <w:rPr>
                      <w:color w:val="auto"/>
                      <w:szCs w:val="21"/>
                      <w:highlight w:val="none"/>
                    </w:rPr>
                    <w:t>环境中度敏感区（E2）</w:t>
                  </w:r>
                </w:p>
              </w:tc>
              <w:tc>
                <w:tcPr>
                  <w:tcW w:w="895" w:type="pct"/>
                  <w:tcBorders>
                    <w:tl2br w:val="nil"/>
                    <w:tr2bl w:val="nil"/>
                  </w:tcBorders>
                  <w:noWrap w:val="0"/>
                  <w:vAlign w:val="center"/>
                </w:tcPr>
                <w:p w14:paraId="2B3B5CF4">
                  <w:pPr>
                    <w:jc w:val="center"/>
                    <w:rPr>
                      <w:color w:val="auto"/>
                      <w:szCs w:val="21"/>
                      <w:highlight w:val="none"/>
                    </w:rPr>
                  </w:pPr>
                  <w:r>
                    <w:rPr>
                      <w:color w:val="auto"/>
                      <w:szCs w:val="21"/>
                      <w:highlight w:val="none"/>
                    </w:rPr>
                    <w:t>IV</w:t>
                  </w:r>
                </w:p>
              </w:tc>
              <w:tc>
                <w:tcPr>
                  <w:tcW w:w="895" w:type="pct"/>
                  <w:tcBorders>
                    <w:tl2br w:val="nil"/>
                    <w:tr2bl w:val="nil"/>
                  </w:tcBorders>
                  <w:noWrap w:val="0"/>
                  <w:vAlign w:val="center"/>
                </w:tcPr>
                <w:p w14:paraId="76BF07BC">
                  <w:pPr>
                    <w:jc w:val="center"/>
                    <w:rPr>
                      <w:color w:val="auto"/>
                      <w:szCs w:val="21"/>
                      <w:highlight w:val="none"/>
                    </w:rPr>
                  </w:pPr>
                  <w:r>
                    <w:rPr>
                      <w:color w:val="auto"/>
                      <w:szCs w:val="21"/>
                      <w:highlight w:val="none"/>
                    </w:rPr>
                    <w:t>III</w:t>
                  </w:r>
                </w:p>
              </w:tc>
              <w:tc>
                <w:tcPr>
                  <w:tcW w:w="895" w:type="pct"/>
                  <w:tcBorders>
                    <w:tl2br w:val="nil"/>
                    <w:tr2bl w:val="nil"/>
                  </w:tcBorders>
                  <w:noWrap w:val="0"/>
                  <w:vAlign w:val="center"/>
                </w:tcPr>
                <w:p w14:paraId="48197155">
                  <w:pPr>
                    <w:jc w:val="center"/>
                    <w:rPr>
                      <w:color w:val="auto"/>
                      <w:szCs w:val="21"/>
                      <w:highlight w:val="none"/>
                    </w:rPr>
                  </w:pPr>
                  <w:r>
                    <w:rPr>
                      <w:color w:val="auto"/>
                      <w:szCs w:val="21"/>
                      <w:highlight w:val="none"/>
                    </w:rPr>
                    <w:t>III</w:t>
                  </w:r>
                </w:p>
              </w:tc>
              <w:tc>
                <w:tcPr>
                  <w:tcW w:w="895" w:type="pct"/>
                  <w:tcBorders>
                    <w:right w:val="nil"/>
                    <w:tl2br w:val="nil"/>
                    <w:tr2bl w:val="nil"/>
                  </w:tcBorders>
                  <w:noWrap w:val="0"/>
                  <w:vAlign w:val="center"/>
                </w:tcPr>
                <w:p w14:paraId="09B81041">
                  <w:pPr>
                    <w:jc w:val="center"/>
                    <w:rPr>
                      <w:color w:val="auto"/>
                      <w:szCs w:val="21"/>
                      <w:highlight w:val="none"/>
                    </w:rPr>
                  </w:pPr>
                  <w:r>
                    <w:rPr>
                      <w:color w:val="auto"/>
                      <w:szCs w:val="21"/>
                      <w:highlight w:val="none"/>
                    </w:rPr>
                    <w:t>II</w:t>
                  </w:r>
                </w:p>
              </w:tc>
            </w:tr>
            <w:tr w14:paraId="217F8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19" w:type="pct"/>
                  <w:tcBorders>
                    <w:left w:val="nil"/>
                    <w:bottom w:val="single" w:color="000000" w:sz="12" w:space="0"/>
                    <w:tl2br w:val="nil"/>
                    <w:tr2bl w:val="nil"/>
                  </w:tcBorders>
                  <w:noWrap w:val="0"/>
                  <w:vAlign w:val="center"/>
                </w:tcPr>
                <w:p w14:paraId="3122F585">
                  <w:pPr>
                    <w:jc w:val="center"/>
                    <w:rPr>
                      <w:color w:val="auto"/>
                      <w:szCs w:val="21"/>
                      <w:highlight w:val="none"/>
                    </w:rPr>
                  </w:pPr>
                  <w:r>
                    <w:rPr>
                      <w:color w:val="auto"/>
                      <w:szCs w:val="21"/>
                      <w:highlight w:val="none"/>
                    </w:rPr>
                    <w:t>环境低度敏感区（E3）</w:t>
                  </w:r>
                </w:p>
              </w:tc>
              <w:tc>
                <w:tcPr>
                  <w:tcW w:w="895" w:type="pct"/>
                  <w:tcBorders>
                    <w:bottom w:val="single" w:color="000000" w:sz="12" w:space="0"/>
                    <w:tl2br w:val="nil"/>
                    <w:tr2bl w:val="nil"/>
                  </w:tcBorders>
                  <w:noWrap w:val="0"/>
                  <w:vAlign w:val="center"/>
                </w:tcPr>
                <w:p w14:paraId="13CE2E9E">
                  <w:pPr>
                    <w:jc w:val="center"/>
                    <w:rPr>
                      <w:color w:val="auto"/>
                      <w:szCs w:val="21"/>
                      <w:highlight w:val="none"/>
                    </w:rPr>
                  </w:pPr>
                  <w:r>
                    <w:rPr>
                      <w:color w:val="auto"/>
                      <w:szCs w:val="21"/>
                      <w:highlight w:val="none"/>
                    </w:rPr>
                    <w:t>III</w:t>
                  </w:r>
                </w:p>
              </w:tc>
              <w:tc>
                <w:tcPr>
                  <w:tcW w:w="895" w:type="pct"/>
                  <w:tcBorders>
                    <w:bottom w:val="single" w:color="000000" w:sz="12" w:space="0"/>
                    <w:tl2br w:val="nil"/>
                    <w:tr2bl w:val="nil"/>
                  </w:tcBorders>
                  <w:noWrap w:val="0"/>
                  <w:vAlign w:val="center"/>
                </w:tcPr>
                <w:p w14:paraId="65BDA593">
                  <w:pPr>
                    <w:jc w:val="center"/>
                    <w:rPr>
                      <w:color w:val="auto"/>
                      <w:szCs w:val="21"/>
                      <w:highlight w:val="none"/>
                    </w:rPr>
                  </w:pPr>
                  <w:r>
                    <w:rPr>
                      <w:color w:val="auto"/>
                      <w:szCs w:val="21"/>
                      <w:highlight w:val="none"/>
                    </w:rPr>
                    <w:t>III</w:t>
                  </w:r>
                </w:p>
              </w:tc>
              <w:tc>
                <w:tcPr>
                  <w:tcW w:w="895" w:type="pct"/>
                  <w:tcBorders>
                    <w:bottom w:val="single" w:color="000000" w:sz="12" w:space="0"/>
                    <w:tl2br w:val="nil"/>
                    <w:tr2bl w:val="nil"/>
                  </w:tcBorders>
                  <w:noWrap w:val="0"/>
                  <w:vAlign w:val="center"/>
                </w:tcPr>
                <w:p w14:paraId="61F6532F">
                  <w:pPr>
                    <w:jc w:val="center"/>
                    <w:rPr>
                      <w:color w:val="auto"/>
                      <w:szCs w:val="21"/>
                      <w:highlight w:val="none"/>
                    </w:rPr>
                  </w:pPr>
                  <w:r>
                    <w:rPr>
                      <w:color w:val="auto"/>
                      <w:szCs w:val="21"/>
                      <w:highlight w:val="none"/>
                    </w:rPr>
                    <w:t>II</w:t>
                  </w:r>
                </w:p>
              </w:tc>
              <w:tc>
                <w:tcPr>
                  <w:tcW w:w="895" w:type="pct"/>
                  <w:tcBorders>
                    <w:bottom w:val="single" w:color="000000" w:sz="12" w:space="0"/>
                    <w:right w:val="nil"/>
                    <w:tl2br w:val="nil"/>
                    <w:tr2bl w:val="nil"/>
                  </w:tcBorders>
                  <w:noWrap w:val="0"/>
                  <w:vAlign w:val="center"/>
                </w:tcPr>
                <w:p w14:paraId="1B67111F">
                  <w:pPr>
                    <w:jc w:val="center"/>
                    <w:rPr>
                      <w:color w:val="auto"/>
                      <w:szCs w:val="21"/>
                      <w:highlight w:val="none"/>
                    </w:rPr>
                  </w:pPr>
                  <w:r>
                    <w:rPr>
                      <w:color w:val="auto"/>
                      <w:szCs w:val="21"/>
                      <w:highlight w:val="none"/>
                    </w:rPr>
                    <w:t>I</w:t>
                  </w:r>
                </w:p>
              </w:tc>
            </w:tr>
          </w:tbl>
          <w:p w14:paraId="09DC6908">
            <w:pPr>
              <w:spacing w:line="360" w:lineRule="auto"/>
              <w:ind w:firstLine="480"/>
              <w:rPr>
                <w:color w:val="auto"/>
                <w:sz w:val="24"/>
                <w:highlight w:val="none"/>
              </w:rPr>
            </w:pPr>
            <w:r>
              <w:rPr>
                <w:color w:val="auto"/>
                <w:sz w:val="24"/>
                <w:highlight w:val="none"/>
              </w:rPr>
              <w:t>根据《建设项目环境风险评价技术导则》（HJ169-2018）附录C及附录D确定危险物质及工艺系统危险性（P）及环境敏感程度（E）。其中危险物质及工艺系统危险性（P）由危险物质数量与临界量比值（Q）、行业及生产工艺（M）确定。</w:t>
            </w:r>
          </w:p>
          <w:p w14:paraId="1AABF1B8">
            <w:pPr>
              <w:spacing w:line="360" w:lineRule="auto"/>
              <w:ind w:firstLine="480"/>
              <w:rPr>
                <w:color w:val="auto"/>
                <w:sz w:val="24"/>
                <w:highlight w:val="none"/>
              </w:rPr>
            </w:pPr>
            <w:r>
              <w:rPr>
                <w:rFonts w:hint="eastAsia"/>
                <w:color w:val="auto"/>
                <w:sz w:val="24"/>
                <w:highlight w:val="none"/>
              </w:rPr>
              <w:t>本项目涉及风险物质，根据《建设项目环境风险评价技术导则》（HJ169-2018）附录B中危险物质的临界量，计算危险物质数量与临界量比值（Q），</w:t>
            </w:r>
            <w:r>
              <w:rPr>
                <w:rFonts w:hint="eastAsia"/>
                <w:color w:val="auto"/>
                <w:sz w:val="24"/>
                <w:highlight w:val="none"/>
                <w:lang w:val="en-US" w:eastAsia="zh-CN"/>
              </w:rPr>
              <w:t>废机油</w:t>
            </w:r>
            <w:r>
              <w:rPr>
                <w:rFonts w:hint="eastAsia"/>
                <w:color w:val="auto"/>
                <w:sz w:val="24"/>
                <w:highlight w:val="none"/>
              </w:rPr>
              <w:t>数量</w:t>
            </w:r>
            <w:r>
              <w:rPr>
                <w:rFonts w:hint="eastAsia"/>
                <w:color w:val="auto"/>
                <w:sz w:val="24"/>
                <w:highlight w:val="none"/>
                <w:lang w:val="en-US" w:eastAsia="zh-CN"/>
              </w:rPr>
              <w:t>0.</w:t>
            </w:r>
            <w:r>
              <w:rPr>
                <w:rFonts w:hint="eastAsia"/>
                <w:color w:val="auto"/>
                <w:sz w:val="24"/>
                <w:highlight w:val="none"/>
              </w:rPr>
              <w:t>1t，临界量2500t；天然气罐车储量</w:t>
            </w:r>
            <w:r>
              <w:rPr>
                <w:color w:val="auto"/>
                <w:sz w:val="24"/>
                <w:highlight w:val="none"/>
              </w:rPr>
              <w:t>22.3</w:t>
            </w:r>
            <w:r>
              <w:rPr>
                <w:rFonts w:hint="eastAsia"/>
                <w:color w:val="auto"/>
                <w:sz w:val="24"/>
                <w:highlight w:val="none"/>
              </w:rPr>
              <w:t>m</w:t>
            </w:r>
            <w:r>
              <w:rPr>
                <w:color w:val="auto"/>
                <w:sz w:val="24"/>
                <w:highlight w:val="none"/>
                <w:vertAlign w:val="superscript"/>
              </w:rPr>
              <w:t>3</w:t>
            </w:r>
            <w:r>
              <w:rPr>
                <w:rFonts w:hint="eastAsia"/>
                <w:color w:val="auto"/>
                <w:sz w:val="24"/>
                <w:highlight w:val="none"/>
              </w:rPr>
              <w:t>，折合为</w:t>
            </w:r>
            <w:r>
              <w:rPr>
                <w:color w:val="auto"/>
                <w:sz w:val="24"/>
                <w:highlight w:val="none"/>
              </w:rPr>
              <w:t>4.02t</w:t>
            </w:r>
            <w:r>
              <w:rPr>
                <w:rFonts w:hint="eastAsia"/>
                <w:color w:val="auto"/>
                <w:sz w:val="24"/>
                <w:highlight w:val="none"/>
              </w:rPr>
              <w:t>，临界储量为1</w:t>
            </w:r>
            <w:r>
              <w:rPr>
                <w:color w:val="auto"/>
                <w:sz w:val="24"/>
                <w:highlight w:val="none"/>
              </w:rPr>
              <w:t>0</w:t>
            </w:r>
            <w:r>
              <w:rPr>
                <w:rFonts w:hint="eastAsia"/>
                <w:color w:val="auto"/>
                <w:sz w:val="24"/>
                <w:highlight w:val="none"/>
              </w:rPr>
              <w:t>t。</w:t>
            </w:r>
          </w:p>
          <w:p w14:paraId="15D4F51A">
            <w:pPr>
              <w:jc w:val="center"/>
              <w:rPr>
                <w:color w:val="auto"/>
                <w:highlight w:val="none"/>
              </w:rPr>
            </w:pPr>
            <w:r>
              <w:rPr>
                <w:color w:val="auto"/>
                <w:position w:val="-30"/>
                <w:highlight w:val="none"/>
              </w:rPr>
              <w:object>
                <v:shape id="_x0000_i1034" o:spt="75" type="#_x0000_t75" style="height:34pt;width:110pt;" o:ole="t" filled="f" stroked="f" coordsize="21600,21600">
                  <v:path/>
                  <v:fill on="f" focussize="0,0"/>
                  <v:stroke on="f"/>
                  <v:imagedata r:id="rId32" o:title=""/>
                  <o:lock v:ext="edit" aspectratio="t"/>
                  <w10:wrap type="none"/>
                  <w10:anchorlock/>
                </v:shape>
                <o:OLEObject Type="Embed" ProgID="Equation.KSEE3" ShapeID="_x0000_i1034" DrawAspect="Content" ObjectID="_1468075734" r:id="rId31">
                  <o:LockedField>false</o:LockedField>
                </o:OLEObject>
              </w:object>
            </w:r>
          </w:p>
          <w:p w14:paraId="3269D184">
            <w:pPr>
              <w:widowControl/>
              <w:wordWrap w:val="0"/>
              <w:adjustRightInd w:val="0"/>
              <w:spacing w:line="520" w:lineRule="exact"/>
              <w:ind w:firstLine="480" w:firstLineChars="200"/>
              <w:jc w:val="both"/>
              <w:outlineLvl w:val="2"/>
              <w:rPr>
                <w:color w:val="auto"/>
                <w:sz w:val="24"/>
                <w:highlight w:val="none"/>
              </w:rPr>
            </w:pPr>
            <w:r>
              <w:rPr>
                <w:color w:val="auto"/>
                <w:sz w:val="24"/>
                <w:highlight w:val="none"/>
              </w:rPr>
              <w:t>式中：q</w:t>
            </w:r>
            <w:r>
              <w:rPr>
                <w:color w:val="auto"/>
                <w:sz w:val="24"/>
                <w:highlight w:val="none"/>
                <w:vertAlign w:val="subscript"/>
              </w:rPr>
              <w:t>1</w:t>
            </w:r>
            <w:r>
              <w:rPr>
                <w:color w:val="auto"/>
                <w:sz w:val="24"/>
                <w:highlight w:val="none"/>
              </w:rPr>
              <w:t>，q</w:t>
            </w:r>
            <w:r>
              <w:rPr>
                <w:color w:val="auto"/>
                <w:sz w:val="24"/>
                <w:highlight w:val="none"/>
                <w:vertAlign w:val="subscript"/>
              </w:rPr>
              <w:t>2</w:t>
            </w:r>
            <w:r>
              <w:rPr>
                <w:color w:val="auto"/>
                <w:sz w:val="24"/>
                <w:highlight w:val="none"/>
              </w:rPr>
              <w:t>，…q</w:t>
            </w:r>
            <w:r>
              <w:rPr>
                <w:color w:val="auto"/>
                <w:sz w:val="24"/>
                <w:highlight w:val="none"/>
                <w:vertAlign w:val="subscript"/>
              </w:rPr>
              <w:t>n</w:t>
            </w:r>
            <w:r>
              <w:rPr>
                <w:color w:val="auto"/>
                <w:sz w:val="24"/>
                <w:highlight w:val="none"/>
              </w:rPr>
              <w:t>—每种危险物质的最大存在量，t；</w:t>
            </w:r>
          </w:p>
          <w:p w14:paraId="3468A7AC">
            <w:pPr>
              <w:widowControl/>
              <w:wordWrap w:val="0"/>
              <w:adjustRightInd w:val="0"/>
              <w:spacing w:line="520" w:lineRule="exact"/>
              <w:ind w:firstLine="1200" w:firstLineChars="500"/>
              <w:jc w:val="both"/>
              <w:outlineLvl w:val="2"/>
              <w:rPr>
                <w:color w:val="auto"/>
                <w:sz w:val="24"/>
                <w:highlight w:val="none"/>
              </w:rPr>
            </w:pPr>
            <w:r>
              <w:rPr>
                <w:color w:val="auto"/>
                <w:sz w:val="24"/>
                <w:highlight w:val="none"/>
              </w:rPr>
              <w:t>Q</w:t>
            </w:r>
            <w:r>
              <w:rPr>
                <w:color w:val="auto"/>
                <w:sz w:val="24"/>
                <w:highlight w:val="none"/>
                <w:vertAlign w:val="subscript"/>
              </w:rPr>
              <w:t>1</w:t>
            </w:r>
            <w:r>
              <w:rPr>
                <w:color w:val="auto"/>
                <w:sz w:val="24"/>
                <w:highlight w:val="none"/>
              </w:rPr>
              <w:t>，Q</w:t>
            </w:r>
            <w:r>
              <w:rPr>
                <w:color w:val="auto"/>
                <w:sz w:val="24"/>
                <w:highlight w:val="none"/>
                <w:vertAlign w:val="subscript"/>
              </w:rPr>
              <w:t>2</w:t>
            </w:r>
            <w:r>
              <w:rPr>
                <w:color w:val="auto"/>
                <w:sz w:val="24"/>
                <w:highlight w:val="none"/>
              </w:rPr>
              <w:t>，…Q</w:t>
            </w:r>
            <w:r>
              <w:rPr>
                <w:color w:val="auto"/>
                <w:sz w:val="24"/>
                <w:highlight w:val="none"/>
                <w:vertAlign w:val="subscript"/>
              </w:rPr>
              <w:t>n</w:t>
            </w:r>
            <w:r>
              <w:rPr>
                <w:color w:val="auto"/>
                <w:sz w:val="24"/>
                <w:highlight w:val="none"/>
              </w:rPr>
              <w:t>—每种危险物质的临界量，t；</w:t>
            </w:r>
          </w:p>
          <w:p w14:paraId="3B5C9915">
            <w:pPr>
              <w:widowControl/>
              <w:spacing w:line="520" w:lineRule="exact"/>
              <w:ind w:firstLine="480"/>
              <w:jc w:val="both"/>
              <w:rPr>
                <w:color w:val="auto"/>
                <w:sz w:val="24"/>
                <w:highlight w:val="none"/>
              </w:rPr>
            </w:pPr>
            <w:r>
              <w:rPr>
                <w:color w:val="auto"/>
                <w:sz w:val="24"/>
                <w:highlight w:val="none"/>
              </w:rPr>
              <w:t>当Q&lt;1时，该项目环境风险潜势为Ⅰ；</w:t>
            </w:r>
          </w:p>
          <w:p w14:paraId="21A15C58">
            <w:pPr>
              <w:widowControl/>
              <w:spacing w:line="520" w:lineRule="exact"/>
              <w:ind w:firstLine="480"/>
              <w:jc w:val="both"/>
              <w:rPr>
                <w:color w:val="auto"/>
                <w:sz w:val="24"/>
                <w:highlight w:val="none"/>
              </w:rPr>
            </w:pPr>
            <w:r>
              <w:rPr>
                <w:color w:val="auto"/>
                <w:sz w:val="24"/>
                <w:highlight w:val="none"/>
              </w:rPr>
              <w:t>当Q≥1时，将Q值划分为：（1）1≤Q&lt;10；（2）10≤Q&lt;100；（3）Q≥100</w:t>
            </w:r>
          </w:p>
          <w:p w14:paraId="74515245">
            <w:pPr>
              <w:pStyle w:val="42"/>
              <w:spacing w:line="240" w:lineRule="auto"/>
              <w:ind w:left="0" w:leftChars="0" w:firstLine="0" w:firstLineChars="0"/>
              <w:jc w:val="center"/>
              <w:rPr>
                <w:rFonts w:hint="eastAsia" w:cs="Times New Roman"/>
                <w:b/>
                <w:bCs w:val="0"/>
                <w:color w:val="auto"/>
                <w:spacing w:val="-10"/>
                <w:sz w:val="21"/>
                <w:szCs w:val="21"/>
                <w:highlight w:val="none"/>
                <w:lang w:val="en-US" w:eastAsia="zh-CN"/>
              </w:rPr>
            </w:pPr>
            <w:r>
              <w:rPr>
                <w:rFonts w:hint="eastAsia" w:cs="Times New Roman"/>
                <w:b/>
                <w:bCs w:val="0"/>
                <w:color w:val="auto"/>
                <w:spacing w:val="-10"/>
                <w:sz w:val="21"/>
                <w:szCs w:val="21"/>
                <w:highlight w:val="none"/>
                <w:lang w:val="en-US" w:eastAsia="zh-CN"/>
              </w:rPr>
              <w:t>表4-15     本项目危险物质数量与临界量比值</w:t>
            </w:r>
          </w:p>
          <w:tbl>
            <w:tblPr>
              <w:tblStyle w:val="23"/>
              <w:tblW w:w="4979"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7"/>
              <w:gridCol w:w="1829"/>
              <w:gridCol w:w="1842"/>
              <w:gridCol w:w="2131"/>
              <w:gridCol w:w="1718"/>
            </w:tblGrid>
            <w:tr w14:paraId="3B815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356" w:type="pct"/>
                  <w:tcBorders>
                    <w:top w:val="single" w:color="000000" w:sz="12" w:space="0"/>
                    <w:left w:val="nil"/>
                    <w:bottom w:val="single" w:color="000000" w:sz="12" w:space="0"/>
                    <w:tl2br w:val="nil"/>
                    <w:tr2bl w:val="nil"/>
                  </w:tcBorders>
                  <w:noWrap w:val="0"/>
                  <w:vAlign w:val="center"/>
                </w:tcPr>
                <w:p w14:paraId="7C087161">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序号</w:t>
                  </w:r>
                </w:p>
              </w:tc>
              <w:tc>
                <w:tcPr>
                  <w:tcW w:w="1129" w:type="pct"/>
                  <w:tcBorders>
                    <w:top w:val="single" w:color="000000" w:sz="12" w:space="0"/>
                    <w:bottom w:val="single" w:color="000000" w:sz="12" w:space="0"/>
                    <w:tl2br w:val="nil"/>
                    <w:tr2bl w:val="nil"/>
                  </w:tcBorders>
                  <w:noWrap w:val="0"/>
                  <w:vAlign w:val="center"/>
                </w:tcPr>
                <w:p w14:paraId="4FA41CA6">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危险物质名称</w:t>
                  </w:r>
                </w:p>
              </w:tc>
              <w:tc>
                <w:tcPr>
                  <w:tcW w:w="1137" w:type="pct"/>
                  <w:tcBorders>
                    <w:top w:val="single" w:color="000000" w:sz="12" w:space="0"/>
                    <w:bottom w:val="single" w:color="000000" w:sz="12" w:space="0"/>
                    <w:tl2br w:val="nil"/>
                    <w:tr2bl w:val="nil"/>
                  </w:tcBorders>
                  <w:noWrap w:val="0"/>
                  <w:vAlign w:val="center"/>
                </w:tcPr>
                <w:p w14:paraId="35694144">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最大存在总量/t</w:t>
                  </w:r>
                </w:p>
              </w:tc>
              <w:tc>
                <w:tcPr>
                  <w:tcW w:w="1315" w:type="pct"/>
                  <w:tcBorders>
                    <w:top w:val="single" w:color="000000" w:sz="12" w:space="0"/>
                    <w:bottom w:val="single" w:color="000000" w:sz="12" w:space="0"/>
                    <w:tl2br w:val="nil"/>
                    <w:tr2bl w:val="nil"/>
                  </w:tcBorders>
                  <w:noWrap w:val="0"/>
                  <w:vAlign w:val="center"/>
                </w:tcPr>
                <w:p w14:paraId="44F172FA">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临界量（t）</w:t>
                  </w:r>
                </w:p>
              </w:tc>
              <w:tc>
                <w:tcPr>
                  <w:tcW w:w="1060" w:type="pct"/>
                  <w:tcBorders>
                    <w:top w:val="single" w:color="000000" w:sz="12" w:space="0"/>
                    <w:bottom w:val="single" w:color="000000" w:sz="12" w:space="0"/>
                    <w:right w:val="nil"/>
                    <w:tl2br w:val="nil"/>
                    <w:tr2bl w:val="nil"/>
                  </w:tcBorders>
                  <w:noWrap w:val="0"/>
                  <w:vAlign w:val="center"/>
                </w:tcPr>
                <w:p w14:paraId="0F345A79">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Q值</w:t>
                  </w:r>
                </w:p>
              </w:tc>
            </w:tr>
            <w:tr w14:paraId="01EF9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356" w:type="pct"/>
                  <w:tcBorders>
                    <w:top w:val="single" w:color="000000" w:sz="12" w:space="0"/>
                    <w:left w:val="nil"/>
                    <w:tl2br w:val="nil"/>
                    <w:tr2bl w:val="nil"/>
                  </w:tcBorders>
                  <w:noWrap w:val="0"/>
                  <w:vAlign w:val="center"/>
                </w:tcPr>
                <w:p w14:paraId="48843F8A">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1</w:t>
                  </w:r>
                </w:p>
              </w:tc>
              <w:tc>
                <w:tcPr>
                  <w:tcW w:w="1129" w:type="pct"/>
                  <w:tcBorders>
                    <w:top w:val="single" w:color="000000" w:sz="12" w:space="0"/>
                    <w:tl2br w:val="nil"/>
                    <w:tr2bl w:val="nil"/>
                  </w:tcBorders>
                  <w:noWrap w:val="0"/>
                  <w:vAlign w:val="center"/>
                </w:tcPr>
                <w:p w14:paraId="6F8165C0">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废机油及废机油桶</w:t>
                  </w:r>
                </w:p>
              </w:tc>
              <w:tc>
                <w:tcPr>
                  <w:tcW w:w="1137" w:type="pct"/>
                  <w:tcBorders>
                    <w:top w:val="single" w:color="000000" w:sz="12" w:space="0"/>
                    <w:tl2br w:val="nil"/>
                    <w:tr2bl w:val="nil"/>
                  </w:tcBorders>
                  <w:noWrap w:val="0"/>
                  <w:vAlign w:val="center"/>
                </w:tcPr>
                <w:p w14:paraId="0A388279">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w:t>
                  </w:r>
                </w:p>
              </w:tc>
              <w:tc>
                <w:tcPr>
                  <w:tcW w:w="1315" w:type="pct"/>
                  <w:tcBorders>
                    <w:top w:val="single" w:color="000000" w:sz="12" w:space="0"/>
                    <w:tl2br w:val="nil"/>
                    <w:tr2bl w:val="nil"/>
                  </w:tcBorders>
                  <w:noWrap w:val="0"/>
                  <w:vAlign w:val="center"/>
                </w:tcPr>
                <w:p w14:paraId="099662C7">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2500</w:t>
                  </w:r>
                </w:p>
              </w:tc>
              <w:tc>
                <w:tcPr>
                  <w:tcW w:w="1060" w:type="pct"/>
                  <w:tcBorders>
                    <w:top w:val="single" w:color="000000" w:sz="12" w:space="0"/>
                    <w:right w:val="nil"/>
                    <w:tl2br w:val="nil"/>
                    <w:tr2bl w:val="nil"/>
                  </w:tcBorders>
                  <w:noWrap w:val="0"/>
                  <w:vAlign w:val="center"/>
                </w:tcPr>
                <w:p w14:paraId="66C25979">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0.00004</w:t>
                  </w:r>
                </w:p>
              </w:tc>
            </w:tr>
            <w:tr w14:paraId="0251B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356" w:type="pct"/>
                  <w:tcBorders>
                    <w:left w:val="nil"/>
                    <w:bottom w:val="single" w:color="000000" w:sz="12" w:space="0"/>
                    <w:tl2br w:val="nil"/>
                    <w:tr2bl w:val="nil"/>
                  </w:tcBorders>
                  <w:noWrap w:val="0"/>
                  <w:vAlign w:val="center"/>
                </w:tcPr>
                <w:p w14:paraId="75BA26C2">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1129" w:type="pct"/>
                  <w:tcBorders>
                    <w:bottom w:val="single" w:color="000000" w:sz="12" w:space="0"/>
                    <w:tl2br w:val="nil"/>
                    <w:tr2bl w:val="nil"/>
                  </w:tcBorders>
                  <w:noWrap w:val="0"/>
                  <w:vAlign w:val="center"/>
                </w:tcPr>
                <w:p w14:paraId="5162D2FA">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天然气罐车</w:t>
                  </w:r>
                </w:p>
              </w:tc>
              <w:tc>
                <w:tcPr>
                  <w:tcW w:w="1137" w:type="pct"/>
                  <w:tcBorders>
                    <w:bottom w:val="single" w:color="000000" w:sz="12" w:space="0"/>
                    <w:tl2br w:val="nil"/>
                    <w:tr2bl w:val="nil"/>
                  </w:tcBorders>
                  <w:noWrap w:val="0"/>
                  <w:vAlign w:val="center"/>
                </w:tcPr>
                <w:p w14:paraId="69067636">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4.02</w:t>
                  </w:r>
                </w:p>
              </w:tc>
              <w:tc>
                <w:tcPr>
                  <w:tcW w:w="1315" w:type="pct"/>
                  <w:tcBorders>
                    <w:bottom w:val="single" w:color="000000" w:sz="12" w:space="0"/>
                    <w:tl2br w:val="nil"/>
                    <w:tr2bl w:val="nil"/>
                  </w:tcBorders>
                  <w:noWrap w:val="0"/>
                  <w:vAlign w:val="center"/>
                </w:tcPr>
                <w:p w14:paraId="0449D9CD">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w:t>
                  </w:r>
                </w:p>
              </w:tc>
              <w:tc>
                <w:tcPr>
                  <w:tcW w:w="1060" w:type="pct"/>
                  <w:tcBorders>
                    <w:bottom w:val="single" w:color="000000" w:sz="12" w:space="0"/>
                    <w:right w:val="nil"/>
                    <w:tl2br w:val="nil"/>
                    <w:tr2bl w:val="nil"/>
                  </w:tcBorders>
                  <w:noWrap w:val="0"/>
                  <w:vAlign w:val="center"/>
                </w:tcPr>
                <w:p w14:paraId="007BBF6A">
                  <w:pPr>
                    <w:keepNext w:val="0"/>
                    <w:keepLines w:val="0"/>
                    <w:pageBreakBefore w:val="0"/>
                    <w:widowControl w:val="0"/>
                    <w:kinsoku/>
                    <w:wordWrap w:val="0"/>
                    <w:overflowPunct/>
                    <w:topLinePunct w:val="0"/>
                    <w:autoSpaceDE/>
                    <w:autoSpaceDN/>
                    <w:bidi w:val="0"/>
                    <w:adjustRightInd/>
                    <w:snapToGrid/>
                    <w:spacing w:beforeAutospacing="0" w:line="240" w:lineRule="auto"/>
                    <w:ind w:left="0" w:leftChars="0" w:right="0" w:rightChars="0" w:firstLine="0" w:firstLineChars="0"/>
                    <w:jc w:val="center"/>
                    <w:textAlignment w:val="auto"/>
                    <w:rPr>
                      <w:rFonts w:hint="default"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0.402</w:t>
                  </w:r>
                </w:p>
              </w:tc>
            </w:tr>
          </w:tbl>
          <w:p w14:paraId="46EED52E">
            <w:pPr>
              <w:pStyle w:val="42"/>
              <w:spacing w:line="360" w:lineRule="auto"/>
              <w:ind w:left="0" w:leftChars="0" w:firstLine="480" w:firstLineChars="200"/>
              <w:jc w:val="both"/>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本项目所属行业未被列入附录C，根据《建设项目环境风险评价技术导则》（HJ169-2018）附录C要求，Q=</w:t>
            </w:r>
            <w:r>
              <w:rPr>
                <w:rFonts w:hint="eastAsia" w:cs="Times New Roman"/>
                <w:color w:val="auto"/>
                <w:sz w:val="24"/>
                <w:szCs w:val="24"/>
                <w:highlight w:val="none"/>
                <w:lang w:val="en-US" w:eastAsia="zh-CN"/>
              </w:rPr>
              <w:t>0.40204</w:t>
            </w:r>
            <w:r>
              <w:rPr>
                <w:rFonts w:hint="default" w:ascii="Times New Roman" w:hAnsi="Times New Roman" w:eastAsia="宋体" w:cs="Times New Roman"/>
                <w:color w:val="auto"/>
                <w:sz w:val="24"/>
                <w:szCs w:val="24"/>
                <w:highlight w:val="none"/>
              </w:rPr>
              <w:t>＜1，该项目环境风险潜势为Ⅰ，不再对行业及生产工艺（M）及环境敏感程度（E）进行判定。</w:t>
            </w:r>
          </w:p>
          <w:p w14:paraId="7C513CFC">
            <w:pPr>
              <w:pStyle w:val="42"/>
              <w:spacing w:line="360" w:lineRule="auto"/>
              <w:ind w:left="0" w:leftChars="0" w:firstLine="0" w:firstLineChars="0"/>
              <w:jc w:val="left"/>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6.2</w:t>
            </w:r>
            <w:r>
              <w:rPr>
                <w:b/>
                <w:bCs/>
                <w:color w:val="auto"/>
                <w:sz w:val="24"/>
                <w:highlight w:val="none"/>
              </w:rPr>
              <w:t>环境风险评价工作等级</w:t>
            </w:r>
          </w:p>
          <w:p w14:paraId="46C283F5">
            <w:pPr>
              <w:spacing w:line="360" w:lineRule="auto"/>
              <w:ind w:firstLine="480"/>
              <w:rPr>
                <w:color w:val="auto"/>
                <w:sz w:val="24"/>
                <w:highlight w:val="none"/>
              </w:rPr>
            </w:pPr>
            <w:r>
              <w:rPr>
                <w:color w:val="auto"/>
                <w:sz w:val="24"/>
                <w:highlight w:val="none"/>
              </w:rPr>
              <w:t>《建设项目环境风险评价技术导则》（HJ169-2018）中环境风险评价工作级别划分的判据见表</w:t>
            </w:r>
            <w:r>
              <w:rPr>
                <w:rFonts w:hint="eastAsia"/>
                <w:color w:val="auto"/>
                <w:sz w:val="24"/>
                <w:highlight w:val="none"/>
                <w:lang w:val="en-US" w:eastAsia="zh-CN"/>
              </w:rPr>
              <w:t>4-16</w:t>
            </w:r>
            <w:r>
              <w:rPr>
                <w:color w:val="auto"/>
                <w:sz w:val="24"/>
                <w:highlight w:val="none"/>
              </w:rPr>
              <w:t>。</w:t>
            </w:r>
          </w:p>
          <w:p w14:paraId="45419499">
            <w:pPr>
              <w:pStyle w:val="42"/>
              <w:spacing w:line="240" w:lineRule="auto"/>
              <w:ind w:left="0" w:lef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表4-1</w:t>
            </w:r>
            <w:r>
              <w:rPr>
                <w:rFonts w:hint="eastAsia" w:cs="Times New Roman"/>
                <w:b/>
                <w:bCs/>
                <w:color w:val="auto"/>
                <w:sz w:val="21"/>
                <w:szCs w:val="21"/>
                <w:highlight w:val="none"/>
                <w:lang w:val="en-US" w:eastAsia="zh-CN"/>
              </w:rPr>
              <w:t>6</w:t>
            </w:r>
            <w:r>
              <w:rPr>
                <w:rFonts w:hint="eastAsia" w:ascii="Times New Roman" w:hAnsi="Times New Roman" w:eastAsia="宋体" w:cs="Times New Roman"/>
                <w:b/>
                <w:bCs/>
                <w:color w:val="auto"/>
                <w:sz w:val="21"/>
                <w:szCs w:val="21"/>
                <w:highlight w:val="none"/>
                <w:lang w:val="en-US" w:eastAsia="zh-CN"/>
              </w:rPr>
              <w:t xml:space="preserve">   评价工作等级划分表</w:t>
            </w:r>
          </w:p>
          <w:tbl>
            <w:tblPr>
              <w:tblStyle w:val="2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2"/>
              <w:gridCol w:w="1622"/>
              <w:gridCol w:w="1624"/>
              <w:gridCol w:w="1624"/>
              <w:gridCol w:w="1636"/>
            </w:tblGrid>
            <w:tr w14:paraId="77D84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8" w:type="pct"/>
                  <w:tcBorders>
                    <w:top w:val="single" w:color="000000" w:sz="12" w:space="0"/>
                    <w:left w:val="nil"/>
                    <w:bottom w:val="single" w:color="000000" w:sz="12" w:space="0"/>
                  </w:tcBorders>
                  <w:noWrap w:val="0"/>
                  <w:vAlign w:val="center"/>
                </w:tcPr>
                <w:p w14:paraId="58B9624D">
                  <w:pPr>
                    <w:jc w:val="center"/>
                    <w:rPr>
                      <w:b/>
                      <w:bCs/>
                      <w:color w:val="auto"/>
                      <w:highlight w:val="none"/>
                    </w:rPr>
                  </w:pPr>
                  <w:r>
                    <w:rPr>
                      <w:b/>
                      <w:bCs/>
                      <w:color w:val="auto"/>
                      <w:highlight w:val="none"/>
                    </w:rPr>
                    <w:t>环境风险潜势</w:t>
                  </w:r>
                </w:p>
              </w:tc>
              <w:tc>
                <w:tcPr>
                  <w:tcW w:w="998" w:type="pct"/>
                  <w:tcBorders>
                    <w:top w:val="single" w:color="000000" w:sz="12" w:space="0"/>
                    <w:bottom w:val="single" w:color="000000" w:sz="12" w:space="0"/>
                  </w:tcBorders>
                  <w:noWrap w:val="0"/>
                  <w:vAlign w:val="center"/>
                </w:tcPr>
                <w:p w14:paraId="42EF82A4">
                  <w:pPr>
                    <w:jc w:val="center"/>
                    <w:rPr>
                      <w:b/>
                      <w:bCs/>
                      <w:color w:val="auto"/>
                      <w:highlight w:val="none"/>
                    </w:rPr>
                  </w:pPr>
                  <w:r>
                    <w:rPr>
                      <w:b/>
                      <w:bCs/>
                      <w:color w:val="auto"/>
                      <w:highlight w:val="none"/>
                    </w:rPr>
                    <w:t>Ⅳ、Ⅳ</w:t>
                  </w:r>
                  <w:r>
                    <w:rPr>
                      <w:b/>
                      <w:bCs/>
                      <w:color w:val="auto"/>
                      <w:highlight w:val="none"/>
                      <w:vertAlign w:val="superscript"/>
                    </w:rPr>
                    <w:t>+</w:t>
                  </w:r>
                </w:p>
              </w:tc>
              <w:tc>
                <w:tcPr>
                  <w:tcW w:w="999" w:type="pct"/>
                  <w:tcBorders>
                    <w:top w:val="single" w:color="000000" w:sz="12" w:space="0"/>
                    <w:bottom w:val="single" w:color="000000" w:sz="12" w:space="0"/>
                  </w:tcBorders>
                  <w:noWrap w:val="0"/>
                  <w:vAlign w:val="center"/>
                </w:tcPr>
                <w:p w14:paraId="044BCDCC">
                  <w:pPr>
                    <w:jc w:val="center"/>
                    <w:rPr>
                      <w:b/>
                      <w:bCs/>
                      <w:color w:val="auto"/>
                      <w:highlight w:val="none"/>
                    </w:rPr>
                  </w:pPr>
                  <w:r>
                    <w:rPr>
                      <w:b/>
                      <w:bCs/>
                      <w:color w:val="auto"/>
                      <w:highlight w:val="none"/>
                    </w:rPr>
                    <w:t>Ⅲ</w:t>
                  </w:r>
                </w:p>
              </w:tc>
              <w:tc>
                <w:tcPr>
                  <w:tcW w:w="999" w:type="pct"/>
                  <w:tcBorders>
                    <w:top w:val="single" w:color="000000" w:sz="12" w:space="0"/>
                    <w:bottom w:val="single" w:color="000000" w:sz="12" w:space="0"/>
                  </w:tcBorders>
                  <w:noWrap w:val="0"/>
                  <w:vAlign w:val="center"/>
                </w:tcPr>
                <w:p w14:paraId="1E78F3D6">
                  <w:pPr>
                    <w:jc w:val="center"/>
                    <w:rPr>
                      <w:b/>
                      <w:bCs/>
                      <w:color w:val="auto"/>
                      <w:highlight w:val="none"/>
                    </w:rPr>
                  </w:pPr>
                  <w:r>
                    <w:rPr>
                      <w:b/>
                      <w:bCs/>
                      <w:color w:val="auto"/>
                      <w:highlight w:val="none"/>
                    </w:rPr>
                    <w:t>Ⅱ</w:t>
                  </w:r>
                </w:p>
              </w:tc>
              <w:tc>
                <w:tcPr>
                  <w:tcW w:w="1004" w:type="pct"/>
                  <w:tcBorders>
                    <w:top w:val="single" w:color="000000" w:sz="12" w:space="0"/>
                    <w:bottom w:val="single" w:color="000000" w:sz="12" w:space="0"/>
                    <w:right w:val="nil"/>
                  </w:tcBorders>
                  <w:noWrap w:val="0"/>
                  <w:vAlign w:val="center"/>
                </w:tcPr>
                <w:p w14:paraId="6E4A4D40">
                  <w:pPr>
                    <w:jc w:val="center"/>
                    <w:rPr>
                      <w:b/>
                      <w:bCs/>
                      <w:color w:val="auto"/>
                      <w:highlight w:val="none"/>
                    </w:rPr>
                  </w:pPr>
                  <w:r>
                    <w:rPr>
                      <w:b/>
                      <w:bCs/>
                      <w:color w:val="auto"/>
                      <w:highlight w:val="none"/>
                    </w:rPr>
                    <w:t>Ⅰ</w:t>
                  </w:r>
                </w:p>
              </w:tc>
            </w:tr>
            <w:tr w14:paraId="3E4C5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98" w:type="pct"/>
                  <w:tcBorders>
                    <w:top w:val="single" w:color="000000" w:sz="12" w:space="0"/>
                    <w:left w:val="nil"/>
                    <w:tl2br w:val="nil"/>
                    <w:tr2bl w:val="nil"/>
                  </w:tcBorders>
                  <w:noWrap w:val="0"/>
                  <w:vAlign w:val="center"/>
                </w:tcPr>
                <w:p w14:paraId="695E0E78">
                  <w:pPr>
                    <w:jc w:val="center"/>
                    <w:rPr>
                      <w:color w:val="auto"/>
                      <w:highlight w:val="none"/>
                    </w:rPr>
                  </w:pPr>
                  <w:r>
                    <w:rPr>
                      <w:color w:val="auto"/>
                      <w:highlight w:val="none"/>
                    </w:rPr>
                    <w:t>评价工作等级</w:t>
                  </w:r>
                </w:p>
              </w:tc>
              <w:tc>
                <w:tcPr>
                  <w:tcW w:w="998" w:type="pct"/>
                  <w:tcBorders>
                    <w:top w:val="single" w:color="000000" w:sz="12" w:space="0"/>
                    <w:tl2br w:val="nil"/>
                    <w:tr2bl w:val="nil"/>
                  </w:tcBorders>
                  <w:noWrap w:val="0"/>
                  <w:vAlign w:val="center"/>
                </w:tcPr>
                <w:p w14:paraId="6D6549CA">
                  <w:pPr>
                    <w:jc w:val="center"/>
                    <w:rPr>
                      <w:color w:val="auto"/>
                      <w:highlight w:val="none"/>
                    </w:rPr>
                  </w:pPr>
                  <w:r>
                    <w:rPr>
                      <w:color w:val="auto"/>
                      <w:highlight w:val="none"/>
                    </w:rPr>
                    <w:t>一</w:t>
                  </w:r>
                </w:p>
              </w:tc>
              <w:tc>
                <w:tcPr>
                  <w:tcW w:w="999" w:type="pct"/>
                  <w:tcBorders>
                    <w:top w:val="single" w:color="000000" w:sz="12" w:space="0"/>
                    <w:tl2br w:val="nil"/>
                    <w:tr2bl w:val="nil"/>
                  </w:tcBorders>
                  <w:noWrap w:val="0"/>
                  <w:vAlign w:val="center"/>
                </w:tcPr>
                <w:p w14:paraId="5A674C15">
                  <w:pPr>
                    <w:jc w:val="center"/>
                    <w:rPr>
                      <w:color w:val="auto"/>
                      <w:highlight w:val="none"/>
                    </w:rPr>
                  </w:pPr>
                  <w:r>
                    <w:rPr>
                      <w:color w:val="auto"/>
                      <w:highlight w:val="none"/>
                    </w:rPr>
                    <w:t>二</w:t>
                  </w:r>
                </w:p>
              </w:tc>
              <w:tc>
                <w:tcPr>
                  <w:tcW w:w="999" w:type="pct"/>
                  <w:tcBorders>
                    <w:top w:val="single" w:color="000000" w:sz="12" w:space="0"/>
                    <w:tl2br w:val="nil"/>
                    <w:tr2bl w:val="nil"/>
                  </w:tcBorders>
                  <w:noWrap w:val="0"/>
                  <w:vAlign w:val="center"/>
                </w:tcPr>
                <w:p w14:paraId="6C4AAB09">
                  <w:pPr>
                    <w:jc w:val="center"/>
                    <w:rPr>
                      <w:color w:val="auto"/>
                      <w:highlight w:val="none"/>
                    </w:rPr>
                  </w:pPr>
                  <w:r>
                    <w:rPr>
                      <w:color w:val="auto"/>
                      <w:highlight w:val="none"/>
                    </w:rPr>
                    <w:t>三</w:t>
                  </w:r>
                </w:p>
              </w:tc>
              <w:tc>
                <w:tcPr>
                  <w:tcW w:w="1004" w:type="pct"/>
                  <w:tcBorders>
                    <w:top w:val="single" w:color="000000" w:sz="12" w:space="0"/>
                    <w:right w:val="nil"/>
                    <w:tl2br w:val="nil"/>
                    <w:tr2bl w:val="nil"/>
                  </w:tcBorders>
                  <w:noWrap w:val="0"/>
                  <w:vAlign w:val="center"/>
                </w:tcPr>
                <w:p w14:paraId="7D67C8B2">
                  <w:pPr>
                    <w:jc w:val="center"/>
                    <w:rPr>
                      <w:color w:val="auto"/>
                      <w:highlight w:val="none"/>
                    </w:rPr>
                  </w:pPr>
                  <w:r>
                    <w:rPr>
                      <w:color w:val="auto"/>
                      <w:highlight w:val="none"/>
                    </w:rPr>
                    <w:t>简单分析</w:t>
                  </w:r>
                  <w:r>
                    <w:rPr>
                      <w:color w:val="auto"/>
                      <w:highlight w:val="none"/>
                      <w:vertAlign w:val="superscript"/>
                    </w:rPr>
                    <w:t>a</w:t>
                  </w:r>
                </w:p>
              </w:tc>
            </w:tr>
            <w:tr w14:paraId="3CE2F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5"/>
                  <w:tcBorders>
                    <w:left w:val="nil"/>
                    <w:bottom w:val="single" w:color="000000" w:sz="12" w:space="0"/>
                    <w:right w:val="nil"/>
                    <w:tl2br w:val="nil"/>
                    <w:tr2bl w:val="nil"/>
                  </w:tcBorders>
                  <w:noWrap w:val="0"/>
                  <w:vAlign w:val="center"/>
                </w:tcPr>
                <w:p w14:paraId="4C5F68D6">
                  <w:pPr>
                    <w:ind w:firstLine="420" w:firstLineChars="200"/>
                    <w:jc w:val="both"/>
                    <w:rPr>
                      <w:color w:val="auto"/>
                      <w:highlight w:val="none"/>
                    </w:rPr>
                  </w:pPr>
                  <w:r>
                    <w:rPr>
                      <w:color w:val="auto"/>
                      <w:highlight w:val="none"/>
                    </w:rPr>
                    <w:t>a是相对于详细评价工作内容而言，在描述危险物质、环境影响途径、环境危害后果、风险防范措施等方面给出定性的说明。</w:t>
                  </w:r>
                </w:p>
              </w:tc>
            </w:tr>
          </w:tbl>
          <w:p w14:paraId="1D916402">
            <w:pPr>
              <w:spacing w:line="360" w:lineRule="auto"/>
              <w:ind w:firstLine="480"/>
              <w:rPr>
                <w:rFonts w:hint="default" w:ascii="Times New Roman" w:hAnsi="Times New Roman" w:cs="Times New Roman"/>
                <w:color w:val="auto"/>
                <w:sz w:val="24"/>
                <w:highlight w:val="none"/>
                <w:lang w:val="en-US" w:eastAsia="zh-CN"/>
              </w:rPr>
            </w:pPr>
            <w:r>
              <w:rPr>
                <w:rFonts w:ascii="Times New Roman" w:hAnsi="Times New Roman" w:cs="Times New Roman"/>
                <w:color w:val="auto"/>
                <w:sz w:val="24"/>
                <w:highlight w:val="none"/>
              </w:rPr>
              <w:t>本项目环境风险潜势为Ⅰ，根据《建设项目环境风险评价技术导则》（HJ/T169-2018）环境风险评价工作级别划分的判据，确定本工程环境风险评价工作级别为简单分析。</w:t>
            </w:r>
          </w:p>
          <w:p w14:paraId="5FAFF629">
            <w:pPr>
              <w:spacing w:line="360" w:lineRule="auto"/>
              <w:rPr>
                <w:b/>
                <w:bCs/>
                <w:color w:val="auto"/>
                <w:sz w:val="24"/>
                <w:highlight w:val="none"/>
              </w:rPr>
            </w:pPr>
            <w:r>
              <w:rPr>
                <w:b/>
                <w:bCs/>
                <w:color w:val="auto"/>
                <w:sz w:val="24"/>
                <w:highlight w:val="none"/>
              </w:rPr>
              <w:t>6.3环境风险物质识别</w:t>
            </w:r>
          </w:p>
          <w:p w14:paraId="0A085884">
            <w:pPr>
              <w:pStyle w:val="45"/>
              <w:snapToGrid/>
              <w:spacing w:line="360" w:lineRule="auto"/>
              <w:ind w:firstLine="480" w:firstLineChars="200"/>
              <w:jc w:val="both"/>
              <w:rPr>
                <w:rFonts w:ascii="Times New Roman" w:cs="Times New Roman"/>
                <w:b w:val="0"/>
                <w:bCs/>
                <w:color w:val="auto"/>
                <w:szCs w:val="24"/>
              </w:rPr>
            </w:pPr>
            <w:r>
              <w:rPr>
                <w:rFonts w:ascii="Times New Roman" w:cs="Times New Roman"/>
                <w:b w:val="0"/>
                <w:bCs/>
                <w:color w:val="auto"/>
                <w:szCs w:val="24"/>
              </w:rPr>
              <w:t>根据《建设项目环境风险评价技术导则》（HJ169-2018）中规定，根据物质不同的特性，危险物质可分为有毒物质、易燃物质和爆炸性物质三大类，风险评价对项目涉及的物质进行物质危险性判定。本项目运营过程中风险物质主要为</w:t>
            </w:r>
            <w:r>
              <w:rPr>
                <w:rFonts w:hint="eastAsia" w:ascii="Times New Roman" w:cs="Times New Roman"/>
                <w:b w:val="0"/>
                <w:bCs/>
                <w:color w:val="auto"/>
                <w:szCs w:val="24"/>
                <w:lang w:val="en-US" w:eastAsia="zh-CN"/>
              </w:rPr>
              <w:t>天然气和废机油</w:t>
            </w:r>
            <w:r>
              <w:rPr>
                <w:rFonts w:ascii="Times New Roman" w:cs="Times New Roman"/>
                <w:b w:val="0"/>
                <w:bCs/>
                <w:color w:val="auto"/>
                <w:szCs w:val="24"/>
              </w:rPr>
              <w:t>。其性质详见表4-1</w:t>
            </w:r>
            <w:r>
              <w:rPr>
                <w:rFonts w:hint="eastAsia" w:ascii="Times New Roman" w:cs="Times New Roman"/>
                <w:b w:val="0"/>
                <w:bCs/>
                <w:color w:val="auto"/>
                <w:szCs w:val="24"/>
                <w:lang w:val="en-US" w:eastAsia="zh-CN"/>
              </w:rPr>
              <w:t>7及4-18</w:t>
            </w:r>
            <w:r>
              <w:rPr>
                <w:rFonts w:ascii="Times New Roman" w:cs="Times New Roman"/>
                <w:b w:val="0"/>
                <w:bCs/>
                <w:color w:val="auto"/>
                <w:szCs w:val="24"/>
              </w:rPr>
              <w:t>。</w:t>
            </w:r>
          </w:p>
          <w:p w14:paraId="5862CE6A">
            <w:pPr>
              <w:pStyle w:val="51"/>
              <w:rPr>
                <w:rFonts w:hint="eastAsia"/>
                <w:color w:val="auto"/>
              </w:rPr>
            </w:pPr>
            <w:r>
              <w:rPr>
                <w:rFonts w:hint="eastAsia"/>
                <w:color w:val="auto"/>
              </w:rPr>
              <w:t>表4-1</w:t>
            </w:r>
            <w:r>
              <w:rPr>
                <w:rFonts w:hint="eastAsia"/>
                <w:color w:val="auto"/>
                <w:lang w:val="en-US" w:eastAsia="zh-CN"/>
              </w:rPr>
              <w:t>7</w:t>
            </w:r>
            <w:r>
              <w:rPr>
                <w:rFonts w:hint="eastAsia"/>
                <w:color w:val="auto"/>
              </w:rPr>
              <w:t>天然气的理化性质及危险特性表</w:t>
            </w:r>
          </w:p>
          <w:p w14:paraId="77407AC4">
            <w:pPr>
              <w:spacing w:line="92" w:lineRule="exact"/>
              <w:rPr>
                <w:color w:val="auto"/>
                <w:sz w:val="21"/>
                <w:szCs w:val="21"/>
              </w:rPr>
            </w:pPr>
          </w:p>
          <w:tbl>
            <w:tblPr>
              <w:tblStyle w:val="37"/>
              <w:tblW w:w="7992"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0"/>
              <w:gridCol w:w="2015"/>
              <w:gridCol w:w="676"/>
              <w:gridCol w:w="1068"/>
              <w:gridCol w:w="1431"/>
              <w:gridCol w:w="729"/>
              <w:gridCol w:w="1653"/>
            </w:tblGrid>
            <w:tr w14:paraId="77AEE3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420" w:type="dxa"/>
                  <w:vMerge w:val="restart"/>
                  <w:tcBorders>
                    <w:left w:val="nil"/>
                    <w:bottom w:val="nil"/>
                  </w:tcBorders>
                  <w:textDirection w:val="tbRlV"/>
                  <w:vAlign w:val="top"/>
                </w:tcPr>
                <w:p w14:paraId="33175657">
                  <w:pPr>
                    <w:pStyle w:val="36"/>
                    <w:spacing w:before="101" w:line="216" w:lineRule="auto"/>
                    <w:ind w:left="303"/>
                    <w:rPr>
                      <w:color w:val="auto"/>
                      <w:sz w:val="21"/>
                      <w:szCs w:val="21"/>
                    </w:rPr>
                  </w:pPr>
                  <w:r>
                    <w:rPr>
                      <w:color w:val="auto"/>
                      <w:spacing w:val="7"/>
                      <w:sz w:val="21"/>
                      <w:szCs w:val="21"/>
                      <w14:textOutline w14:w="3795" w14:cap="sq" w14:cmpd="sng">
                        <w14:solidFill>
                          <w14:srgbClr w14:val="000000"/>
                        </w14:solidFill>
                        <w14:prstDash w14:val="solid"/>
                        <w14:bevel/>
                      </w14:textOutline>
                    </w:rPr>
                    <w:t>标识</w:t>
                  </w:r>
                </w:p>
              </w:tc>
              <w:tc>
                <w:tcPr>
                  <w:tcW w:w="2691" w:type="dxa"/>
                  <w:gridSpan w:val="2"/>
                  <w:vAlign w:val="top"/>
                </w:tcPr>
                <w:p w14:paraId="1FD2A7FC">
                  <w:pPr>
                    <w:pStyle w:val="36"/>
                    <w:spacing w:before="82" w:line="229" w:lineRule="auto"/>
                    <w:ind w:left="132"/>
                    <w:rPr>
                      <w:color w:val="auto"/>
                      <w:sz w:val="21"/>
                      <w:szCs w:val="21"/>
                    </w:rPr>
                  </w:pPr>
                  <w:r>
                    <w:rPr>
                      <w:color w:val="auto"/>
                      <w:spacing w:val="6"/>
                      <w:sz w:val="21"/>
                      <w:szCs w:val="21"/>
                    </w:rPr>
                    <w:t>中文名：天然气、沼气</w:t>
                  </w:r>
                </w:p>
              </w:tc>
              <w:tc>
                <w:tcPr>
                  <w:tcW w:w="4881" w:type="dxa"/>
                  <w:gridSpan w:val="4"/>
                  <w:tcBorders>
                    <w:right w:val="nil"/>
                  </w:tcBorders>
                  <w:vAlign w:val="top"/>
                </w:tcPr>
                <w:p w14:paraId="3D3DDCAD">
                  <w:pPr>
                    <w:pStyle w:val="36"/>
                    <w:spacing w:before="82" w:line="228" w:lineRule="auto"/>
                    <w:ind w:left="116"/>
                    <w:rPr>
                      <w:color w:val="auto"/>
                      <w:sz w:val="21"/>
                      <w:szCs w:val="21"/>
                    </w:rPr>
                  </w:pPr>
                  <w:r>
                    <w:rPr>
                      <w:color w:val="auto"/>
                      <w:spacing w:val="5"/>
                      <w:sz w:val="21"/>
                      <w:szCs w:val="21"/>
                    </w:rPr>
                    <w:t>危险性类别：第</w:t>
                  </w:r>
                  <w:r>
                    <w:rPr>
                      <w:rFonts w:ascii="Times New Roman" w:hAnsi="Times New Roman" w:eastAsia="Times New Roman" w:cs="Times New Roman"/>
                      <w:color w:val="auto"/>
                      <w:spacing w:val="5"/>
                      <w:sz w:val="21"/>
                      <w:szCs w:val="21"/>
                    </w:rPr>
                    <w:t>2.1</w:t>
                  </w:r>
                  <w:r>
                    <w:rPr>
                      <w:color w:val="auto"/>
                      <w:spacing w:val="5"/>
                      <w:sz w:val="21"/>
                      <w:szCs w:val="21"/>
                    </w:rPr>
                    <w:t>类易燃气体</w:t>
                  </w:r>
                </w:p>
              </w:tc>
            </w:tr>
            <w:tr w14:paraId="010AC2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0" w:hRule="atLeast"/>
              </w:trPr>
              <w:tc>
                <w:tcPr>
                  <w:tcW w:w="420" w:type="dxa"/>
                  <w:vMerge w:val="continue"/>
                  <w:tcBorders>
                    <w:top w:val="nil"/>
                    <w:left w:val="nil"/>
                    <w:bottom w:val="nil"/>
                  </w:tcBorders>
                  <w:textDirection w:val="tbRlV"/>
                  <w:vAlign w:val="top"/>
                </w:tcPr>
                <w:p w14:paraId="64E389DD">
                  <w:pPr>
                    <w:rPr>
                      <w:rFonts w:ascii="Arial"/>
                      <w:color w:val="auto"/>
                      <w:sz w:val="21"/>
                      <w:szCs w:val="21"/>
                    </w:rPr>
                  </w:pPr>
                </w:p>
              </w:tc>
              <w:tc>
                <w:tcPr>
                  <w:tcW w:w="2691" w:type="dxa"/>
                  <w:gridSpan w:val="2"/>
                  <w:vAlign w:val="top"/>
                </w:tcPr>
                <w:p w14:paraId="722A629A">
                  <w:pPr>
                    <w:pStyle w:val="36"/>
                    <w:spacing w:before="55" w:line="274" w:lineRule="exact"/>
                    <w:ind w:left="113"/>
                    <w:rPr>
                      <w:rFonts w:ascii="Times New Roman" w:hAnsi="Times New Roman" w:eastAsia="Times New Roman" w:cs="Times New Roman"/>
                      <w:color w:val="auto"/>
                      <w:sz w:val="21"/>
                      <w:szCs w:val="21"/>
                    </w:rPr>
                  </w:pPr>
                  <w:r>
                    <w:rPr>
                      <w:color w:val="auto"/>
                      <w:spacing w:val="15"/>
                      <w:position w:val="2"/>
                      <w:sz w:val="21"/>
                      <w:szCs w:val="21"/>
                    </w:rPr>
                    <w:t>英文名：</w:t>
                  </w:r>
                  <w:r>
                    <w:rPr>
                      <w:rFonts w:ascii="Times New Roman" w:hAnsi="Times New Roman" w:eastAsia="Times New Roman" w:cs="Times New Roman"/>
                      <w:color w:val="auto"/>
                      <w:position w:val="2"/>
                      <w:sz w:val="21"/>
                      <w:szCs w:val="21"/>
                    </w:rPr>
                    <w:t>Natursl</w:t>
                  </w:r>
                  <w:r>
                    <w:rPr>
                      <w:rFonts w:ascii="Times New Roman" w:hAnsi="Times New Roman" w:eastAsia="Times New Roman" w:cs="Times New Roman"/>
                      <w:color w:val="auto"/>
                      <w:spacing w:val="15"/>
                      <w:position w:val="2"/>
                      <w:sz w:val="21"/>
                      <w:szCs w:val="21"/>
                    </w:rPr>
                    <w:t xml:space="preserve"> </w:t>
                  </w:r>
                  <w:r>
                    <w:rPr>
                      <w:rFonts w:ascii="Times New Roman" w:hAnsi="Times New Roman" w:eastAsia="Times New Roman" w:cs="Times New Roman"/>
                      <w:color w:val="auto"/>
                      <w:position w:val="2"/>
                      <w:sz w:val="21"/>
                      <w:szCs w:val="21"/>
                    </w:rPr>
                    <w:t>gsa</w:t>
                  </w:r>
                </w:p>
              </w:tc>
              <w:tc>
                <w:tcPr>
                  <w:tcW w:w="2499" w:type="dxa"/>
                  <w:gridSpan w:val="2"/>
                  <w:vAlign w:val="top"/>
                </w:tcPr>
                <w:p w14:paraId="6FD6E62D">
                  <w:pPr>
                    <w:pStyle w:val="36"/>
                    <w:spacing w:before="86" w:line="230" w:lineRule="auto"/>
                    <w:ind w:left="113"/>
                    <w:rPr>
                      <w:color w:val="auto"/>
                      <w:sz w:val="21"/>
                      <w:szCs w:val="21"/>
                    </w:rPr>
                  </w:pPr>
                  <w:r>
                    <w:rPr>
                      <w:rFonts w:ascii="Times New Roman" w:hAnsi="Times New Roman" w:eastAsia="Times New Roman" w:cs="Times New Roman"/>
                      <w:color w:val="auto"/>
                      <w:sz w:val="21"/>
                      <w:szCs w:val="21"/>
                    </w:rPr>
                    <w:t>CAS</w:t>
                  </w:r>
                  <w:r>
                    <w:rPr>
                      <w:rFonts w:ascii="Times New Roman" w:hAnsi="Times New Roman" w:eastAsia="Times New Roman" w:cs="Times New Roman"/>
                      <w:color w:val="auto"/>
                      <w:spacing w:val="18"/>
                      <w:sz w:val="21"/>
                      <w:szCs w:val="21"/>
                    </w:rPr>
                    <w:t xml:space="preserve"> </w:t>
                  </w:r>
                  <w:r>
                    <w:rPr>
                      <w:color w:val="auto"/>
                      <w:spacing w:val="8"/>
                      <w:sz w:val="21"/>
                      <w:szCs w:val="21"/>
                    </w:rPr>
                    <w:t>号：—</w:t>
                  </w:r>
                </w:p>
              </w:tc>
              <w:tc>
                <w:tcPr>
                  <w:tcW w:w="2382" w:type="dxa"/>
                  <w:gridSpan w:val="2"/>
                  <w:tcBorders>
                    <w:right w:val="nil"/>
                  </w:tcBorders>
                  <w:vAlign w:val="top"/>
                </w:tcPr>
                <w:p w14:paraId="7100619F">
                  <w:pPr>
                    <w:pStyle w:val="36"/>
                    <w:spacing w:before="86" w:line="229" w:lineRule="auto"/>
                    <w:ind w:left="116"/>
                    <w:rPr>
                      <w:rFonts w:ascii="Times New Roman" w:hAnsi="Times New Roman" w:eastAsia="Times New Roman" w:cs="Times New Roman"/>
                      <w:color w:val="auto"/>
                      <w:sz w:val="21"/>
                      <w:szCs w:val="21"/>
                    </w:rPr>
                  </w:pPr>
                  <w:r>
                    <w:rPr>
                      <w:color w:val="auto"/>
                      <w:spacing w:val="5"/>
                      <w:sz w:val="21"/>
                      <w:szCs w:val="21"/>
                    </w:rPr>
                    <w:t>危规号：</w:t>
                  </w:r>
                  <w:r>
                    <w:rPr>
                      <w:rFonts w:ascii="Times New Roman" w:hAnsi="Times New Roman" w:eastAsia="Times New Roman" w:cs="Times New Roman"/>
                      <w:color w:val="auto"/>
                      <w:spacing w:val="5"/>
                      <w:sz w:val="21"/>
                      <w:szCs w:val="21"/>
                    </w:rPr>
                    <w:t>21007</w:t>
                  </w:r>
                </w:p>
              </w:tc>
            </w:tr>
            <w:tr w14:paraId="173C2A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420" w:type="dxa"/>
                  <w:vMerge w:val="continue"/>
                  <w:tcBorders>
                    <w:top w:val="nil"/>
                    <w:left w:val="nil"/>
                  </w:tcBorders>
                  <w:textDirection w:val="tbRlV"/>
                  <w:vAlign w:val="top"/>
                </w:tcPr>
                <w:p w14:paraId="74A917A6">
                  <w:pPr>
                    <w:rPr>
                      <w:rFonts w:ascii="Arial"/>
                      <w:color w:val="auto"/>
                      <w:sz w:val="21"/>
                      <w:szCs w:val="21"/>
                    </w:rPr>
                  </w:pPr>
                </w:p>
              </w:tc>
              <w:tc>
                <w:tcPr>
                  <w:tcW w:w="2691" w:type="dxa"/>
                  <w:gridSpan w:val="2"/>
                  <w:vAlign w:val="top"/>
                </w:tcPr>
                <w:p w14:paraId="5C765D59">
                  <w:pPr>
                    <w:pStyle w:val="36"/>
                    <w:spacing w:before="78" w:line="229" w:lineRule="auto"/>
                    <w:ind w:left="114"/>
                    <w:rPr>
                      <w:color w:val="auto"/>
                      <w:sz w:val="21"/>
                      <w:szCs w:val="21"/>
                    </w:rPr>
                  </w:pPr>
                  <w:r>
                    <w:rPr>
                      <w:color w:val="auto"/>
                      <w:spacing w:val="8"/>
                      <w:sz w:val="21"/>
                      <w:szCs w:val="21"/>
                    </w:rPr>
                    <w:t>分子式：无资料</w:t>
                  </w:r>
                </w:p>
              </w:tc>
              <w:tc>
                <w:tcPr>
                  <w:tcW w:w="2499" w:type="dxa"/>
                  <w:gridSpan w:val="2"/>
                  <w:vAlign w:val="top"/>
                </w:tcPr>
                <w:p w14:paraId="0C503F62">
                  <w:pPr>
                    <w:pStyle w:val="36"/>
                    <w:spacing w:before="78" w:line="229" w:lineRule="auto"/>
                    <w:ind w:left="116"/>
                    <w:rPr>
                      <w:color w:val="auto"/>
                      <w:sz w:val="21"/>
                      <w:szCs w:val="21"/>
                    </w:rPr>
                  </w:pPr>
                  <w:r>
                    <w:rPr>
                      <w:color w:val="auto"/>
                      <w:spacing w:val="6"/>
                      <w:sz w:val="21"/>
                      <w:szCs w:val="21"/>
                    </w:rPr>
                    <w:t>分子量</w:t>
                  </w:r>
                </w:p>
              </w:tc>
              <w:tc>
                <w:tcPr>
                  <w:tcW w:w="2382" w:type="dxa"/>
                  <w:gridSpan w:val="2"/>
                  <w:tcBorders>
                    <w:right w:val="nil"/>
                  </w:tcBorders>
                  <w:vAlign w:val="top"/>
                </w:tcPr>
                <w:p w14:paraId="648897B2">
                  <w:pPr>
                    <w:pStyle w:val="36"/>
                    <w:spacing w:before="78" w:line="228" w:lineRule="auto"/>
                    <w:ind w:left="106"/>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UN</w:t>
                  </w:r>
                  <w:r>
                    <w:rPr>
                      <w:rFonts w:ascii="Times New Roman" w:hAnsi="Times New Roman" w:eastAsia="Times New Roman" w:cs="Times New Roman"/>
                      <w:color w:val="auto"/>
                      <w:spacing w:val="8"/>
                      <w:sz w:val="21"/>
                      <w:szCs w:val="21"/>
                    </w:rPr>
                    <w:t xml:space="preserve"> </w:t>
                  </w:r>
                  <w:r>
                    <w:rPr>
                      <w:color w:val="auto"/>
                      <w:spacing w:val="8"/>
                      <w:sz w:val="21"/>
                      <w:szCs w:val="21"/>
                    </w:rPr>
                    <w:t>编号：</w:t>
                  </w:r>
                  <w:r>
                    <w:rPr>
                      <w:rFonts w:ascii="Times New Roman" w:hAnsi="Times New Roman" w:eastAsia="Times New Roman" w:cs="Times New Roman"/>
                      <w:color w:val="auto"/>
                      <w:spacing w:val="8"/>
                      <w:sz w:val="21"/>
                      <w:szCs w:val="21"/>
                    </w:rPr>
                    <w:t>1971</w:t>
                  </w:r>
                </w:p>
              </w:tc>
            </w:tr>
            <w:tr w14:paraId="773D51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0" w:hRule="atLeast"/>
              </w:trPr>
              <w:tc>
                <w:tcPr>
                  <w:tcW w:w="420" w:type="dxa"/>
                  <w:vMerge w:val="restart"/>
                  <w:tcBorders>
                    <w:left w:val="nil"/>
                    <w:bottom w:val="nil"/>
                  </w:tcBorders>
                  <w:textDirection w:val="tbRlV"/>
                  <w:vAlign w:val="top"/>
                </w:tcPr>
                <w:p w14:paraId="53114A02">
                  <w:pPr>
                    <w:pStyle w:val="36"/>
                    <w:spacing w:before="102" w:line="216" w:lineRule="auto"/>
                    <w:ind w:left="680"/>
                    <w:rPr>
                      <w:color w:val="auto"/>
                      <w:sz w:val="21"/>
                      <w:szCs w:val="21"/>
                    </w:rPr>
                  </w:pPr>
                  <w:r>
                    <w:rPr>
                      <w:color w:val="auto"/>
                      <w:spacing w:val="6"/>
                      <w:sz w:val="21"/>
                      <w:szCs w:val="21"/>
                      <w14:textOutline w14:w="3795" w14:cap="sq" w14:cmpd="sng">
                        <w14:solidFill>
                          <w14:srgbClr w14:val="000000"/>
                        </w14:solidFill>
                        <w14:prstDash w14:val="solid"/>
                        <w14:bevel/>
                      </w14:textOutline>
                    </w:rPr>
                    <w:t>理化性质</w:t>
                  </w:r>
                </w:p>
              </w:tc>
              <w:tc>
                <w:tcPr>
                  <w:tcW w:w="2015" w:type="dxa"/>
                  <w:vAlign w:val="top"/>
                </w:tcPr>
                <w:p w14:paraId="47F8E343">
                  <w:pPr>
                    <w:pStyle w:val="36"/>
                    <w:spacing w:before="68" w:line="228" w:lineRule="auto"/>
                    <w:ind w:left="112"/>
                    <w:rPr>
                      <w:color w:val="auto"/>
                      <w:sz w:val="21"/>
                      <w:szCs w:val="21"/>
                    </w:rPr>
                  </w:pPr>
                  <w:r>
                    <w:rPr>
                      <w:color w:val="auto"/>
                      <w:spacing w:val="4"/>
                      <w:sz w:val="21"/>
                      <w:szCs w:val="21"/>
                    </w:rPr>
                    <w:t>性状</w:t>
                  </w:r>
                </w:p>
              </w:tc>
              <w:tc>
                <w:tcPr>
                  <w:tcW w:w="5557" w:type="dxa"/>
                  <w:gridSpan w:val="5"/>
                  <w:tcBorders>
                    <w:right w:val="nil"/>
                  </w:tcBorders>
                  <w:vAlign w:val="top"/>
                </w:tcPr>
                <w:p w14:paraId="32957EA8">
                  <w:pPr>
                    <w:pStyle w:val="36"/>
                    <w:spacing w:before="68" w:line="228" w:lineRule="auto"/>
                    <w:ind w:left="115"/>
                    <w:rPr>
                      <w:color w:val="auto"/>
                      <w:sz w:val="21"/>
                      <w:szCs w:val="21"/>
                    </w:rPr>
                  </w:pPr>
                  <w:r>
                    <w:rPr>
                      <w:color w:val="auto"/>
                      <w:spacing w:val="8"/>
                      <w:sz w:val="21"/>
                      <w:szCs w:val="21"/>
                    </w:rPr>
                    <w:t>无色、无臭气体</w:t>
                  </w:r>
                </w:p>
              </w:tc>
            </w:tr>
            <w:tr w14:paraId="3782D9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1" w:hRule="atLeast"/>
              </w:trPr>
              <w:tc>
                <w:tcPr>
                  <w:tcW w:w="420" w:type="dxa"/>
                  <w:vMerge w:val="continue"/>
                  <w:tcBorders>
                    <w:top w:val="nil"/>
                    <w:left w:val="nil"/>
                    <w:bottom w:val="nil"/>
                  </w:tcBorders>
                  <w:textDirection w:val="tbRlV"/>
                  <w:vAlign w:val="top"/>
                </w:tcPr>
                <w:p w14:paraId="0E68FB3A">
                  <w:pPr>
                    <w:rPr>
                      <w:rFonts w:ascii="Arial"/>
                      <w:color w:val="auto"/>
                      <w:sz w:val="21"/>
                      <w:szCs w:val="21"/>
                    </w:rPr>
                  </w:pPr>
                </w:p>
              </w:tc>
              <w:tc>
                <w:tcPr>
                  <w:tcW w:w="2015" w:type="dxa"/>
                  <w:vAlign w:val="top"/>
                </w:tcPr>
                <w:p w14:paraId="166A05AC">
                  <w:pPr>
                    <w:pStyle w:val="36"/>
                    <w:spacing w:before="229" w:line="230" w:lineRule="auto"/>
                    <w:ind w:left="114"/>
                    <w:rPr>
                      <w:color w:val="auto"/>
                      <w:sz w:val="21"/>
                      <w:szCs w:val="21"/>
                    </w:rPr>
                  </w:pPr>
                  <w:r>
                    <w:rPr>
                      <w:color w:val="auto"/>
                      <w:spacing w:val="6"/>
                      <w:sz w:val="21"/>
                      <w:szCs w:val="21"/>
                    </w:rPr>
                    <w:t>主要用途</w:t>
                  </w:r>
                </w:p>
              </w:tc>
              <w:tc>
                <w:tcPr>
                  <w:tcW w:w="5557" w:type="dxa"/>
                  <w:gridSpan w:val="5"/>
                  <w:tcBorders>
                    <w:right w:val="nil"/>
                  </w:tcBorders>
                  <w:vAlign w:val="top"/>
                </w:tcPr>
                <w:p w14:paraId="429F45C7">
                  <w:pPr>
                    <w:pStyle w:val="36"/>
                    <w:spacing w:before="72" w:line="258" w:lineRule="auto"/>
                    <w:ind w:left="112" w:right="200" w:firstLine="4"/>
                    <w:rPr>
                      <w:color w:val="auto"/>
                      <w:sz w:val="21"/>
                      <w:szCs w:val="21"/>
                    </w:rPr>
                  </w:pPr>
                  <w:r>
                    <w:rPr>
                      <w:color w:val="auto"/>
                      <w:spacing w:val="7"/>
                      <w:sz w:val="21"/>
                      <w:szCs w:val="21"/>
                    </w:rPr>
                    <w:t>是重要的有机化工原料，可作制造炭黑、合成氨、</w:t>
                  </w:r>
                  <w:r>
                    <w:rPr>
                      <w:color w:val="auto"/>
                      <w:spacing w:val="-39"/>
                      <w:sz w:val="21"/>
                      <w:szCs w:val="21"/>
                    </w:rPr>
                    <w:t xml:space="preserve"> </w:t>
                  </w:r>
                  <w:r>
                    <w:rPr>
                      <w:color w:val="auto"/>
                      <w:spacing w:val="7"/>
                      <w:sz w:val="21"/>
                      <w:szCs w:val="21"/>
                    </w:rPr>
                    <w:t>甲醇以</w:t>
                  </w:r>
                  <w:r>
                    <w:rPr>
                      <w:color w:val="auto"/>
                      <w:sz w:val="21"/>
                      <w:szCs w:val="21"/>
                    </w:rPr>
                    <w:t xml:space="preserve"> </w:t>
                  </w:r>
                  <w:r>
                    <w:rPr>
                      <w:color w:val="auto"/>
                      <w:spacing w:val="8"/>
                      <w:sz w:val="21"/>
                      <w:szCs w:val="21"/>
                    </w:rPr>
                    <w:t>及其他有机化合物，亦是优良的燃料。</w:t>
                  </w:r>
                </w:p>
              </w:tc>
            </w:tr>
            <w:tr w14:paraId="539AEA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420" w:type="dxa"/>
                  <w:vMerge w:val="continue"/>
                  <w:tcBorders>
                    <w:top w:val="nil"/>
                    <w:left w:val="nil"/>
                    <w:bottom w:val="nil"/>
                  </w:tcBorders>
                  <w:textDirection w:val="tbRlV"/>
                  <w:vAlign w:val="top"/>
                </w:tcPr>
                <w:p w14:paraId="5C6DB47E">
                  <w:pPr>
                    <w:rPr>
                      <w:rFonts w:ascii="Arial"/>
                      <w:color w:val="auto"/>
                      <w:sz w:val="21"/>
                      <w:szCs w:val="21"/>
                    </w:rPr>
                  </w:pPr>
                </w:p>
              </w:tc>
              <w:tc>
                <w:tcPr>
                  <w:tcW w:w="3759" w:type="dxa"/>
                  <w:gridSpan w:val="3"/>
                  <w:vAlign w:val="top"/>
                </w:tcPr>
                <w:p w14:paraId="0AB88B77">
                  <w:pPr>
                    <w:pStyle w:val="36"/>
                    <w:spacing w:before="52" w:line="275" w:lineRule="exact"/>
                    <w:ind w:left="114"/>
                    <w:rPr>
                      <w:rFonts w:ascii="Times New Roman" w:hAnsi="Times New Roman" w:eastAsia="Times New Roman" w:cs="Times New Roman"/>
                      <w:color w:val="auto"/>
                      <w:sz w:val="21"/>
                      <w:szCs w:val="21"/>
                    </w:rPr>
                  </w:pPr>
                  <w:r>
                    <w:rPr>
                      <w:color w:val="auto"/>
                      <w:spacing w:val="7"/>
                      <w:position w:val="2"/>
                      <w:sz w:val="21"/>
                      <w:szCs w:val="21"/>
                    </w:rPr>
                    <w:t>最大爆炸压力</w:t>
                  </w:r>
                  <w:r>
                    <w:rPr>
                      <w:rFonts w:ascii="Times New Roman" w:hAnsi="Times New Roman" w:eastAsia="Times New Roman" w:cs="Times New Roman"/>
                      <w:color w:val="auto"/>
                      <w:spacing w:val="7"/>
                      <w:position w:val="2"/>
                      <w:sz w:val="21"/>
                      <w:szCs w:val="21"/>
                    </w:rPr>
                    <w:t>/</w:t>
                  </w:r>
                  <w:r>
                    <w:rPr>
                      <w:rFonts w:ascii="Times New Roman" w:hAnsi="Times New Roman" w:eastAsia="Times New Roman" w:cs="Times New Roman"/>
                      <w:color w:val="auto"/>
                      <w:position w:val="2"/>
                      <w:sz w:val="21"/>
                      <w:szCs w:val="21"/>
                    </w:rPr>
                    <w:t>Mpa</w:t>
                  </w:r>
                  <w:r>
                    <w:rPr>
                      <w:rFonts w:ascii="Times New Roman" w:hAnsi="Times New Roman" w:eastAsia="Times New Roman" w:cs="Times New Roman"/>
                      <w:color w:val="auto"/>
                      <w:spacing w:val="7"/>
                      <w:position w:val="2"/>
                      <w:sz w:val="21"/>
                      <w:szCs w:val="21"/>
                    </w:rPr>
                    <w:t>0.717</w:t>
                  </w:r>
                </w:p>
              </w:tc>
              <w:tc>
                <w:tcPr>
                  <w:tcW w:w="3813" w:type="dxa"/>
                  <w:gridSpan w:val="3"/>
                  <w:tcBorders>
                    <w:right w:val="nil"/>
                  </w:tcBorders>
                  <w:vAlign w:val="top"/>
                </w:tcPr>
                <w:p w14:paraId="31F1A26E">
                  <w:pPr>
                    <w:pStyle w:val="36"/>
                    <w:spacing w:before="84" w:line="228" w:lineRule="auto"/>
                    <w:ind w:left="116"/>
                    <w:rPr>
                      <w:color w:val="auto"/>
                      <w:sz w:val="21"/>
                      <w:szCs w:val="21"/>
                    </w:rPr>
                  </w:pPr>
                  <w:r>
                    <w:rPr>
                      <w:color w:val="auto"/>
                      <w:spacing w:val="8"/>
                      <w:sz w:val="21"/>
                      <w:szCs w:val="21"/>
                    </w:rPr>
                    <w:t>溶解性：溶于水</w:t>
                  </w:r>
                </w:p>
              </w:tc>
            </w:tr>
            <w:tr w14:paraId="061B1C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5" w:hRule="atLeast"/>
              </w:trPr>
              <w:tc>
                <w:tcPr>
                  <w:tcW w:w="420" w:type="dxa"/>
                  <w:vMerge w:val="continue"/>
                  <w:tcBorders>
                    <w:top w:val="nil"/>
                    <w:left w:val="nil"/>
                    <w:bottom w:val="nil"/>
                  </w:tcBorders>
                  <w:textDirection w:val="tbRlV"/>
                  <w:vAlign w:val="top"/>
                </w:tcPr>
                <w:p w14:paraId="066B95DD">
                  <w:pPr>
                    <w:rPr>
                      <w:rFonts w:ascii="Arial"/>
                      <w:color w:val="auto"/>
                      <w:sz w:val="21"/>
                      <w:szCs w:val="21"/>
                    </w:rPr>
                  </w:pPr>
                </w:p>
              </w:tc>
              <w:tc>
                <w:tcPr>
                  <w:tcW w:w="3759" w:type="dxa"/>
                  <w:gridSpan w:val="3"/>
                  <w:vAlign w:val="top"/>
                </w:tcPr>
                <w:p w14:paraId="6DEC1E8B">
                  <w:pPr>
                    <w:pStyle w:val="36"/>
                    <w:spacing w:before="39" w:line="274" w:lineRule="exact"/>
                    <w:ind w:left="113"/>
                    <w:rPr>
                      <w:rFonts w:ascii="Times New Roman" w:hAnsi="Times New Roman" w:eastAsia="Times New Roman" w:cs="Times New Roman"/>
                      <w:color w:val="auto"/>
                      <w:sz w:val="21"/>
                      <w:szCs w:val="21"/>
                    </w:rPr>
                  </w:pPr>
                  <w:r>
                    <w:rPr>
                      <w:color w:val="auto"/>
                      <w:spacing w:val="2"/>
                      <w:position w:val="1"/>
                      <w:sz w:val="21"/>
                      <w:szCs w:val="21"/>
                    </w:rPr>
                    <w:t>沸点</w:t>
                  </w:r>
                  <w:r>
                    <w:rPr>
                      <w:rFonts w:ascii="Times New Roman" w:hAnsi="Times New Roman" w:eastAsia="Times New Roman" w:cs="Times New Roman"/>
                      <w:color w:val="auto"/>
                      <w:spacing w:val="2"/>
                      <w:position w:val="1"/>
                      <w:sz w:val="21"/>
                      <w:szCs w:val="21"/>
                    </w:rPr>
                    <w:t>/</w:t>
                  </w:r>
                  <w:r>
                    <w:rPr>
                      <w:color w:val="auto"/>
                      <w:spacing w:val="2"/>
                      <w:position w:val="1"/>
                      <w:sz w:val="21"/>
                      <w:szCs w:val="21"/>
                    </w:rPr>
                    <w:t>℃</w:t>
                  </w:r>
                  <w:r>
                    <w:rPr>
                      <w:rFonts w:ascii="Times New Roman" w:hAnsi="Times New Roman" w:eastAsia="Times New Roman" w:cs="Times New Roman"/>
                      <w:color w:val="auto"/>
                      <w:spacing w:val="2"/>
                      <w:position w:val="1"/>
                      <w:sz w:val="21"/>
                      <w:szCs w:val="21"/>
                    </w:rPr>
                    <w:t>-160</w:t>
                  </w:r>
                </w:p>
              </w:tc>
              <w:tc>
                <w:tcPr>
                  <w:tcW w:w="3813" w:type="dxa"/>
                  <w:gridSpan w:val="3"/>
                  <w:tcBorders>
                    <w:right w:val="nil"/>
                  </w:tcBorders>
                  <w:vAlign w:val="top"/>
                </w:tcPr>
                <w:p w14:paraId="3B4A3ADB">
                  <w:pPr>
                    <w:pStyle w:val="36"/>
                    <w:spacing w:before="39" w:line="274" w:lineRule="exact"/>
                    <w:ind w:left="114"/>
                    <w:rPr>
                      <w:color w:val="auto"/>
                      <w:sz w:val="21"/>
                      <w:szCs w:val="21"/>
                    </w:rPr>
                  </w:pPr>
                  <w:r>
                    <w:rPr>
                      <w:color w:val="auto"/>
                      <w:spacing w:val="8"/>
                      <w:position w:val="1"/>
                      <w:sz w:val="21"/>
                      <w:szCs w:val="21"/>
                    </w:rPr>
                    <w:t>相对密度</w:t>
                  </w:r>
                  <w:r>
                    <w:rPr>
                      <w:color w:val="auto"/>
                      <w:spacing w:val="-5"/>
                      <w:position w:val="1"/>
                      <w:sz w:val="21"/>
                      <w:szCs w:val="21"/>
                    </w:rPr>
                    <w:t>：（</w:t>
                  </w:r>
                  <w:r>
                    <w:rPr>
                      <w:color w:val="auto"/>
                      <w:spacing w:val="8"/>
                      <w:position w:val="1"/>
                      <w:sz w:val="21"/>
                      <w:szCs w:val="21"/>
                    </w:rPr>
                    <w:t>水</w:t>
                  </w:r>
                  <w:r>
                    <w:rPr>
                      <w:rFonts w:ascii="Times New Roman" w:hAnsi="Times New Roman" w:eastAsia="Times New Roman" w:cs="Times New Roman"/>
                      <w:color w:val="auto"/>
                      <w:spacing w:val="8"/>
                      <w:position w:val="1"/>
                      <w:sz w:val="21"/>
                      <w:szCs w:val="21"/>
                    </w:rPr>
                    <w:t>=1</w:t>
                  </w:r>
                  <w:r>
                    <w:rPr>
                      <w:color w:val="auto"/>
                      <w:spacing w:val="8"/>
                      <w:position w:val="1"/>
                      <w:sz w:val="21"/>
                      <w:szCs w:val="21"/>
                    </w:rPr>
                    <w:t>）约</w:t>
                  </w:r>
                  <w:r>
                    <w:rPr>
                      <w:rFonts w:ascii="Times New Roman" w:hAnsi="Times New Roman" w:eastAsia="Times New Roman" w:cs="Times New Roman"/>
                      <w:color w:val="auto"/>
                      <w:spacing w:val="8"/>
                      <w:position w:val="1"/>
                      <w:sz w:val="21"/>
                      <w:szCs w:val="21"/>
                    </w:rPr>
                    <w:t>0.45</w:t>
                  </w:r>
                  <w:r>
                    <w:rPr>
                      <w:color w:val="auto"/>
                      <w:spacing w:val="8"/>
                      <w:position w:val="1"/>
                      <w:sz w:val="21"/>
                      <w:szCs w:val="21"/>
                    </w:rPr>
                    <w:t>（液化）</w:t>
                  </w:r>
                </w:p>
              </w:tc>
            </w:tr>
            <w:tr w14:paraId="5D64D3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5" w:hRule="atLeast"/>
              </w:trPr>
              <w:tc>
                <w:tcPr>
                  <w:tcW w:w="420" w:type="dxa"/>
                  <w:vMerge w:val="continue"/>
                  <w:tcBorders>
                    <w:top w:val="nil"/>
                    <w:left w:val="nil"/>
                    <w:bottom w:val="nil"/>
                  </w:tcBorders>
                  <w:textDirection w:val="tbRlV"/>
                  <w:vAlign w:val="top"/>
                </w:tcPr>
                <w:p w14:paraId="4F9F1328">
                  <w:pPr>
                    <w:rPr>
                      <w:rFonts w:ascii="Arial"/>
                      <w:color w:val="auto"/>
                      <w:sz w:val="21"/>
                      <w:szCs w:val="21"/>
                    </w:rPr>
                  </w:pPr>
                </w:p>
              </w:tc>
              <w:tc>
                <w:tcPr>
                  <w:tcW w:w="3759" w:type="dxa"/>
                  <w:gridSpan w:val="3"/>
                  <w:vAlign w:val="top"/>
                </w:tcPr>
                <w:p w14:paraId="3C30E2E2">
                  <w:pPr>
                    <w:pStyle w:val="36"/>
                    <w:spacing w:before="51" w:line="274" w:lineRule="exact"/>
                    <w:ind w:left="113"/>
                    <w:rPr>
                      <w:rFonts w:ascii="Times New Roman" w:hAnsi="Times New Roman" w:eastAsia="Times New Roman" w:cs="Times New Roman"/>
                      <w:color w:val="auto"/>
                      <w:sz w:val="21"/>
                      <w:szCs w:val="21"/>
                    </w:rPr>
                  </w:pPr>
                  <w:r>
                    <w:rPr>
                      <w:color w:val="auto"/>
                      <w:spacing w:val="2"/>
                      <w:position w:val="1"/>
                      <w:sz w:val="21"/>
                      <w:szCs w:val="21"/>
                    </w:rPr>
                    <w:t>熔点</w:t>
                  </w:r>
                  <w:r>
                    <w:rPr>
                      <w:rFonts w:ascii="Times New Roman" w:hAnsi="Times New Roman" w:eastAsia="Times New Roman" w:cs="Times New Roman"/>
                      <w:color w:val="auto"/>
                      <w:spacing w:val="2"/>
                      <w:position w:val="1"/>
                      <w:sz w:val="21"/>
                      <w:szCs w:val="21"/>
                    </w:rPr>
                    <w:t>/</w:t>
                  </w:r>
                  <w:r>
                    <w:rPr>
                      <w:color w:val="auto"/>
                      <w:spacing w:val="2"/>
                      <w:position w:val="1"/>
                      <w:sz w:val="21"/>
                      <w:szCs w:val="21"/>
                    </w:rPr>
                    <w:t>℃</w:t>
                  </w:r>
                  <w:r>
                    <w:rPr>
                      <w:rFonts w:ascii="Times New Roman" w:hAnsi="Times New Roman" w:eastAsia="Times New Roman" w:cs="Times New Roman"/>
                      <w:color w:val="auto"/>
                      <w:spacing w:val="2"/>
                      <w:position w:val="1"/>
                      <w:sz w:val="21"/>
                      <w:szCs w:val="21"/>
                    </w:rPr>
                    <w:t>-182.5</w:t>
                  </w:r>
                </w:p>
              </w:tc>
              <w:tc>
                <w:tcPr>
                  <w:tcW w:w="3813" w:type="dxa"/>
                  <w:gridSpan w:val="3"/>
                  <w:tcBorders>
                    <w:right w:val="nil"/>
                  </w:tcBorders>
                  <w:vAlign w:val="top"/>
                </w:tcPr>
                <w:p w14:paraId="31F87763">
                  <w:pPr>
                    <w:pStyle w:val="36"/>
                    <w:spacing w:before="51" w:line="274" w:lineRule="exact"/>
                    <w:ind w:left="113"/>
                    <w:rPr>
                      <w:rFonts w:ascii="Times New Roman" w:hAnsi="Times New Roman" w:eastAsia="Times New Roman" w:cs="Times New Roman"/>
                      <w:color w:val="auto"/>
                      <w:sz w:val="21"/>
                      <w:szCs w:val="21"/>
                    </w:rPr>
                  </w:pPr>
                  <w:r>
                    <w:rPr>
                      <w:color w:val="auto"/>
                      <w:spacing w:val="7"/>
                      <w:position w:val="2"/>
                      <w:sz w:val="21"/>
                      <w:szCs w:val="21"/>
                    </w:rPr>
                    <w:t>燃烧热值（</w:t>
                  </w:r>
                  <w:r>
                    <w:rPr>
                      <w:rFonts w:ascii="Times New Roman" w:hAnsi="Times New Roman" w:eastAsia="Times New Roman" w:cs="Times New Roman"/>
                      <w:color w:val="auto"/>
                      <w:position w:val="2"/>
                      <w:sz w:val="21"/>
                      <w:szCs w:val="21"/>
                    </w:rPr>
                    <w:t>kj</w:t>
                  </w:r>
                  <w:r>
                    <w:rPr>
                      <w:rFonts w:ascii="Times New Roman" w:hAnsi="Times New Roman" w:eastAsia="Times New Roman" w:cs="Times New Roman"/>
                      <w:color w:val="auto"/>
                      <w:spacing w:val="7"/>
                      <w:position w:val="2"/>
                      <w:sz w:val="21"/>
                      <w:szCs w:val="21"/>
                    </w:rPr>
                    <w:t>/</w:t>
                  </w:r>
                  <w:r>
                    <w:rPr>
                      <w:rFonts w:ascii="Times New Roman" w:hAnsi="Times New Roman" w:eastAsia="Times New Roman" w:cs="Times New Roman"/>
                      <w:color w:val="auto"/>
                      <w:position w:val="2"/>
                      <w:sz w:val="21"/>
                      <w:szCs w:val="21"/>
                    </w:rPr>
                    <w:t>mol</w:t>
                  </w:r>
                  <w:r>
                    <w:rPr>
                      <w:color w:val="auto"/>
                      <w:spacing w:val="20"/>
                      <w:position w:val="2"/>
                      <w:sz w:val="21"/>
                      <w:szCs w:val="21"/>
                    </w:rPr>
                    <w:t>）：</w:t>
                  </w:r>
                  <w:r>
                    <w:rPr>
                      <w:rFonts w:ascii="Times New Roman" w:hAnsi="Times New Roman" w:eastAsia="Times New Roman" w:cs="Times New Roman"/>
                      <w:color w:val="auto"/>
                      <w:spacing w:val="7"/>
                      <w:position w:val="2"/>
                      <w:sz w:val="21"/>
                      <w:szCs w:val="21"/>
                    </w:rPr>
                    <w:t>803</w:t>
                  </w:r>
                </w:p>
              </w:tc>
            </w:tr>
            <w:tr w14:paraId="7F8D69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420" w:type="dxa"/>
                  <w:vMerge w:val="continue"/>
                  <w:tcBorders>
                    <w:top w:val="nil"/>
                    <w:left w:val="nil"/>
                    <w:bottom w:val="single" w:color="000000" w:sz="4" w:space="0"/>
                  </w:tcBorders>
                  <w:textDirection w:val="tbRlV"/>
                  <w:vAlign w:val="top"/>
                </w:tcPr>
                <w:p w14:paraId="52782440">
                  <w:pPr>
                    <w:rPr>
                      <w:rFonts w:ascii="Arial"/>
                      <w:color w:val="auto"/>
                      <w:sz w:val="21"/>
                      <w:szCs w:val="21"/>
                    </w:rPr>
                  </w:pPr>
                </w:p>
              </w:tc>
              <w:tc>
                <w:tcPr>
                  <w:tcW w:w="3759" w:type="dxa"/>
                  <w:gridSpan w:val="3"/>
                  <w:vAlign w:val="top"/>
                </w:tcPr>
                <w:p w14:paraId="4558C1F3">
                  <w:pPr>
                    <w:pStyle w:val="36"/>
                    <w:spacing w:before="43" w:line="274" w:lineRule="exact"/>
                    <w:ind w:left="123"/>
                    <w:rPr>
                      <w:rFonts w:ascii="Times New Roman" w:hAnsi="Times New Roman" w:eastAsia="Times New Roman" w:cs="Times New Roman"/>
                      <w:color w:val="auto"/>
                      <w:sz w:val="21"/>
                      <w:szCs w:val="21"/>
                    </w:rPr>
                  </w:pPr>
                  <w:r>
                    <w:rPr>
                      <w:color w:val="auto"/>
                      <w:spacing w:val="5"/>
                      <w:position w:val="1"/>
                      <w:sz w:val="21"/>
                      <w:szCs w:val="21"/>
                    </w:rPr>
                    <w:t>临界温度</w:t>
                  </w:r>
                  <w:r>
                    <w:rPr>
                      <w:rFonts w:ascii="Times New Roman" w:hAnsi="Times New Roman" w:eastAsia="Times New Roman" w:cs="Times New Roman"/>
                      <w:color w:val="auto"/>
                      <w:spacing w:val="5"/>
                      <w:position w:val="1"/>
                      <w:sz w:val="21"/>
                      <w:szCs w:val="21"/>
                    </w:rPr>
                    <w:t>/C</w:t>
                  </w:r>
                  <w:r>
                    <w:rPr>
                      <w:color w:val="auto"/>
                      <w:spacing w:val="5"/>
                      <w:position w:val="1"/>
                      <w:sz w:val="21"/>
                      <w:szCs w:val="21"/>
                    </w:rPr>
                    <w:t>：</w:t>
                  </w:r>
                  <w:r>
                    <w:rPr>
                      <w:rFonts w:ascii="Times New Roman" w:hAnsi="Times New Roman" w:eastAsia="Times New Roman" w:cs="Times New Roman"/>
                      <w:color w:val="auto"/>
                      <w:spacing w:val="5"/>
                      <w:position w:val="1"/>
                      <w:sz w:val="21"/>
                      <w:szCs w:val="21"/>
                    </w:rPr>
                    <w:t>-82.6</w:t>
                  </w:r>
                </w:p>
              </w:tc>
              <w:tc>
                <w:tcPr>
                  <w:tcW w:w="3813" w:type="dxa"/>
                  <w:gridSpan w:val="3"/>
                  <w:tcBorders>
                    <w:right w:val="nil"/>
                  </w:tcBorders>
                  <w:vAlign w:val="top"/>
                </w:tcPr>
                <w:p w14:paraId="38B8AB7E">
                  <w:pPr>
                    <w:pStyle w:val="36"/>
                    <w:spacing w:before="43" w:line="274" w:lineRule="exact"/>
                    <w:ind w:left="125"/>
                    <w:rPr>
                      <w:rFonts w:ascii="Times New Roman" w:hAnsi="Times New Roman" w:eastAsia="Times New Roman" w:cs="Times New Roman"/>
                      <w:color w:val="auto"/>
                      <w:sz w:val="21"/>
                      <w:szCs w:val="21"/>
                    </w:rPr>
                  </w:pPr>
                  <w:r>
                    <w:rPr>
                      <w:color w:val="auto"/>
                      <w:spacing w:val="6"/>
                      <w:position w:val="2"/>
                      <w:sz w:val="21"/>
                      <w:szCs w:val="21"/>
                    </w:rPr>
                    <w:t>临界压力</w:t>
                  </w:r>
                  <w:r>
                    <w:rPr>
                      <w:rFonts w:ascii="Times New Roman" w:hAnsi="Times New Roman" w:eastAsia="Times New Roman" w:cs="Times New Roman"/>
                      <w:color w:val="auto"/>
                      <w:spacing w:val="6"/>
                      <w:position w:val="2"/>
                      <w:sz w:val="21"/>
                      <w:szCs w:val="21"/>
                    </w:rPr>
                    <w:t>/</w:t>
                  </w:r>
                  <w:r>
                    <w:rPr>
                      <w:rFonts w:ascii="Times New Roman" w:hAnsi="Times New Roman" w:eastAsia="Times New Roman" w:cs="Times New Roman"/>
                      <w:color w:val="auto"/>
                      <w:position w:val="2"/>
                      <w:sz w:val="21"/>
                      <w:szCs w:val="21"/>
                    </w:rPr>
                    <w:t>Mpa</w:t>
                  </w:r>
                  <w:r>
                    <w:rPr>
                      <w:color w:val="auto"/>
                      <w:spacing w:val="6"/>
                      <w:position w:val="2"/>
                      <w:sz w:val="21"/>
                      <w:szCs w:val="21"/>
                    </w:rPr>
                    <w:t>：</w:t>
                  </w:r>
                  <w:r>
                    <w:rPr>
                      <w:rFonts w:ascii="Times New Roman" w:hAnsi="Times New Roman" w:eastAsia="Times New Roman" w:cs="Times New Roman"/>
                      <w:color w:val="auto"/>
                      <w:spacing w:val="6"/>
                      <w:position w:val="2"/>
                      <w:sz w:val="21"/>
                      <w:szCs w:val="21"/>
                    </w:rPr>
                    <w:t>4.62</w:t>
                  </w:r>
                </w:p>
              </w:tc>
            </w:tr>
            <w:tr w14:paraId="157BE9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0" w:type="dxa"/>
                  <w:vMerge w:val="restart"/>
                  <w:tcBorders>
                    <w:top w:val="single" w:color="000000" w:sz="4" w:space="0"/>
                    <w:left w:val="nil"/>
                    <w:bottom w:val="nil"/>
                  </w:tcBorders>
                  <w:textDirection w:val="tbRlV"/>
                  <w:vAlign w:val="top"/>
                </w:tcPr>
                <w:p w14:paraId="15E74145">
                  <w:pPr>
                    <w:pStyle w:val="36"/>
                    <w:spacing w:before="101" w:line="217" w:lineRule="auto"/>
                    <w:ind w:left="1350"/>
                    <w:rPr>
                      <w:color w:val="auto"/>
                      <w:sz w:val="21"/>
                      <w:szCs w:val="21"/>
                    </w:rPr>
                  </w:pPr>
                  <w:r>
                    <w:rPr>
                      <w:color w:val="auto"/>
                      <w:spacing w:val="6"/>
                      <w:sz w:val="21"/>
                      <w:szCs w:val="21"/>
                      <w14:textOutline w14:w="3795" w14:cap="sq" w14:cmpd="sng">
                        <w14:solidFill>
                          <w14:srgbClr w14:val="000000"/>
                        </w14:solidFill>
                        <w14:prstDash w14:val="solid"/>
                        <w14:bevel/>
                      </w14:textOutline>
                    </w:rPr>
                    <w:t>燃</w:t>
                  </w:r>
                  <w:r>
                    <w:rPr>
                      <w:color w:val="auto"/>
                      <w:spacing w:val="6"/>
                      <w:sz w:val="21"/>
                      <w:szCs w:val="21"/>
                    </w:rPr>
                    <w:t xml:space="preserve"> </w:t>
                  </w:r>
                  <w:r>
                    <w:rPr>
                      <w:color w:val="auto"/>
                      <w:spacing w:val="6"/>
                      <w:sz w:val="21"/>
                      <w:szCs w:val="21"/>
                      <w14:textOutline w14:w="3795" w14:cap="sq" w14:cmpd="sng">
                        <w14:solidFill>
                          <w14:srgbClr w14:val="000000"/>
                        </w14:solidFill>
                        <w14:prstDash w14:val="solid"/>
                        <w14:bevel/>
                      </w14:textOutline>
                    </w:rPr>
                    <w:t>烧</w:t>
                  </w:r>
                  <w:r>
                    <w:rPr>
                      <w:color w:val="auto"/>
                      <w:spacing w:val="6"/>
                      <w:sz w:val="21"/>
                      <w:szCs w:val="21"/>
                    </w:rPr>
                    <w:t xml:space="preserve"> </w:t>
                  </w:r>
                  <w:r>
                    <w:rPr>
                      <w:color w:val="auto"/>
                      <w:spacing w:val="6"/>
                      <w:sz w:val="21"/>
                      <w:szCs w:val="21"/>
                      <w14:textOutline w14:w="3795" w14:cap="sq" w14:cmpd="sng">
                        <w14:solidFill>
                          <w14:srgbClr w14:val="000000"/>
                        </w14:solidFill>
                        <w14:prstDash w14:val="solid"/>
                        <w14:bevel/>
                      </w14:textOutline>
                    </w:rPr>
                    <w:t>爆</w:t>
                  </w:r>
                  <w:r>
                    <w:rPr>
                      <w:color w:val="auto"/>
                      <w:spacing w:val="6"/>
                      <w:sz w:val="21"/>
                      <w:szCs w:val="21"/>
                    </w:rPr>
                    <w:t xml:space="preserve"> </w:t>
                  </w:r>
                  <w:r>
                    <w:rPr>
                      <w:color w:val="auto"/>
                      <w:spacing w:val="6"/>
                      <w:sz w:val="21"/>
                      <w:szCs w:val="21"/>
                      <w14:textOutline w14:w="3795" w14:cap="sq" w14:cmpd="sng">
                        <w14:solidFill>
                          <w14:srgbClr w14:val="000000"/>
                        </w14:solidFill>
                        <w14:prstDash w14:val="solid"/>
                        <w14:bevel/>
                      </w14:textOutline>
                    </w:rPr>
                    <w:t>炸</w:t>
                  </w:r>
                  <w:r>
                    <w:rPr>
                      <w:color w:val="auto"/>
                      <w:spacing w:val="6"/>
                      <w:sz w:val="21"/>
                      <w:szCs w:val="21"/>
                    </w:rPr>
                    <w:t xml:space="preserve"> </w:t>
                  </w:r>
                  <w:r>
                    <w:rPr>
                      <w:color w:val="auto"/>
                      <w:spacing w:val="6"/>
                      <w:sz w:val="21"/>
                      <w:szCs w:val="21"/>
                      <w14:textOutline w14:w="3795" w14:cap="sq" w14:cmpd="sng">
                        <w14:solidFill>
                          <w14:srgbClr w14:val="000000"/>
                        </w14:solidFill>
                        <w14:prstDash w14:val="solid"/>
                        <w14:bevel/>
                      </w14:textOutline>
                    </w:rPr>
                    <w:t>危</w:t>
                  </w:r>
                  <w:r>
                    <w:rPr>
                      <w:color w:val="auto"/>
                      <w:spacing w:val="6"/>
                      <w:sz w:val="21"/>
                      <w:szCs w:val="21"/>
                    </w:rPr>
                    <w:t xml:space="preserve"> </w:t>
                  </w:r>
                  <w:r>
                    <w:rPr>
                      <w:color w:val="auto"/>
                      <w:spacing w:val="6"/>
                      <w:sz w:val="21"/>
                      <w:szCs w:val="21"/>
                      <w14:textOutline w14:w="3795" w14:cap="sq" w14:cmpd="sng">
                        <w14:solidFill>
                          <w14:srgbClr w14:val="000000"/>
                        </w14:solidFill>
                        <w14:prstDash w14:val="solid"/>
                        <w14:bevel/>
                      </w14:textOutline>
                    </w:rPr>
                    <w:t>险</w:t>
                  </w:r>
                  <w:r>
                    <w:rPr>
                      <w:color w:val="auto"/>
                      <w:spacing w:val="6"/>
                      <w:sz w:val="21"/>
                      <w:szCs w:val="21"/>
                    </w:rPr>
                    <w:t xml:space="preserve"> </w:t>
                  </w:r>
                  <w:r>
                    <w:rPr>
                      <w:color w:val="auto"/>
                      <w:spacing w:val="6"/>
                      <w:sz w:val="21"/>
                      <w:szCs w:val="21"/>
                      <w14:textOutline w14:w="3795" w14:cap="sq" w14:cmpd="sng">
                        <w14:solidFill>
                          <w14:srgbClr w14:val="000000"/>
                        </w14:solidFill>
                        <w14:prstDash w14:val="solid"/>
                        <w14:bevel/>
                      </w14:textOutline>
                    </w:rPr>
                    <w:t>性</w:t>
                  </w:r>
                </w:p>
              </w:tc>
              <w:tc>
                <w:tcPr>
                  <w:tcW w:w="2015" w:type="dxa"/>
                  <w:vAlign w:val="top"/>
                </w:tcPr>
                <w:p w14:paraId="2C512CAD">
                  <w:pPr>
                    <w:pStyle w:val="36"/>
                    <w:spacing w:before="49" w:line="228" w:lineRule="auto"/>
                    <w:ind w:left="111"/>
                    <w:rPr>
                      <w:color w:val="auto"/>
                      <w:sz w:val="21"/>
                      <w:szCs w:val="21"/>
                    </w:rPr>
                  </w:pPr>
                  <w:r>
                    <w:rPr>
                      <w:color w:val="auto"/>
                      <w:spacing w:val="7"/>
                      <w:sz w:val="21"/>
                      <w:szCs w:val="21"/>
                    </w:rPr>
                    <w:t>燃烧性</w:t>
                  </w:r>
                </w:p>
              </w:tc>
              <w:tc>
                <w:tcPr>
                  <w:tcW w:w="1744" w:type="dxa"/>
                  <w:gridSpan w:val="2"/>
                  <w:vAlign w:val="top"/>
                </w:tcPr>
                <w:p w14:paraId="582E9804">
                  <w:pPr>
                    <w:pStyle w:val="36"/>
                    <w:spacing w:before="49" w:line="230" w:lineRule="auto"/>
                    <w:ind w:left="127"/>
                    <w:rPr>
                      <w:color w:val="auto"/>
                      <w:sz w:val="21"/>
                      <w:szCs w:val="21"/>
                    </w:rPr>
                  </w:pPr>
                  <w:r>
                    <w:rPr>
                      <w:color w:val="auto"/>
                      <w:spacing w:val="-3"/>
                      <w:sz w:val="21"/>
                      <w:szCs w:val="21"/>
                    </w:rPr>
                    <w:t>易燃</w:t>
                  </w:r>
                </w:p>
              </w:tc>
              <w:tc>
                <w:tcPr>
                  <w:tcW w:w="2160" w:type="dxa"/>
                  <w:gridSpan w:val="2"/>
                  <w:vAlign w:val="top"/>
                </w:tcPr>
                <w:p w14:paraId="608E0DE1">
                  <w:pPr>
                    <w:pStyle w:val="36"/>
                    <w:spacing w:before="49" w:line="228" w:lineRule="auto"/>
                    <w:ind w:left="113"/>
                    <w:rPr>
                      <w:color w:val="auto"/>
                      <w:sz w:val="21"/>
                      <w:szCs w:val="21"/>
                    </w:rPr>
                  </w:pPr>
                  <w:r>
                    <w:rPr>
                      <w:color w:val="auto"/>
                      <w:spacing w:val="8"/>
                      <w:sz w:val="21"/>
                      <w:szCs w:val="21"/>
                    </w:rPr>
                    <w:t>燃烧分解产物</w:t>
                  </w:r>
                </w:p>
              </w:tc>
              <w:tc>
                <w:tcPr>
                  <w:tcW w:w="1653" w:type="dxa"/>
                  <w:tcBorders>
                    <w:right w:val="nil"/>
                  </w:tcBorders>
                  <w:vAlign w:val="top"/>
                </w:tcPr>
                <w:p w14:paraId="628AFA01">
                  <w:pPr>
                    <w:pStyle w:val="36"/>
                    <w:spacing w:before="85" w:line="190" w:lineRule="auto"/>
                    <w:ind w:left="113"/>
                    <w:rPr>
                      <w:rFonts w:ascii="Times New Roman" w:hAnsi="Times New Roman" w:eastAsia="Times New Roman" w:cs="Times New Roman"/>
                      <w:color w:val="auto"/>
                      <w:sz w:val="21"/>
                      <w:szCs w:val="21"/>
                    </w:rPr>
                  </w:pPr>
                  <w:r>
                    <w:rPr>
                      <w:rFonts w:ascii="Times New Roman" w:hAnsi="Times New Roman" w:eastAsia="Times New Roman" w:cs="Times New Roman"/>
                      <w:color w:val="auto"/>
                      <w:sz w:val="21"/>
                      <w:szCs w:val="21"/>
                    </w:rPr>
                    <w:t>CO</w:t>
                  </w:r>
                  <w:r>
                    <w:rPr>
                      <w:color w:val="auto"/>
                      <w:spacing w:val="3"/>
                      <w:sz w:val="21"/>
                      <w:szCs w:val="21"/>
                    </w:rPr>
                    <w:t>、</w:t>
                  </w:r>
                  <w:r>
                    <w:rPr>
                      <w:rFonts w:ascii="Times New Roman" w:hAnsi="Times New Roman" w:eastAsia="Times New Roman" w:cs="Times New Roman"/>
                      <w:color w:val="auto"/>
                      <w:sz w:val="21"/>
                      <w:szCs w:val="21"/>
                    </w:rPr>
                    <w:t>CO</w:t>
                  </w:r>
                </w:p>
              </w:tc>
            </w:tr>
            <w:tr w14:paraId="0EA137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2" w:hRule="atLeast"/>
              </w:trPr>
              <w:tc>
                <w:tcPr>
                  <w:tcW w:w="420" w:type="dxa"/>
                  <w:vMerge w:val="continue"/>
                  <w:tcBorders>
                    <w:top w:val="nil"/>
                    <w:left w:val="nil"/>
                    <w:bottom w:val="nil"/>
                  </w:tcBorders>
                  <w:textDirection w:val="tbRlV"/>
                  <w:vAlign w:val="top"/>
                </w:tcPr>
                <w:p w14:paraId="075DECD4">
                  <w:pPr>
                    <w:rPr>
                      <w:rFonts w:ascii="Arial"/>
                      <w:color w:val="auto"/>
                      <w:sz w:val="21"/>
                      <w:szCs w:val="21"/>
                    </w:rPr>
                  </w:pPr>
                </w:p>
              </w:tc>
              <w:tc>
                <w:tcPr>
                  <w:tcW w:w="2015" w:type="dxa"/>
                  <w:vAlign w:val="top"/>
                </w:tcPr>
                <w:p w14:paraId="22727175">
                  <w:pPr>
                    <w:pStyle w:val="36"/>
                    <w:spacing w:before="54" w:line="229" w:lineRule="auto"/>
                    <w:ind w:left="131"/>
                    <w:rPr>
                      <w:color w:val="auto"/>
                      <w:sz w:val="21"/>
                      <w:szCs w:val="21"/>
                    </w:rPr>
                  </w:pPr>
                  <w:r>
                    <w:rPr>
                      <w:color w:val="auto"/>
                      <w:spacing w:val="2"/>
                      <w:sz w:val="21"/>
                      <w:szCs w:val="21"/>
                    </w:rPr>
                    <w:t>闪点（℃）</w:t>
                  </w:r>
                </w:p>
              </w:tc>
              <w:tc>
                <w:tcPr>
                  <w:tcW w:w="1744" w:type="dxa"/>
                  <w:gridSpan w:val="2"/>
                  <w:vAlign w:val="top"/>
                </w:tcPr>
                <w:p w14:paraId="0243F7AC">
                  <w:pPr>
                    <w:pStyle w:val="36"/>
                    <w:spacing w:before="54" w:line="229" w:lineRule="auto"/>
                    <w:ind w:left="115"/>
                    <w:rPr>
                      <w:color w:val="auto"/>
                      <w:sz w:val="21"/>
                      <w:szCs w:val="21"/>
                    </w:rPr>
                  </w:pPr>
                  <w:r>
                    <w:rPr>
                      <w:color w:val="auto"/>
                      <w:spacing w:val="6"/>
                      <w:sz w:val="21"/>
                      <w:szCs w:val="21"/>
                    </w:rPr>
                    <w:t>无资料</w:t>
                  </w:r>
                </w:p>
              </w:tc>
              <w:tc>
                <w:tcPr>
                  <w:tcW w:w="2160" w:type="dxa"/>
                  <w:gridSpan w:val="2"/>
                  <w:vAlign w:val="top"/>
                </w:tcPr>
                <w:p w14:paraId="711231FA">
                  <w:pPr>
                    <w:pStyle w:val="36"/>
                    <w:spacing w:before="54" w:line="228" w:lineRule="auto"/>
                    <w:ind w:left="115"/>
                    <w:rPr>
                      <w:color w:val="auto"/>
                      <w:sz w:val="21"/>
                      <w:szCs w:val="21"/>
                    </w:rPr>
                  </w:pPr>
                  <w:r>
                    <w:rPr>
                      <w:color w:val="auto"/>
                      <w:spacing w:val="7"/>
                      <w:sz w:val="21"/>
                      <w:szCs w:val="21"/>
                    </w:rPr>
                    <w:t>火灾危险性</w:t>
                  </w:r>
                </w:p>
              </w:tc>
              <w:tc>
                <w:tcPr>
                  <w:tcW w:w="1653" w:type="dxa"/>
                  <w:tcBorders>
                    <w:right w:val="nil"/>
                  </w:tcBorders>
                  <w:vAlign w:val="top"/>
                </w:tcPr>
                <w:p w14:paraId="4D294F25">
                  <w:pPr>
                    <w:pStyle w:val="36"/>
                    <w:spacing w:before="54" w:line="231" w:lineRule="auto"/>
                    <w:ind w:left="141"/>
                    <w:rPr>
                      <w:color w:val="auto"/>
                      <w:sz w:val="21"/>
                      <w:szCs w:val="21"/>
                    </w:rPr>
                  </w:pPr>
                  <w:r>
                    <w:rPr>
                      <w:color w:val="auto"/>
                      <w:sz w:val="21"/>
                      <w:szCs w:val="21"/>
                    </w:rPr>
                    <w:t>甲</w:t>
                  </w:r>
                </w:p>
              </w:tc>
            </w:tr>
            <w:tr w14:paraId="064FF3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4" w:hRule="atLeast"/>
              </w:trPr>
              <w:tc>
                <w:tcPr>
                  <w:tcW w:w="420" w:type="dxa"/>
                  <w:vMerge w:val="continue"/>
                  <w:tcBorders>
                    <w:top w:val="nil"/>
                    <w:left w:val="nil"/>
                    <w:bottom w:val="nil"/>
                  </w:tcBorders>
                  <w:textDirection w:val="tbRlV"/>
                  <w:vAlign w:val="top"/>
                </w:tcPr>
                <w:p w14:paraId="5583C5EC">
                  <w:pPr>
                    <w:rPr>
                      <w:rFonts w:ascii="Arial"/>
                      <w:color w:val="auto"/>
                      <w:sz w:val="21"/>
                      <w:szCs w:val="21"/>
                    </w:rPr>
                  </w:pPr>
                </w:p>
              </w:tc>
              <w:tc>
                <w:tcPr>
                  <w:tcW w:w="2015" w:type="dxa"/>
                  <w:vAlign w:val="top"/>
                </w:tcPr>
                <w:p w14:paraId="1EF60125">
                  <w:pPr>
                    <w:pStyle w:val="36"/>
                    <w:spacing w:before="56" w:line="227" w:lineRule="auto"/>
                    <w:ind w:left="109"/>
                    <w:rPr>
                      <w:color w:val="auto"/>
                      <w:sz w:val="21"/>
                      <w:szCs w:val="21"/>
                    </w:rPr>
                  </w:pPr>
                  <w:r>
                    <w:rPr>
                      <w:color w:val="auto"/>
                      <w:spacing w:val="8"/>
                      <w:sz w:val="21"/>
                      <w:szCs w:val="21"/>
                    </w:rPr>
                    <w:t>爆炸极限</w:t>
                  </w:r>
                </w:p>
              </w:tc>
              <w:tc>
                <w:tcPr>
                  <w:tcW w:w="1744" w:type="dxa"/>
                  <w:gridSpan w:val="2"/>
                  <w:tcBorders>
                    <w:bottom w:val="single" w:color="000000" w:sz="4" w:space="0"/>
                  </w:tcBorders>
                  <w:vAlign w:val="top"/>
                </w:tcPr>
                <w:p w14:paraId="024805CF">
                  <w:pPr>
                    <w:pStyle w:val="36"/>
                    <w:spacing w:before="25" w:line="274" w:lineRule="exact"/>
                    <w:ind w:left="115"/>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5"/>
                      <w:position w:val="2"/>
                      <w:sz w:val="21"/>
                      <w:szCs w:val="21"/>
                    </w:rPr>
                    <w:t>5%</w:t>
                  </w:r>
                  <w:r>
                    <w:rPr>
                      <w:color w:val="auto"/>
                      <w:spacing w:val="5"/>
                      <w:position w:val="2"/>
                      <w:sz w:val="21"/>
                      <w:szCs w:val="21"/>
                    </w:rPr>
                    <w:t>～</w:t>
                  </w:r>
                  <w:r>
                    <w:rPr>
                      <w:rFonts w:ascii="Times New Roman" w:hAnsi="Times New Roman" w:eastAsia="Times New Roman" w:cs="Times New Roman"/>
                      <w:color w:val="auto"/>
                      <w:spacing w:val="5"/>
                      <w:position w:val="2"/>
                      <w:sz w:val="21"/>
                      <w:szCs w:val="21"/>
                    </w:rPr>
                    <w:t>14%</w:t>
                  </w:r>
                </w:p>
              </w:tc>
              <w:tc>
                <w:tcPr>
                  <w:tcW w:w="2160" w:type="dxa"/>
                  <w:gridSpan w:val="2"/>
                  <w:tcBorders>
                    <w:bottom w:val="single" w:color="000000" w:sz="4" w:space="0"/>
                  </w:tcBorders>
                  <w:vAlign w:val="top"/>
                </w:tcPr>
                <w:p w14:paraId="58E855CD">
                  <w:pPr>
                    <w:pStyle w:val="36"/>
                    <w:spacing w:before="56" w:line="229" w:lineRule="auto"/>
                    <w:ind w:left="122"/>
                    <w:rPr>
                      <w:color w:val="auto"/>
                      <w:sz w:val="21"/>
                      <w:szCs w:val="21"/>
                    </w:rPr>
                  </w:pPr>
                  <w:r>
                    <w:rPr>
                      <w:color w:val="auto"/>
                      <w:spacing w:val="5"/>
                      <w:sz w:val="21"/>
                      <w:szCs w:val="21"/>
                    </w:rPr>
                    <w:t>聚合危害</w:t>
                  </w:r>
                </w:p>
              </w:tc>
              <w:tc>
                <w:tcPr>
                  <w:tcW w:w="1653" w:type="dxa"/>
                  <w:tcBorders>
                    <w:bottom w:val="single" w:color="000000" w:sz="4" w:space="0"/>
                    <w:right w:val="nil"/>
                  </w:tcBorders>
                  <w:vAlign w:val="top"/>
                </w:tcPr>
                <w:p w14:paraId="40C00D6F">
                  <w:pPr>
                    <w:pStyle w:val="36"/>
                    <w:spacing w:before="56" w:line="229" w:lineRule="auto"/>
                    <w:ind w:left="117"/>
                    <w:rPr>
                      <w:color w:val="auto"/>
                      <w:sz w:val="21"/>
                      <w:szCs w:val="21"/>
                    </w:rPr>
                  </w:pPr>
                  <w:r>
                    <w:rPr>
                      <w:color w:val="auto"/>
                      <w:spacing w:val="5"/>
                      <w:sz w:val="21"/>
                      <w:szCs w:val="21"/>
                    </w:rPr>
                    <w:t>不聚合</w:t>
                  </w:r>
                </w:p>
              </w:tc>
            </w:tr>
            <w:tr w14:paraId="745B8F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420" w:type="dxa"/>
                  <w:vMerge w:val="continue"/>
                  <w:tcBorders>
                    <w:top w:val="nil"/>
                    <w:left w:val="nil"/>
                    <w:bottom w:val="nil"/>
                  </w:tcBorders>
                  <w:textDirection w:val="tbRlV"/>
                  <w:vAlign w:val="top"/>
                </w:tcPr>
                <w:p w14:paraId="6AD567F1">
                  <w:pPr>
                    <w:rPr>
                      <w:rFonts w:ascii="Arial"/>
                      <w:color w:val="auto"/>
                      <w:sz w:val="21"/>
                      <w:szCs w:val="21"/>
                    </w:rPr>
                  </w:pPr>
                </w:p>
              </w:tc>
              <w:tc>
                <w:tcPr>
                  <w:tcW w:w="2015" w:type="dxa"/>
                  <w:vAlign w:val="top"/>
                </w:tcPr>
                <w:p w14:paraId="09497406">
                  <w:pPr>
                    <w:pStyle w:val="36"/>
                    <w:spacing w:before="48" w:line="229" w:lineRule="auto"/>
                    <w:ind w:left="127"/>
                    <w:rPr>
                      <w:color w:val="auto"/>
                      <w:sz w:val="21"/>
                      <w:szCs w:val="21"/>
                    </w:rPr>
                  </w:pPr>
                  <w:r>
                    <w:rPr>
                      <w:color w:val="auto"/>
                      <w:spacing w:val="5"/>
                      <w:sz w:val="21"/>
                      <w:szCs w:val="21"/>
                    </w:rPr>
                    <w:t>引燃温度（℃）</w:t>
                  </w:r>
                </w:p>
              </w:tc>
              <w:tc>
                <w:tcPr>
                  <w:tcW w:w="1744" w:type="dxa"/>
                  <w:gridSpan w:val="2"/>
                  <w:tcBorders>
                    <w:top w:val="single" w:color="000000" w:sz="4" w:space="0"/>
                    <w:bottom w:val="single" w:color="000000" w:sz="4" w:space="0"/>
                  </w:tcBorders>
                  <w:vAlign w:val="top"/>
                </w:tcPr>
                <w:p w14:paraId="00A73525">
                  <w:pPr>
                    <w:spacing w:before="84" w:line="195" w:lineRule="auto"/>
                    <w:ind w:left="108"/>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4"/>
                      <w:sz w:val="21"/>
                      <w:szCs w:val="21"/>
                    </w:rPr>
                    <w:t>482~632</w:t>
                  </w:r>
                </w:p>
              </w:tc>
              <w:tc>
                <w:tcPr>
                  <w:tcW w:w="2160" w:type="dxa"/>
                  <w:gridSpan w:val="2"/>
                  <w:tcBorders>
                    <w:top w:val="single" w:color="000000" w:sz="4" w:space="0"/>
                    <w:bottom w:val="single" w:color="000000" w:sz="4" w:space="0"/>
                  </w:tcBorders>
                  <w:vAlign w:val="top"/>
                </w:tcPr>
                <w:p w14:paraId="7E0BB6AB">
                  <w:pPr>
                    <w:pStyle w:val="36"/>
                    <w:spacing w:before="48" w:line="228" w:lineRule="auto"/>
                    <w:ind w:left="115"/>
                    <w:rPr>
                      <w:color w:val="auto"/>
                      <w:sz w:val="21"/>
                      <w:szCs w:val="21"/>
                    </w:rPr>
                  </w:pPr>
                  <w:r>
                    <w:rPr>
                      <w:color w:val="auto"/>
                      <w:spacing w:val="6"/>
                      <w:sz w:val="21"/>
                      <w:szCs w:val="21"/>
                    </w:rPr>
                    <w:t>稳定性</w:t>
                  </w:r>
                </w:p>
              </w:tc>
              <w:tc>
                <w:tcPr>
                  <w:tcW w:w="1653" w:type="dxa"/>
                  <w:tcBorders>
                    <w:top w:val="single" w:color="000000" w:sz="4" w:space="0"/>
                    <w:bottom w:val="single" w:color="000000" w:sz="4" w:space="0"/>
                    <w:right w:val="nil"/>
                  </w:tcBorders>
                  <w:vAlign w:val="top"/>
                </w:tcPr>
                <w:p w14:paraId="4D82DEC0">
                  <w:pPr>
                    <w:pStyle w:val="36"/>
                    <w:spacing w:before="48" w:line="228" w:lineRule="auto"/>
                    <w:ind w:left="115"/>
                    <w:rPr>
                      <w:color w:val="auto"/>
                      <w:sz w:val="21"/>
                      <w:szCs w:val="21"/>
                    </w:rPr>
                  </w:pPr>
                  <w:r>
                    <w:rPr>
                      <w:color w:val="auto"/>
                      <w:spacing w:val="4"/>
                      <w:sz w:val="21"/>
                      <w:szCs w:val="21"/>
                    </w:rPr>
                    <w:t>稳定</w:t>
                  </w:r>
                </w:p>
              </w:tc>
            </w:tr>
            <w:tr w14:paraId="2F001C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9" w:hRule="atLeast"/>
              </w:trPr>
              <w:tc>
                <w:tcPr>
                  <w:tcW w:w="420" w:type="dxa"/>
                  <w:vMerge w:val="continue"/>
                  <w:tcBorders>
                    <w:top w:val="nil"/>
                    <w:left w:val="nil"/>
                    <w:bottom w:val="nil"/>
                  </w:tcBorders>
                  <w:textDirection w:val="tbRlV"/>
                  <w:vAlign w:val="top"/>
                </w:tcPr>
                <w:p w14:paraId="6724F8EB">
                  <w:pPr>
                    <w:rPr>
                      <w:rFonts w:ascii="Arial"/>
                      <w:color w:val="auto"/>
                      <w:sz w:val="21"/>
                      <w:szCs w:val="21"/>
                    </w:rPr>
                  </w:pPr>
                </w:p>
              </w:tc>
              <w:tc>
                <w:tcPr>
                  <w:tcW w:w="2015" w:type="dxa"/>
                  <w:vAlign w:val="top"/>
                </w:tcPr>
                <w:p w14:paraId="676DC644">
                  <w:pPr>
                    <w:pStyle w:val="36"/>
                    <w:spacing w:before="47" w:line="312" w:lineRule="exact"/>
                    <w:ind w:left="114"/>
                    <w:rPr>
                      <w:color w:val="auto"/>
                      <w:sz w:val="21"/>
                      <w:szCs w:val="21"/>
                    </w:rPr>
                  </w:pPr>
                  <w:r>
                    <w:rPr>
                      <w:color w:val="auto"/>
                      <w:spacing w:val="7"/>
                      <w:position w:val="7"/>
                      <w:sz w:val="21"/>
                      <w:szCs w:val="21"/>
                    </w:rPr>
                    <w:t>最大爆炸压力</w:t>
                  </w:r>
                </w:p>
                <w:p w14:paraId="0C5475F5">
                  <w:pPr>
                    <w:pStyle w:val="36"/>
                    <w:spacing w:before="1" w:line="220" w:lineRule="auto"/>
                    <w:ind w:left="122"/>
                    <w:rPr>
                      <w:color w:val="auto"/>
                      <w:sz w:val="21"/>
                      <w:szCs w:val="21"/>
                    </w:rPr>
                  </w:pPr>
                  <w:r>
                    <w:rPr>
                      <w:color w:val="auto"/>
                      <w:spacing w:val="4"/>
                      <w:sz w:val="21"/>
                      <w:szCs w:val="21"/>
                    </w:rPr>
                    <w:t>（</w:t>
                  </w:r>
                  <w:r>
                    <w:rPr>
                      <w:rFonts w:ascii="Times New Roman" w:hAnsi="Times New Roman" w:eastAsia="Times New Roman" w:cs="Times New Roman"/>
                      <w:color w:val="auto"/>
                      <w:sz w:val="21"/>
                      <w:szCs w:val="21"/>
                    </w:rPr>
                    <w:t>Kpa</w:t>
                  </w:r>
                  <w:r>
                    <w:rPr>
                      <w:color w:val="auto"/>
                      <w:spacing w:val="4"/>
                      <w:sz w:val="21"/>
                      <w:szCs w:val="21"/>
                    </w:rPr>
                    <w:t>）</w:t>
                  </w:r>
                </w:p>
              </w:tc>
              <w:tc>
                <w:tcPr>
                  <w:tcW w:w="1744" w:type="dxa"/>
                  <w:gridSpan w:val="2"/>
                  <w:tcBorders>
                    <w:top w:val="single" w:color="000000" w:sz="4" w:space="0"/>
                    <w:bottom w:val="single" w:color="000000" w:sz="4" w:space="0"/>
                  </w:tcBorders>
                  <w:vAlign w:val="top"/>
                </w:tcPr>
                <w:p w14:paraId="6F8E0E15">
                  <w:pPr>
                    <w:spacing w:before="239" w:line="195" w:lineRule="auto"/>
                    <w:ind w:left="112"/>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0.717</w:t>
                  </w:r>
                </w:p>
              </w:tc>
              <w:tc>
                <w:tcPr>
                  <w:tcW w:w="2160" w:type="dxa"/>
                  <w:gridSpan w:val="2"/>
                  <w:tcBorders>
                    <w:top w:val="single" w:color="000000" w:sz="4" w:space="0"/>
                    <w:bottom w:val="single" w:color="000000" w:sz="4" w:space="0"/>
                  </w:tcBorders>
                  <w:vAlign w:val="top"/>
                </w:tcPr>
                <w:p w14:paraId="4D158004">
                  <w:pPr>
                    <w:pStyle w:val="36"/>
                    <w:spacing w:before="204" w:line="228" w:lineRule="auto"/>
                    <w:ind w:left="114"/>
                    <w:rPr>
                      <w:color w:val="auto"/>
                      <w:sz w:val="21"/>
                      <w:szCs w:val="21"/>
                    </w:rPr>
                  </w:pPr>
                  <w:r>
                    <w:rPr>
                      <w:color w:val="auto"/>
                      <w:spacing w:val="6"/>
                      <w:sz w:val="21"/>
                      <w:szCs w:val="21"/>
                    </w:rPr>
                    <w:t>禁忌物</w:t>
                  </w:r>
                </w:p>
              </w:tc>
              <w:tc>
                <w:tcPr>
                  <w:tcW w:w="1653" w:type="dxa"/>
                  <w:tcBorders>
                    <w:top w:val="single" w:color="000000" w:sz="4" w:space="0"/>
                    <w:bottom w:val="single" w:color="000000" w:sz="4" w:space="0"/>
                    <w:right w:val="nil"/>
                  </w:tcBorders>
                  <w:vAlign w:val="top"/>
                </w:tcPr>
                <w:p w14:paraId="617F8EB2">
                  <w:pPr>
                    <w:pStyle w:val="36"/>
                    <w:spacing w:before="203" w:line="228" w:lineRule="auto"/>
                    <w:ind w:left="119"/>
                    <w:rPr>
                      <w:color w:val="auto"/>
                      <w:sz w:val="21"/>
                      <w:szCs w:val="21"/>
                    </w:rPr>
                  </w:pPr>
                  <w:r>
                    <w:rPr>
                      <w:color w:val="auto"/>
                      <w:spacing w:val="2"/>
                      <w:sz w:val="21"/>
                      <w:szCs w:val="21"/>
                    </w:rPr>
                    <w:t>强氧化剂、卤素</w:t>
                  </w:r>
                </w:p>
              </w:tc>
            </w:tr>
            <w:tr w14:paraId="3E14D4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420" w:type="dxa"/>
                  <w:vMerge w:val="continue"/>
                  <w:tcBorders>
                    <w:top w:val="nil"/>
                    <w:left w:val="nil"/>
                    <w:bottom w:val="nil"/>
                  </w:tcBorders>
                  <w:textDirection w:val="tbRlV"/>
                  <w:vAlign w:val="top"/>
                </w:tcPr>
                <w:p w14:paraId="322F917E">
                  <w:pPr>
                    <w:rPr>
                      <w:rFonts w:ascii="Arial"/>
                      <w:color w:val="auto"/>
                      <w:sz w:val="21"/>
                      <w:szCs w:val="21"/>
                    </w:rPr>
                  </w:pPr>
                </w:p>
              </w:tc>
              <w:tc>
                <w:tcPr>
                  <w:tcW w:w="2015" w:type="dxa"/>
                  <w:vAlign w:val="top"/>
                </w:tcPr>
                <w:p w14:paraId="45C6C4C3">
                  <w:pPr>
                    <w:pStyle w:val="36"/>
                    <w:spacing w:before="16" w:line="274" w:lineRule="exact"/>
                    <w:ind w:left="114"/>
                    <w:rPr>
                      <w:color w:val="auto"/>
                      <w:sz w:val="21"/>
                      <w:szCs w:val="21"/>
                    </w:rPr>
                  </w:pPr>
                  <w:r>
                    <w:rPr>
                      <w:color w:val="auto"/>
                      <w:spacing w:val="8"/>
                      <w:position w:val="2"/>
                      <w:sz w:val="21"/>
                      <w:szCs w:val="21"/>
                    </w:rPr>
                    <w:t>最小点火能（</w:t>
                  </w:r>
                  <w:r>
                    <w:rPr>
                      <w:rFonts w:ascii="Times New Roman" w:hAnsi="Times New Roman" w:eastAsia="Times New Roman" w:cs="Times New Roman"/>
                      <w:color w:val="auto"/>
                      <w:position w:val="2"/>
                      <w:sz w:val="21"/>
                      <w:szCs w:val="21"/>
                    </w:rPr>
                    <w:t>mj</w:t>
                  </w:r>
                  <w:r>
                    <w:rPr>
                      <w:color w:val="auto"/>
                      <w:spacing w:val="8"/>
                      <w:position w:val="2"/>
                      <w:sz w:val="21"/>
                      <w:szCs w:val="21"/>
                    </w:rPr>
                    <w:t>）</w:t>
                  </w:r>
                </w:p>
              </w:tc>
              <w:tc>
                <w:tcPr>
                  <w:tcW w:w="1744" w:type="dxa"/>
                  <w:gridSpan w:val="2"/>
                  <w:tcBorders>
                    <w:top w:val="single" w:color="000000" w:sz="4" w:space="0"/>
                  </w:tcBorders>
                  <w:vAlign w:val="top"/>
                </w:tcPr>
                <w:p w14:paraId="5F117766">
                  <w:pPr>
                    <w:spacing w:before="83" w:line="195" w:lineRule="auto"/>
                    <w:ind w:left="112"/>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2"/>
                      <w:sz w:val="21"/>
                      <w:szCs w:val="21"/>
                    </w:rPr>
                    <w:t>0.28</w:t>
                  </w:r>
                </w:p>
              </w:tc>
              <w:tc>
                <w:tcPr>
                  <w:tcW w:w="2160" w:type="dxa"/>
                  <w:gridSpan w:val="2"/>
                  <w:tcBorders>
                    <w:top w:val="single" w:color="000000" w:sz="4" w:space="0"/>
                  </w:tcBorders>
                  <w:vAlign w:val="top"/>
                </w:tcPr>
                <w:p w14:paraId="596CD16E">
                  <w:pPr>
                    <w:pStyle w:val="36"/>
                    <w:spacing w:before="46" w:line="228" w:lineRule="auto"/>
                    <w:ind w:left="113"/>
                    <w:rPr>
                      <w:color w:val="auto"/>
                      <w:sz w:val="21"/>
                      <w:szCs w:val="21"/>
                    </w:rPr>
                  </w:pPr>
                  <w:r>
                    <w:rPr>
                      <w:color w:val="auto"/>
                      <w:spacing w:val="6"/>
                      <w:sz w:val="21"/>
                      <w:szCs w:val="21"/>
                    </w:rPr>
                    <w:t>燃烧温度（</w:t>
                  </w:r>
                  <w:r>
                    <w:rPr>
                      <w:rFonts w:ascii="Times New Roman" w:hAnsi="Times New Roman" w:eastAsia="Times New Roman" w:cs="Times New Roman"/>
                      <w:color w:val="auto"/>
                      <w:spacing w:val="6"/>
                      <w:sz w:val="21"/>
                      <w:szCs w:val="21"/>
                    </w:rPr>
                    <w:t>C</w:t>
                  </w:r>
                  <w:r>
                    <w:rPr>
                      <w:color w:val="auto"/>
                      <w:spacing w:val="6"/>
                      <w:sz w:val="21"/>
                      <w:szCs w:val="21"/>
                    </w:rPr>
                    <w:t>）</w:t>
                  </w:r>
                </w:p>
              </w:tc>
              <w:tc>
                <w:tcPr>
                  <w:tcW w:w="1653" w:type="dxa"/>
                  <w:tcBorders>
                    <w:top w:val="single" w:color="000000" w:sz="4" w:space="0"/>
                    <w:right w:val="nil"/>
                  </w:tcBorders>
                  <w:vAlign w:val="top"/>
                </w:tcPr>
                <w:p w14:paraId="18D166A1">
                  <w:pPr>
                    <w:spacing w:before="83" w:line="195" w:lineRule="auto"/>
                    <w:ind w:left="110"/>
                    <w:rPr>
                      <w:rFonts w:ascii="Times New Roman" w:hAnsi="Times New Roman" w:eastAsia="Times New Roman" w:cs="Times New Roman"/>
                      <w:color w:val="auto"/>
                      <w:sz w:val="21"/>
                      <w:szCs w:val="21"/>
                    </w:rPr>
                  </w:pPr>
                  <w:r>
                    <w:rPr>
                      <w:rFonts w:ascii="Times New Roman" w:hAnsi="Times New Roman" w:eastAsia="Times New Roman" w:cs="Times New Roman"/>
                      <w:color w:val="auto"/>
                      <w:spacing w:val="3"/>
                      <w:sz w:val="21"/>
                      <w:szCs w:val="21"/>
                    </w:rPr>
                    <w:t>2020</w:t>
                  </w:r>
                </w:p>
              </w:tc>
            </w:tr>
            <w:tr w14:paraId="19EE68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9" w:hRule="atLeast"/>
              </w:trPr>
              <w:tc>
                <w:tcPr>
                  <w:tcW w:w="420" w:type="dxa"/>
                  <w:vMerge w:val="continue"/>
                  <w:tcBorders>
                    <w:top w:val="nil"/>
                    <w:left w:val="nil"/>
                    <w:bottom w:val="nil"/>
                  </w:tcBorders>
                  <w:textDirection w:val="tbRlV"/>
                  <w:vAlign w:val="top"/>
                </w:tcPr>
                <w:p w14:paraId="3E4ED14F">
                  <w:pPr>
                    <w:rPr>
                      <w:rFonts w:ascii="Arial"/>
                      <w:color w:val="auto"/>
                      <w:sz w:val="21"/>
                      <w:szCs w:val="21"/>
                    </w:rPr>
                  </w:pPr>
                </w:p>
              </w:tc>
              <w:tc>
                <w:tcPr>
                  <w:tcW w:w="2015" w:type="dxa"/>
                  <w:vAlign w:val="top"/>
                </w:tcPr>
                <w:p w14:paraId="335D2DDC">
                  <w:pPr>
                    <w:spacing w:line="455" w:lineRule="auto"/>
                    <w:rPr>
                      <w:rFonts w:ascii="Arial"/>
                      <w:color w:val="auto"/>
                      <w:sz w:val="21"/>
                      <w:szCs w:val="21"/>
                    </w:rPr>
                  </w:pPr>
                </w:p>
                <w:p w14:paraId="4EC325D6">
                  <w:pPr>
                    <w:pStyle w:val="36"/>
                    <w:spacing w:before="65" w:line="228" w:lineRule="auto"/>
                    <w:ind w:left="114"/>
                    <w:rPr>
                      <w:color w:val="auto"/>
                      <w:sz w:val="21"/>
                      <w:szCs w:val="21"/>
                    </w:rPr>
                  </w:pPr>
                  <w:r>
                    <w:rPr>
                      <w:color w:val="auto"/>
                      <w:spacing w:val="6"/>
                      <w:sz w:val="21"/>
                      <w:szCs w:val="21"/>
                    </w:rPr>
                    <w:t>危险特性</w:t>
                  </w:r>
                </w:p>
              </w:tc>
              <w:tc>
                <w:tcPr>
                  <w:tcW w:w="5557" w:type="dxa"/>
                  <w:gridSpan w:val="5"/>
                  <w:tcBorders>
                    <w:right w:val="nil"/>
                  </w:tcBorders>
                  <w:vAlign w:val="top"/>
                </w:tcPr>
                <w:p w14:paraId="160B65E3">
                  <w:pPr>
                    <w:pStyle w:val="36"/>
                    <w:spacing w:before="56" w:line="273" w:lineRule="auto"/>
                    <w:ind w:left="110" w:right="200" w:firstLine="7"/>
                    <w:jc w:val="both"/>
                    <w:rPr>
                      <w:color w:val="auto"/>
                      <w:sz w:val="21"/>
                      <w:szCs w:val="21"/>
                    </w:rPr>
                  </w:pPr>
                  <w:r>
                    <w:rPr>
                      <w:color w:val="auto"/>
                      <w:spacing w:val="9"/>
                      <w:sz w:val="21"/>
                      <w:szCs w:val="21"/>
                    </w:rPr>
                    <w:t>与空气混合能形成爆炸性混合物，遇明火、高热极易燃烧爆炸。与氟、氯等能发生剧烈的化学反应。其蒸气遇明火会引着回燃。若遇高热，容器内压增大，有开裂和爆炸的</w:t>
                  </w:r>
                  <w:r>
                    <w:rPr>
                      <w:color w:val="auto"/>
                      <w:spacing w:val="4"/>
                      <w:sz w:val="21"/>
                      <w:szCs w:val="21"/>
                    </w:rPr>
                    <w:t>危险。</w:t>
                  </w:r>
                </w:p>
              </w:tc>
            </w:tr>
            <w:tr w14:paraId="3EDB90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58" w:hRule="atLeast"/>
              </w:trPr>
              <w:tc>
                <w:tcPr>
                  <w:tcW w:w="420" w:type="dxa"/>
                  <w:vMerge w:val="continue"/>
                  <w:tcBorders>
                    <w:top w:val="nil"/>
                    <w:left w:val="nil"/>
                    <w:bottom w:val="single" w:color="000000" w:sz="4" w:space="0"/>
                  </w:tcBorders>
                  <w:textDirection w:val="tbRlV"/>
                  <w:vAlign w:val="top"/>
                </w:tcPr>
                <w:p w14:paraId="4FA803DC">
                  <w:pPr>
                    <w:rPr>
                      <w:rFonts w:ascii="Arial"/>
                      <w:color w:val="auto"/>
                      <w:sz w:val="21"/>
                      <w:szCs w:val="21"/>
                    </w:rPr>
                  </w:pPr>
                </w:p>
              </w:tc>
              <w:tc>
                <w:tcPr>
                  <w:tcW w:w="2015" w:type="dxa"/>
                  <w:vAlign w:val="top"/>
                </w:tcPr>
                <w:p w14:paraId="03DDAAA0">
                  <w:pPr>
                    <w:spacing w:line="454" w:lineRule="auto"/>
                    <w:rPr>
                      <w:rFonts w:ascii="Arial"/>
                      <w:color w:val="auto"/>
                      <w:sz w:val="21"/>
                      <w:szCs w:val="21"/>
                    </w:rPr>
                  </w:pPr>
                </w:p>
                <w:p w14:paraId="1D6E29D0">
                  <w:pPr>
                    <w:pStyle w:val="36"/>
                    <w:spacing w:before="65" w:line="228" w:lineRule="auto"/>
                    <w:ind w:left="115"/>
                    <w:rPr>
                      <w:color w:val="auto"/>
                      <w:sz w:val="21"/>
                      <w:szCs w:val="21"/>
                    </w:rPr>
                  </w:pPr>
                  <w:r>
                    <w:rPr>
                      <w:color w:val="auto"/>
                      <w:spacing w:val="6"/>
                      <w:sz w:val="21"/>
                      <w:szCs w:val="21"/>
                    </w:rPr>
                    <w:t>灭火方法</w:t>
                  </w:r>
                </w:p>
              </w:tc>
              <w:tc>
                <w:tcPr>
                  <w:tcW w:w="5557" w:type="dxa"/>
                  <w:gridSpan w:val="5"/>
                  <w:tcBorders>
                    <w:right w:val="nil"/>
                  </w:tcBorders>
                  <w:vAlign w:val="top"/>
                </w:tcPr>
                <w:p w14:paraId="356B209B">
                  <w:pPr>
                    <w:pStyle w:val="36"/>
                    <w:spacing w:before="52" w:line="274" w:lineRule="auto"/>
                    <w:ind w:left="112" w:right="37"/>
                    <w:jc w:val="both"/>
                    <w:rPr>
                      <w:color w:val="auto"/>
                      <w:sz w:val="21"/>
                      <w:szCs w:val="21"/>
                    </w:rPr>
                  </w:pPr>
                  <w:r>
                    <w:rPr>
                      <w:color w:val="auto"/>
                      <w:spacing w:val="8"/>
                      <w:sz w:val="21"/>
                      <w:szCs w:val="21"/>
                    </w:rPr>
                    <w:t>切断气源。若不能立即切断源，则不允许熄灭正在燃烧的气体，喷水冷却容器，可能的话将容器从火场移</w:t>
                  </w:r>
                  <w:r>
                    <w:rPr>
                      <w:color w:val="auto"/>
                      <w:spacing w:val="7"/>
                      <w:sz w:val="21"/>
                      <w:szCs w:val="21"/>
                    </w:rPr>
                    <w:t>至空旷处。</w:t>
                  </w:r>
                  <w:r>
                    <w:rPr>
                      <w:color w:val="auto"/>
                      <w:spacing w:val="8"/>
                      <w:sz w:val="21"/>
                      <w:szCs w:val="21"/>
                    </w:rPr>
                    <w:t>雾状水、泡沫、二氧化碳。灭火器泡沫、干粉、</w:t>
                  </w:r>
                  <w:r>
                    <w:rPr>
                      <w:color w:val="auto"/>
                      <w:spacing w:val="7"/>
                      <w:sz w:val="21"/>
                      <w:szCs w:val="21"/>
                    </w:rPr>
                    <w:t>二氧化碳、</w:t>
                  </w:r>
                  <w:r>
                    <w:rPr>
                      <w:color w:val="auto"/>
                      <w:spacing w:val="3"/>
                      <w:sz w:val="21"/>
                      <w:szCs w:val="21"/>
                    </w:rPr>
                    <w:t>砂土。</w:t>
                  </w:r>
                </w:p>
              </w:tc>
            </w:tr>
            <w:tr w14:paraId="4066B8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420" w:type="dxa"/>
                  <w:tcBorders>
                    <w:top w:val="single" w:color="000000" w:sz="4" w:space="0"/>
                    <w:left w:val="nil"/>
                    <w:bottom w:val="single" w:color="000000" w:sz="4" w:space="0"/>
                  </w:tcBorders>
                  <w:textDirection w:val="tbRlV"/>
                  <w:vAlign w:val="top"/>
                </w:tcPr>
                <w:p w14:paraId="20FDE240">
                  <w:pPr>
                    <w:pStyle w:val="36"/>
                    <w:spacing w:before="101" w:line="216" w:lineRule="auto"/>
                    <w:ind w:left="47"/>
                    <w:rPr>
                      <w:color w:val="auto"/>
                      <w:sz w:val="21"/>
                      <w:szCs w:val="21"/>
                    </w:rPr>
                  </w:pPr>
                  <w:r>
                    <w:rPr>
                      <w:color w:val="auto"/>
                      <w:spacing w:val="7"/>
                      <w:sz w:val="21"/>
                      <w:szCs w:val="21"/>
                      <w14:textOutline w14:w="3795" w14:cap="sq" w14:cmpd="sng">
                        <w14:solidFill>
                          <w14:srgbClr w14:val="000000"/>
                        </w14:solidFill>
                        <w14:prstDash w14:val="solid"/>
                        <w14:bevel/>
                      </w14:textOutline>
                    </w:rPr>
                    <w:t>毒性</w:t>
                  </w:r>
                </w:p>
              </w:tc>
              <w:tc>
                <w:tcPr>
                  <w:tcW w:w="7572" w:type="dxa"/>
                  <w:gridSpan w:val="6"/>
                  <w:tcBorders>
                    <w:right w:val="nil"/>
                  </w:tcBorders>
                  <w:vAlign w:val="top"/>
                </w:tcPr>
                <w:p w14:paraId="52F2E792">
                  <w:pPr>
                    <w:pStyle w:val="36"/>
                    <w:spacing w:before="46" w:line="259" w:lineRule="auto"/>
                    <w:ind w:left="115" w:right="58" w:hanging="4"/>
                    <w:rPr>
                      <w:color w:val="auto"/>
                      <w:sz w:val="21"/>
                      <w:szCs w:val="21"/>
                    </w:rPr>
                  </w:pPr>
                  <w:r>
                    <w:rPr>
                      <w:color w:val="auto"/>
                      <w:spacing w:val="6"/>
                      <w:sz w:val="21"/>
                      <w:szCs w:val="21"/>
                    </w:rPr>
                    <w:t>接触限制中国</w:t>
                  </w:r>
                  <w:r>
                    <w:rPr>
                      <w:rFonts w:ascii="Times New Roman" w:hAnsi="Times New Roman" w:eastAsia="Times New Roman" w:cs="Times New Roman"/>
                      <w:color w:val="auto"/>
                      <w:sz w:val="21"/>
                      <w:szCs w:val="21"/>
                    </w:rPr>
                    <w:t>MAC</w:t>
                  </w:r>
                  <w:r>
                    <w:rPr>
                      <w:color w:val="auto"/>
                      <w:spacing w:val="6"/>
                      <w:sz w:val="21"/>
                      <w:szCs w:val="21"/>
                    </w:rPr>
                    <w:t>：未制订标准；前苏联</w:t>
                  </w:r>
                  <w:r>
                    <w:rPr>
                      <w:rFonts w:ascii="Times New Roman" w:hAnsi="Times New Roman" w:eastAsia="Times New Roman" w:cs="Times New Roman"/>
                      <w:color w:val="auto"/>
                      <w:sz w:val="21"/>
                      <w:szCs w:val="21"/>
                    </w:rPr>
                    <w:t>MAC</w:t>
                  </w:r>
                  <w:r>
                    <w:rPr>
                      <w:color w:val="auto"/>
                      <w:spacing w:val="6"/>
                      <w:sz w:val="21"/>
                      <w:szCs w:val="21"/>
                    </w:rPr>
                    <w:t>：未制订标准美国</w:t>
                  </w:r>
                  <w:r>
                    <w:rPr>
                      <w:rFonts w:ascii="Times New Roman" w:hAnsi="Times New Roman" w:eastAsia="Times New Roman" w:cs="Times New Roman"/>
                      <w:color w:val="auto"/>
                      <w:sz w:val="21"/>
                      <w:szCs w:val="21"/>
                    </w:rPr>
                    <w:t>TLV</w:t>
                  </w:r>
                  <w:r>
                    <w:rPr>
                      <w:rFonts w:ascii="Times New Roman" w:hAnsi="Times New Roman" w:eastAsia="Times New Roman" w:cs="Times New Roman"/>
                      <w:color w:val="auto"/>
                      <w:spacing w:val="6"/>
                      <w:sz w:val="21"/>
                      <w:szCs w:val="21"/>
                    </w:rPr>
                    <w:t>-</w:t>
                  </w:r>
                  <w:r>
                    <w:rPr>
                      <w:rFonts w:ascii="Times New Roman" w:hAnsi="Times New Roman" w:eastAsia="Times New Roman" w:cs="Times New Roman"/>
                      <w:color w:val="auto"/>
                      <w:sz w:val="21"/>
                      <w:szCs w:val="21"/>
                    </w:rPr>
                    <w:t>TWA</w:t>
                  </w:r>
                  <w:r>
                    <w:rPr>
                      <w:color w:val="auto"/>
                      <w:spacing w:val="6"/>
                      <w:sz w:val="21"/>
                      <w:szCs w:val="21"/>
                    </w:rPr>
                    <w:t>：</w:t>
                  </w:r>
                  <w:r>
                    <w:rPr>
                      <w:color w:val="auto"/>
                      <w:spacing w:val="8"/>
                      <w:sz w:val="21"/>
                      <w:szCs w:val="21"/>
                    </w:rPr>
                    <w:t>未制订标准；美国</w:t>
                  </w:r>
                  <w:r>
                    <w:rPr>
                      <w:rFonts w:ascii="Times New Roman" w:hAnsi="Times New Roman" w:eastAsia="Times New Roman" w:cs="Times New Roman"/>
                      <w:color w:val="auto"/>
                      <w:sz w:val="21"/>
                      <w:szCs w:val="21"/>
                    </w:rPr>
                    <w:t>TLV</w:t>
                  </w:r>
                  <w:r>
                    <w:rPr>
                      <w:rFonts w:ascii="Times New Roman" w:hAnsi="Times New Roman" w:eastAsia="Times New Roman" w:cs="Times New Roman"/>
                      <w:color w:val="auto"/>
                      <w:spacing w:val="8"/>
                      <w:sz w:val="21"/>
                      <w:szCs w:val="21"/>
                    </w:rPr>
                    <w:t>-</w:t>
                  </w:r>
                  <w:r>
                    <w:rPr>
                      <w:rFonts w:ascii="Times New Roman" w:hAnsi="Times New Roman" w:eastAsia="Times New Roman" w:cs="Times New Roman"/>
                      <w:color w:val="auto"/>
                      <w:sz w:val="21"/>
                      <w:szCs w:val="21"/>
                    </w:rPr>
                    <w:t>STEL</w:t>
                  </w:r>
                  <w:r>
                    <w:rPr>
                      <w:color w:val="auto"/>
                      <w:spacing w:val="8"/>
                      <w:sz w:val="21"/>
                      <w:szCs w:val="21"/>
                    </w:rPr>
                    <w:t>：未制订标准</w:t>
                  </w:r>
                </w:p>
              </w:tc>
            </w:tr>
            <w:tr w14:paraId="2C40B1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564" w:hRule="atLeast"/>
              </w:trPr>
              <w:tc>
                <w:tcPr>
                  <w:tcW w:w="420" w:type="dxa"/>
                  <w:tcBorders>
                    <w:top w:val="single" w:color="000000" w:sz="4" w:space="0"/>
                    <w:left w:val="nil"/>
                    <w:bottom w:val="single" w:color="000000" w:sz="4" w:space="0"/>
                  </w:tcBorders>
                  <w:textDirection w:val="tbRlV"/>
                  <w:vAlign w:val="top"/>
                </w:tcPr>
                <w:p w14:paraId="4463D8C6">
                  <w:pPr>
                    <w:pStyle w:val="36"/>
                    <w:spacing w:before="101" w:line="217" w:lineRule="auto"/>
                    <w:ind w:left="49"/>
                    <w:rPr>
                      <w:color w:val="auto"/>
                      <w:sz w:val="21"/>
                      <w:szCs w:val="21"/>
                    </w:rPr>
                  </w:pPr>
                  <w:r>
                    <w:rPr>
                      <w:color w:val="auto"/>
                      <w:spacing w:val="6"/>
                      <w:sz w:val="21"/>
                      <w:szCs w:val="21"/>
                      <w14:textOutline w14:w="3795" w14:cap="sq" w14:cmpd="sng">
                        <w14:solidFill>
                          <w14:srgbClr w14:val="000000"/>
                        </w14:solidFill>
                        <w14:prstDash w14:val="solid"/>
                        <w14:bevel/>
                      </w14:textOutline>
                    </w:rPr>
                    <w:t>对人体危害</w:t>
                  </w:r>
                </w:p>
              </w:tc>
              <w:tc>
                <w:tcPr>
                  <w:tcW w:w="7572" w:type="dxa"/>
                  <w:gridSpan w:val="6"/>
                  <w:tcBorders>
                    <w:right w:val="nil"/>
                  </w:tcBorders>
                  <w:vAlign w:val="top"/>
                </w:tcPr>
                <w:p w14:paraId="7E0E2AB6">
                  <w:pPr>
                    <w:pStyle w:val="36"/>
                    <w:spacing w:before="205" w:line="228" w:lineRule="auto"/>
                    <w:ind w:left="114"/>
                    <w:rPr>
                      <w:color w:val="auto"/>
                      <w:sz w:val="21"/>
                      <w:szCs w:val="21"/>
                    </w:rPr>
                  </w:pPr>
                  <w:r>
                    <w:rPr>
                      <w:color w:val="auto"/>
                      <w:spacing w:val="4"/>
                      <w:sz w:val="21"/>
                      <w:szCs w:val="21"/>
                    </w:rPr>
                    <w:t>侵入途径吸入</w:t>
                  </w:r>
                </w:p>
                <w:p w14:paraId="461ABD40">
                  <w:pPr>
                    <w:pStyle w:val="36"/>
                    <w:spacing w:before="65" w:line="268" w:lineRule="auto"/>
                    <w:ind w:left="112" w:right="116"/>
                    <w:jc w:val="both"/>
                    <w:rPr>
                      <w:color w:val="auto"/>
                      <w:sz w:val="21"/>
                      <w:szCs w:val="21"/>
                    </w:rPr>
                  </w:pPr>
                  <w:r>
                    <w:rPr>
                      <w:color w:val="auto"/>
                      <w:spacing w:val="10"/>
                      <w:sz w:val="21"/>
                      <w:szCs w:val="21"/>
                    </w:rPr>
                    <w:t>健康危害急性中毒时，可有头昏、头疼、呕吐、乏力甚</w:t>
                  </w:r>
                  <w:r>
                    <w:rPr>
                      <w:color w:val="auto"/>
                      <w:spacing w:val="9"/>
                      <w:sz w:val="21"/>
                      <w:szCs w:val="21"/>
                    </w:rPr>
                    <w:t>至昏迷。病程中尚可出现</w:t>
                  </w:r>
                  <w:r>
                    <w:rPr>
                      <w:color w:val="auto"/>
                      <w:spacing w:val="8"/>
                      <w:sz w:val="21"/>
                      <w:szCs w:val="21"/>
                    </w:rPr>
                    <w:t>精神症状，步态不稳，昏迷过程久者，醒后可有运动性失语及偏瘫。长期接触天然气者，可出现神经衰弱综合症。</w:t>
                  </w:r>
                </w:p>
              </w:tc>
            </w:tr>
            <w:tr w14:paraId="48A821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7" w:hRule="atLeast"/>
              </w:trPr>
              <w:tc>
                <w:tcPr>
                  <w:tcW w:w="420" w:type="dxa"/>
                  <w:tcBorders>
                    <w:top w:val="single" w:color="000000" w:sz="4" w:space="0"/>
                    <w:left w:val="nil"/>
                    <w:bottom w:val="single" w:color="000000" w:sz="4" w:space="0"/>
                  </w:tcBorders>
                  <w:textDirection w:val="tbRlV"/>
                  <w:vAlign w:val="top"/>
                </w:tcPr>
                <w:p w14:paraId="41AEB19C">
                  <w:pPr>
                    <w:pStyle w:val="36"/>
                    <w:spacing w:before="101" w:line="214" w:lineRule="auto"/>
                    <w:ind w:left="52"/>
                    <w:rPr>
                      <w:color w:val="auto"/>
                      <w:sz w:val="21"/>
                      <w:szCs w:val="21"/>
                    </w:rPr>
                  </w:pPr>
                  <w:r>
                    <w:rPr>
                      <w:color w:val="auto"/>
                      <w:spacing w:val="7"/>
                      <w:sz w:val="21"/>
                      <w:szCs w:val="21"/>
                      <w14:textOutline w14:w="3795" w14:cap="sq" w14:cmpd="sng">
                        <w14:solidFill>
                          <w14:srgbClr w14:val="000000"/>
                        </w14:solidFill>
                        <w14:prstDash w14:val="solid"/>
                        <w14:bevel/>
                      </w14:textOutline>
                    </w:rPr>
                    <w:t>急救</w:t>
                  </w:r>
                </w:p>
              </w:tc>
              <w:tc>
                <w:tcPr>
                  <w:tcW w:w="7572" w:type="dxa"/>
                  <w:gridSpan w:val="6"/>
                  <w:tcBorders>
                    <w:right w:val="nil"/>
                  </w:tcBorders>
                  <w:vAlign w:val="top"/>
                </w:tcPr>
                <w:p w14:paraId="27B13858">
                  <w:pPr>
                    <w:pStyle w:val="36"/>
                    <w:spacing w:before="207" w:line="228" w:lineRule="auto"/>
                    <w:ind w:left="120"/>
                    <w:rPr>
                      <w:color w:val="auto"/>
                      <w:sz w:val="21"/>
                      <w:szCs w:val="21"/>
                    </w:rPr>
                  </w:pPr>
                  <w:r>
                    <w:rPr>
                      <w:color w:val="auto"/>
                      <w:spacing w:val="9"/>
                      <w:sz w:val="21"/>
                      <w:szCs w:val="21"/>
                    </w:rPr>
                    <w:t>吸入脱离有毒环境，至空气新鲜处，给氧，对症治疗。注意防治脑水肿。</w:t>
                  </w:r>
                </w:p>
              </w:tc>
            </w:tr>
            <w:tr w14:paraId="0D486F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trPr>
              <w:tc>
                <w:tcPr>
                  <w:tcW w:w="420" w:type="dxa"/>
                  <w:tcBorders>
                    <w:top w:val="single" w:color="000000" w:sz="4" w:space="0"/>
                    <w:left w:val="nil"/>
                    <w:bottom w:val="single" w:color="000000" w:sz="4" w:space="0"/>
                  </w:tcBorders>
                  <w:textDirection w:val="tbRlV"/>
                  <w:vAlign w:val="top"/>
                </w:tcPr>
                <w:p w14:paraId="48D2B207">
                  <w:pPr>
                    <w:pStyle w:val="36"/>
                    <w:spacing w:before="101" w:line="216" w:lineRule="auto"/>
                    <w:ind w:left="209"/>
                    <w:rPr>
                      <w:color w:val="auto"/>
                      <w:sz w:val="21"/>
                      <w:szCs w:val="21"/>
                    </w:rPr>
                  </w:pPr>
                  <w:r>
                    <w:rPr>
                      <w:color w:val="auto"/>
                      <w:spacing w:val="7"/>
                      <w:sz w:val="21"/>
                      <w:szCs w:val="21"/>
                      <w14:textOutline w14:w="3795" w14:cap="sq" w14:cmpd="sng">
                        <w14:solidFill>
                          <w14:srgbClr w14:val="000000"/>
                        </w14:solidFill>
                        <w14:prstDash w14:val="solid"/>
                        <w14:bevel/>
                      </w14:textOutline>
                    </w:rPr>
                    <w:t>防护</w:t>
                  </w:r>
                </w:p>
              </w:tc>
              <w:tc>
                <w:tcPr>
                  <w:tcW w:w="7572" w:type="dxa"/>
                  <w:gridSpan w:val="6"/>
                  <w:tcBorders>
                    <w:right w:val="nil"/>
                  </w:tcBorders>
                  <w:vAlign w:val="top"/>
                </w:tcPr>
                <w:p w14:paraId="16A31185">
                  <w:pPr>
                    <w:pStyle w:val="36"/>
                    <w:spacing w:before="53" w:line="268" w:lineRule="auto"/>
                    <w:ind w:left="113" w:right="116" w:firstLine="1"/>
                    <w:rPr>
                      <w:color w:val="auto"/>
                      <w:sz w:val="21"/>
                      <w:szCs w:val="21"/>
                    </w:rPr>
                  </w:pPr>
                  <w:r>
                    <w:rPr>
                      <w:color w:val="auto"/>
                      <w:spacing w:val="10"/>
                      <w:sz w:val="21"/>
                      <w:szCs w:val="21"/>
                    </w:rPr>
                    <w:t>工程控制密闭操作。提供良好的自然通风条件。呼</w:t>
                  </w:r>
                  <w:r>
                    <w:rPr>
                      <w:color w:val="auto"/>
                      <w:spacing w:val="9"/>
                      <w:sz w:val="21"/>
                      <w:szCs w:val="21"/>
                    </w:rPr>
                    <w:t>吸系统防护：高浓度接触时可</w:t>
                  </w:r>
                  <w:r>
                    <w:rPr>
                      <w:color w:val="auto"/>
                      <w:spacing w:val="10"/>
                      <w:sz w:val="21"/>
                      <w:szCs w:val="21"/>
                    </w:rPr>
                    <w:t>戴化学安全防护眼镜。防护服：穿防静电工作服。手</w:t>
                  </w:r>
                  <w:r>
                    <w:rPr>
                      <w:color w:val="auto"/>
                      <w:spacing w:val="9"/>
                      <w:sz w:val="21"/>
                      <w:szCs w:val="21"/>
                    </w:rPr>
                    <w:t>防护：必要时戴防护手套。</w:t>
                  </w:r>
                  <w:r>
                    <w:rPr>
                      <w:color w:val="auto"/>
                      <w:spacing w:val="8"/>
                      <w:sz w:val="21"/>
                      <w:szCs w:val="21"/>
                    </w:rPr>
                    <w:t>其他工作现场严禁吸烟。避免高浓度吸入。</w:t>
                  </w:r>
                </w:p>
              </w:tc>
            </w:tr>
            <w:tr w14:paraId="1587C0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2" w:hRule="atLeast"/>
              </w:trPr>
              <w:tc>
                <w:tcPr>
                  <w:tcW w:w="420" w:type="dxa"/>
                  <w:tcBorders>
                    <w:top w:val="single" w:color="000000" w:sz="4" w:space="0"/>
                    <w:left w:val="nil"/>
                    <w:bottom w:val="single" w:color="auto" w:sz="4" w:space="0"/>
                  </w:tcBorders>
                  <w:textDirection w:val="tbRlV"/>
                  <w:vAlign w:val="top"/>
                </w:tcPr>
                <w:p w14:paraId="376F9955">
                  <w:pPr>
                    <w:pStyle w:val="36"/>
                    <w:spacing w:before="101" w:line="217" w:lineRule="auto"/>
                    <w:ind w:left="54"/>
                    <w:rPr>
                      <w:color w:val="auto"/>
                      <w:sz w:val="21"/>
                      <w:szCs w:val="21"/>
                    </w:rPr>
                  </w:pPr>
                  <w:r>
                    <w:rPr>
                      <w:color w:val="auto"/>
                      <w:spacing w:val="6"/>
                      <w:sz w:val="21"/>
                      <w:szCs w:val="21"/>
                      <w14:textOutline w14:w="3795" w14:cap="sq" w14:cmpd="sng">
                        <w14:solidFill>
                          <w14:srgbClr w14:val="000000"/>
                        </w14:solidFill>
                        <w14:prstDash w14:val="solid"/>
                        <w14:bevel/>
                      </w14:textOutline>
                    </w:rPr>
                    <w:t>泄漏处</w:t>
                  </w:r>
                </w:p>
              </w:tc>
              <w:tc>
                <w:tcPr>
                  <w:tcW w:w="7572" w:type="dxa"/>
                  <w:gridSpan w:val="6"/>
                  <w:tcBorders>
                    <w:right w:val="nil"/>
                  </w:tcBorders>
                  <w:vAlign w:val="top"/>
                </w:tcPr>
                <w:p w14:paraId="67AA4AC9">
                  <w:pPr>
                    <w:pStyle w:val="36"/>
                    <w:spacing w:before="55" w:line="268" w:lineRule="auto"/>
                    <w:ind w:left="111" w:right="116"/>
                    <w:jc w:val="both"/>
                    <w:rPr>
                      <w:color w:val="auto"/>
                      <w:sz w:val="21"/>
                      <w:szCs w:val="21"/>
                    </w:rPr>
                  </w:pPr>
                  <w:r>
                    <w:rPr>
                      <w:color w:val="auto"/>
                      <w:spacing w:val="10"/>
                      <w:sz w:val="21"/>
                      <w:szCs w:val="21"/>
                    </w:rPr>
                    <w:t>切断火源。戴自给式呼吸器，穿一般消防防护服。合理通</w:t>
                  </w:r>
                  <w:r>
                    <w:rPr>
                      <w:color w:val="auto"/>
                      <w:spacing w:val="9"/>
                      <w:sz w:val="21"/>
                      <w:szCs w:val="21"/>
                    </w:rPr>
                    <w:t>风，禁止泄漏物进入受限制的空间（如下水道等</w:t>
                  </w:r>
                  <w:r>
                    <w:rPr>
                      <w:color w:val="auto"/>
                      <w:spacing w:val="25"/>
                      <w:sz w:val="21"/>
                      <w:szCs w:val="21"/>
                    </w:rPr>
                    <w:t>），</w:t>
                  </w:r>
                  <w:r>
                    <w:rPr>
                      <w:color w:val="auto"/>
                      <w:spacing w:val="9"/>
                      <w:sz w:val="21"/>
                      <w:szCs w:val="21"/>
                    </w:rPr>
                    <w:t>以避免发生爆炸。切断气源，</w:t>
                  </w:r>
                  <w:r>
                    <w:rPr>
                      <w:color w:val="auto"/>
                      <w:spacing w:val="8"/>
                      <w:sz w:val="21"/>
                      <w:szCs w:val="21"/>
                    </w:rPr>
                    <w:t>喷洒雾状水稀释，抽</w:t>
                  </w:r>
                  <w:r>
                    <w:rPr>
                      <w:color w:val="auto"/>
                      <w:spacing w:val="10"/>
                      <w:sz w:val="21"/>
                      <w:szCs w:val="21"/>
                    </w:rPr>
                    <w:t>排（室内）或强力通风（室外）。漏气容器不能再用，</w:t>
                  </w:r>
                  <w:r>
                    <w:rPr>
                      <w:color w:val="auto"/>
                      <w:spacing w:val="9"/>
                      <w:sz w:val="21"/>
                      <w:szCs w:val="21"/>
                    </w:rPr>
                    <w:t>且要经过技术处理以清除</w:t>
                  </w:r>
                </w:p>
              </w:tc>
            </w:tr>
          </w:tbl>
          <w:p w14:paraId="201A5481">
            <w:pPr>
              <w:jc w:val="center"/>
              <w:rPr>
                <w:b/>
                <w:bCs/>
                <w:color w:val="auto"/>
                <w:spacing w:val="6"/>
                <w:sz w:val="21"/>
                <w:szCs w:val="21"/>
              </w:rPr>
            </w:pPr>
            <w:r>
              <w:rPr>
                <w:rFonts w:hint="eastAsia" w:eastAsia="黑体"/>
                <w:b/>
                <w:bCs/>
                <w:color w:val="auto"/>
                <w:spacing w:val="6"/>
                <w:sz w:val="21"/>
                <w:szCs w:val="21"/>
                <w:lang w:val="en-US" w:eastAsia="zh-CN"/>
              </w:rPr>
              <w:t xml:space="preserve">4-18  </w:t>
            </w:r>
            <w:r>
              <w:rPr>
                <w:rFonts w:eastAsia="黑体"/>
                <w:b/>
                <w:bCs/>
                <w:color w:val="auto"/>
                <w:spacing w:val="6"/>
                <w:sz w:val="21"/>
                <w:szCs w:val="21"/>
              </w:rPr>
              <w:t>废</w:t>
            </w:r>
            <w:r>
              <w:rPr>
                <w:rFonts w:hint="eastAsia" w:eastAsia="黑体"/>
                <w:b/>
                <w:bCs/>
                <w:color w:val="auto"/>
                <w:spacing w:val="6"/>
                <w:sz w:val="21"/>
                <w:szCs w:val="21"/>
                <w:lang w:val="en-US" w:eastAsia="zh-CN"/>
              </w:rPr>
              <w:t>机</w:t>
            </w:r>
            <w:r>
              <w:rPr>
                <w:rFonts w:eastAsia="黑体"/>
                <w:b/>
                <w:bCs/>
                <w:color w:val="auto"/>
                <w:spacing w:val="6"/>
                <w:sz w:val="21"/>
                <w:szCs w:val="21"/>
              </w:rPr>
              <w:t>油的理化性质和危险特性</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42"/>
              <w:gridCol w:w="713"/>
              <w:gridCol w:w="2114"/>
              <w:gridCol w:w="825"/>
              <w:gridCol w:w="2344"/>
            </w:tblGrid>
            <w:tr w14:paraId="2CBB46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bottom w:val="single" w:color="auto" w:sz="12" w:space="0"/>
                  </w:tcBorders>
                  <w:noWrap w:val="0"/>
                  <w:vAlign w:val="center"/>
                </w:tcPr>
                <w:p w14:paraId="1741FA47">
                  <w:pPr>
                    <w:jc w:val="both"/>
                    <w:rPr>
                      <w:color w:val="auto"/>
                      <w:sz w:val="21"/>
                      <w:szCs w:val="21"/>
                    </w:rPr>
                  </w:pPr>
                  <w:r>
                    <w:rPr>
                      <w:color w:val="auto"/>
                      <w:sz w:val="21"/>
                      <w:szCs w:val="21"/>
                    </w:rPr>
                    <w:t>建设项目名称</w:t>
                  </w:r>
                </w:p>
              </w:tc>
              <w:tc>
                <w:tcPr>
                  <w:tcW w:w="3683" w:type="pct"/>
                  <w:gridSpan w:val="4"/>
                  <w:tcBorders>
                    <w:bottom w:val="single" w:color="auto" w:sz="12" w:space="0"/>
                  </w:tcBorders>
                  <w:noWrap w:val="0"/>
                  <w:vAlign w:val="center"/>
                </w:tcPr>
                <w:p w14:paraId="03F5F1A5">
                  <w:pPr>
                    <w:jc w:val="both"/>
                    <w:rPr>
                      <w:color w:val="auto"/>
                      <w:sz w:val="21"/>
                      <w:szCs w:val="21"/>
                    </w:rPr>
                  </w:pPr>
                  <w:r>
                    <w:rPr>
                      <w:rFonts w:hint="eastAsia"/>
                      <w:color w:val="auto"/>
                      <w:sz w:val="21"/>
                      <w:szCs w:val="21"/>
                      <w:lang w:val="en-US" w:eastAsia="zh-CN"/>
                    </w:rPr>
                    <w:t>龙泉股份吉木萨尔县PCCP管厂建设项目</w:t>
                  </w:r>
                </w:p>
              </w:tc>
            </w:tr>
            <w:tr w14:paraId="0492F4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op w:val="single" w:color="auto" w:sz="12" w:space="0"/>
                    <w:tl2br w:val="nil"/>
                    <w:tr2bl w:val="nil"/>
                  </w:tcBorders>
                  <w:noWrap w:val="0"/>
                  <w:vAlign w:val="center"/>
                </w:tcPr>
                <w:p w14:paraId="46D89FC6">
                  <w:pPr>
                    <w:jc w:val="both"/>
                    <w:rPr>
                      <w:color w:val="auto"/>
                      <w:sz w:val="21"/>
                      <w:szCs w:val="21"/>
                    </w:rPr>
                  </w:pPr>
                  <w:r>
                    <w:rPr>
                      <w:color w:val="auto"/>
                      <w:sz w:val="21"/>
                      <w:szCs w:val="21"/>
                    </w:rPr>
                    <w:t>建设地点</w:t>
                  </w:r>
                </w:p>
              </w:tc>
              <w:tc>
                <w:tcPr>
                  <w:tcW w:w="3683" w:type="pct"/>
                  <w:gridSpan w:val="4"/>
                  <w:tcBorders>
                    <w:top w:val="single" w:color="auto" w:sz="12" w:space="0"/>
                    <w:tl2br w:val="nil"/>
                    <w:tr2bl w:val="nil"/>
                  </w:tcBorders>
                  <w:noWrap w:val="0"/>
                  <w:vAlign w:val="center"/>
                </w:tcPr>
                <w:p w14:paraId="21383E72">
                  <w:pPr>
                    <w:jc w:val="both"/>
                    <w:rPr>
                      <w:color w:val="auto"/>
                      <w:sz w:val="21"/>
                      <w:szCs w:val="21"/>
                    </w:rPr>
                  </w:pPr>
                  <w:r>
                    <w:rPr>
                      <w:rFonts w:hint="eastAsia"/>
                      <w:color w:val="auto"/>
                      <w:sz w:val="21"/>
                      <w:szCs w:val="21"/>
                      <w:lang w:val="en-US" w:eastAsia="zh-CN"/>
                    </w:rPr>
                    <w:t>吉木萨尔县北庭工业园区善成工业设备有限公司厂区内</w:t>
                  </w:r>
                </w:p>
              </w:tc>
            </w:tr>
            <w:tr w14:paraId="4C0459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l2br w:val="nil"/>
                    <w:tr2bl w:val="nil"/>
                  </w:tcBorders>
                  <w:noWrap w:val="0"/>
                  <w:vAlign w:val="center"/>
                </w:tcPr>
                <w:p w14:paraId="06CE2287">
                  <w:pPr>
                    <w:jc w:val="both"/>
                    <w:rPr>
                      <w:color w:val="auto"/>
                      <w:sz w:val="21"/>
                      <w:szCs w:val="21"/>
                    </w:rPr>
                  </w:pPr>
                  <w:r>
                    <w:rPr>
                      <w:color w:val="auto"/>
                      <w:sz w:val="21"/>
                      <w:szCs w:val="21"/>
                    </w:rPr>
                    <w:t>地理坐标</w:t>
                  </w:r>
                </w:p>
              </w:tc>
              <w:tc>
                <w:tcPr>
                  <w:tcW w:w="438" w:type="pct"/>
                  <w:tcBorders>
                    <w:tl2br w:val="nil"/>
                    <w:tr2bl w:val="nil"/>
                  </w:tcBorders>
                  <w:noWrap w:val="0"/>
                  <w:vAlign w:val="center"/>
                </w:tcPr>
                <w:p w14:paraId="044B70AE">
                  <w:pPr>
                    <w:jc w:val="both"/>
                    <w:rPr>
                      <w:color w:val="auto"/>
                      <w:sz w:val="21"/>
                      <w:szCs w:val="21"/>
                    </w:rPr>
                  </w:pPr>
                  <w:r>
                    <w:rPr>
                      <w:color w:val="auto"/>
                      <w:sz w:val="21"/>
                      <w:szCs w:val="21"/>
                    </w:rPr>
                    <w:t>经度</w:t>
                  </w:r>
                </w:p>
              </w:tc>
              <w:tc>
                <w:tcPr>
                  <w:tcW w:w="1299" w:type="pct"/>
                  <w:tcBorders>
                    <w:tl2br w:val="nil"/>
                    <w:tr2bl w:val="nil"/>
                  </w:tcBorders>
                  <w:noWrap w:val="0"/>
                  <w:vAlign w:val="center"/>
                </w:tcPr>
                <w:p w14:paraId="1914881F">
                  <w:pPr>
                    <w:jc w:val="both"/>
                    <w:rPr>
                      <w:color w:val="auto"/>
                      <w:sz w:val="21"/>
                      <w:szCs w:val="21"/>
                    </w:rPr>
                  </w:pPr>
                  <w:r>
                    <w:rPr>
                      <w:rFonts w:hint="eastAsia"/>
                      <w:color w:val="auto"/>
                      <w:sz w:val="21"/>
                      <w:szCs w:val="21"/>
                      <w:lang w:val="en-US" w:eastAsia="zh-CN"/>
                    </w:rPr>
                    <w:t>89°11′54.57″</w:t>
                  </w:r>
                </w:p>
              </w:tc>
              <w:tc>
                <w:tcPr>
                  <w:tcW w:w="507" w:type="pct"/>
                  <w:tcBorders>
                    <w:tl2br w:val="nil"/>
                    <w:tr2bl w:val="nil"/>
                  </w:tcBorders>
                  <w:noWrap w:val="0"/>
                  <w:vAlign w:val="center"/>
                </w:tcPr>
                <w:p w14:paraId="6654E478">
                  <w:pPr>
                    <w:jc w:val="both"/>
                    <w:rPr>
                      <w:color w:val="auto"/>
                      <w:sz w:val="21"/>
                      <w:szCs w:val="21"/>
                    </w:rPr>
                  </w:pPr>
                  <w:r>
                    <w:rPr>
                      <w:color w:val="auto"/>
                      <w:sz w:val="21"/>
                      <w:szCs w:val="21"/>
                    </w:rPr>
                    <w:t>纬度</w:t>
                  </w:r>
                </w:p>
              </w:tc>
              <w:tc>
                <w:tcPr>
                  <w:tcW w:w="1437" w:type="pct"/>
                  <w:tcBorders>
                    <w:tl2br w:val="nil"/>
                    <w:tr2bl w:val="nil"/>
                  </w:tcBorders>
                  <w:noWrap w:val="0"/>
                  <w:vAlign w:val="center"/>
                </w:tcPr>
                <w:p w14:paraId="3048E0FB">
                  <w:pPr>
                    <w:jc w:val="both"/>
                    <w:rPr>
                      <w:color w:val="auto"/>
                      <w:sz w:val="21"/>
                      <w:szCs w:val="21"/>
                    </w:rPr>
                  </w:pPr>
                  <w:r>
                    <w:rPr>
                      <w:rFonts w:hint="eastAsia"/>
                      <w:color w:val="auto"/>
                      <w:sz w:val="21"/>
                      <w:szCs w:val="21"/>
                      <w:lang w:val="en-US" w:eastAsia="zh-CN"/>
                    </w:rPr>
                    <w:t>43°56′46.40″</w:t>
                  </w:r>
                </w:p>
              </w:tc>
            </w:tr>
            <w:tr w14:paraId="248276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8" w:hRule="atLeast"/>
              </w:trPr>
              <w:tc>
                <w:tcPr>
                  <w:tcW w:w="1316" w:type="pct"/>
                  <w:tcBorders>
                    <w:tl2br w:val="nil"/>
                    <w:tr2bl w:val="nil"/>
                  </w:tcBorders>
                  <w:noWrap w:val="0"/>
                  <w:vAlign w:val="center"/>
                </w:tcPr>
                <w:p w14:paraId="4E4F27E2">
                  <w:pPr>
                    <w:jc w:val="both"/>
                    <w:rPr>
                      <w:color w:val="auto"/>
                      <w:sz w:val="21"/>
                      <w:szCs w:val="21"/>
                    </w:rPr>
                  </w:pPr>
                  <w:r>
                    <w:rPr>
                      <w:color w:val="auto"/>
                      <w:spacing w:val="-20"/>
                      <w:sz w:val="21"/>
                      <w:szCs w:val="21"/>
                    </w:rPr>
                    <w:t>主要危险物质及分布</w:t>
                  </w:r>
                </w:p>
              </w:tc>
              <w:tc>
                <w:tcPr>
                  <w:tcW w:w="3683" w:type="pct"/>
                  <w:gridSpan w:val="4"/>
                  <w:tcBorders>
                    <w:tl2br w:val="nil"/>
                    <w:tr2bl w:val="nil"/>
                  </w:tcBorders>
                  <w:noWrap w:val="0"/>
                  <w:vAlign w:val="center"/>
                </w:tcPr>
                <w:p w14:paraId="24BF421B">
                  <w:pPr>
                    <w:jc w:val="both"/>
                    <w:rPr>
                      <w:rFonts w:hint="default" w:eastAsia="宋体"/>
                      <w:color w:val="auto"/>
                      <w:sz w:val="21"/>
                      <w:szCs w:val="21"/>
                      <w:lang w:val="en-US" w:eastAsia="zh-CN"/>
                    </w:rPr>
                  </w:pPr>
                  <w:r>
                    <w:rPr>
                      <w:rFonts w:hint="eastAsia"/>
                      <w:color w:val="auto"/>
                      <w:sz w:val="21"/>
                      <w:szCs w:val="21"/>
                      <w:lang w:val="en-US" w:eastAsia="zh-CN"/>
                    </w:rPr>
                    <w:t>废机油：危废间</w:t>
                  </w:r>
                </w:p>
              </w:tc>
            </w:tr>
            <w:tr w14:paraId="712E00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l2br w:val="nil"/>
                    <w:tr2bl w:val="nil"/>
                  </w:tcBorders>
                  <w:noWrap w:val="0"/>
                  <w:vAlign w:val="center"/>
                </w:tcPr>
                <w:p w14:paraId="25B07E4B">
                  <w:pPr>
                    <w:jc w:val="both"/>
                    <w:rPr>
                      <w:color w:val="auto"/>
                      <w:sz w:val="21"/>
                      <w:szCs w:val="21"/>
                    </w:rPr>
                  </w:pPr>
                  <w:r>
                    <w:rPr>
                      <w:color w:val="auto"/>
                      <w:sz w:val="21"/>
                      <w:szCs w:val="21"/>
                    </w:rPr>
                    <w:t>环境影响途径及危害后果（大气、地表水、地下水等）</w:t>
                  </w:r>
                </w:p>
              </w:tc>
              <w:tc>
                <w:tcPr>
                  <w:tcW w:w="3683" w:type="pct"/>
                  <w:gridSpan w:val="4"/>
                  <w:tcBorders>
                    <w:tl2br w:val="nil"/>
                    <w:tr2bl w:val="nil"/>
                  </w:tcBorders>
                  <w:noWrap w:val="0"/>
                  <w:vAlign w:val="center"/>
                </w:tcPr>
                <w:p w14:paraId="5C11DD07">
                  <w:pPr>
                    <w:pStyle w:val="4"/>
                    <w:numPr>
                      <w:ilvl w:val="0"/>
                      <w:numId w:val="0"/>
                    </w:numPr>
                    <w:ind w:leftChars="0"/>
                    <w:jc w:val="both"/>
                    <w:rPr>
                      <w:rFonts w:hint="default"/>
                      <w:color w:val="auto"/>
                      <w:lang w:val="en-US" w:eastAsia="zh-CN"/>
                    </w:rPr>
                  </w:pPr>
                  <w:r>
                    <w:rPr>
                      <w:rFonts w:hint="eastAsia" w:ascii="Times New Roman" w:hAnsi="Times New Roman" w:eastAsia="宋体" w:cs="Times New Roman"/>
                      <w:color w:val="auto"/>
                      <w:kern w:val="2"/>
                      <w:sz w:val="21"/>
                      <w:szCs w:val="21"/>
                      <w:lang w:val="en-US" w:eastAsia="zh-CN" w:bidi="ar-SA"/>
                    </w:rPr>
                    <w:t>废机油泄露风险：会对土壤及下水造成污染，处理不当也会发生火灾</w:t>
                  </w:r>
                  <w:r>
                    <w:rPr>
                      <w:rFonts w:hint="eastAsia" w:cs="Times New Roman"/>
                      <w:color w:val="auto"/>
                      <w:kern w:val="2"/>
                      <w:sz w:val="21"/>
                      <w:szCs w:val="21"/>
                      <w:lang w:val="en-US" w:eastAsia="zh-CN" w:bidi="ar-SA"/>
                    </w:rPr>
                    <w:t>，本项目对危废间的地板做了防漏处理，可以有效避免机油泄露。</w:t>
                  </w:r>
                </w:p>
              </w:tc>
            </w:tr>
            <w:tr w14:paraId="3D3450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l2br w:val="nil"/>
                    <w:tr2bl w:val="nil"/>
                  </w:tcBorders>
                  <w:noWrap w:val="0"/>
                  <w:vAlign w:val="center"/>
                </w:tcPr>
                <w:p w14:paraId="3AD0484A">
                  <w:pPr>
                    <w:jc w:val="both"/>
                    <w:rPr>
                      <w:color w:val="auto"/>
                      <w:sz w:val="21"/>
                      <w:szCs w:val="21"/>
                    </w:rPr>
                  </w:pPr>
                  <w:r>
                    <w:rPr>
                      <w:color w:val="auto"/>
                      <w:sz w:val="21"/>
                      <w:szCs w:val="21"/>
                    </w:rPr>
                    <w:t>风险防范措施要求</w:t>
                  </w:r>
                </w:p>
              </w:tc>
              <w:tc>
                <w:tcPr>
                  <w:tcW w:w="3683" w:type="pct"/>
                  <w:gridSpan w:val="4"/>
                  <w:tcBorders>
                    <w:tl2br w:val="nil"/>
                    <w:tr2bl w:val="nil"/>
                  </w:tcBorders>
                  <w:noWrap w:val="0"/>
                  <w:vAlign w:val="center"/>
                </w:tcPr>
                <w:p w14:paraId="479C8412">
                  <w:pPr>
                    <w:jc w:val="both"/>
                    <w:rPr>
                      <w:rFonts w:hint="default" w:eastAsia="宋体"/>
                      <w:color w:val="auto"/>
                      <w:sz w:val="21"/>
                      <w:szCs w:val="21"/>
                      <w:lang w:val="en-US" w:eastAsia="zh-CN"/>
                    </w:rPr>
                  </w:pPr>
                  <w:r>
                    <w:rPr>
                      <w:color w:val="auto"/>
                      <w:sz w:val="21"/>
                      <w:szCs w:val="21"/>
                    </w:rPr>
                    <w:t>详见报告章节</w:t>
                  </w:r>
                  <w:r>
                    <w:rPr>
                      <w:rFonts w:hint="eastAsia"/>
                      <w:color w:val="auto"/>
                      <w:sz w:val="21"/>
                      <w:szCs w:val="21"/>
                      <w:lang w:val="en-US" w:eastAsia="zh-CN"/>
                    </w:rPr>
                    <w:t>6.5</w:t>
                  </w:r>
                </w:p>
              </w:tc>
            </w:tr>
            <w:tr w14:paraId="256D70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5"/>
                  <w:tcBorders>
                    <w:tl2br w:val="nil"/>
                    <w:tr2bl w:val="nil"/>
                  </w:tcBorders>
                  <w:noWrap w:val="0"/>
                  <w:vAlign w:val="center"/>
                </w:tcPr>
                <w:p w14:paraId="257EFF82">
                  <w:pPr>
                    <w:jc w:val="both"/>
                    <w:rPr>
                      <w:color w:val="auto"/>
                      <w:sz w:val="21"/>
                      <w:szCs w:val="21"/>
                    </w:rPr>
                  </w:pPr>
                  <w:r>
                    <w:rPr>
                      <w:color w:val="auto"/>
                      <w:sz w:val="21"/>
                      <w:szCs w:val="21"/>
                    </w:rPr>
                    <w:t>填表说明（列出项目相关信息及评价说明）：</w:t>
                  </w:r>
                </w:p>
                <w:p w14:paraId="727E9A68">
                  <w:pPr>
                    <w:jc w:val="both"/>
                    <w:rPr>
                      <w:color w:val="auto"/>
                      <w:sz w:val="21"/>
                      <w:szCs w:val="21"/>
                    </w:rPr>
                  </w:pPr>
                  <w:r>
                    <w:rPr>
                      <w:color w:val="auto"/>
                      <w:sz w:val="21"/>
                      <w:szCs w:val="21"/>
                    </w:rPr>
                    <w:t>本项目风险评价根据《建设项目环境风险评价技术导则》（HJ169-2018）进行分析。</w:t>
                  </w:r>
                  <w:r>
                    <w:rPr>
                      <w:rFonts w:hint="eastAsia"/>
                      <w:color w:val="auto"/>
                      <w:sz w:val="21"/>
                      <w:szCs w:val="21"/>
                    </w:rPr>
                    <w:t>本项目</w:t>
                  </w:r>
                  <w:r>
                    <w:rPr>
                      <w:color w:val="auto"/>
                      <w:sz w:val="21"/>
                      <w:szCs w:val="21"/>
                    </w:rPr>
                    <w:t>环境风险潜势为</w:t>
                  </w:r>
                  <w:r>
                    <w:rPr>
                      <w:rFonts w:eastAsia="仿宋"/>
                      <w:color w:val="auto"/>
                      <w:sz w:val="21"/>
                      <w:szCs w:val="21"/>
                    </w:rPr>
                    <w:t>Ⅰ</w:t>
                  </w:r>
                  <w:r>
                    <w:rPr>
                      <w:color w:val="auto"/>
                      <w:sz w:val="21"/>
                      <w:szCs w:val="21"/>
                    </w:rPr>
                    <w:t>，评价等级为简单分析。在落实了环评提出的风险防范措施后，环境风险可控，不会对周围环境造成较大风险。</w:t>
                  </w:r>
                </w:p>
              </w:tc>
            </w:tr>
          </w:tbl>
          <w:p w14:paraId="49192687">
            <w:pPr>
              <w:jc w:val="center"/>
              <w:rPr>
                <w:b/>
                <w:bCs/>
                <w:color w:val="auto"/>
                <w:spacing w:val="6"/>
                <w:sz w:val="21"/>
                <w:szCs w:val="21"/>
              </w:rPr>
            </w:pPr>
            <w:r>
              <w:rPr>
                <w:rFonts w:hint="eastAsia" w:eastAsia="黑体"/>
                <w:b/>
                <w:bCs/>
                <w:color w:val="auto"/>
                <w:spacing w:val="6"/>
                <w:sz w:val="21"/>
                <w:szCs w:val="21"/>
                <w:lang w:val="en-US" w:eastAsia="zh-CN"/>
              </w:rPr>
              <w:t>4-19  燃气锅炉</w:t>
            </w:r>
            <w:r>
              <w:rPr>
                <w:rFonts w:eastAsia="黑体"/>
                <w:b/>
                <w:bCs/>
                <w:color w:val="auto"/>
                <w:spacing w:val="6"/>
                <w:sz w:val="21"/>
                <w:szCs w:val="21"/>
              </w:rPr>
              <w:t>危险特性</w:t>
            </w:r>
          </w:p>
          <w:tbl>
            <w:tblPr>
              <w:tblStyle w:val="24"/>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42"/>
              <w:gridCol w:w="713"/>
              <w:gridCol w:w="2114"/>
              <w:gridCol w:w="825"/>
              <w:gridCol w:w="2344"/>
            </w:tblGrid>
            <w:tr w14:paraId="5A63DB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bottom w:val="single" w:color="auto" w:sz="12" w:space="0"/>
                  </w:tcBorders>
                  <w:noWrap w:val="0"/>
                  <w:vAlign w:val="center"/>
                </w:tcPr>
                <w:p w14:paraId="6251919D">
                  <w:pPr>
                    <w:jc w:val="center"/>
                    <w:rPr>
                      <w:color w:val="auto"/>
                      <w:sz w:val="21"/>
                      <w:szCs w:val="21"/>
                    </w:rPr>
                  </w:pPr>
                  <w:r>
                    <w:rPr>
                      <w:color w:val="auto"/>
                      <w:sz w:val="21"/>
                      <w:szCs w:val="21"/>
                    </w:rPr>
                    <w:t>建设项目名称</w:t>
                  </w:r>
                </w:p>
              </w:tc>
              <w:tc>
                <w:tcPr>
                  <w:tcW w:w="3683" w:type="pct"/>
                  <w:gridSpan w:val="4"/>
                  <w:tcBorders>
                    <w:bottom w:val="single" w:color="auto" w:sz="12" w:space="0"/>
                  </w:tcBorders>
                  <w:noWrap w:val="0"/>
                  <w:vAlign w:val="center"/>
                </w:tcPr>
                <w:p w14:paraId="25833768">
                  <w:pPr>
                    <w:jc w:val="center"/>
                    <w:rPr>
                      <w:color w:val="auto"/>
                      <w:sz w:val="21"/>
                      <w:szCs w:val="21"/>
                    </w:rPr>
                  </w:pPr>
                  <w:r>
                    <w:rPr>
                      <w:rFonts w:hint="eastAsia"/>
                      <w:color w:val="auto"/>
                      <w:sz w:val="21"/>
                      <w:szCs w:val="21"/>
                      <w:lang w:val="en-US" w:eastAsia="zh-CN"/>
                    </w:rPr>
                    <w:t>龙泉股份吉木萨尔县PCCP管厂建设项目</w:t>
                  </w:r>
                </w:p>
              </w:tc>
            </w:tr>
            <w:tr w14:paraId="05AB83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op w:val="single" w:color="auto" w:sz="12" w:space="0"/>
                    <w:tl2br w:val="nil"/>
                    <w:tr2bl w:val="nil"/>
                  </w:tcBorders>
                  <w:noWrap w:val="0"/>
                  <w:vAlign w:val="center"/>
                </w:tcPr>
                <w:p w14:paraId="5270806A">
                  <w:pPr>
                    <w:jc w:val="center"/>
                    <w:rPr>
                      <w:color w:val="auto"/>
                      <w:sz w:val="21"/>
                      <w:szCs w:val="21"/>
                    </w:rPr>
                  </w:pPr>
                  <w:r>
                    <w:rPr>
                      <w:color w:val="auto"/>
                      <w:sz w:val="21"/>
                      <w:szCs w:val="21"/>
                    </w:rPr>
                    <w:t>建设地点</w:t>
                  </w:r>
                </w:p>
              </w:tc>
              <w:tc>
                <w:tcPr>
                  <w:tcW w:w="3683" w:type="pct"/>
                  <w:gridSpan w:val="4"/>
                  <w:tcBorders>
                    <w:top w:val="single" w:color="auto" w:sz="12" w:space="0"/>
                    <w:tl2br w:val="nil"/>
                    <w:tr2bl w:val="nil"/>
                  </w:tcBorders>
                  <w:noWrap w:val="0"/>
                  <w:vAlign w:val="center"/>
                </w:tcPr>
                <w:p w14:paraId="40A0D175">
                  <w:pPr>
                    <w:jc w:val="center"/>
                    <w:rPr>
                      <w:color w:val="auto"/>
                      <w:sz w:val="21"/>
                      <w:szCs w:val="21"/>
                    </w:rPr>
                  </w:pPr>
                  <w:r>
                    <w:rPr>
                      <w:rFonts w:hint="eastAsia"/>
                      <w:color w:val="auto"/>
                      <w:sz w:val="21"/>
                      <w:szCs w:val="21"/>
                      <w:lang w:val="en-US" w:eastAsia="zh-CN"/>
                    </w:rPr>
                    <w:t>吉木萨尔县北庭工业园区善成工业设备有限公司厂区内</w:t>
                  </w:r>
                </w:p>
              </w:tc>
            </w:tr>
            <w:tr w14:paraId="3D4F4A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l2br w:val="nil"/>
                    <w:tr2bl w:val="nil"/>
                  </w:tcBorders>
                  <w:noWrap w:val="0"/>
                  <w:vAlign w:val="center"/>
                </w:tcPr>
                <w:p w14:paraId="33A4069C">
                  <w:pPr>
                    <w:jc w:val="center"/>
                    <w:rPr>
                      <w:color w:val="auto"/>
                      <w:sz w:val="21"/>
                      <w:szCs w:val="21"/>
                    </w:rPr>
                  </w:pPr>
                  <w:r>
                    <w:rPr>
                      <w:color w:val="auto"/>
                      <w:sz w:val="21"/>
                      <w:szCs w:val="21"/>
                    </w:rPr>
                    <w:t>地理坐标</w:t>
                  </w:r>
                </w:p>
              </w:tc>
              <w:tc>
                <w:tcPr>
                  <w:tcW w:w="438" w:type="pct"/>
                  <w:tcBorders>
                    <w:tl2br w:val="nil"/>
                    <w:tr2bl w:val="nil"/>
                  </w:tcBorders>
                  <w:noWrap w:val="0"/>
                  <w:vAlign w:val="center"/>
                </w:tcPr>
                <w:p w14:paraId="6FB5205E">
                  <w:pPr>
                    <w:jc w:val="center"/>
                    <w:rPr>
                      <w:color w:val="auto"/>
                      <w:sz w:val="21"/>
                      <w:szCs w:val="21"/>
                    </w:rPr>
                  </w:pPr>
                  <w:r>
                    <w:rPr>
                      <w:color w:val="auto"/>
                      <w:sz w:val="21"/>
                      <w:szCs w:val="21"/>
                    </w:rPr>
                    <w:t>经度</w:t>
                  </w:r>
                </w:p>
              </w:tc>
              <w:tc>
                <w:tcPr>
                  <w:tcW w:w="1299" w:type="pct"/>
                  <w:tcBorders>
                    <w:tl2br w:val="nil"/>
                    <w:tr2bl w:val="nil"/>
                  </w:tcBorders>
                  <w:noWrap w:val="0"/>
                  <w:vAlign w:val="center"/>
                </w:tcPr>
                <w:p w14:paraId="313C537C">
                  <w:pPr>
                    <w:jc w:val="center"/>
                    <w:rPr>
                      <w:color w:val="auto"/>
                      <w:sz w:val="21"/>
                      <w:szCs w:val="21"/>
                    </w:rPr>
                  </w:pPr>
                  <w:r>
                    <w:rPr>
                      <w:rFonts w:hint="eastAsia"/>
                      <w:color w:val="auto"/>
                      <w:sz w:val="21"/>
                      <w:szCs w:val="21"/>
                      <w:lang w:val="en-US" w:eastAsia="zh-CN"/>
                    </w:rPr>
                    <w:t>89°11'02.9089"</w:t>
                  </w:r>
                </w:p>
              </w:tc>
              <w:tc>
                <w:tcPr>
                  <w:tcW w:w="507" w:type="pct"/>
                  <w:tcBorders>
                    <w:tl2br w:val="nil"/>
                    <w:tr2bl w:val="nil"/>
                  </w:tcBorders>
                  <w:noWrap w:val="0"/>
                  <w:vAlign w:val="center"/>
                </w:tcPr>
                <w:p w14:paraId="364ECFFC">
                  <w:pPr>
                    <w:jc w:val="center"/>
                    <w:rPr>
                      <w:color w:val="auto"/>
                      <w:sz w:val="21"/>
                      <w:szCs w:val="21"/>
                    </w:rPr>
                  </w:pPr>
                  <w:r>
                    <w:rPr>
                      <w:color w:val="auto"/>
                      <w:sz w:val="21"/>
                      <w:szCs w:val="21"/>
                    </w:rPr>
                    <w:t>纬度</w:t>
                  </w:r>
                </w:p>
              </w:tc>
              <w:tc>
                <w:tcPr>
                  <w:tcW w:w="1437" w:type="pct"/>
                  <w:tcBorders>
                    <w:tl2br w:val="nil"/>
                    <w:tr2bl w:val="nil"/>
                  </w:tcBorders>
                  <w:noWrap w:val="0"/>
                  <w:vAlign w:val="center"/>
                </w:tcPr>
                <w:p w14:paraId="2B4A0DDE">
                  <w:pPr>
                    <w:jc w:val="center"/>
                    <w:rPr>
                      <w:color w:val="auto"/>
                      <w:sz w:val="21"/>
                      <w:szCs w:val="21"/>
                    </w:rPr>
                  </w:pPr>
                  <w:r>
                    <w:rPr>
                      <w:rFonts w:hint="eastAsia"/>
                      <w:color w:val="auto"/>
                      <w:sz w:val="21"/>
                      <w:szCs w:val="21"/>
                      <w:lang w:val="en-US" w:eastAsia="zh-CN"/>
                    </w:rPr>
                    <w:t>43°56'45.3144"</w:t>
                  </w:r>
                </w:p>
              </w:tc>
            </w:tr>
            <w:tr w14:paraId="7A8C18F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8" w:hRule="atLeast"/>
              </w:trPr>
              <w:tc>
                <w:tcPr>
                  <w:tcW w:w="1316" w:type="pct"/>
                  <w:tcBorders>
                    <w:tl2br w:val="nil"/>
                    <w:tr2bl w:val="nil"/>
                  </w:tcBorders>
                  <w:noWrap w:val="0"/>
                  <w:vAlign w:val="center"/>
                </w:tcPr>
                <w:p w14:paraId="1E6287F6">
                  <w:pPr>
                    <w:jc w:val="center"/>
                    <w:rPr>
                      <w:color w:val="auto"/>
                      <w:sz w:val="21"/>
                      <w:szCs w:val="21"/>
                    </w:rPr>
                  </w:pPr>
                  <w:r>
                    <w:rPr>
                      <w:color w:val="auto"/>
                      <w:spacing w:val="-20"/>
                      <w:sz w:val="21"/>
                      <w:szCs w:val="21"/>
                    </w:rPr>
                    <w:t>主要危险物质及分布</w:t>
                  </w:r>
                </w:p>
              </w:tc>
              <w:tc>
                <w:tcPr>
                  <w:tcW w:w="3683" w:type="pct"/>
                  <w:gridSpan w:val="4"/>
                  <w:tcBorders>
                    <w:tl2br w:val="nil"/>
                    <w:tr2bl w:val="nil"/>
                  </w:tcBorders>
                  <w:noWrap w:val="0"/>
                  <w:vAlign w:val="center"/>
                </w:tcPr>
                <w:p w14:paraId="3E8CC7EA">
                  <w:pPr>
                    <w:rPr>
                      <w:rFonts w:hint="default" w:eastAsia="宋体"/>
                      <w:color w:val="auto"/>
                      <w:sz w:val="21"/>
                      <w:szCs w:val="21"/>
                      <w:lang w:val="en-US" w:eastAsia="zh-CN"/>
                    </w:rPr>
                  </w:pPr>
                  <w:r>
                    <w:rPr>
                      <w:rFonts w:hint="eastAsia"/>
                      <w:color w:val="auto"/>
                      <w:sz w:val="21"/>
                      <w:szCs w:val="21"/>
                      <w:lang w:val="en-US" w:eastAsia="zh-CN"/>
                    </w:rPr>
                    <w:t>养护车间</w:t>
                  </w:r>
                </w:p>
              </w:tc>
            </w:tr>
            <w:tr w14:paraId="25FB53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l2br w:val="nil"/>
                    <w:tr2bl w:val="nil"/>
                  </w:tcBorders>
                  <w:noWrap w:val="0"/>
                  <w:vAlign w:val="center"/>
                </w:tcPr>
                <w:p w14:paraId="0F06353B">
                  <w:pPr>
                    <w:jc w:val="center"/>
                    <w:rPr>
                      <w:color w:val="auto"/>
                      <w:sz w:val="21"/>
                      <w:szCs w:val="21"/>
                    </w:rPr>
                  </w:pPr>
                  <w:r>
                    <w:rPr>
                      <w:color w:val="auto"/>
                      <w:sz w:val="21"/>
                      <w:szCs w:val="21"/>
                    </w:rPr>
                    <w:t>环境影响途径及危害后果（大气、地表水、地下水等）</w:t>
                  </w:r>
                </w:p>
              </w:tc>
              <w:tc>
                <w:tcPr>
                  <w:tcW w:w="3683" w:type="pct"/>
                  <w:gridSpan w:val="4"/>
                  <w:tcBorders>
                    <w:tl2br w:val="nil"/>
                    <w:tr2bl w:val="nil"/>
                  </w:tcBorders>
                  <w:noWrap w:val="0"/>
                  <w:vAlign w:val="center"/>
                </w:tcPr>
                <w:p w14:paraId="00A3B3DB">
                  <w:pPr>
                    <w:pStyle w:val="4"/>
                    <w:numPr>
                      <w:ilvl w:val="0"/>
                      <w:numId w:val="0"/>
                    </w:numPr>
                    <w:ind w:leftChars="0"/>
                    <w:rPr>
                      <w:rFonts w:hint="default"/>
                      <w:color w:val="auto"/>
                      <w:lang w:val="en-US" w:eastAsia="zh-CN"/>
                    </w:rPr>
                  </w:pPr>
                  <w:r>
                    <w:rPr>
                      <w:rFonts w:hint="eastAsia" w:ascii="Times New Roman" w:hAnsi="Times New Roman" w:cs="Times New Roman"/>
                      <w:color w:val="auto"/>
                      <w:kern w:val="2"/>
                      <w:sz w:val="21"/>
                      <w:szCs w:val="21"/>
                      <w:lang w:val="en-US" w:eastAsia="zh-CN" w:bidi="ar-SA"/>
                    </w:rPr>
                    <w:t>若锅炉操作不当，可能会导致天然气泄露，导致炉膛或者炉体爆炸，会对土壤及大气造成污染</w:t>
                  </w:r>
                </w:p>
              </w:tc>
            </w:tr>
            <w:tr w14:paraId="5B3FF3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316" w:type="pct"/>
                  <w:tcBorders>
                    <w:tl2br w:val="nil"/>
                    <w:tr2bl w:val="nil"/>
                  </w:tcBorders>
                  <w:noWrap w:val="0"/>
                  <w:vAlign w:val="center"/>
                </w:tcPr>
                <w:p w14:paraId="7C5111B2">
                  <w:pPr>
                    <w:jc w:val="center"/>
                    <w:rPr>
                      <w:color w:val="auto"/>
                      <w:sz w:val="21"/>
                      <w:szCs w:val="21"/>
                    </w:rPr>
                  </w:pPr>
                  <w:r>
                    <w:rPr>
                      <w:color w:val="auto"/>
                      <w:sz w:val="21"/>
                      <w:szCs w:val="21"/>
                    </w:rPr>
                    <w:t>风险防范措施要求</w:t>
                  </w:r>
                </w:p>
              </w:tc>
              <w:tc>
                <w:tcPr>
                  <w:tcW w:w="3683" w:type="pct"/>
                  <w:gridSpan w:val="4"/>
                  <w:tcBorders>
                    <w:tl2br w:val="nil"/>
                    <w:tr2bl w:val="nil"/>
                  </w:tcBorders>
                  <w:noWrap w:val="0"/>
                  <w:vAlign w:val="center"/>
                </w:tcPr>
                <w:p w14:paraId="714A1BDB">
                  <w:pPr>
                    <w:rPr>
                      <w:rFonts w:hint="default" w:eastAsia="宋体"/>
                      <w:color w:val="auto"/>
                      <w:sz w:val="21"/>
                      <w:szCs w:val="21"/>
                      <w:lang w:val="en-US" w:eastAsia="zh-CN"/>
                    </w:rPr>
                  </w:pPr>
                  <w:r>
                    <w:rPr>
                      <w:color w:val="auto"/>
                      <w:sz w:val="21"/>
                      <w:szCs w:val="21"/>
                      <w:highlight w:val="none"/>
                    </w:rPr>
                    <w:t>详见报告章节</w:t>
                  </w:r>
                  <w:r>
                    <w:rPr>
                      <w:rFonts w:hint="eastAsia"/>
                      <w:color w:val="auto"/>
                      <w:sz w:val="21"/>
                      <w:szCs w:val="21"/>
                      <w:highlight w:val="none"/>
                      <w:lang w:val="en-US" w:eastAsia="zh-CN"/>
                    </w:rPr>
                    <w:t>6.5</w:t>
                  </w:r>
                </w:p>
              </w:tc>
            </w:tr>
            <w:tr w14:paraId="2D3549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000" w:type="pct"/>
                  <w:gridSpan w:val="5"/>
                  <w:tcBorders>
                    <w:tl2br w:val="nil"/>
                    <w:tr2bl w:val="nil"/>
                  </w:tcBorders>
                  <w:noWrap w:val="0"/>
                  <w:vAlign w:val="center"/>
                </w:tcPr>
                <w:p w14:paraId="07B20F1A">
                  <w:pPr>
                    <w:rPr>
                      <w:color w:val="auto"/>
                      <w:sz w:val="21"/>
                      <w:szCs w:val="21"/>
                    </w:rPr>
                  </w:pPr>
                  <w:r>
                    <w:rPr>
                      <w:color w:val="auto"/>
                      <w:sz w:val="21"/>
                      <w:szCs w:val="21"/>
                    </w:rPr>
                    <w:t>填表说明（列出项目相关信息及评价说明）：</w:t>
                  </w:r>
                </w:p>
                <w:p w14:paraId="56D5208F">
                  <w:pPr>
                    <w:rPr>
                      <w:color w:val="auto"/>
                      <w:sz w:val="21"/>
                      <w:szCs w:val="21"/>
                    </w:rPr>
                  </w:pPr>
                  <w:r>
                    <w:rPr>
                      <w:color w:val="auto"/>
                      <w:sz w:val="21"/>
                      <w:szCs w:val="21"/>
                    </w:rPr>
                    <w:t>本项目风险评价根据《建设项目环境风险评价技术导则》（HJ169-2018）进行分析。</w:t>
                  </w:r>
                  <w:r>
                    <w:rPr>
                      <w:rFonts w:hint="eastAsia"/>
                      <w:color w:val="auto"/>
                      <w:sz w:val="21"/>
                      <w:szCs w:val="21"/>
                    </w:rPr>
                    <w:t>本项目</w:t>
                  </w:r>
                  <w:r>
                    <w:rPr>
                      <w:color w:val="auto"/>
                      <w:sz w:val="21"/>
                      <w:szCs w:val="21"/>
                    </w:rPr>
                    <w:t>环境风险潜势为</w:t>
                  </w:r>
                  <w:r>
                    <w:rPr>
                      <w:rFonts w:eastAsia="仿宋"/>
                      <w:color w:val="auto"/>
                      <w:sz w:val="21"/>
                      <w:szCs w:val="21"/>
                    </w:rPr>
                    <w:t>Ⅰ</w:t>
                  </w:r>
                  <w:r>
                    <w:rPr>
                      <w:color w:val="auto"/>
                      <w:sz w:val="21"/>
                      <w:szCs w:val="21"/>
                    </w:rPr>
                    <w:t>，评价等级为简单分析。在落实了环评提出的风险防范措施后，环境风险可控，不会对周围环境造成较大风险。</w:t>
                  </w:r>
                </w:p>
              </w:tc>
            </w:tr>
          </w:tbl>
          <w:p w14:paraId="1C115C10">
            <w:pPr>
              <w:pStyle w:val="42"/>
              <w:spacing w:line="360" w:lineRule="auto"/>
              <w:ind w:firstLine="480" w:firstLineChars="200"/>
              <w:jc w:val="left"/>
              <w:rPr>
                <w:bCs/>
                <w:color w:val="auto"/>
                <w:sz w:val="24"/>
              </w:rPr>
            </w:pPr>
            <w:r>
              <w:rPr>
                <w:bCs/>
                <w:color w:val="auto"/>
                <w:sz w:val="24"/>
              </w:rPr>
              <w:t>按照《危险化学品重大危险源辨识》（GB18218-2009）中重大危险源的辨识指标，本项目不构成重大危险源。</w:t>
            </w:r>
          </w:p>
          <w:p w14:paraId="30F3D505">
            <w:pPr>
              <w:pageBreakBefore w:val="0"/>
              <w:kinsoku/>
              <w:bidi w:val="0"/>
              <w:spacing w:beforeAutospacing="0" w:afterAutospacing="0" w:line="360" w:lineRule="auto"/>
              <w:ind w:left="0" w:leftChars="0" w:right="0" w:rightChars="0" w:firstLine="480" w:firstLineChars="200"/>
              <w:rPr>
                <w:color w:val="auto"/>
                <w:sz w:val="24"/>
                <w:highlight w:val="none"/>
              </w:rPr>
            </w:pPr>
            <w:r>
              <w:rPr>
                <w:color w:val="auto"/>
                <w:sz w:val="24"/>
                <w:highlight w:val="none"/>
              </w:rPr>
              <w:t>环境风险识别</w:t>
            </w:r>
          </w:p>
          <w:p w14:paraId="673BE7BA">
            <w:pPr>
              <w:pStyle w:val="56"/>
              <w:pageBreakBefore w:val="0"/>
              <w:widowControl/>
              <w:kinsoku/>
              <w:bidi w:val="0"/>
              <w:adjustRightInd w:val="0"/>
              <w:snapToGrid w:val="0"/>
              <w:spacing w:before="0" w:beforeAutospacing="0" w:after="0" w:afterAutospacing="0" w:line="360" w:lineRule="auto"/>
              <w:ind w:left="0" w:leftChars="0" w:right="0" w:rightChars="0" w:firstLine="480" w:firstLineChars="200"/>
              <w:jc w:val="left"/>
              <w:rPr>
                <w:rFonts w:hint="default" w:ascii="Times New Roman" w:hAnsi="Times New Roman" w:eastAsia="宋体"/>
                <w:b w:val="0"/>
                <w:color w:val="auto"/>
                <w:sz w:val="24"/>
                <w:szCs w:val="24"/>
                <w:highlight w:val="none"/>
              </w:rPr>
            </w:pPr>
            <w:r>
              <w:rPr>
                <w:rFonts w:hint="default" w:ascii="Times New Roman" w:hAnsi="Times New Roman" w:eastAsia="宋体"/>
                <w:b w:val="0"/>
                <w:color w:val="auto"/>
                <w:sz w:val="24"/>
                <w:szCs w:val="24"/>
                <w:highlight w:val="none"/>
              </w:rPr>
              <w:t>拟建项目主要危险物质及分布情况，可能影响环境的途径详见表4-</w:t>
            </w:r>
            <w:r>
              <w:rPr>
                <w:rFonts w:hint="eastAsia" w:ascii="Times New Roman" w:hAnsi="Times New Roman" w:eastAsia="宋体"/>
                <w:b w:val="0"/>
                <w:color w:val="auto"/>
                <w:sz w:val="24"/>
                <w:szCs w:val="24"/>
                <w:highlight w:val="none"/>
                <w:lang w:val="en-US" w:eastAsia="zh-CN"/>
              </w:rPr>
              <w:t>20</w:t>
            </w:r>
            <w:r>
              <w:rPr>
                <w:rFonts w:hint="default" w:ascii="Times New Roman" w:hAnsi="Times New Roman" w:eastAsia="宋体"/>
                <w:b w:val="0"/>
                <w:color w:val="auto"/>
                <w:sz w:val="24"/>
                <w:szCs w:val="24"/>
                <w:highlight w:val="none"/>
              </w:rPr>
              <w:t>。</w:t>
            </w:r>
          </w:p>
          <w:p w14:paraId="27ACBC14">
            <w:pPr>
              <w:pStyle w:val="56"/>
              <w:pageBreakBefore w:val="0"/>
              <w:widowControl/>
              <w:kinsoku/>
              <w:bidi w:val="0"/>
              <w:adjustRightInd w:val="0"/>
              <w:snapToGrid w:val="0"/>
              <w:spacing w:before="0" w:beforeAutospacing="0" w:after="0" w:afterAutospacing="0"/>
              <w:ind w:left="0" w:leftChars="0" w:right="0" w:rightChars="0"/>
              <w:rPr>
                <w:rFonts w:hint="default" w:ascii="Times New Roman" w:hAnsi="Times New Roman" w:eastAsia="宋体"/>
                <w:color w:val="auto"/>
                <w:highlight w:val="none"/>
              </w:rPr>
            </w:pPr>
            <w:r>
              <w:rPr>
                <w:rFonts w:hint="default" w:ascii="Times New Roman" w:hAnsi="Times New Roman" w:eastAsia="宋体"/>
                <w:color w:val="auto"/>
                <w:highlight w:val="none"/>
              </w:rPr>
              <w:t>表4-</w:t>
            </w:r>
            <w:r>
              <w:rPr>
                <w:rFonts w:hint="eastAsia" w:ascii="Times New Roman" w:hAnsi="Times New Roman" w:eastAsia="宋体"/>
                <w:color w:val="auto"/>
                <w:highlight w:val="none"/>
                <w:lang w:val="en-US" w:eastAsia="zh-CN"/>
              </w:rPr>
              <w:t>20</w:t>
            </w:r>
            <w:r>
              <w:rPr>
                <w:rFonts w:hint="default" w:ascii="Times New Roman" w:hAnsi="Times New Roman" w:eastAsia="宋体"/>
                <w:color w:val="auto"/>
                <w:highlight w:val="none"/>
              </w:rPr>
              <w:t xml:space="preserve"> 主要物质危险性识别</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4"/>
              <w:gridCol w:w="1141"/>
              <w:gridCol w:w="897"/>
              <w:gridCol w:w="945"/>
              <w:gridCol w:w="1379"/>
              <w:gridCol w:w="1123"/>
              <w:gridCol w:w="1158"/>
              <w:gridCol w:w="1011"/>
            </w:tblGrid>
            <w:tr w14:paraId="0099C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7" w:type="pct"/>
                  <w:tcBorders>
                    <w:bottom w:val="single" w:color="auto" w:sz="12" w:space="0"/>
                  </w:tcBorders>
                  <w:noWrap w:val="0"/>
                  <w:vAlign w:val="center"/>
                </w:tcPr>
                <w:p w14:paraId="3435BACF">
                  <w:pPr>
                    <w:pageBreakBefore w:val="0"/>
                    <w:kinsoku/>
                    <w:bidi w:val="0"/>
                    <w:adjustRightInd w:val="0"/>
                    <w:snapToGrid w:val="0"/>
                    <w:spacing w:beforeAutospacing="0" w:afterAutospacing="0"/>
                    <w:ind w:left="0" w:leftChars="0" w:right="0" w:rightChars="0"/>
                    <w:jc w:val="center"/>
                    <w:rPr>
                      <w:b/>
                      <w:bCs/>
                      <w:color w:val="auto"/>
                      <w:szCs w:val="21"/>
                      <w:highlight w:val="none"/>
                    </w:rPr>
                  </w:pPr>
                  <w:r>
                    <w:rPr>
                      <w:b/>
                      <w:bCs/>
                      <w:color w:val="auto"/>
                      <w:szCs w:val="21"/>
                      <w:highlight w:val="none"/>
                    </w:rPr>
                    <w:t>序号</w:t>
                  </w:r>
                </w:p>
              </w:tc>
              <w:tc>
                <w:tcPr>
                  <w:tcW w:w="701" w:type="pct"/>
                  <w:tcBorders>
                    <w:bottom w:val="single" w:color="auto" w:sz="12" w:space="0"/>
                  </w:tcBorders>
                  <w:noWrap w:val="0"/>
                  <w:vAlign w:val="center"/>
                </w:tcPr>
                <w:p w14:paraId="3DEE5B37">
                  <w:pPr>
                    <w:pageBreakBefore w:val="0"/>
                    <w:kinsoku/>
                    <w:bidi w:val="0"/>
                    <w:adjustRightInd w:val="0"/>
                    <w:snapToGrid w:val="0"/>
                    <w:spacing w:beforeAutospacing="0" w:afterAutospacing="0"/>
                    <w:ind w:left="0" w:leftChars="0" w:right="0" w:rightChars="0"/>
                    <w:jc w:val="center"/>
                    <w:rPr>
                      <w:b/>
                      <w:bCs/>
                      <w:color w:val="auto"/>
                      <w:szCs w:val="21"/>
                      <w:highlight w:val="none"/>
                    </w:rPr>
                  </w:pPr>
                  <w:r>
                    <w:rPr>
                      <w:b/>
                      <w:bCs/>
                      <w:color w:val="auto"/>
                      <w:szCs w:val="21"/>
                      <w:highlight w:val="none"/>
                    </w:rPr>
                    <w:t>装置名称</w:t>
                  </w:r>
                </w:p>
              </w:tc>
              <w:tc>
                <w:tcPr>
                  <w:tcW w:w="550" w:type="pct"/>
                  <w:tcBorders>
                    <w:bottom w:val="single" w:color="auto" w:sz="12" w:space="0"/>
                  </w:tcBorders>
                  <w:noWrap w:val="0"/>
                  <w:vAlign w:val="center"/>
                </w:tcPr>
                <w:p w14:paraId="0B756F47">
                  <w:pPr>
                    <w:pageBreakBefore w:val="0"/>
                    <w:kinsoku/>
                    <w:bidi w:val="0"/>
                    <w:adjustRightInd w:val="0"/>
                    <w:snapToGrid w:val="0"/>
                    <w:spacing w:beforeAutospacing="0" w:afterAutospacing="0"/>
                    <w:ind w:left="0" w:leftChars="0" w:right="0" w:rightChars="0"/>
                    <w:jc w:val="both"/>
                    <w:rPr>
                      <w:b/>
                      <w:bCs/>
                      <w:color w:val="auto"/>
                      <w:szCs w:val="21"/>
                      <w:highlight w:val="none"/>
                    </w:rPr>
                  </w:pPr>
                  <w:r>
                    <w:rPr>
                      <w:b/>
                      <w:bCs/>
                      <w:color w:val="auto"/>
                      <w:szCs w:val="21"/>
                      <w:highlight w:val="none"/>
                    </w:rPr>
                    <w:t>物料名称</w:t>
                  </w:r>
                </w:p>
              </w:tc>
              <w:tc>
                <w:tcPr>
                  <w:tcW w:w="580" w:type="pct"/>
                  <w:tcBorders>
                    <w:bottom w:val="single" w:color="auto" w:sz="12" w:space="0"/>
                  </w:tcBorders>
                  <w:noWrap w:val="0"/>
                  <w:vAlign w:val="center"/>
                </w:tcPr>
                <w:p w14:paraId="3FF4F928">
                  <w:pPr>
                    <w:pageBreakBefore w:val="0"/>
                    <w:kinsoku/>
                    <w:bidi w:val="0"/>
                    <w:adjustRightInd w:val="0"/>
                    <w:snapToGrid w:val="0"/>
                    <w:spacing w:beforeAutospacing="0" w:afterAutospacing="0"/>
                    <w:ind w:left="0" w:leftChars="0" w:right="0" w:rightChars="0"/>
                    <w:jc w:val="center"/>
                    <w:rPr>
                      <w:b/>
                      <w:bCs/>
                      <w:color w:val="auto"/>
                      <w:szCs w:val="21"/>
                      <w:highlight w:val="none"/>
                    </w:rPr>
                  </w:pPr>
                  <w:r>
                    <w:rPr>
                      <w:b/>
                      <w:bCs/>
                      <w:color w:val="auto"/>
                      <w:szCs w:val="21"/>
                      <w:highlight w:val="none"/>
                    </w:rPr>
                    <w:t>储存量</w:t>
                  </w:r>
                </w:p>
              </w:tc>
              <w:tc>
                <w:tcPr>
                  <w:tcW w:w="847" w:type="pct"/>
                  <w:tcBorders>
                    <w:bottom w:val="single" w:color="auto" w:sz="12" w:space="0"/>
                  </w:tcBorders>
                  <w:noWrap w:val="0"/>
                  <w:vAlign w:val="center"/>
                </w:tcPr>
                <w:p w14:paraId="7C47406F">
                  <w:pPr>
                    <w:pageBreakBefore w:val="0"/>
                    <w:kinsoku/>
                    <w:bidi w:val="0"/>
                    <w:adjustRightInd w:val="0"/>
                    <w:snapToGrid w:val="0"/>
                    <w:spacing w:beforeAutospacing="0" w:afterAutospacing="0"/>
                    <w:ind w:left="0" w:leftChars="0" w:right="0" w:rightChars="0"/>
                    <w:jc w:val="center"/>
                    <w:rPr>
                      <w:b/>
                      <w:bCs/>
                      <w:color w:val="auto"/>
                      <w:szCs w:val="21"/>
                      <w:highlight w:val="none"/>
                    </w:rPr>
                  </w:pPr>
                  <w:r>
                    <w:rPr>
                      <w:b/>
                      <w:bCs/>
                      <w:color w:val="auto"/>
                      <w:szCs w:val="21"/>
                      <w:highlight w:val="none"/>
                    </w:rPr>
                    <w:t>储存位置</w:t>
                  </w:r>
                </w:p>
              </w:tc>
              <w:tc>
                <w:tcPr>
                  <w:tcW w:w="690" w:type="pct"/>
                  <w:tcBorders>
                    <w:bottom w:val="single" w:color="auto" w:sz="12" w:space="0"/>
                  </w:tcBorders>
                  <w:noWrap w:val="0"/>
                  <w:vAlign w:val="center"/>
                </w:tcPr>
                <w:p w14:paraId="2FAA3B1A">
                  <w:pPr>
                    <w:pageBreakBefore w:val="0"/>
                    <w:kinsoku/>
                    <w:bidi w:val="0"/>
                    <w:adjustRightInd w:val="0"/>
                    <w:snapToGrid w:val="0"/>
                    <w:spacing w:beforeAutospacing="0" w:afterAutospacing="0"/>
                    <w:ind w:left="0" w:leftChars="0" w:right="0" w:rightChars="0"/>
                    <w:jc w:val="center"/>
                    <w:rPr>
                      <w:b/>
                      <w:bCs/>
                      <w:color w:val="auto"/>
                      <w:szCs w:val="21"/>
                      <w:highlight w:val="none"/>
                    </w:rPr>
                  </w:pPr>
                  <w:r>
                    <w:rPr>
                      <w:b/>
                      <w:bCs/>
                      <w:color w:val="auto"/>
                      <w:szCs w:val="21"/>
                      <w:highlight w:val="none"/>
                    </w:rPr>
                    <w:t>包装方式</w:t>
                  </w:r>
                </w:p>
              </w:tc>
              <w:tc>
                <w:tcPr>
                  <w:tcW w:w="711" w:type="pct"/>
                  <w:tcBorders>
                    <w:bottom w:val="single" w:color="auto" w:sz="12" w:space="0"/>
                  </w:tcBorders>
                  <w:noWrap w:val="0"/>
                  <w:vAlign w:val="center"/>
                </w:tcPr>
                <w:p w14:paraId="1FCD90D8">
                  <w:pPr>
                    <w:pageBreakBefore w:val="0"/>
                    <w:kinsoku/>
                    <w:bidi w:val="0"/>
                    <w:adjustRightInd w:val="0"/>
                    <w:snapToGrid w:val="0"/>
                    <w:spacing w:beforeAutospacing="0" w:afterAutospacing="0"/>
                    <w:ind w:left="0" w:leftChars="0" w:right="0" w:rightChars="0"/>
                    <w:jc w:val="center"/>
                    <w:rPr>
                      <w:b/>
                      <w:bCs/>
                      <w:color w:val="auto"/>
                      <w:szCs w:val="21"/>
                      <w:highlight w:val="none"/>
                    </w:rPr>
                  </w:pPr>
                  <w:r>
                    <w:rPr>
                      <w:b/>
                      <w:bCs/>
                      <w:color w:val="auto"/>
                      <w:szCs w:val="21"/>
                      <w:highlight w:val="none"/>
                    </w:rPr>
                    <w:t>危险因素</w:t>
                  </w:r>
                </w:p>
              </w:tc>
              <w:tc>
                <w:tcPr>
                  <w:tcW w:w="620" w:type="pct"/>
                  <w:tcBorders>
                    <w:bottom w:val="single" w:color="auto" w:sz="12" w:space="0"/>
                  </w:tcBorders>
                  <w:noWrap w:val="0"/>
                  <w:vAlign w:val="center"/>
                </w:tcPr>
                <w:p w14:paraId="391879FE">
                  <w:pPr>
                    <w:pageBreakBefore w:val="0"/>
                    <w:kinsoku/>
                    <w:bidi w:val="0"/>
                    <w:adjustRightInd w:val="0"/>
                    <w:snapToGrid w:val="0"/>
                    <w:spacing w:beforeAutospacing="0" w:afterAutospacing="0"/>
                    <w:ind w:left="0" w:leftChars="0" w:right="0" w:rightChars="0"/>
                    <w:jc w:val="center"/>
                    <w:rPr>
                      <w:b/>
                      <w:bCs/>
                      <w:color w:val="auto"/>
                      <w:szCs w:val="21"/>
                      <w:highlight w:val="none"/>
                    </w:rPr>
                  </w:pPr>
                  <w:r>
                    <w:rPr>
                      <w:b/>
                      <w:bCs/>
                      <w:color w:val="auto"/>
                      <w:szCs w:val="21"/>
                      <w:highlight w:val="none"/>
                    </w:rPr>
                    <w:t>后果</w:t>
                  </w:r>
                </w:p>
              </w:tc>
            </w:tr>
            <w:tr w14:paraId="783451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7" w:type="pct"/>
                  <w:tcBorders>
                    <w:top w:val="single" w:color="auto" w:sz="12" w:space="0"/>
                    <w:bottom w:val="single" w:color="auto" w:sz="4" w:space="0"/>
                  </w:tcBorders>
                  <w:noWrap w:val="0"/>
                  <w:vAlign w:val="center"/>
                </w:tcPr>
                <w:p w14:paraId="14BF4975">
                  <w:pPr>
                    <w:pageBreakBefore w:val="0"/>
                    <w:kinsoku/>
                    <w:bidi w:val="0"/>
                    <w:adjustRightInd w:val="0"/>
                    <w:snapToGrid w:val="0"/>
                    <w:spacing w:beforeAutospacing="0" w:afterAutospacing="0"/>
                    <w:ind w:left="0" w:leftChars="0" w:right="0" w:rightChars="0"/>
                    <w:jc w:val="center"/>
                    <w:rPr>
                      <w:color w:val="auto"/>
                      <w:szCs w:val="21"/>
                      <w:highlight w:val="none"/>
                    </w:rPr>
                  </w:pPr>
                  <w:r>
                    <w:rPr>
                      <w:color w:val="auto"/>
                      <w:szCs w:val="21"/>
                      <w:highlight w:val="none"/>
                    </w:rPr>
                    <w:t>1</w:t>
                  </w:r>
                </w:p>
              </w:tc>
              <w:tc>
                <w:tcPr>
                  <w:tcW w:w="701" w:type="pct"/>
                  <w:tcBorders>
                    <w:top w:val="single" w:color="auto" w:sz="12" w:space="0"/>
                    <w:bottom w:val="single" w:color="auto" w:sz="4" w:space="0"/>
                  </w:tcBorders>
                  <w:noWrap w:val="0"/>
                  <w:vAlign w:val="center"/>
                </w:tcPr>
                <w:p w14:paraId="2E9BB4E7">
                  <w:pPr>
                    <w:pageBreakBefore w:val="0"/>
                    <w:kinsoku/>
                    <w:bidi w:val="0"/>
                    <w:adjustRightInd w:val="0"/>
                    <w:snapToGrid w:val="0"/>
                    <w:spacing w:beforeAutospacing="0" w:afterAutospacing="0"/>
                    <w:ind w:left="0" w:leftChars="0" w:right="0" w:rightChars="0"/>
                    <w:jc w:val="both"/>
                    <w:rPr>
                      <w:color w:val="auto"/>
                      <w:szCs w:val="21"/>
                      <w:highlight w:val="none"/>
                    </w:rPr>
                  </w:pPr>
                  <w:r>
                    <w:rPr>
                      <w:rFonts w:hint="eastAsia"/>
                      <w:color w:val="auto"/>
                      <w:szCs w:val="21"/>
                      <w:highlight w:val="none"/>
                    </w:rPr>
                    <w:t>废润滑油</w:t>
                  </w:r>
                  <w:r>
                    <w:rPr>
                      <w:color w:val="auto"/>
                      <w:szCs w:val="21"/>
                      <w:highlight w:val="none"/>
                    </w:rPr>
                    <w:t>暂存装置</w:t>
                  </w:r>
                </w:p>
              </w:tc>
              <w:tc>
                <w:tcPr>
                  <w:tcW w:w="550" w:type="pct"/>
                  <w:tcBorders>
                    <w:top w:val="single" w:color="auto" w:sz="12" w:space="0"/>
                    <w:bottom w:val="single" w:color="auto" w:sz="4" w:space="0"/>
                  </w:tcBorders>
                  <w:noWrap w:val="0"/>
                  <w:vAlign w:val="center"/>
                </w:tcPr>
                <w:p w14:paraId="38EFE322">
                  <w:pPr>
                    <w:pageBreakBefore w:val="0"/>
                    <w:kinsoku/>
                    <w:bidi w:val="0"/>
                    <w:adjustRightInd w:val="0"/>
                    <w:snapToGrid w:val="0"/>
                    <w:spacing w:beforeAutospacing="0" w:afterAutospacing="0"/>
                    <w:ind w:left="0" w:leftChars="0" w:right="0" w:rightChars="0"/>
                    <w:jc w:val="both"/>
                    <w:rPr>
                      <w:rFonts w:hint="default" w:eastAsia="宋体"/>
                      <w:color w:val="auto"/>
                      <w:szCs w:val="21"/>
                      <w:highlight w:val="none"/>
                      <w:lang w:val="en-US" w:eastAsia="zh-CN"/>
                    </w:rPr>
                  </w:pPr>
                  <w:r>
                    <w:rPr>
                      <w:color w:val="auto"/>
                      <w:szCs w:val="21"/>
                      <w:highlight w:val="none"/>
                    </w:rPr>
                    <w:t>废润滑油</w:t>
                  </w:r>
                  <w:r>
                    <w:rPr>
                      <w:rFonts w:hint="eastAsia"/>
                      <w:color w:val="auto"/>
                      <w:szCs w:val="21"/>
                      <w:highlight w:val="none"/>
                      <w:lang w:val="en-US" w:eastAsia="zh-CN"/>
                    </w:rPr>
                    <w:t>及废润滑油桶</w:t>
                  </w:r>
                </w:p>
              </w:tc>
              <w:tc>
                <w:tcPr>
                  <w:tcW w:w="580" w:type="pct"/>
                  <w:tcBorders>
                    <w:top w:val="single" w:color="auto" w:sz="12" w:space="0"/>
                    <w:bottom w:val="single" w:color="auto" w:sz="4" w:space="0"/>
                  </w:tcBorders>
                  <w:noWrap w:val="0"/>
                  <w:vAlign w:val="center"/>
                </w:tcPr>
                <w:p w14:paraId="22EDB1E7">
                  <w:pPr>
                    <w:pageBreakBefore w:val="0"/>
                    <w:kinsoku/>
                    <w:bidi w:val="0"/>
                    <w:adjustRightInd w:val="0"/>
                    <w:snapToGrid w:val="0"/>
                    <w:spacing w:beforeAutospacing="0" w:afterAutospacing="0"/>
                    <w:ind w:left="0" w:leftChars="0" w:right="0" w:rightChars="0"/>
                    <w:jc w:val="center"/>
                    <w:rPr>
                      <w:color w:val="auto"/>
                      <w:szCs w:val="21"/>
                      <w:highlight w:val="none"/>
                    </w:rPr>
                  </w:pPr>
                  <w:r>
                    <w:rPr>
                      <w:rFonts w:hint="eastAsia"/>
                      <w:color w:val="auto"/>
                      <w:szCs w:val="21"/>
                      <w:highlight w:val="none"/>
                      <w:lang w:val="en-US" w:eastAsia="zh-CN"/>
                    </w:rPr>
                    <w:t>0.1</w:t>
                  </w:r>
                  <w:r>
                    <w:rPr>
                      <w:color w:val="auto"/>
                      <w:szCs w:val="21"/>
                      <w:highlight w:val="none"/>
                    </w:rPr>
                    <w:t>t/a</w:t>
                  </w:r>
                </w:p>
              </w:tc>
              <w:tc>
                <w:tcPr>
                  <w:tcW w:w="847" w:type="pct"/>
                  <w:tcBorders>
                    <w:top w:val="single" w:color="auto" w:sz="12" w:space="0"/>
                    <w:bottom w:val="single" w:color="auto" w:sz="4" w:space="0"/>
                  </w:tcBorders>
                  <w:noWrap w:val="0"/>
                  <w:vAlign w:val="center"/>
                </w:tcPr>
                <w:p w14:paraId="5699E1D0">
                  <w:pPr>
                    <w:pageBreakBefore w:val="0"/>
                    <w:kinsoku/>
                    <w:bidi w:val="0"/>
                    <w:adjustRightInd w:val="0"/>
                    <w:snapToGrid w:val="0"/>
                    <w:spacing w:beforeAutospacing="0" w:afterAutospacing="0"/>
                    <w:ind w:left="0" w:leftChars="0" w:right="0" w:rightChars="0"/>
                    <w:jc w:val="both"/>
                    <w:rPr>
                      <w:color w:val="auto"/>
                      <w:szCs w:val="21"/>
                      <w:highlight w:val="none"/>
                    </w:rPr>
                  </w:pPr>
                  <w:r>
                    <w:rPr>
                      <w:color w:val="auto"/>
                      <w:szCs w:val="21"/>
                      <w:highlight w:val="none"/>
                    </w:rPr>
                    <w:t>危废暂存间</w:t>
                  </w:r>
                </w:p>
              </w:tc>
              <w:tc>
                <w:tcPr>
                  <w:tcW w:w="690" w:type="pct"/>
                  <w:tcBorders>
                    <w:top w:val="single" w:color="auto" w:sz="12" w:space="0"/>
                    <w:bottom w:val="single" w:color="auto" w:sz="4" w:space="0"/>
                  </w:tcBorders>
                  <w:noWrap w:val="0"/>
                  <w:vAlign w:val="center"/>
                </w:tcPr>
                <w:p w14:paraId="26F9741A">
                  <w:pPr>
                    <w:pageBreakBefore w:val="0"/>
                    <w:kinsoku/>
                    <w:bidi w:val="0"/>
                    <w:adjustRightInd w:val="0"/>
                    <w:snapToGrid w:val="0"/>
                    <w:spacing w:beforeAutospacing="0" w:afterAutospacing="0"/>
                    <w:ind w:left="0" w:leftChars="0" w:right="0" w:rightChars="0"/>
                    <w:jc w:val="both"/>
                    <w:rPr>
                      <w:color w:val="auto"/>
                      <w:szCs w:val="21"/>
                      <w:highlight w:val="none"/>
                    </w:rPr>
                  </w:pPr>
                  <w:r>
                    <w:rPr>
                      <w:color w:val="auto"/>
                      <w:szCs w:val="21"/>
                      <w:highlight w:val="none"/>
                    </w:rPr>
                    <w:t>液态、桶</w:t>
                  </w:r>
                </w:p>
                <w:p w14:paraId="269CE8E6">
                  <w:pPr>
                    <w:pageBreakBefore w:val="0"/>
                    <w:kinsoku/>
                    <w:bidi w:val="0"/>
                    <w:adjustRightInd w:val="0"/>
                    <w:snapToGrid w:val="0"/>
                    <w:spacing w:beforeAutospacing="0" w:afterAutospacing="0"/>
                    <w:ind w:left="0" w:leftChars="0" w:right="0" w:rightChars="0"/>
                    <w:jc w:val="both"/>
                    <w:rPr>
                      <w:color w:val="auto"/>
                      <w:szCs w:val="21"/>
                      <w:highlight w:val="none"/>
                    </w:rPr>
                  </w:pPr>
                  <w:r>
                    <w:rPr>
                      <w:color w:val="auto"/>
                      <w:szCs w:val="21"/>
                      <w:highlight w:val="none"/>
                    </w:rPr>
                    <w:t>装</w:t>
                  </w:r>
                </w:p>
              </w:tc>
              <w:tc>
                <w:tcPr>
                  <w:tcW w:w="711" w:type="pct"/>
                  <w:tcBorders>
                    <w:top w:val="single" w:color="auto" w:sz="12" w:space="0"/>
                    <w:bottom w:val="single" w:color="auto" w:sz="4" w:space="0"/>
                  </w:tcBorders>
                  <w:noWrap w:val="0"/>
                  <w:vAlign w:val="center"/>
                </w:tcPr>
                <w:p w14:paraId="359E53CB">
                  <w:pPr>
                    <w:pageBreakBefore w:val="0"/>
                    <w:kinsoku/>
                    <w:bidi w:val="0"/>
                    <w:adjustRightInd w:val="0"/>
                    <w:snapToGrid w:val="0"/>
                    <w:spacing w:beforeAutospacing="0" w:afterAutospacing="0"/>
                    <w:ind w:left="0" w:leftChars="0" w:right="0" w:rightChars="0"/>
                    <w:jc w:val="both"/>
                    <w:rPr>
                      <w:color w:val="auto"/>
                      <w:szCs w:val="21"/>
                      <w:highlight w:val="none"/>
                    </w:rPr>
                  </w:pPr>
                  <w:r>
                    <w:rPr>
                      <w:color w:val="auto"/>
                      <w:szCs w:val="21"/>
                      <w:highlight w:val="none"/>
                    </w:rPr>
                    <w:t>泄露、火灾</w:t>
                  </w:r>
                </w:p>
              </w:tc>
              <w:tc>
                <w:tcPr>
                  <w:tcW w:w="620" w:type="pct"/>
                  <w:tcBorders>
                    <w:top w:val="single" w:color="auto" w:sz="12" w:space="0"/>
                    <w:bottom w:val="single" w:color="auto" w:sz="4" w:space="0"/>
                  </w:tcBorders>
                  <w:noWrap w:val="0"/>
                  <w:vAlign w:val="center"/>
                </w:tcPr>
                <w:p w14:paraId="0CB7042B">
                  <w:pPr>
                    <w:pageBreakBefore w:val="0"/>
                    <w:kinsoku/>
                    <w:bidi w:val="0"/>
                    <w:adjustRightInd w:val="0"/>
                    <w:snapToGrid w:val="0"/>
                    <w:spacing w:beforeAutospacing="0" w:afterAutospacing="0"/>
                    <w:ind w:left="0" w:leftChars="0" w:right="0" w:rightChars="0"/>
                    <w:jc w:val="both"/>
                    <w:rPr>
                      <w:color w:val="auto"/>
                      <w:szCs w:val="21"/>
                      <w:highlight w:val="none"/>
                    </w:rPr>
                  </w:pPr>
                  <w:r>
                    <w:rPr>
                      <w:color w:val="auto"/>
                      <w:szCs w:val="21"/>
                      <w:highlight w:val="none"/>
                    </w:rPr>
                    <w:t>污染土壤环境与大气环境</w:t>
                  </w:r>
                </w:p>
              </w:tc>
            </w:tr>
            <w:tr w14:paraId="6DD7F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7" w:type="pct"/>
                  <w:tcBorders>
                    <w:top w:val="single" w:color="auto" w:sz="4" w:space="0"/>
                  </w:tcBorders>
                  <w:noWrap w:val="0"/>
                  <w:vAlign w:val="center"/>
                </w:tcPr>
                <w:p w14:paraId="341651B5">
                  <w:pPr>
                    <w:pageBreakBefore w:val="0"/>
                    <w:kinsoku/>
                    <w:bidi w:val="0"/>
                    <w:adjustRightInd w:val="0"/>
                    <w:snapToGrid w:val="0"/>
                    <w:spacing w:beforeAutospacing="0" w:afterAutospacing="0"/>
                    <w:ind w:left="0" w:leftChars="0" w:right="0" w:rightChars="0"/>
                    <w:jc w:val="center"/>
                    <w:rPr>
                      <w:rFonts w:hint="eastAsia" w:eastAsia="宋体"/>
                      <w:color w:val="auto"/>
                      <w:szCs w:val="21"/>
                      <w:highlight w:val="none"/>
                      <w:lang w:val="en-US" w:eastAsia="zh-CN"/>
                    </w:rPr>
                  </w:pPr>
                  <w:r>
                    <w:rPr>
                      <w:rFonts w:hint="eastAsia"/>
                      <w:color w:val="auto"/>
                      <w:szCs w:val="21"/>
                      <w:highlight w:val="none"/>
                      <w:lang w:val="en-US" w:eastAsia="zh-CN"/>
                    </w:rPr>
                    <w:t>2</w:t>
                  </w:r>
                </w:p>
              </w:tc>
              <w:tc>
                <w:tcPr>
                  <w:tcW w:w="701" w:type="pct"/>
                  <w:tcBorders>
                    <w:top w:val="single" w:color="auto" w:sz="4" w:space="0"/>
                  </w:tcBorders>
                  <w:noWrap w:val="0"/>
                  <w:vAlign w:val="center"/>
                </w:tcPr>
                <w:p w14:paraId="2FC77C11">
                  <w:pPr>
                    <w:pageBreakBefore w:val="0"/>
                    <w:kinsoku/>
                    <w:bidi w:val="0"/>
                    <w:adjustRightInd w:val="0"/>
                    <w:snapToGrid w:val="0"/>
                    <w:spacing w:beforeAutospacing="0" w:afterAutospacing="0"/>
                    <w:ind w:left="0" w:leftChars="0" w:right="0" w:rightChars="0"/>
                    <w:jc w:val="both"/>
                    <w:rPr>
                      <w:rFonts w:hint="default" w:eastAsia="宋体"/>
                      <w:color w:val="auto"/>
                      <w:szCs w:val="21"/>
                      <w:highlight w:val="none"/>
                      <w:lang w:val="en-US" w:eastAsia="zh-CN"/>
                    </w:rPr>
                  </w:pPr>
                  <w:r>
                    <w:rPr>
                      <w:rFonts w:hint="eastAsia"/>
                      <w:color w:val="auto"/>
                      <w:szCs w:val="21"/>
                      <w:highlight w:val="none"/>
                      <w:lang w:val="en-US" w:eastAsia="zh-CN"/>
                    </w:rPr>
                    <w:t>天然气槽车</w:t>
                  </w:r>
                </w:p>
              </w:tc>
              <w:tc>
                <w:tcPr>
                  <w:tcW w:w="550" w:type="pct"/>
                  <w:tcBorders>
                    <w:top w:val="single" w:color="auto" w:sz="4" w:space="0"/>
                  </w:tcBorders>
                  <w:noWrap w:val="0"/>
                  <w:vAlign w:val="center"/>
                </w:tcPr>
                <w:p w14:paraId="538AD419">
                  <w:pPr>
                    <w:pageBreakBefore w:val="0"/>
                    <w:kinsoku/>
                    <w:bidi w:val="0"/>
                    <w:adjustRightInd w:val="0"/>
                    <w:snapToGrid w:val="0"/>
                    <w:spacing w:beforeAutospacing="0" w:afterAutospacing="0"/>
                    <w:ind w:left="0" w:leftChars="0" w:right="0" w:rightChars="0"/>
                    <w:jc w:val="both"/>
                    <w:rPr>
                      <w:rFonts w:hint="eastAsia" w:eastAsia="宋体"/>
                      <w:color w:val="auto"/>
                      <w:szCs w:val="21"/>
                      <w:highlight w:val="none"/>
                      <w:lang w:val="en-US" w:eastAsia="zh-CN"/>
                    </w:rPr>
                  </w:pPr>
                  <w:r>
                    <w:rPr>
                      <w:rFonts w:hint="eastAsia"/>
                      <w:color w:val="auto"/>
                      <w:szCs w:val="21"/>
                      <w:highlight w:val="none"/>
                      <w:lang w:val="en-US" w:eastAsia="zh-CN"/>
                    </w:rPr>
                    <w:t>天然气</w:t>
                  </w:r>
                </w:p>
              </w:tc>
              <w:tc>
                <w:tcPr>
                  <w:tcW w:w="580" w:type="pct"/>
                  <w:tcBorders>
                    <w:top w:val="single" w:color="auto" w:sz="4" w:space="0"/>
                  </w:tcBorders>
                  <w:noWrap w:val="0"/>
                  <w:vAlign w:val="center"/>
                </w:tcPr>
                <w:p w14:paraId="378B6EC9">
                  <w:pPr>
                    <w:pageBreakBefore w:val="0"/>
                    <w:kinsoku/>
                    <w:bidi w:val="0"/>
                    <w:adjustRightInd w:val="0"/>
                    <w:snapToGrid w:val="0"/>
                    <w:spacing w:beforeAutospacing="0" w:afterAutospacing="0"/>
                    <w:ind w:left="0" w:leftChars="0" w:right="0" w:rightChars="0"/>
                    <w:jc w:val="center"/>
                    <w:rPr>
                      <w:rFonts w:hint="default"/>
                      <w:color w:val="auto"/>
                      <w:szCs w:val="21"/>
                      <w:highlight w:val="none"/>
                      <w:lang w:val="en-US" w:eastAsia="zh-CN"/>
                    </w:rPr>
                  </w:pPr>
                  <w:r>
                    <w:rPr>
                      <w:rFonts w:hint="eastAsia"/>
                      <w:color w:val="auto"/>
                      <w:szCs w:val="21"/>
                      <w:highlight w:val="none"/>
                      <w:lang w:val="en-US" w:eastAsia="zh-CN"/>
                    </w:rPr>
                    <w:t>4.02t</w:t>
                  </w:r>
                </w:p>
              </w:tc>
              <w:tc>
                <w:tcPr>
                  <w:tcW w:w="847" w:type="pct"/>
                  <w:tcBorders>
                    <w:top w:val="single" w:color="auto" w:sz="4" w:space="0"/>
                  </w:tcBorders>
                  <w:noWrap w:val="0"/>
                  <w:vAlign w:val="center"/>
                </w:tcPr>
                <w:p w14:paraId="758B9EE0">
                  <w:pPr>
                    <w:pageBreakBefore w:val="0"/>
                    <w:kinsoku/>
                    <w:bidi w:val="0"/>
                    <w:adjustRightInd w:val="0"/>
                    <w:snapToGrid w:val="0"/>
                    <w:spacing w:beforeAutospacing="0" w:afterAutospacing="0"/>
                    <w:ind w:left="0" w:leftChars="0" w:right="0" w:rightChars="0"/>
                    <w:jc w:val="both"/>
                    <w:rPr>
                      <w:rFonts w:hint="default" w:eastAsia="宋体"/>
                      <w:color w:val="auto"/>
                      <w:szCs w:val="21"/>
                      <w:highlight w:val="none"/>
                      <w:lang w:val="en-US" w:eastAsia="zh-CN"/>
                    </w:rPr>
                  </w:pPr>
                  <w:r>
                    <w:rPr>
                      <w:rFonts w:hint="eastAsia"/>
                      <w:color w:val="auto"/>
                      <w:szCs w:val="21"/>
                      <w:highlight w:val="none"/>
                      <w:lang w:val="en-US" w:eastAsia="zh-CN"/>
                    </w:rPr>
                    <w:t>天然气槽车</w:t>
                  </w:r>
                </w:p>
              </w:tc>
              <w:tc>
                <w:tcPr>
                  <w:tcW w:w="690" w:type="pct"/>
                  <w:tcBorders>
                    <w:top w:val="single" w:color="auto" w:sz="4" w:space="0"/>
                  </w:tcBorders>
                  <w:noWrap w:val="0"/>
                  <w:vAlign w:val="center"/>
                </w:tcPr>
                <w:p w14:paraId="5C8DEF79">
                  <w:pPr>
                    <w:pageBreakBefore w:val="0"/>
                    <w:kinsoku/>
                    <w:bidi w:val="0"/>
                    <w:adjustRightInd w:val="0"/>
                    <w:snapToGrid w:val="0"/>
                    <w:spacing w:beforeAutospacing="0" w:afterAutospacing="0"/>
                    <w:ind w:left="0" w:leftChars="0" w:right="0" w:rightChars="0"/>
                    <w:jc w:val="center"/>
                    <w:rPr>
                      <w:rFonts w:hint="eastAsia" w:eastAsia="宋体"/>
                      <w:color w:val="auto"/>
                      <w:szCs w:val="21"/>
                      <w:highlight w:val="none"/>
                      <w:lang w:val="en-US" w:eastAsia="zh-CN"/>
                    </w:rPr>
                  </w:pPr>
                  <w:r>
                    <w:rPr>
                      <w:rFonts w:hint="eastAsia"/>
                      <w:color w:val="auto"/>
                      <w:szCs w:val="21"/>
                      <w:highlight w:val="none"/>
                      <w:lang w:val="en-US" w:eastAsia="zh-CN"/>
                    </w:rPr>
                    <w:t>密闭</w:t>
                  </w:r>
                </w:p>
              </w:tc>
              <w:tc>
                <w:tcPr>
                  <w:tcW w:w="711" w:type="pct"/>
                  <w:tcBorders>
                    <w:top w:val="single" w:color="auto" w:sz="4" w:space="0"/>
                  </w:tcBorders>
                  <w:noWrap w:val="0"/>
                  <w:vAlign w:val="center"/>
                </w:tcPr>
                <w:p w14:paraId="5C201B77">
                  <w:pPr>
                    <w:pageBreakBefore w:val="0"/>
                    <w:kinsoku/>
                    <w:bidi w:val="0"/>
                    <w:adjustRightInd w:val="0"/>
                    <w:snapToGrid w:val="0"/>
                    <w:spacing w:beforeAutospacing="0" w:afterAutospacing="0"/>
                    <w:ind w:left="0" w:leftChars="0" w:right="0" w:rightChars="0"/>
                    <w:jc w:val="both"/>
                    <w:rPr>
                      <w:color w:val="auto"/>
                      <w:szCs w:val="21"/>
                      <w:highlight w:val="none"/>
                    </w:rPr>
                  </w:pPr>
                  <w:r>
                    <w:rPr>
                      <w:color w:val="auto"/>
                      <w:szCs w:val="21"/>
                      <w:highlight w:val="none"/>
                    </w:rPr>
                    <w:t>泄露、火灾</w:t>
                  </w:r>
                </w:p>
              </w:tc>
              <w:tc>
                <w:tcPr>
                  <w:tcW w:w="620" w:type="pct"/>
                  <w:tcBorders>
                    <w:top w:val="single" w:color="auto" w:sz="4" w:space="0"/>
                  </w:tcBorders>
                  <w:noWrap w:val="0"/>
                  <w:vAlign w:val="center"/>
                </w:tcPr>
                <w:p w14:paraId="4521D05E">
                  <w:pPr>
                    <w:pageBreakBefore w:val="0"/>
                    <w:kinsoku/>
                    <w:bidi w:val="0"/>
                    <w:adjustRightInd w:val="0"/>
                    <w:snapToGrid w:val="0"/>
                    <w:spacing w:beforeAutospacing="0" w:afterAutospacing="0"/>
                    <w:ind w:left="0" w:leftChars="0" w:right="0" w:rightChars="0"/>
                    <w:jc w:val="both"/>
                    <w:rPr>
                      <w:rFonts w:hint="default" w:eastAsia="宋体"/>
                      <w:color w:val="auto"/>
                      <w:szCs w:val="21"/>
                      <w:highlight w:val="none"/>
                      <w:lang w:val="en-US" w:eastAsia="zh-CN"/>
                    </w:rPr>
                  </w:pPr>
                  <w:r>
                    <w:rPr>
                      <w:rFonts w:hint="eastAsia"/>
                      <w:color w:val="auto"/>
                      <w:szCs w:val="21"/>
                      <w:highlight w:val="none"/>
                      <w:lang w:val="en-US" w:eastAsia="zh-CN"/>
                    </w:rPr>
                    <w:t>造成爆炸</w:t>
                  </w:r>
                </w:p>
              </w:tc>
            </w:tr>
          </w:tbl>
          <w:p w14:paraId="1C3807AD">
            <w:pPr>
              <w:pageBreakBefore w:val="0"/>
              <w:kinsoku/>
              <w:bidi w:val="0"/>
              <w:spacing w:beforeAutospacing="0" w:afterAutospacing="0" w:line="360" w:lineRule="auto"/>
              <w:ind w:left="0" w:leftChars="0" w:right="0" w:rightChars="0" w:firstLine="480" w:firstLineChars="200"/>
              <w:rPr>
                <w:rFonts w:hint="default" w:ascii="Times New Roman" w:hAnsi="Times New Roman" w:cs="Times New Roman"/>
                <w:color w:val="auto"/>
                <w:sz w:val="24"/>
                <w:szCs w:val="32"/>
                <w:highlight w:val="none"/>
              </w:rPr>
            </w:pPr>
            <w:r>
              <w:rPr>
                <w:rFonts w:hint="default" w:ascii="Times New Roman" w:hAnsi="Times New Roman" w:cs="Times New Roman"/>
                <w:color w:val="auto"/>
                <w:sz w:val="24"/>
                <w:szCs w:val="32"/>
                <w:highlight w:val="none"/>
              </w:rPr>
              <w:t>危险废物的运输</w:t>
            </w:r>
          </w:p>
          <w:p w14:paraId="713CFAF9">
            <w:pPr>
              <w:pageBreakBefore w:val="0"/>
              <w:kinsoku/>
              <w:bidi w:val="0"/>
              <w:spacing w:beforeAutospacing="0" w:afterAutospacing="0" w:line="360" w:lineRule="auto"/>
              <w:ind w:left="0" w:leftChars="0" w:right="0" w:righ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危险废物转移过程应按《危险废物转移管理办法》执行。危险废物需按照《危险废物收集、贮存、运输技术规范》(HJ2025-2012)中的要求进行运输。产废单位负责危险废物的收集，第三方运输企业负责运输，在接收危险废物原料时，本项目工作人员和运输单位需协调相关危险废物运输车辆，要求其按照规范要求操作，避免运输途中的污染。</w:t>
            </w:r>
          </w:p>
          <w:p w14:paraId="46A5D83B">
            <w:pPr>
              <w:pageBreakBefore w:val="0"/>
              <w:kinsoku/>
              <w:bidi w:val="0"/>
              <w:spacing w:beforeAutospacing="0" w:afterAutospacing="0" w:line="360" w:lineRule="auto"/>
              <w:ind w:left="0" w:leftChars="0" w:right="0" w:righ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①危险废物运输应由持有危险废物经营许可证的单位按照其许可证的经营范围组织实施，承担危险废物运输的单位应获得交通运输部门颁发的危险货物运输资质。</w:t>
            </w:r>
          </w:p>
          <w:p w14:paraId="37D006F6">
            <w:pPr>
              <w:pageBreakBefore w:val="0"/>
              <w:kinsoku/>
              <w:bidi w:val="0"/>
              <w:spacing w:beforeAutospacing="0" w:afterAutospacing="0" w:line="360" w:lineRule="auto"/>
              <w:ind w:left="0" w:leftChars="0" w:right="0" w:righ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②危险废物运输应执行《道路危险货物运输管理规定》（交通部令[2005年]第9号）。</w:t>
            </w:r>
          </w:p>
          <w:p w14:paraId="3D7AECEA">
            <w:pPr>
              <w:pageBreakBefore w:val="0"/>
              <w:kinsoku/>
              <w:bidi w:val="0"/>
              <w:spacing w:beforeAutospacing="0" w:afterAutospacing="0" w:line="360" w:lineRule="auto"/>
              <w:ind w:left="0" w:leftChars="0" w:right="0" w:rightChars="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③危险废物公路运输时，运输车辆应按GB13392设置车辆标识。</w:t>
            </w:r>
          </w:p>
          <w:p w14:paraId="59A96A3E">
            <w:pPr>
              <w:pageBreakBefore w:val="0"/>
              <w:kinsoku/>
              <w:bidi w:val="0"/>
              <w:spacing w:beforeAutospacing="0" w:afterAutospacing="0" w:line="360" w:lineRule="auto"/>
              <w:ind w:left="0" w:leftChars="0" w:right="0" w:rightChars="0"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④根据《新疆维吾尔自治区危险废物处置利用行业环保准入条件》：危险废物处置利用单位必须有固定的危险废物运输车辆，并在运输车辆安装GPS装置。</w:t>
            </w:r>
          </w:p>
          <w:p w14:paraId="47526B17">
            <w:pPr>
              <w:pStyle w:val="42"/>
              <w:spacing w:line="360" w:lineRule="auto"/>
              <w:ind w:left="0" w:leftChars="0" w:firstLine="480" w:firstLineChars="200"/>
              <w:jc w:val="both"/>
              <w:rPr>
                <w:rFonts w:hint="eastAsia"/>
                <w:bCs/>
                <w:color w:val="auto"/>
                <w:sz w:val="24"/>
                <w:lang w:val="en-US" w:eastAsia="zh-CN"/>
              </w:rPr>
            </w:pPr>
            <w:r>
              <w:rPr>
                <w:rFonts w:hint="default" w:ascii="Times New Roman" w:hAnsi="Times New Roman" w:cs="Times New Roman"/>
                <w:color w:val="auto"/>
                <w:sz w:val="24"/>
                <w:highlight w:val="none"/>
              </w:rPr>
              <w:t>此外，项目危险废物产生、转移、贮存、利用处置等基础数据，需在新疆维吾尔自治区固体废物动态信息管理平台上申报和备案。</w:t>
            </w:r>
          </w:p>
          <w:p w14:paraId="2EAB3654">
            <w:pPr>
              <w:pStyle w:val="42"/>
              <w:spacing w:line="360" w:lineRule="auto"/>
              <w:ind w:left="0" w:leftChars="0" w:firstLine="0" w:firstLineChars="0"/>
              <w:jc w:val="left"/>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6.4环境风险影响分析</w:t>
            </w:r>
          </w:p>
          <w:p w14:paraId="12E5835B">
            <w:pPr>
              <w:pStyle w:val="53"/>
              <w:spacing w:line="360" w:lineRule="auto"/>
              <w:ind w:firstLine="480" w:firstLineChars="200"/>
              <w:rPr>
                <w:rFonts w:hint="default" w:ascii="Times New Roman" w:hAnsi="Times New Roman" w:eastAsia="宋体" w:cs="Times New Roman"/>
                <w:bCs/>
                <w:color w:val="auto"/>
                <w:sz w:val="24"/>
                <w:szCs w:val="24"/>
                <w:lang w:val="en-US" w:eastAsia="zh-CN"/>
              </w:rPr>
            </w:pPr>
            <w:r>
              <w:rPr>
                <w:rFonts w:hint="default" w:ascii="Times New Roman" w:hAnsi="Times New Roman" w:eastAsia="宋体" w:cs="Times New Roman"/>
                <w:bCs/>
                <w:color w:val="auto"/>
                <w:sz w:val="24"/>
                <w:szCs w:val="24"/>
                <w:lang w:eastAsia="zh-CN"/>
              </w:rPr>
              <w:t>（</w:t>
            </w:r>
            <w:r>
              <w:rPr>
                <w:rFonts w:hint="default" w:ascii="Times New Roman" w:hAnsi="Times New Roman" w:eastAsia="宋体" w:cs="Times New Roman"/>
                <w:bCs/>
                <w:color w:val="auto"/>
                <w:sz w:val="24"/>
                <w:szCs w:val="24"/>
                <w:lang w:val="en-US" w:eastAsia="zh-CN"/>
              </w:rPr>
              <w:t>1</w:t>
            </w:r>
            <w:r>
              <w:rPr>
                <w:rFonts w:hint="default" w:ascii="Times New Roman" w:hAnsi="Times New Roman" w:eastAsia="宋体" w:cs="Times New Roman"/>
                <w:bCs/>
                <w:color w:val="auto"/>
                <w:sz w:val="24"/>
                <w:szCs w:val="24"/>
                <w:lang w:eastAsia="zh-CN"/>
              </w:rPr>
              <w:t>）</w:t>
            </w:r>
            <w:r>
              <w:rPr>
                <w:rFonts w:hint="eastAsia" w:ascii="Times New Roman" w:hAnsi="Times New Roman" w:cs="Times New Roman"/>
                <w:bCs/>
                <w:color w:val="auto"/>
                <w:sz w:val="24"/>
                <w:szCs w:val="24"/>
                <w:lang w:val="en-US" w:eastAsia="zh-CN"/>
              </w:rPr>
              <w:t>燃气锅炉</w:t>
            </w:r>
          </w:p>
          <w:p w14:paraId="73205990">
            <w:pPr>
              <w:adjustRightInd w:val="0"/>
              <w:snapToGrid w:val="0"/>
              <w:spacing w:line="360" w:lineRule="auto"/>
              <w:ind w:firstLine="480" w:firstLineChars="200"/>
              <w:rPr>
                <w:color w:val="auto"/>
                <w:kern w:val="0"/>
                <w:sz w:val="24"/>
                <w:lang w:bidi="ar"/>
              </w:rPr>
            </w:pPr>
            <w:r>
              <w:rPr>
                <w:rFonts w:hint="eastAsia"/>
                <w:color w:val="auto"/>
                <w:kern w:val="0"/>
                <w:sz w:val="24"/>
                <w:lang w:val="en-US" w:eastAsia="zh-CN" w:bidi="ar"/>
              </w:rPr>
              <w:t>燃气锅炉</w:t>
            </w:r>
            <w:r>
              <w:rPr>
                <w:color w:val="auto"/>
                <w:kern w:val="0"/>
                <w:sz w:val="24"/>
                <w:lang w:bidi="ar"/>
              </w:rPr>
              <w:t>主要指燃烧器</w:t>
            </w:r>
            <w:r>
              <w:rPr>
                <w:rFonts w:hint="eastAsia"/>
                <w:color w:val="auto"/>
                <w:kern w:val="0"/>
                <w:sz w:val="24"/>
                <w:lang w:bidi="ar"/>
              </w:rPr>
              <w:t>和炉体</w:t>
            </w:r>
            <w:r>
              <w:rPr>
                <w:color w:val="auto"/>
                <w:kern w:val="0"/>
                <w:sz w:val="24"/>
                <w:lang w:bidi="ar"/>
              </w:rPr>
              <w:t>，也包括其他与燃烧过程有关的设备，它的主要作用是将一定数量的可燃气体和空气通入燃烧设备中，通过可燃气体的燃烧将化学能转变为热能，给</w:t>
            </w:r>
            <w:r>
              <w:rPr>
                <w:rFonts w:hint="eastAsia"/>
                <w:color w:val="auto"/>
                <w:kern w:val="0"/>
                <w:sz w:val="24"/>
                <w:lang w:val="en-US" w:eastAsia="zh-CN" w:bidi="ar"/>
              </w:rPr>
              <w:t>燃气锅炉</w:t>
            </w:r>
            <w:r>
              <w:rPr>
                <w:color w:val="auto"/>
                <w:kern w:val="0"/>
                <w:sz w:val="24"/>
                <w:lang w:bidi="ar"/>
              </w:rPr>
              <w:t>提供持续热能。爆炸事故的主要原因有两种，一是炉膛爆炸，另一种是炉体爆炸。</w:t>
            </w:r>
          </w:p>
          <w:p w14:paraId="29DA49E1">
            <w:pPr>
              <w:adjustRightInd w:val="0"/>
              <w:snapToGrid w:val="0"/>
              <w:spacing w:line="360" w:lineRule="auto"/>
              <w:ind w:firstLine="480" w:firstLineChars="200"/>
              <w:rPr>
                <w:color w:val="auto"/>
                <w:kern w:val="0"/>
                <w:sz w:val="24"/>
                <w:lang w:bidi="ar"/>
              </w:rPr>
            </w:pPr>
            <w:r>
              <w:rPr>
                <w:color w:val="auto"/>
                <w:kern w:val="0"/>
                <w:sz w:val="24"/>
                <w:lang w:bidi="ar"/>
              </w:rPr>
              <w:t>1）炉膛爆炸</w:t>
            </w:r>
          </w:p>
          <w:p w14:paraId="14673EE1">
            <w:pPr>
              <w:adjustRightInd w:val="0"/>
              <w:snapToGrid w:val="0"/>
              <w:spacing w:line="360" w:lineRule="auto"/>
              <w:ind w:firstLine="480" w:firstLineChars="200"/>
              <w:rPr>
                <w:color w:val="auto"/>
                <w:kern w:val="0"/>
                <w:sz w:val="24"/>
                <w:lang w:bidi="ar"/>
              </w:rPr>
            </w:pPr>
            <w:r>
              <w:rPr>
                <w:color w:val="auto"/>
                <w:kern w:val="0"/>
                <w:sz w:val="24"/>
                <w:lang w:bidi="ar"/>
              </w:rPr>
              <w:t>炉膛爆炸是由于可燃气体漏入并与空气混合形成爆炸性混合物，这种混合物处在爆炸极限范围时一接触到适当的点火源就会发生爆炸事故。伴随着化学变化，炉内气体压力瞬间剧增，所产生的爆炸力超过结构强度而造成向外爆炸，由于在极短时间内大量能量在有限体积内积聚，造成锅炉炉膛处于非寻常的高压或高温状态，使周围介质发生震动或邻近的物质遭到破坏，炉膛爆炸主要由以下因素造成。</w:t>
            </w:r>
          </w:p>
          <w:p w14:paraId="6CCB059B">
            <w:pPr>
              <w:adjustRightInd w:val="0"/>
              <w:snapToGrid w:val="0"/>
              <w:spacing w:line="360" w:lineRule="auto"/>
              <w:ind w:firstLine="480" w:firstLineChars="200"/>
              <w:rPr>
                <w:color w:val="auto"/>
                <w:kern w:val="0"/>
                <w:sz w:val="24"/>
                <w:lang w:bidi="ar"/>
              </w:rPr>
            </w:pPr>
            <w:r>
              <w:rPr>
                <w:color w:val="auto"/>
                <w:kern w:val="0"/>
                <w:sz w:val="24"/>
                <w:lang w:bidi="ar"/>
              </w:rPr>
              <w:t>2）点火不当</w:t>
            </w:r>
          </w:p>
          <w:p w14:paraId="46953B71">
            <w:pPr>
              <w:adjustRightInd w:val="0"/>
              <w:snapToGrid w:val="0"/>
              <w:spacing w:line="360" w:lineRule="auto"/>
              <w:ind w:firstLine="480" w:firstLineChars="200"/>
              <w:rPr>
                <w:color w:val="auto"/>
                <w:kern w:val="0"/>
                <w:sz w:val="24"/>
                <w:lang w:bidi="ar"/>
              </w:rPr>
            </w:pPr>
            <w:r>
              <w:rPr>
                <w:color w:val="auto"/>
                <w:kern w:val="0"/>
                <w:sz w:val="24"/>
                <w:lang w:bidi="ar"/>
              </w:rPr>
              <w:t>在点火时，如启动操作不当，出现熄火而又未及时切断气源、配气管进行可燃气体吹扫，或吹扫不彻底、打开阀门时喷嘴也点不着火或者被吹灭，或其他可能使炉膛中存积大量高浓度可燃气体并处于爆炸极限范围内的情况，则再次点火时引燃这些可燃气体，引起爆炸。</w:t>
            </w:r>
          </w:p>
          <w:p w14:paraId="03DBE505">
            <w:pPr>
              <w:adjustRightInd w:val="0"/>
              <w:snapToGrid w:val="0"/>
              <w:spacing w:line="360" w:lineRule="auto"/>
              <w:ind w:firstLine="480" w:firstLineChars="200"/>
              <w:rPr>
                <w:color w:val="auto"/>
                <w:kern w:val="0"/>
                <w:sz w:val="24"/>
                <w:lang w:bidi="ar"/>
              </w:rPr>
            </w:pPr>
            <w:r>
              <w:rPr>
                <w:color w:val="auto"/>
                <w:kern w:val="0"/>
                <w:sz w:val="24"/>
                <w:lang w:bidi="ar"/>
              </w:rPr>
              <w:t>3）火焰不稳定而熄灭</w:t>
            </w:r>
          </w:p>
          <w:p w14:paraId="53657F77">
            <w:pPr>
              <w:adjustRightInd w:val="0"/>
              <w:snapToGrid w:val="0"/>
              <w:spacing w:line="360" w:lineRule="auto"/>
              <w:ind w:firstLine="480" w:firstLineChars="200"/>
              <w:rPr>
                <w:color w:val="auto"/>
                <w:kern w:val="0"/>
                <w:sz w:val="24"/>
                <w:lang w:bidi="ar"/>
              </w:rPr>
            </w:pPr>
            <w:r>
              <w:rPr>
                <w:color w:val="auto"/>
                <w:kern w:val="0"/>
                <w:sz w:val="24"/>
                <w:lang w:bidi="ar"/>
              </w:rPr>
              <w:t>如果燃烧器出力过大，火焰就会脱开燃烧器，发生脱火现象；相反出力过小，火焰就会缩回燃烧器内，发生回火现象，使锅炉运行中火焰不稳定而熄灭，由于炉膛呈炽热状态，达到或超过可燃气体与空气混合物的着火温度，且继续进可燃气体时，就有可能立即发生爆炸。</w:t>
            </w:r>
          </w:p>
          <w:p w14:paraId="6A882FAF">
            <w:pPr>
              <w:adjustRightInd w:val="0"/>
              <w:snapToGrid w:val="0"/>
              <w:spacing w:line="360" w:lineRule="auto"/>
              <w:ind w:firstLine="480" w:firstLineChars="200"/>
              <w:rPr>
                <w:color w:val="auto"/>
                <w:kern w:val="0"/>
                <w:sz w:val="24"/>
                <w:lang w:bidi="ar"/>
              </w:rPr>
            </w:pPr>
            <w:r>
              <w:rPr>
                <w:color w:val="auto"/>
                <w:kern w:val="0"/>
                <w:sz w:val="24"/>
                <w:lang w:bidi="ar"/>
              </w:rPr>
              <w:t>4）设备不完善</w:t>
            </w:r>
          </w:p>
          <w:p w14:paraId="58B93ABE">
            <w:pPr>
              <w:adjustRightInd w:val="0"/>
              <w:snapToGrid w:val="0"/>
              <w:spacing w:line="360" w:lineRule="auto"/>
              <w:ind w:firstLine="480" w:firstLineChars="200"/>
              <w:rPr>
                <w:color w:val="auto"/>
                <w:kern w:val="0"/>
                <w:sz w:val="24"/>
                <w:lang w:bidi="ar"/>
              </w:rPr>
            </w:pPr>
            <w:r>
              <w:rPr>
                <w:color w:val="auto"/>
                <w:kern w:val="0"/>
                <w:sz w:val="24"/>
                <w:lang w:bidi="ar"/>
              </w:rPr>
              <w:t>因为阀门漏气，设备不完善，没有点火灭火保护装置和火焰检测装置，可燃气体充满炉内点火发生爆炸。</w:t>
            </w:r>
          </w:p>
          <w:p w14:paraId="25FEDD0A">
            <w:pPr>
              <w:adjustRightInd w:val="0"/>
              <w:snapToGrid w:val="0"/>
              <w:spacing w:line="360" w:lineRule="auto"/>
              <w:ind w:firstLine="480" w:firstLineChars="200"/>
              <w:rPr>
                <w:color w:val="auto"/>
                <w:kern w:val="0"/>
                <w:sz w:val="24"/>
                <w:lang w:bidi="ar"/>
              </w:rPr>
            </w:pPr>
            <w:r>
              <w:rPr>
                <w:color w:val="auto"/>
                <w:kern w:val="0"/>
                <w:sz w:val="24"/>
                <w:lang w:bidi="ar"/>
              </w:rPr>
              <w:t>5）输气管道泄漏</w:t>
            </w:r>
          </w:p>
          <w:p w14:paraId="51ECAF39">
            <w:pPr>
              <w:adjustRightInd w:val="0"/>
              <w:snapToGrid w:val="0"/>
              <w:spacing w:line="360" w:lineRule="auto"/>
              <w:ind w:firstLine="480" w:firstLineChars="200"/>
              <w:rPr>
                <w:color w:val="auto"/>
                <w:kern w:val="0"/>
                <w:sz w:val="24"/>
                <w:lang w:bidi="ar"/>
              </w:rPr>
            </w:pPr>
            <w:r>
              <w:rPr>
                <w:color w:val="auto"/>
                <w:kern w:val="0"/>
                <w:sz w:val="24"/>
                <w:lang w:bidi="ar"/>
              </w:rPr>
              <w:t>由于输气管道，可燃气体消耗量大，有些管道已经存在老化、腐蚀的情况，如不注意管道的维护和检修，在输气过程中容易发生可燃气体泄漏，而造成爆炸事故。</w:t>
            </w:r>
            <w:r>
              <w:rPr>
                <w:rFonts w:hint="eastAsia"/>
                <w:color w:val="auto"/>
                <w:kern w:val="0"/>
                <w:sz w:val="24"/>
                <w:lang w:val="en-US" w:eastAsia="zh-CN" w:bidi="ar"/>
              </w:rPr>
              <w:t>燃气锅炉</w:t>
            </w:r>
            <w:r>
              <w:rPr>
                <w:color w:val="auto"/>
                <w:kern w:val="0"/>
                <w:sz w:val="24"/>
                <w:lang w:bidi="ar"/>
              </w:rPr>
              <w:t>的燃料是天然气。天然气属于易燃易爆的气体，一旦发生天然气泄漏，极易发生爆炸事故。</w:t>
            </w:r>
          </w:p>
          <w:p w14:paraId="07DF45C1">
            <w:pPr>
              <w:adjustRightInd w:val="0"/>
              <w:snapToGrid w:val="0"/>
              <w:spacing w:line="360" w:lineRule="auto"/>
              <w:ind w:firstLine="480" w:firstLineChars="200"/>
              <w:rPr>
                <w:color w:val="auto"/>
                <w:kern w:val="0"/>
                <w:sz w:val="24"/>
                <w:lang w:bidi="ar"/>
              </w:rPr>
            </w:pPr>
            <w:r>
              <w:rPr>
                <w:color w:val="auto"/>
                <w:kern w:val="0"/>
                <w:sz w:val="24"/>
                <w:lang w:bidi="ar"/>
              </w:rPr>
              <w:t>6）操作失误</w:t>
            </w:r>
          </w:p>
          <w:p w14:paraId="7AE55829">
            <w:pPr>
              <w:adjustRightInd w:val="0"/>
              <w:snapToGrid w:val="0"/>
              <w:spacing w:line="360" w:lineRule="auto"/>
              <w:ind w:firstLine="480" w:firstLineChars="200"/>
              <w:rPr>
                <w:color w:val="auto"/>
                <w:kern w:val="0"/>
                <w:sz w:val="24"/>
                <w:lang w:bidi="ar"/>
              </w:rPr>
            </w:pPr>
            <w:r>
              <w:rPr>
                <w:color w:val="auto"/>
                <w:kern w:val="0"/>
                <w:sz w:val="24"/>
                <w:lang w:bidi="ar"/>
              </w:rPr>
              <w:t>在</w:t>
            </w:r>
            <w:r>
              <w:rPr>
                <w:rFonts w:hint="eastAsia"/>
                <w:color w:val="auto"/>
                <w:kern w:val="0"/>
                <w:sz w:val="24"/>
                <w:lang w:val="en-US" w:eastAsia="zh-CN" w:bidi="ar"/>
              </w:rPr>
              <w:t>燃气锅炉</w:t>
            </w:r>
            <w:r>
              <w:rPr>
                <w:color w:val="auto"/>
                <w:kern w:val="0"/>
                <w:sz w:val="24"/>
                <w:lang w:bidi="ar"/>
              </w:rPr>
              <w:t>运行时，有些事故是可以避免的，但事故</w:t>
            </w:r>
            <w:r>
              <w:rPr>
                <w:rFonts w:hint="eastAsia"/>
                <w:color w:val="auto"/>
                <w:kern w:val="0"/>
                <w:sz w:val="24"/>
                <w:lang w:eastAsia="zh-CN" w:bidi="ar"/>
              </w:rPr>
              <w:t>易</w:t>
            </w:r>
            <w:r>
              <w:rPr>
                <w:color w:val="auto"/>
                <w:kern w:val="0"/>
                <w:sz w:val="24"/>
                <w:lang w:bidi="ar"/>
              </w:rPr>
              <w:t>发生了，主要原因是操作人员在锅炉运行时操作不合理，不按照规章制度操作，工作人员安全意识不足，工作不负责任，维护、检修不按规定运行，最终导致事故的发生。</w:t>
            </w:r>
          </w:p>
          <w:p w14:paraId="560253BB">
            <w:pPr>
              <w:pStyle w:val="57"/>
              <w:spacing w:line="360" w:lineRule="auto"/>
              <w:ind w:firstLine="480"/>
              <w:rPr>
                <w:rFonts w:hint="default" w:ascii="Times New Roman" w:hAnsi="Times New Roman" w:eastAsia="宋体" w:cs="Times New Roman"/>
                <w:color w:val="auto"/>
                <w:lang w:val="en-US" w:eastAsia="zh-CN"/>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天然气</w:t>
            </w:r>
          </w:p>
          <w:p w14:paraId="6A0BA34F">
            <w:pPr>
              <w:pStyle w:val="57"/>
              <w:spacing w:line="360" w:lineRule="auto"/>
              <w:ind w:firstLine="480"/>
              <w:rPr>
                <w:rFonts w:ascii="Times New Roman" w:hAnsi="Times New Roman" w:cs="Times New Roman"/>
                <w:color w:val="auto"/>
              </w:rPr>
            </w:pPr>
            <w:r>
              <w:rPr>
                <w:rFonts w:hint="eastAsia" w:ascii="Times New Roman" w:hAnsi="Times New Roman" w:cs="Times New Roman"/>
                <w:color w:val="auto"/>
              </w:rPr>
              <w:t>本工程涉及物质为天然气，主要成分为甲烷，属于清洁能源。运营期间的环境风险主要来自于天然气输气管道、锅炉本体、各控制阀连接部位等泄露、火灾及爆炸。由于天然气的密度比空气轻若意外泄漏，会在空气中挥发掉，不容易产生聚集，引发各类燃气事故的概率相对较小。</w:t>
            </w:r>
          </w:p>
          <w:p w14:paraId="12A105F3">
            <w:pPr>
              <w:pStyle w:val="57"/>
              <w:spacing w:line="360" w:lineRule="auto"/>
              <w:ind w:firstLine="480"/>
              <w:rPr>
                <w:rFonts w:hint="eastAsia" w:ascii="Times New Roman" w:hAnsi="Times New Roman" w:cs="Times New Roman"/>
                <w:color w:val="auto"/>
                <w:sz w:val="24"/>
                <w:lang w:val="en-US" w:eastAsia="zh-CN"/>
              </w:rPr>
            </w:pPr>
            <w:r>
              <w:rPr>
                <w:rFonts w:hint="eastAsia" w:ascii="Times New Roman" w:hAnsi="Times New Roman" w:cs="Times New Roman"/>
                <w:color w:val="auto"/>
              </w:rPr>
              <w:t>天然气发生火灾、爆炸事故后，爆炸产生的冲击波会对一定范围内的人员造成伤亡，以及财物损失。火灾事故发生时，火灾释放物中除完全燃烧产物CO</w:t>
            </w:r>
            <w:r>
              <w:rPr>
                <w:rFonts w:hint="eastAsia" w:ascii="Times New Roman" w:hAnsi="Times New Roman" w:cs="Times New Roman"/>
                <w:color w:val="auto"/>
                <w:vertAlign w:val="subscript"/>
              </w:rPr>
              <w:t>2</w:t>
            </w:r>
            <w:r>
              <w:rPr>
                <w:rFonts w:hint="eastAsia" w:ascii="Times New Roman" w:hAnsi="Times New Roman" w:cs="Times New Roman"/>
                <w:color w:val="auto"/>
              </w:rPr>
              <w:t>外，不完全燃烧部分包括CO、烟尘等。CO为毒性物质，CO经人呼吸进入肺部，被血液吸收后能与体内血红蛋白结合成一氧化碳—血红蛋白。CO与血红蛋白的亲和力比氧与血红蛋白的亲和力要大250倍。一氧化碳—血红蛋白一经形成，离解很慢，容易造成低氧血症，从而导致人体组织缺氧。当大气中的一氧化碳浓度达到70～80ppm以上时，人在接触几小时后，一氧化碳—血红蛋白含量为20%左右时，就会引起中毒；当含量达到60%时，即可因窒息而死亡。一旦发生火灾，其周围环境温度较高，辐射热强烈，热辐射强度与发生火灾的时间成正比，时间越长，热辐射越强。天然气泄漏可能造成人员窒息，引起头痛、头晕、乏力、注意力不集中、呼吸和心跳加速、供给失调，若不及时脱离，可导致窒息死亡。</w:t>
            </w:r>
          </w:p>
          <w:p w14:paraId="2CC135CA">
            <w:pPr>
              <w:spacing w:line="360" w:lineRule="auto"/>
              <w:ind w:firstLine="480" w:firstLineChars="200"/>
              <w:rPr>
                <w:rFonts w:hint="default" w:ascii="Times New Roman" w:hAnsi="Times New Roman" w:cs="Times New Roman"/>
                <w:color w:val="auto"/>
                <w:sz w:val="24"/>
                <w:lang w:val="en-US" w:eastAsia="zh-CN"/>
              </w:rPr>
            </w:pPr>
            <w:r>
              <w:rPr>
                <w:rFonts w:hint="eastAsia" w:ascii="Times New Roman" w:hAnsi="Times New Roman" w:cs="Times New Roman"/>
                <w:color w:val="auto"/>
                <w:sz w:val="24"/>
                <w:lang w:val="en-US" w:eastAsia="zh-CN"/>
              </w:rPr>
              <w:t>（</w:t>
            </w:r>
            <w:r>
              <w:rPr>
                <w:rFonts w:hint="eastAsia" w:cs="Times New Roman"/>
                <w:color w:val="auto"/>
                <w:sz w:val="24"/>
                <w:lang w:val="en-US" w:eastAsia="zh-CN"/>
              </w:rPr>
              <w:t>3</w:t>
            </w:r>
            <w:r>
              <w:rPr>
                <w:rFonts w:hint="eastAsia" w:ascii="Times New Roman" w:hAnsi="Times New Roman" w:cs="Times New Roman"/>
                <w:color w:val="auto"/>
                <w:sz w:val="24"/>
                <w:lang w:val="en-US" w:eastAsia="zh-CN"/>
              </w:rPr>
              <w:t>）废机油</w:t>
            </w:r>
          </w:p>
          <w:p w14:paraId="2B7AF568">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lang w:val="en-US" w:eastAsia="zh-CN"/>
              </w:rPr>
              <w:t>1</w:t>
            </w:r>
            <w:r>
              <w:rPr>
                <w:rFonts w:ascii="Times New Roman" w:hAnsi="Times New Roman" w:cs="Times New Roman"/>
                <w:color w:val="auto"/>
                <w:sz w:val="24"/>
              </w:rPr>
              <w:t>）源项分析</w:t>
            </w:r>
          </w:p>
          <w:p w14:paraId="25BEA849">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rPr>
              <w:t>①</w:t>
            </w:r>
            <w:r>
              <w:rPr>
                <w:rFonts w:ascii="Times New Roman" w:hAnsi="Times New Roman" w:cs="Times New Roman"/>
                <w:color w:val="auto"/>
                <w:sz w:val="24"/>
              </w:rPr>
              <w:t>危废转运过程事故源项分析</w:t>
            </w:r>
          </w:p>
          <w:p w14:paraId="00733200">
            <w:pPr>
              <w:spacing w:line="360" w:lineRule="auto"/>
              <w:ind w:firstLine="480" w:firstLineChars="200"/>
              <w:rPr>
                <w:rFonts w:ascii="Times New Roman" w:hAnsi="Times New Roman" w:cs="Times New Roman"/>
                <w:color w:val="auto"/>
                <w:sz w:val="24"/>
              </w:rPr>
            </w:pPr>
            <w:r>
              <w:rPr>
                <w:rFonts w:hint="eastAsia" w:ascii="Times New Roman" w:hAnsi="Times New Roman" w:cs="Times New Roman"/>
                <w:color w:val="auto"/>
                <w:sz w:val="24"/>
                <w:lang w:val="en-US" w:eastAsia="zh-CN"/>
              </w:rPr>
              <w:t>废机油</w:t>
            </w:r>
            <w:r>
              <w:rPr>
                <w:rFonts w:ascii="Times New Roman" w:hAnsi="Times New Roman" w:cs="Times New Roman"/>
                <w:color w:val="auto"/>
                <w:sz w:val="24"/>
              </w:rPr>
              <w:t>在转运过程中发生意外，容易导致危险废物洒落至地面，并可能进入地表水体，对土壤环境、水环境造成污染。</w:t>
            </w:r>
          </w:p>
          <w:p w14:paraId="07867658">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rPr>
              <w:t>②</w:t>
            </w:r>
            <w:r>
              <w:rPr>
                <w:rFonts w:ascii="Times New Roman" w:hAnsi="Times New Roman" w:cs="Times New Roman"/>
                <w:color w:val="auto"/>
                <w:sz w:val="24"/>
              </w:rPr>
              <w:t>火灾事故源项分析</w:t>
            </w:r>
          </w:p>
          <w:p w14:paraId="0C0F76D8">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本工程</w:t>
            </w:r>
            <w:r>
              <w:rPr>
                <w:rFonts w:hint="default" w:ascii="Times New Roman" w:hAnsi="Times New Roman" w:cs="Times New Roman"/>
                <w:color w:val="auto"/>
                <w:sz w:val="24"/>
              </w:rPr>
              <w:t>中</w:t>
            </w:r>
            <w:r>
              <w:rPr>
                <w:rFonts w:hint="eastAsia" w:ascii="Times New Roman" w:hAnsi="Times New Roman" w:cs="Times New Roman"/>
                <w:color w:val="auto"/>
                <w:sz w:val="24"/>
                <w:lang w:val="en-US" w:eastAsia="zh-CN"/>
              </w:rPr>
              <w:t>废机油</w:t>
            </w:r>
            <w:r>
              <w:rPr>
                <w:rFonts w:ascii="Times New Roman" w:hAnsi="Times New Roman" w:cs="Times New Roman"/>
                <w:color w:val="auto"/>
                <w:sz w:val="24"/>
              </w:rPr>
              <w:t>在</w:t>
            </w:r>
            <w:r>
              <w:rPr>
                <w:rFonts w:hint="default" w:ascii="Times New Roman" w:hAnsi="Times New Roman" w:cs="Times New Roman"/>
                <w:color w:val="auto"/>
                <w:sz w:val="24"/>
              </w:rPr>
              <w:t>场区</w:t>
            </w:r>
            <w:r>
              <w:rPr>
                <w:rFonts w:ascii="Times New Roman" w:hAnsi="Times New Roman" w:cs="Times New Roman"/>
                <w:color w:val="auto"/>
                <w:sz w:val="24"/>
              </w:rPr>
              <w:t>储存过程中如遇到明火容易导致火灾事故，火灾容易导致</w:t>
            </w:r>
            <w:r>
              <w:rPr>
                <w:rFonts w:hint="default" w:ascii="Times New Roman" w:hAnsi="Times New Roman" w:cs="Times New Roman"/>
                <w:color w:val="auto"/>
                <w:sz w:val="24"/>
              </w:rPr>
              <w:t>场区</w:t>
            </w:r>
            <w:r>
              <w:rPr>
                <w:rFonts w:ascii="Times New Roman" w:hAnsi="Times New Roman" w:cs="Times New Roman"/>
                <w:color w:val="auto"/>
                <w:sz w:val="24"/>
              </w:rPr>
              <w:t>周边</w:t>
            </w:r>
            <w:r>
              <w:rPr>
                <w:rFonts w:hint="eastAsia" w:ascii="Times New Roman" w:hAnsi="Times New Roman" w:cs="Times New Roman"/>
                <w:color w:val="auto"/>
                <w:sz w:val="24"/>
                <w:lang w:eastAsia="zh-CN"/>
              </w:rPr>
              <w:t>设施</w:t>
            </w:r>
            <w:r>
              <w:rPr>
                <w:rFonts w:ascii="Times New Roman" w:hAnsi="Times New Roman" w:cs="Times New Roman"/>
                <w:color w:val="auto"/>
                <w:sz w:val="24"/>
              </w:rPr>
              <w:t>起火。</w:t>
            </w:r>
          </w:p>
          <w:p w14:paraId="1EB6FD28">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lang w:val="en-US" w:eastAsia="zh-CN"/>
              </w:rPr>
              <w:t>2</w:t>
            </w:r>
            <w:r>
              <w:rPr>
                <w:rFonts w:ascii="Times New Roman" w:hAnsi="Times New Roman" w:cs="Times New Roman"/>
                <w:color w:val="auto"/>
                <w:sz w:val="24"/>
              </w:rPr>
              <w:t>）后果分析</w:t>
            </w:r>
          </w:p>
          <w:p w14:paraId="52D24FE8">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rPr>
              <w:t>①场区</w:t>
            </w:r>
            <w:r>
              <w:rPr>
                <w:rFonts w:ascii="Times New Roman" w:hAnsi="Times New Roman" w:cs="Times New Roman"/>
                <w:color w:val="auto"/>
                <w:sz w:val="24"/>
              </w:rPr>
              <w:t>泄漏事故后果分析</w:t>
            </w:r>
          </w:p>
          <w:p w14:paraId="0A58F889">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rPr>
              <w:t>本工程</w:t>
            </w:r>
            <w:r>
              <w:rPr>
                <w:rFonts w:hint="eastAsia" w:ascii="Times New Roman" w:hAnsi="Times New Roman" w:cs="Times New Roman"/>
                <w:color w:val="auto"/>
                <w:sz w:val="24"/>
                <w:lang w:val="en-US" w:eastAsia="zh-CN"/>
              </w:rPr>
              <w:t>废机油</w:t>
            </w:r>
            <w:r>
              <w:rPr>
                <w:rFonts w:hint="default" w:ascii="Times New Roman" w:hAnsi="Times New Roman" w:cs="Times New Roman"/>
                <w:color w:val="auto"/>
                <w:sz w:val="24"/>
              </w:rPr>
              <w:t>储存于防腐处理后的危废暂存</w:t>
            </w:r>
            <w:r>
              <w:rPr>
                <w:rFonts w:hint="eastAsia" w:ascii="Times New Roman" w:hAnsi="Times New Roman" w:cs="Times New Roman"/>
                <w:color w:val="auto"/>
                <w:sz w:val="24"/>
                <w:lang w:val="en-US" w:eastAsia="zh-CN"/>
              </w:rPr>
              <w:t>间</w:t>
            </w:r>
            <w:r>
              <w:rPr>
                <w:rFonts w:hint="default" w:ascii="Times New Roman" w:hAnsi="Times New Roman" w:cs="Times New Roman"/>
                <w:color w:val="auto"/>
                <w:sz w:val="24"/>
              </w:rPr>
              <w:t>内，危废暂存</w:t>
            </w:r>
            <w:r>
              <w:rPr>
                <w:rFonts w:hint="eastAsia" w:ascii="Times New Roman" w:hAnsi="Times New Roman" w:cs="Times New Roman"/>
                <w:color w:val="auto"/>
                <w:sz w:val="24"/>
                <w:lang w:val="en-US" w:eastAsia="zh-CN"/>
              </w:rPr>
              <w:t>间</w:t>
            </w:r>
            <w:r>
              <w:rPr>
                <w:rFonts w:hint="default" w:ascii="Times New Roman" w:hAnsi="Times New Roman" w:cs="Times New Roman"/>
                <w:color w:val="auto"/>
                <w:sz w:val="24"/>
              </w:rPr>
              <w:t>地面为P8等级防渗，并且地面有0.5%坡度导向事故收集井。若淋雨后危废暂存</w:t>
            </w:r>
            <w:r>
              <w:rPr>
                <w:rFonts w:hint="eastAsia" w:ascii="Times New Roman" w:hAnsi="Times New Roman" w:cs="Times New Roman"/>
                <w:color w:val="auto"/>
                <w:sz w:val="24"/>
                <w:lang w:val="en-US" w:eastAsia="zh-CN"/>
              </w:rPr>
              <w:t>间</w:t>
            </w:r>
            <w:r>
              <w:rPr>
                <w:rFonts w:hint="default" w:ascii="Times New Roman" w:hAnsi="Times New Roman" w:cs="Times New Roman"/>
                <w:color w:val="auto"/>
                <w:sz w:val="24"/>
              </w:rPr>
              <w:t>内有液体渗出，渗漏液沿地表坡面流入事故</w:t>
            </w:r>
            <w:r>
              <w:rPr>
                <w:rFonts w:hint="eastAsia" w:ascii="Times New Roman" w:hAnsi="Times New Roman" w:cs="Times New Roman"/>
                <w:color w:val="auto"/>
                <w:sz w:val="24"/>
                <w:lang w:val="en-US" w:eastAsia="zh-CN"/>
              </w:rPr>
              <w:t>集液池</w:t>
            </w:r>
            <w:r>
              <w:rPr>
                <w:rFonts w:hint="default" w:ascii="Times New Roman" w:hAnsi="Times New Roman" w:cs="Times New Roman"/>
                <w:color w:val="auto"/>
                <w:sz w:val="24"/>
              </w:rPr>
              <w:t>，随后委托有资质的单位进行处置。</w:t>
            </w:r>
            <w:r>
              <w:rPr>
                <w:rFonts w:hint="eastAsia" w:ascii="Times New Roman" w:hAnsi="Times New Roman" w:cs="Times New Roman"/>
                <w:color w:val="auto"/>
                <w:sz w:val="24"/>
                <w:lang w:val="en-US" w:eastAsia="zh-CN"/>
              </w:rPr>
              <w:t>废机油</w:t>
            </w:r>
            <w:r>
              <w:rPr>
                <w:rFonts w:hint="default" w:ascii="Times New Roman" w:hAnsi="Times New Roman" w:cs="Times New Roman"/>
                <w:color w:val="auto"/>
                <w:sz w:val="24"/>
              </w:rPr>
              <w:t>均不会进入土壤和地下水中，不会对土壤、地下水造成影响。</w:t>
            </w:r>
          </w:p>
          <w:p w14:paraId="2231CE28">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rPr>
              <w:t>②</w:t>
            </w:r>
            <w:r>
              <w:rPr>
                <w:rFonts w:ascii="Times New Roman" w:hAnsi="Times New Roman" w:cs="Times New Roman"/>
                <w:color w:val="auto"/>
                <w:sz w:val="24"/>
              </w:rPr>
              <w:t>危废转运过程事故后果分析</w:t>
            </w:r>
          </w:p>
          <w:p w14:paraId="35E8FDDF">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本</w:t>
            </w:r>
            <w:r>
              <w:rPr>
                <w:rFonts w:hint="eastAsia" w:ascii="Times New Roman" w:hAnsi="Times New Roman" w:cs="Times New Roman"/>
                <w:color w:val="auto"/>
                <w:sz w:val="24"/>
                <w:lang w:val="en-US" w:eastAsia="zh-CN"/>
              </w:rPr>
              <w:t>项目</w:t>
            </w:r>
            <w:r>
              <w:rPr>
                <w:rFonts w:ascii="Times New Roman" w:hAnsi="Times New Roman" w:cs="Times New Roman"/>
                <w:color w:val="auto"/>
                <w:sz w:val="24"/>
              </w:rPr>
              <w:t>涉及的危险废物具有</w:t>
            </w:r>
            <w:r>
              <w:rPr>
                <w:rFonts w:hint="default" w:ascii="Times New Roman" w:hAnsi="Times New Roman" w:cs="Times New Roman"/>
                <w:color w:val="auto"/>
                <w:sz w:val="24"/>
              </w:rPr>
              <w:t>可</w:t>
            </w:r>
            <w:r>
              <w:rPr>
                <w:rFonts w:ascii="Times New Roman" w:hAnsi="Times New Roman" w:cs="Times New Roman"/>
                <w:color w:val="auto"/>
                <w:sz w:val="24"/>
              </w:rPr>
              <w:t>燃性，运输中转时运输路径涉及部分生产区，运输过程中危险废物可能发生洒落，会对周围环境造成影响，给联合站人员带来不便。危险废物外运出库运输过程中发生事故时，车内的危险废物容易洒落至地面或发生泄漏，洒落或泄漏的危险废物对人体、环境均会产生</w:t>
            </w:r>
            <w:r>
              <w:rPr>
                <w:rFonts w:hint="default" w:ascii="Times New Roman" w:hAnsi="Times New Roman" w:cs="Times New Roman"/>
                <w:color w:val="auto"/>
                <w:sz w:val="24"/>
              </w:rPr>
              <w:t>一定</w:t>
            </w:r>
            <w:r>
              <w:rPr>
                <w:rFonts w:ascii="Times New Roman" w:hAnsi="Times New Roman" w:cs="Times New Roman"/>
                <w:color w:val="auto"/>
                <w:sz w:val="24"/>
              </w:rPr>
              <w:t>影响。</w:t>
            </w:r>
          </w:p>
          <w:p w14:paraId="00AAEDBF">
            <w:pPr>
              <w:spacing w:line="360" w:lineRule="auto"/>
              <w:ind w:firstLine="480" w:firstLineChars="200"/>
              <w:rPr>
                <w:rFonts w:ascii="Times New Roman" w:hAnsi="Times New Roman" w:cs="Times New Roman"/>
                <w:color w:val="auto"/>
                <w:sz w:val="24"/>
              </w:rPr>
            </w:pPr>
            <w:r>
              <w:rPr>
                <w:rFonts w:hint="default" w:ascii="Times New Roman" w:hAnsi="Times New Roman" w:cs="Times New Roman"/>
                <w:color w:val="auto"/>
                <w:sz w:val="24"/>
              </w:rPr>
              <w:t>③</w:t>
            </w:r>
            <w:r>
              <w:rPr>
                <w:rFonts w:ascii="Times New Roman" w:hAnsi="Times New Roman" w:cs="Times New Roman"/>
                <w:color w:val="auto"/>
                <w:sz w:val="24"/>
              </w:rPr>
              <w:t>火灾事故后果分析</w:t>
            </w:r>
          </w:p>
          <w:p w14:paraId="76C0059D">
            <w:pPr>
              <w:spacing w:line="360" w:lineRule="auto"/>
              <w:ind w:firstLine="480" w:firstLineChars="200"/>
              <w:rPr>
                <w:rFonts w:ascii="Times New Roman" w:hAnsi="Times New Roman" w:cs="Times New Roman"/>
                <w:color w:val="auto"/>
                <w:sz w:val="24"/>
              </w:rPr>
            </w:pPr>
            <w:r>
              <w:rPr>
                <w:rFonts w:ascii="Times New Roman" w:hAnsi="Times New Roman" w:cs="Times New Roman"/>
                <w:color w:val="auto"/>
                <w:sz w:val="24"/>
              </w:rPr>
              <w:t>在</w:t>
            </w:r>
            <w:r>
              <w:rPr>
                <w:rFonts w:hint="eastAsia" w:ascii="Times New Roman" w:hAnsi="Times New Roman" w:cs="Times New Roman"/>
                <w:color w:val="auto"/>
                <w:sz w:val="24"/>
                <w:lang w:val="en-US" w:eastAsia="zh-CN"/>
              </w:rPr>
              <w:t>危废暂存间贮</w:t>
            </w:r>
            <w:r>
              <w:rPr>
                <w:rFonts w:ascii="Times New Roman" w:hAnsi="Times New Roman" w:cs="Times New Roman"/>
                <w:color w:val="auto"/>
                <w:sz w:val="24"/>
              </w:rPr>
              <w:t>存过程中如遇到明火容易导致火灾事故，容易在</w:t>
            </w:r>
            <w:r>
              <w:rPr>
                <w:rFonts w:hint="default" w:ascii="Times New Roman" w:hAnsi="Times New Roman" w:cs="Times New Roman"/>
                <w:color w:val="auto"/>
                <w:sz w:val="24"/>
              </w:rPr>
              <w:t>危险废物暂存</w:t>
            </w:r>
            <w:r>
              <w:rPr>
                <w:rFonts w:hint="eastAsia" w:ascii="Times New Roman" w:hAnsi="Times New Roman" w:cs="Times New Roman"/>
                <w:color w:val="auto"/>
                <w:sz w:val="24"/>
                <w:lang w:val="en-US" w:eastAsia="zh-CN"/>
              </w:rPr>
              <w:t>间</w:t>
            </w:r>
            <w:r>
              <w:rPr>
                <w:rFonts w:ascii="Times New Roman" w:hAnsi="Times New Roman" w:cs="Times New Roman"/>
                <w:color w:val="auto"/>
                <w:sz w:val="24"/>
              </w:rPr>
              <w:t>形成火池，参照同类型项目火灾影响范围，火灾蔓延涉及</w:t>
            </w:r>
            <w:r>
              <w:rPr>
                <w:rFonts w:hint="default" w:ascii="Times New Roman" w:hAnsi="Times New Roman" w:cs="Times New Roman"/>
                <w:color w:val="auto"/>
                <w:sz w:val="24"/>
              </w:rPr>
              <w:t>危险废物暂存库</w:t>
            </w:r>
            <w:r>
              <w:rPr>
                <w:rFonts w:ascii="Times New Roman" w:hAnsi="Times New Roman" w:cs="Times New Roman"/>
                <w:color w:val="auto"/>
                <w:sz w:val="24"/>
              </w:rPr>
              <w:t>周边20</w:t>
            </w:r>
            <w:r>
              <w:rPr>
                <w:rFonts w:hint="eastAsia" w:ascii="Times New Roman" w:hAnsi="Times New Roman" w:cs="Times New Roman"/>
                <w:color w:val="auto"/>
                <w:sz w:val="24"/>
                <w:lang w:eastAsia="zh-CN"/>
              </w:rPr>
              <w:t>～</w:t>
            </w:r>
            <w:r>
              <w:rPr>
                <w:rFonts w:ascii="Times New Roman" w:hAnsi="Times New Roman" w:cs="Times New Roman"/>
                <w:color w:val="auto"/>
                <w:sz w:val="24"/>
              </w:rPr>
              <w:t>30m范围厂房。</w:t>
            </w:r>
          </w:p>
          <w:p w14:paraId="1169D3A5">
            <w:pPr>
              <w:widowControl w:val="0"/>
              <w:numPr>
                <w:ilvl w:val="0"/>
                <w:numId w:val="0"/>
              </w:numPr>
              <w:tabs>
                <w:tab w:val="left" w:pos="360"/>
              </w:tabs>
              <w:spacing w:line="360" w:lineRule="auto"/>
              <w:jc w:val="both"/>
              <w:rPr>
                <w:rFonts w:hint="default" w:ascii="Times New Roman" w:hAnsi="Times New Roman" w:cs="Times New Roman"/>
                <w:b/>
                <w:bCs/>
                <w:color w:val="auto"/>
                <w:kern w:val="28"/>
                <w:sz w:val="24"/>
                <w:highlight w:val="none"/>
                <w:lang w:val="en-US" w:eastAsia="zh-CN"/>
              </w:rPr>
            </w:pPr>
            <w:r>
              <w:rPr>
                <w:rFonts w:hint="eastAsia" w:ascii="Times New Roman" w:hAnsi="Times New Roman" w:cs="Times New Roman"/>
                <w:b/>
                <w:bCs/>
                <w:color w:val="auto"/>
                <w:kern w:val="28"/>
                <w:sz w:val="24"/>
                <w:highlight w:val="none"/>
                <w:lang w:val="en-US" w:eastAsia="zh-CN"/>
              </w:rPr>
              <w:t>6.5环境风险防控措施</w:t>
            </w:r>
          </w:p>
          <w:p w14:paraId="183617F6">
            <w:pPr>
              <w:spacing w:line="360" w:lineRule="auto"/>
              <w:ind w:firstLine="480" w:firstLineChars="200"/>
              <w:jc w:val="both"/>
              <w:rPr>
                <w:rFonts w:ascii="Times New Roman" w:hAnsi="Times New Roman" w:cs="Times New Roman"/>
                <w:color w:val="auto"/>
                <w:sz w:val="24"/>
              </w:rPr>
            </w:pPr>
            <w:r>
              <w:rPr>
                <w:rFonts w:hint="eastAsia" w:ascii="Times New Roman" w:hAnsi="Times New Roman" w:cs="Times New Roman"/>
                <w:color w:val="auto"/>
                <w:sz w:val="24"/>
              </w:rPr>
              <w:t>①建立完善的安全生产管理制度、操作规范，加强生产工人的安全环保意识，提高工作职工的责任心和工作主动性。提高操作、管理人员的业务的素质，操作人员需定期进行岗位系统培训，孰悉工作岗位责任、规程，加强岗位责任制。</w:t>
            </w:r>
          </w:p>
          <w:p w14:paraId="1054D366">
            <w:pPr>
              <w:spacing w:line="520" w:lineRule="exact"/>
              <w:ind w:firstLine="480" w:firstLineChars="200"/>
              <w:jc w:val="both"/>
              <w:rPr>
                <w:rFonts w:ascii="Times New Roman" w:hAnsi="Times New Roman" w:cs="Times New Roman"/>
                <w:color w:val="auto"/>
                <w:sz w:val="24"/>
              </w:rPr>
            </w:pPr>
            <w:r>
              <w:rPr>
                <w:rFonts w:hint="eastAsia" w:ascii="Times New Roman" w:hAnsi="Times New Roman" w:cs="Times New Roman"/>
                <w:color w:val="auto"/>
                <w:sz w:val="24"/>
              </w:rPr>
              <w:t>②严格遵守开、停车及操作规程，适当对职工进行技术培训。</w:t>
            </w:r>
          </w:p>
          <w:p w14:paraId="74BBE7E6">
            <w:pPr>
              <w:spacing w:line="520" w:lineRule="exact"/>
              <w:ind w:firstLine="480" w:firstLineChars="200"/>
              <w:jc w:val="both"/>
              <w:rPr>
                <w:rFonts w:ascii="Times New Roman" w:hAnsi="Times New Roman" w:cs="Times New Roman"/>
                <w:color w:val="auto"/>
                <w:sz w:val="24"/>
              </w:rPr>
            </w:pPr>
            <w:bookmarkStart w:id="3" w:name="_Hlk77537767"/>
            <w:r>
              <w:rPr>
                <w:rFonts w:hint="eastAsia" w:ascii="Times New Roman" w:hAnsi="Times New Roman" w:cs="Times New Roman"/>
                <w:color w:val="auto"/>
                <w:sz w:val="24"/>
              </w:rPr>
              <w:t>③建设项目在生产车间要严禁烟火；禁止工人在车间吸烟，并设置明显的禁止吸烟标志。在作业现场范围内不得堆放其他无关的易燃易爆物品。</w:t>
            </w:r>
          </w:p>
          <w:p w14:paraId="4CE935B7">
            <w:pPr>
              <w:spacing w:line="520" w:lineRule="exact"/>
              <w:ind w:firstLine="480" w:firstLineChars="200"/>
              <w:jc w:val="both"/>
              <w:rPr>
                <w:rFonts w:ascii="Times New Roman" w:hAnsi="Times New Roman" w:cs="Times New Roman"/>
                <w:color w:val="auto"/>
                <w:sz w:val="24"/>
              </w:rPr>
            </w:pPr>
            <w:r>
              <w:rPr>
                <w:rFonts w:hint="eastAsia" w:ascii="Times New Roman" w:hAnsi="Times New Roman" w:cs="Times New Roman"/>
                <w:color w:val="auto"/>
                <w:sz w:val="24"/>
              </w:rPr>
              <w:t>④厂房必须配备足够数量的灭火装置。根据《关于切实加强风险防范严格环境影响评价管理的通知》（国家环境保护部[2012]98号）、《关于印发&lt;企业事业单位突发环境事件应急预案备案管理办法（试行）&gt;的通知》（环发[2015]4号）等文件中相关规定，制定意外事故的防范措施和应急预案，并向所在地县级以上地方人民政府环境保护行政主管部门备案。</w:t>
            </w:r>
          </w:p>
          <w:p w14:paraId="5DBD0F4F">
            <w:pPr>
              <w:pStyle w:val="42"/>
              <w:ind w:firstLine="482"/>
              <w:jc w:val="both"/>
              <w:rPr>
                <w:color w:val="auto"/>
              </w:rPr>
            </w:pPr>
            <w:bookmarkStart w:id="4" w:name="_Hlk77899567"/>
            <w:bookmarkStart w:id="5" w:name="_Hlk78891719"/>
            <w:r>
              <w:rPr>
                <w:rFonts w:hint="eastAsia"/>
                <w:b/>
                <w:bCs/>
                <w:color w:val="auto"/>
              </w:rPr>
              <w:t>天然气使用防护措施</w:t>
            </w:r>
          </w:p>
          <w:p w14:paraId="0282B5D0">
            <w:p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cs="Times New Roman"/>
                <w:color w:val="auto"/>
                <w:sz w:val="24"/>
              </w:rPr>
              <w:t>⑤天然气输配所采用的各类压力容器设备，必须符合国家质量技术安全规定。</w:t>
            </w:r>
          </w:p>
          <w:p w14:paraId="42F4E76E">
            <w:p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cs="Times New Roman"/>
                <w:color w:val="auto"/>
                <w:sz w:val="24"/>
              </w:rPr>
              <w:t>⑥制定并实施天然气安全管理工作计划；</w:t>
            </w:r>
          </w:p>
          <w:p w14:paraId="12FF2011">
            <w:p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cs="Times New Roman"/>
                <w:color w:val="auto"/>
                <w:sz w:val="24"/>
              </w:rPr>
              <w:t>⑦建立专职检修队伍，对天然气使用设施定期进行检查维护；</w:t>
            </w:r>
          </w:p>
          <w:p w14:paraId="4B0CB175">
            <w:p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cs="Times New Roman"/>
                <w:color w:val="auto"/>
                <w:sz w:val="24"/>
              </w:rPr>
              <w:t>⑧按规定设置天然气设施保护装置和统一明显的安全警示标志；</w:t>
            </w:r>
          </w:p>
          <w:p w14:paraId="5F793BB6">
            <w:p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cs="Times New Roman"/>
                <w:color w:val="auto"/>
                <w:sz w:val="24"/>
              </w:rPr>
              <w:t>⑨安装天然气泄漏报警装置、风向标等，满足消防安全设置要求。</w:t>
            </w:r>
          </w:p>
          <w:bookmarkEnd w:id="3"/>
          <w:bookmarkEnd w:id="4"/>
          <w:p w14:paraId="6364AE09">
            <w:p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cs="Times New Roman"/>
                <w:color w:val="auto"/>
                <w:sz w:val="24"/>
              </w:rPr>
              <w:t>对于重大或不可接受的风险（主要是物料严重泄漏、火灾爆炸造成重大人员伤害等），制定应急响应方案，建立应急反应体系，当事件一旦发生时可迅速加以控制，使危害和损失降低到尽可能低的程度。</w:t>
            </w:r>
          </w:p>
          <w:bookmarkEnd w:id="5"/>
          <w:p w14:paraId="01C9EBBA">
            <w:pPr>
              <w:spacing w:line="520" w:lineRule="exact"/>
              <w:ind w:firstLine="480" w:firstLineChars="200"/>
              <w:jc w:val="both"/>
              <w:rPr>
                <w:rFonts w:hint="eastAsia" w:ascii="Times New Roman" w:hAnsi="Times New Roman" w:cs="Times New Roman"/>
                <w:color w:val="auto"/>
                <w:sz w:val="24"/>
              </w:rPr>
            </w:pPr>
            <w:r>
              <w:rPr>
                <w:rFonts w:hint="eastAsia" w:ascii="Times New Roman" w:hAnsi="Times New Roman" w:cs="Times New Roman"/>
                <w:color w:val="auto"/>
                <w:sz w:val="24"/>
              </w:rPr>
              <w:t>作为事故风险防范和应急对策的重要组成部分，应急组织机构应制定应急计划，其基本内容应包括应急组织、应急设施（设备器材）、应急通讯联络、应急监测、应急安全保卫、应急撤离措施、应急救援、应急状态终止、事故后果评价、应急报告等。</w:t>
            </w:r>
          </w:p>
          <w:p w14:paraId="4CAA6068">
            <w:pPr>
              <w:widowControl w:val="0"/>
              <w:numPr>
                <w:ilvl w:val="0"/>
                <w:numId w:val="0"/>
              </w:numPr>
              <w:tabs>
                <w:tab w:val="left" w:pos="360"/>
              </w:tabs>
              <w:spacing w:line="360" w:lineRule="auto"/>
              <w:jc w:val="both"/>
              <w:rPr>
                <w:rFonts w:hint="default" w:ascii="Times New Roman" w:hAnsi="Times New Roman" w:cs="Times New Roman"/>
                <w:b/>
                <w:bCs/>
                <w:color w:val="auto"/>
                <w:kern w:val="28"/>
                <w:sz w:val="24"/>
                <w:highlight w:val="none"/>
                <w:lang w:val="en-US" w:eastAsia="zh-CN"/>
              </w:rPr>
            </w:pPr>
            <w:r>
              <w:rPr>
                <w:rFonts w:hint="eastAsia" w:ascii="Times New Roman" w:hAnsi="Times New Roman" w:cs="Times New Roman"/>
                <w:b/>
                <w:bCs/>
                <w:color w:val="auto"/>
                <w:kern w:val="28"/>
                <w:sz w:val="24"/>
                <w:highlight w:val="none"/>
                <w:lang w:val="en-US" w:eastAsia="zh-CN"/>
              </w:rPr>
              <w:t>6.6突发环境风险事故应急对策和方案</w:t>
            </w:r>
          </w:p>
          <w:p w14:paraId="3F2E030D">
            <w:pPr>
              <w:pStyle w:val="49"/>
              <w:adjustRightInd w:val="0"/>
              <w:snapToGrid w:val="0"/>
              <w:ind w:firstLine="480"/>
              <w:jc w:val="both"/>
              <w:rPr>
                <w:color w:val="auto"/>
              </w:rPr>
            </w:pPr>
            <w:r>
              <w:rPr>
                <w:color w:val="auto"/>
              </w:rPr>
              <w:t>针对以上的分析，建设单位在项目实施后应该建立相应的环境风险事故应急预案。应急预案所要求的基本内容可参照表表中的相关内容。</w:t>
            </w:r>
          </w:p>
          <w:p w14:paraId="0B140F3D">
            <w:pPr>
              <w:pStyle w:val="51"/>
              <w:rPr>
                <w:color w:val="auto"/>
              </w:rPr>
            </w:pPr>
            <w:r>
              <w:rPr>
                <w:rFonts w:hint="eastAsia"/>
                <w:color w:val="auto"/>
              </w:rPr>
              <w:t>表4</w:t>
            </w:r>
            <w:r>
              <w:rPr>
                <w:color w:val="auto"/>
              </w:rPr>
              <w:t>-</w:t>
            </w:r>
            <w:r>
              <w:rPr>
                <w:rFonts w:hint="eastAsia"/>
                <w:color w:val="auto"/>
                <w:lang w:val="en-US" w:eastAsia="zh-CN"/>
              </w:rPr>
              <w:t>21</w:t>
            </w:r>
            <w:r>
              <w:rPr>
                <w:color w:val="auto"/>
              </w:rPr>
              <w:t xml:space="preserve">  </w:t>
            </w:r>
            <w:r>
              <w:rPr>
                <w:rFonts w:hint="eastAsia"/>
                <w:color w:val="auto"/>
              </w:rPr>
              <w:t>本项目环境风险应急预案内容一览表</w:t>
            </w:r>
          </w:p>
          <w:tbl>
            <w:tblPr>
              <w:tblStyle w:val="23"/>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4"/>
              <w:gridCol w:w="1647"/>
              <w:gridCol w:w="5640"/>
            </w:tblGrid>
            <w:tr w14:paraId="459C0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44" w:type="dxa"/>
                  <w:tcBorders>
                    <w:top w:val="single" w:color="000000" w:sz="12" w:space="0"/>
                    <w:left w:val="nil"/>
                    <w:bottom w:val="single" w:color="000000" w:sz="12" w:space="0"/>
                  </w:tcBorders>
                  <w:shd w:val="clear" w:color="auto" w:fill="auto"/>
                  <w:vAlign w:val="center"/>
                </w:tcPr>
                <w:p w14:paraId="326F64D2">
                  <w:pPr>
                    <w:pStyle w:val="52"/>
                    <w:ind w:left="0" w:leftChars="0" w:firstLine="0" w:firstLineChars="0"/>
                    <w:jc w:val="center"/>
                    <w:rPr>
                      <w:color w:val="auto"/>
                    </w:rPr>
                  </w:pPr>
                  <w:r>
                    <w:rPr>
                      <w:rFonts w:hint="eastAsia"/>
                      <w:color w:val="auto"/>
                    </w:rPr>
                    <w:t>序号</w:t>
                  </w:r>
                </w:p>
              </w:tc>
              <w:tc>
                <w:tcPr>
                  <w:tcW w:w="1647" w:type="dxa"/>
                  <w:tcBorders>
                    <w:top w:val="single" w:color="000000" w:sz="12" w:space="0"/>
                    <w:bottom w:val="single" w:color="000000" w:sz="12" w:space="0"/>
                  </w:tcBorders>
                  <w:shd w:val="clear" w:color="auto" w:fill="auto"/>
                  <w:vAlign w:val="center"/>
                </w:tcPr>
                <w:p w14:paraId="6F4F0904">
                  <w:pPr>
                    <w:pStyle w:val="52"/>
                    <w:ind w:left="0" w:leftChars="0" w:firstLine="0" w:firstLineChars="0"/>
                    <w:jc w:val="center"/>
                    <w:rPr>
                      <w:color w:val="auto"/>
                    </w:rPr>
                  </w:pPr>
                  <w:r>
                    <w:rPr>
                      <w:rFonts w:hint="eastAsia"/>
                      <w:color w:val="auto"/>
                    </w:rPr>
                    <w:t>项目</w:t>
                  </w:r>
                </w:p>
              </w:tc>
              <w:tc>
                <w:tcPr>
                  <w:tcW w:w="5640" w:type="dxa"/>
                  <w:tcBorders>
                    <w:top w:val="single" w:color="000000" w:sz="12" w:space="0"/>
                    <w:bottom w:val="single" w:color="000000" w:sz="12" w:space="0"/>
                    <w:right w:val="nil"/>
                  </w:tcBorders>
                  <w:shd w:val="clear" w:color="auto" w:fill="auto"/>
                  <w:vAlign w:val="center"/>
                </w:tcPr>
                <w:p w14:paraId="4A22A68F">
                  <w:pPr>
                    <w:pStyle w:val="52"/>
                    <w:ind w:left="0" w:leftChars="0" w:firstLine="0" w:firstLineChars="0"/>
                    <w:jc w:val="center"/>
                    <w:rPr>
                      <w:color w:val="auto"/>
                    </w:rPr>
                  </w:pPr>
                  <w:r>
                    <w:rPr>
                      <w:rFonts w:hint="eastAsia"/>
                      <w:color w:val="auto"/>
                    </w:rPr>
                    <w:t>主要内容</w:t>
                  </w:r>
                </w:p>
              </w:tc>
            </w:tr>
            <w:tr w14:paraId="1E62B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top w:val="single" w:color="000000" w:sz="12" w:space="0"/>
                    <w:left w:val="nil"/>
                  </w:tcBorders>
                  <w:shd w:val="clear" w:color="auto" w:fill="auto"/>
                  <w:vAlign w:val="center"/>
                </w:tcPr>
                <w:p w14:paraId="6F31D3C7">
                  <w:pPr>
                    <w:pStyle w:val="52"/>
                    <w:ind w:left="0" w:leftChars="0" w:firstLine="0" w:firstLineChars="0"/>
                    <w:jc w:val="center"/>
                    <w:rPr>
                      <w:color w:val="auto"/>
                    </w:rPr>
                  </w:pPr>
                  <w:r>
                    <w:rPr>
                      <w:rFonts w:hint="eastAsia"/>
                      <w:color w:val="auto"/>
                    </w:rPr>
                    <w:t>1</w:t>
                  </w:r>
                </w:p>
              </w:tc>
              <w:tc>
                <w:tcPr>
                  <w:tcW w:w="1647" w:type="dxa"/>
                  <w:tcBorders>
                    <w:top w:val="single" w:color="000000" w:sz="12" w:space="0"/>
                  </w:tcBorders>
                  <w:shd w:val="clear" w:color="auto" w:fill="auto"/>
                  <w:vAlign w:val="center"/>
                </w:tcPr>
                <w:p w14:paraId="19EC72E9">
                  <w:pPr>
                    <w:pStyle w:val="52"/>
                    <w:ind w:left="0" w:leftChars="0" w:firstLine="0" w:firstLineChars="0"/>
                    <w:jc w:val="center"/>
                    <w:rPr>
                      <w:color w:val="auto"/>
                    </w:rPr>
                  </w:pPr>
                  <w:r>
                    <w:rPr>
                      <w:rFonts w:hint="eastAsia"/>
                      <w:color w:val="auto"/>
                    </w:rPr>
                    <w:t>应急计划区</w:t>
                  </w:r>
                </w:p>
              </w:tc>
              <w:tc>
                <w:tcPr>
                  <w:tcW w:w="5640" w:type="dxa"/>
                  <w:tcBorders>
                    <w:top w:val="single" w:color="000000" w:sz="12" w:space="0"/>
                    <w:right w:val="nil"/>
                  </w:tcBorders>
                  <w:shd w:val="clear" w:color="auto" w:fill="auto"/>
                  <w:vAlign w:val="center"/>
                </w:tcPr>
                <w:p w14:paraId="7C1F5961">
                  <w:pPr>
                    <w:pStyle w:val="52"/>
                    <w:ind w:left="0" w:leftChars="0" w:firstLine="0" w:firstLineChars="0"/>
                    <w:jc w:val="both"/>
                    <w:rPr>
                      <w:color w:val="auto"/>
                    </w:rPr>
                  </w:pPr>
                  <w:r>
                    <w:rPr>
                      <w:rFonts w:hint="eastAsia"/>
                      <w:color w:val="auto"/>
                    </w:rPr>
                    <w:t>主要危险源：天然气罐车、储存区、库房、相关环保设施等；环境保护目标</w:t>
                  </w:r>
                </w:p>
              </w:tc>
            </w:tr>
            <w:tr w14:paraId="77F89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44FA7E71">
                  <w:pPr>
                    <w:pStyle w:val="52"/>
                    <w:ind w:left="0" w:leftChars="0" w:firstLine="0" w:firstLineChars="0"/>
                    <w:jc w:val="center"/>
                    <w:rPr>
                      <w:color w:val="auto"/>
                    </w:rPr>
                  </w:pPr>
                  <w:r>
                    <w:rPr>
                      <w:rFonts w:hint="eastAsia"/>
                      <w:color w:val="auto"/>
                    </w:rPr>
                    <w:t>2</w:t>
                  </w:r>
                </w:p>
              </w:tc>
              <w:tc>
                <w:tcPr>
                  <w:tcW w:w="1647" w:type="dxa"/>
                  <w:shd w:val="clear" w:color="auto" w:fill="auto"/>
                  <w:vAlign w:val="center"/>
                </w:tcPr>
                <w:p w14:paraId="71DB3C9D">
                  <w:pPr>
                    <w:pStyle w:val="52"/>
                    <w:ind w:left="0" w:leftChars="0" w:firstLine="0" w:firstLineChars="0"/>
                    <w:jc w:val="center"/>
                    <w:rPr>
                      <w:color w:val="auto"/>
                    </w:rPr>
                  </w:pPr>
                  <w:r>
                    <w:rPr>
                      <w:rFonts w:hint="eastAsia"/>
                      <w:color w:val="auto"/>
                    </w:rPr>
                    <w:t>应急组织结构</w:t>
                  </w:r>
                </w:p>
              </w:tc>
              <w:tc>
                <w:tcPr>
                  <w:tcW w:w="5640" w:type="dxa"/>
                  <w:tcBorders>
                    <w:right w:val="nil"/>
                  </w:tcBorders>
                  <w:shd w:val="clear" w:color="auto" w:fill="auto"/>
                  <w:vAlign w:val="center"/>
                </w:tcPr>
                <w:p w14:paraId="6BB022A8">
                  <w:pPr>
                    <w:pStyle w:val="52"/>
                    <w:ind w:left="0" w:leftChars="0" w:firstLine="0" w:firstLineChars="0"/>
                    <w:jc w:val="both"/>
                    <w:rPr>
                      <w:rFonts w:ascii="宋体" w:hAnsi="宋体" w:cs="宋体"/>
                      <w:color w:val="auto"/>
                      <w:kern w:val="0"/>
                      <w:sz w:val="24"/>
                    </w:rPr>
                  </w:pPr>
                  <w:r>
                    <w:rPr>
                      <w:rFonts w:hint="eastAsia" w:ascii="宋体" w:hAnsi="宋体" w:cs="宋体"/>
                      <w:color w:val="auto"/>
                      <w:kern w:val="0"/>
                    </w:rPr>
                    <w:t>公司设置应急组织机构，经理为应急计划、协调第一人，应急人员必须为培训上岗熟练工；区域应急组织结构由当地政府、相关行业专家、卫生安全相关单位组成，并由当地政府进行统一调度。</w:t>
                  </w:r>
                </w:p>
              </w:tc>
            </w:tr>
            <w:tr w14:paraId="303DF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7426621D">
                  <w:pPr>
                    <w:pStyle w:val="52"/>
                    <w:ind w:left="0" w:leftChars="0" w:firstLine="0" w:firstLineChars="0"/>
                    <w:jc w:val="center"/>
                    <w:rPr>
                      <w:color w:val="auto"/>
                    </w:rPr>
                  </w:pPr>
                  <w:r>
                    <w:rPr>
                      <w:rFonts w:hint="eastAsia"/>
                      <w:color w:val="auto"/>
                    </w:rPr>
                    <w:t>3</w:t>
                  </w:r>
                </w:p>
              </w:tc>
              <w:tc>
                <w:tcPr>
                  <w:tcW w:w="1647" w:type="dxa"/>
                  <w:shd w:val="clear" w:color="auto" w:fill="auto"/>
                  <w:vAlign w:val="center"/>
                </w:tcPr>
                <w:p w14:paraId="5E555513">
                  <w:pPr>
                    <w:pStyle w:val="52"/>
                    <w:ind w:left="0" w:leftChars="0" w:firstLine="0" w:firstLineChars="0"/>
                    <w:jc w:val="both"/>
                    <w:rPr>
                      <w:color w:val="auto"/>
                    </w:rPr>
                  </w:pPr>
                  <w:r>
                    <w:rPr>
                      <w:rFonts w:hint="eastAsia" w:ascii="宋体" w:hAnsi="宋体" w:cs="宋体"/>
                      <w:color w:val="auto"/>
                      <w:kern w:val="0"/>
                    </w:rPr>
                    <w:t>预案分级响应条件</w:t>
                  </w:r>
                </w:p>
              </w:tc>
              <w:tc>
                <w:tcPr>
                  <w:tcW w:w="5640" w:type="dxa"/>
                  <w:tcBorders>
                    <w:right w:val="nil"/>
                  </w:tcBorders>
                  <w:shd w:val="clear" w:color="auto" w:fill="auto"/>
                  <w:vAlign w:val="center"/>
                </w:tcPr>
                <w:p w14:paraId="1535055B">
                  <w:pPr>
                    <w:pStyle w:val="52"/>
                    <w:ind w:left="0" w:leftChars="0" w:firstLine="0" w:firstLineChars="0"/>
                    <w:jc w:val="both"/>
                    <w:rPr>
                      <w:rFonts w:ascii="宋体" w:hAnsi="宋体" w:cs="宋体"/>
                      <w:color w:val="auto"/>
                      <w:kern w:val="0"/>
                      <w:sz w:val="24"/>
                    </w:rPr>
                  </w:pPr>
                  <w:r>
                    <w:rPr>
                      <w:rFonts w:hint="eastAsia" w:ascii="宋体" w:hAnsi="宋体" w:cs="宋体"/>
                      <w:color w:val="auto"/>
                      <w:kern w:val="0"/>
                    </w:rPr>
                    <w:t>根据事故的严重程度制定相应级别的应急预案，以及适合相应情况的处理措施。</w:t>
                  </w:r>
                </w:p>
              </w:tc>
            </w:tr>
            <w:tr w14:paraId="68E05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4C62E12F">
                  <w:pPr>
                    <w:pStyle w:val="52"/>
                    <w:ind w:left="0" w:leftChars="0" w:firstLine="0" w:firstLineChars="0"/>
                    <w:jc w:val="center"/>
                    <w:rPr>
                      <w:color w:val="auto"/>
                    </w:rPr>
                  </w:pPr>
                  <w:r>
                    <w:rPr>
                      <w:rFonts w:hint="eastAsia"/>
                      <w:color w:val="auto"/>
                    </w:rPr>
                    <w:t>4</w:t>
                  </w:r>
                </w:p>
              </w:tc>
              <w:tc>
                <w:tcPr>
                  <w:tcW w:w="1647" w:type="dxa"/>
                  <w:shd w:val="clear" w:color="auto" w:fill="auto"/>
                  <w:vAlign w:val="center"/>
                </w:tcPr>
                <w:p w14:paraId="4252B29F">
                  <w:pPr>
                    <w:pStyle w:val="52"/>
                    <w:ind w:left="0" w:leftChars="0" w:firstLine="0" w:firstLineChars="0"/>
                    <w:jc w:val="both"/>
                    <w:rPr>
                      <w:color w:val="auto"/>
                    </w:rPr>
                  </w:pPr>
                  <w:r>
                    <w:rPr>
                      <w:rFonts w:hint="eastAsia" w:ascii="宋体" w:hAnsi="宋体" w:cs="宋体"/>
                      <w:color w:val="auto"/>
                      <w:kern w:val="0"/>
                    </w:rPr>
                    <w:t>报警、通讯联络方式</w:t>
                  </w:r>
                </w:p>
              </w:tc>
              <w:tc>
                <w:tcPr>
                  <w:tcW w:w="5640" w:type="dxa"/>
                  <w:tcBorders>
                    <w:right w:val="nil"/>
                  </w:tcBorders>
                  <w:shd w:val="clear" w:color="auto" w:fill="auto"/>
                  <w:vAlign w:val="center"/>
                </w:tcPr>
                <w:p w14:paraId="443A5878">
                  <w:pPr>
                    <w:pStyle w:val="52"/>
                    <w:ind w:left="0" w:leftChars="0" w:firstLine="0" w:firstLineChars="0"/>
                    <w:jc w:val="both"/>
                    <w:rPr>
                      <w:color w:val="auto"/>
                    </w:rPr>
                  </w:pPr>
                  <w:r>
                    <w:rPr>
                      <w:rFonts w:hint="eastAsia" w:ascii="宋体" w:hAnsi="宋体" w:cs="宋体"/>
                      <w:color w:val="auto"/>
                      <w:kern w:val="0"/>
                    </w:rPr>
                    <w:t>逐一细化应急状态下各主要负责部门的报警通讯方式、地点、电话号码以及相关配套的交通保障、管制、消防联络方法，涉及跨区域的还应与相关区域环境保护部门和上级环保部门保持联系，及时通报事故处理情况，以获得区域性支援。</w:t>
                  </w:r>
                </w:p>
              </w:tc>
            </w:tr>
            <w:tr w14:paraId="01380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59E9DDEE">
                  <w:pPr>
                    <w:pStyle w:val="52"/>
                    <w:ind w:left="0" w:leftChars="0" w:firstLine="0" w:firstLineChars="0"/>
                    <w:jc w:val="center"/>
                    <w:rPr>
                      <w:color w:val="auto"/>
                    </w:rPr>
                  </w:pPr>
                  <w:r>
                    <w:rPr>
                      <w:rFonts w:hint="eastAsia"/>
                      <w:color w:val="auto"/>
                    </w:rPr>
                    <w:t>5</w:t>
                  </w:r>
                </w:p>
              </w:tc>
              <w:tc>
                <w:tcPr>
                  <w:tcW w:w="1647" w:type="dxa"/>
                  <w:shd w:val="clear" w:color="auto" w:fill="auto"/>
                  <w:vAlign w:val="center"/>
                </w:tcPr>
                <w:p w14:paraId="35BB9D6B">
                  <w:pPr>
                    <w:pStyle w:val="52"/>
                    <w:ind w:left="0" w:leftChars="0" w:firstLine="0" w:firstLineChars="0"/>
                    <w:jc w:val="center"/>
                    <w:rPr>
                      <w:color w:val="auto"/>
                    </w:rPr>
                  </w:pPr>
                  <w:r>
                    <w:rPr>
                      <w:rFonts w:hint="eastAsia"/>
                      <w:color w:val="auto"/>
                    </w:rPr>
                    <w:t>应急环境监测</w:t>
                  </w:r>
                </w:p>
              </w:tc>
              <w:tc>
                <w:tcPr>
                  <w:tcW w:w="5640" w:type="dxa"/>
                  <w:tcBorders>
                    <w:right w:val="nil"/>
                  </w:tcBorders>
                  <w:shd w:val="clear" w:color="auto" w:fill="auto"/>
                  <w:vAlign w:val="center"/>
                </w:tcPr>
                <w:p w14:paraId="652DDEA7">
                  <w:pPr>
                    <w:pStyle w:val="52"/>
                    <w:ind w:left="0" w:leftChars="0" w:firstLine="0" w:firstLineChars="0"/>
                    <w:jc w:val="both"/>
                    <w:rPr>
                      <w:color w:val="auto"/>
                    </w:rPr>
                  </w:pPr>
                  <w:r>
                    <w:rPr>
                      <w:rFonts w:hint="eastAsia" w:ascii="宋体" w:hAnsi="宋体" w:cs="宋体"/>
                      <w:color w:val="auto"/>
                      <w:kern w:val="0"/>
                    </w:rPr>
                    <w:t>组织专业队伍负责对事故现场进行侦察监测，对事故性质、参数与后果进行评估，专为指挥部门提供决策依据。</w:t>
                  </w:r>
                </w:p>
              </w:tc>
            </w:tr>
            <w:tr w14:paraId="772BB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2715AC85">
                  <w:pPr>
                    <w:pStyle w:val="52"/>
                    <w:ind w:left="0" w:leftChars="0" w:firstLine="0" w:firstLineChars="0"/>
                    <w:jc w:val="center"/>
                    <w:rPr>
                      <w:rFonts w:hint="eastAsia" w:eastAsia="宋体"/>
                      <w:color w:val="auto"/>
                      <w:lang w:val="en-US" w:eastAsia="zh-CN"/>
                    </w:rPr>
                  </w:pPr>
                  <w:r>
                    <w:rPr>
                      <w:rFonts w:hint="eastAsia"/>
                      <w:color w:val="auto"/>
                      <w:lang w:val="en-US" w:eastAsia="zh-CN"/>
                    </w:rPr>
                    <w:t>6</w:t>
                  </w:r>
                </w:p>
              </w:tc>
              <w:tc>
                <w:tcPr>
                  <w:tcW w:w="1647" w:type="dxa"/>
                  <w:shd w:val="clear" w:color="auto" w:fill="auto"/>
                  <w:vAlign w:val="center"/>
                </w:tcPr>
                <w:p w14:paraId="0753D488">
                  <w:pPr>
                    <w:pStyle w:val="52"/>
                    <w:ind w:left="0" w:leftChars="0" w:firstLine="0" w:firstLineChars="0"/>
                    <w:jc w:val="both"/>
                    <w:rPr>
                      <w:color w:val="auto"/>
                    </w:rPr>
                  </w:pPr>
                  <w:r>
                    <w:rPr>
                      <w:rFonts w:hint="eastAsia" w:ascii="宋体" w:hAnsi="宋体" w:cs="宋体"/>
                      <w:color w:val="auto"/>
                      <w:kern w:val="0"/>
                    </w:rPr>
                    <w:t>抢险、救援控制措施</w:t>
                  </w:r>
                </w:p>
              </w:tc>
              <w:tc>
                <w:tcPr>
                  <w:tcW w:w="5640" w:type="dxa"/>
                  <w:tcBorders>
                    <w:right w:val="nil"/>
                  </w:tcBorders>
                  <w:shd w:val="clear" w:color="auto" w:fill="auto"/>
                  <w:vAlign w:val="center"/>
                </w:tcPr>
                <w:p w14:paraId="69B608F8">
                  <w:pPr>
                    <w:pStyle w:val="52"/>
                    <w:ind w:left="0" w:leftChars="0" w:firstLine="0" w:firstLineChars="0"/>
                    <w:jc w:val="both"/>
                    <w:rPr>
                      <w:color w:val="auto"/>
                    </w:rPr>
                  </w:pPr>
                  <w:r>
                    <w:rPr>
                      <w:rFonts w:hint="eastAsia" w:ascii="宋体" w:hAnsi="宋体" w:cs="宋体"/>
                      <w:color w:val="auto"/>
                      <w:kern w:val="0"/>
                    </w:rPr>
                    <w:t>严格规定事故多发区、事故现场、邻近区域、控制防火区域设置控制和清除污染措施及相应设备的数量、使用方法、使用人员。</w:t>
                  </w:r>
                </w:p>
              </w:tc>
            </w:tr>
            <w:tr w14:paraId="14DD3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2B43720B">
                  <w:pPr>
                    <w:pStyle w:val="52"/>
                    <w:ind w:left="0" w:leftChars="0" w:firstLine="0" w:firstLineChars="0"/>
                    <w:jc w:val="center"/>
                    <w:rPr>
                      <w:rFonts w:hint="eastAsia" w:eastAsia="宋体"/>
                      <w:color w:val="auto"/>
                      <w:lang w:eastAsia="zh-CN"/>
                    </w:rPr>
                  </w:pPr>
                  <w:r>
                    <w:rPr>
                      <w:rFonts w:hint="eastAsia"/>
                      <w:color w:val="auto"/>
                      <w:lang w:val="en-US" w:eastAsia="zh-CN"/>
                    </w:rPr>
                    <w:t>7</w:t>
                  </w:r>
                </w:p>
              </w:tc>
              <w:tc>
                <w:tcPr>
                  <w:tcW w:w="1647" w:type="dxa"/>
                  <w:shd w:val="clear" w:color="auto" w:fill="auto"/>
                  <w:vAlign w:val="center"/>
                </w:tcPr>
                <w:p w14:paraId="4E9DEF59">
                  <w:pPr>
                    <w:pStyle w:val="52"/>
                    <w:ind w:left="0" w:leftChars="0" w:firstLine="0" w:firstLineChars="0"/>
                    <w:jc w:val="both"/>
                    <w:rPr>
                      <w:color w:val="auto"/>
                    </w:rPr>
                  </w:pPr>
                  <w:r>
                    <w:rPr>
                      <w:rFonts w:hint="eastAsia" w:ascii="宋体" w:hAnsi="宋体" w:cs="宋体"/>
                      <w:color w:val="auto"/>
                      <w:kern w:val="0"/>
                    </w:rPr>
                    <w:t>人员紧急撤离、疏散计划</w:t>
                  </w:r>
                </w:p>
              </w:tc>
              <w:tc>
                <w:tcPr>
                  <w:tcW w:w="5640" w:type="dxa"/>
                  <w:tcBorders>
                    <w:right w:val="nil"/>
                  </w:tcBorders>
                  <w:shd w:val="clear" w:color="auto" w:fill="auto"/>
                  <w:vAlign w:val="center"/>
                </w:tcPr>
                <w:p w14:paraId="67EA9325">
                  <w:pPr>
                    <w:pStyle w:val="52"/>
                    <w:ind w:left="0" w:leftChars="0" w:firstLine="0" w:firstLineChars="0"/>
                    <w:jc w:val="both"/>
                    <w:rPr>
                      <w:color w:val="auto"/>
                    </w:rPr>
                  </w:pPr>
                  <w:r>
                    <w:rPr>
                      <w:rFonts w:hint="eastAsia" w:ascii="宋体" w:hAnsi="宋体" w:cs="宋体"/>
                      <w:color w:val="auto"/>
                      <w:kern w:val="0"/>
                    </w:rPr>
                    <w:t>事故现场、工厂邻近区、受事故影响的区域人员及公众对有毒有害物质应急剂量控制规定，制定紧急撤离组织计划和救护，医疗救护与公众健康。</w:t>
                  </w:r>
                </w:p>
              </w:tc>
            </w:tr>
            <w:tr w14:paraId="2AE58D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3154EBBA">
                  <w:pPr>
                    <w:pStyle w:val="52"/>
                    <w:ind w:left="0" w:leftChars="0" w:firstLine="0" w:firstLineChars="0"/>
                    <w:jc w:val="center"/>
                    <w:rPr>
                      <w:rFonts w:hint="eastAsia" w:eastAsia="宋体"/>
                      <w:color w:val="auto"/>
                      <w:lang w:eastAsia="zh-CN"/>
                    </w:rPr>
                  </w:pPr>
                  <w:r>
                    <w:rPr>
                      <w:rFonts w:hint="eastAsia"/>
                      <w:color w:val="auto"/>
                      <w:lang w:val="en-US" w:eastAsia="zh-CN"/>
                    </w:rPr>
                    <w:t>8</w:t>
                  </w:r>
                </w:p>
              </w:tc>
              <w:tc>
                <w:tcPr>
                  <w:tcW w:w="1647" w:type="dxa"/>
                  <w:shd w:val="clear" w:color="auto" w:fill="auto"/>
                  <w:vAlign w:val="center"/>
                </w:tcPr>
                <w:p w14:paraId="5540BE45">
                  <w:pPr>
                    <w:pStyle w:val="52"/>
                    <w:ind w:left="0" w:leftChars="0" w:firstLine="0" w:firstLineChars="0"/>
                    <w:jc w:val="both"/>
                    <w:rPr>
                      <w:color w:val="auto"/>
                    </w:rPr>
                  </w:pPr>
                  <w:r>
                    <w:rPr>
                      <w:rFonts w:hint="eastAsia" w:ascii="宋体" w:hAnsi="宋体" w:cs="宋体"/>
                      <w:color w:val="auto"/>
                      <w:kern w:val="0"/>
                    </w:rPr>
                    <w:t>事故应急救援关闭程序</w:t>
                  </w:r>
                </w:p>
              </w:tc>
              <w:tc>
                <w:tcPr>
                  <w:tcW w:w="5640" w:type="dxa"/>
                  <w:tcBorders>
                    <w:right w:val="nil"/>
                  </w:tcBorders>
                  <w:shd w:val="clear" w:color="auto" w:fill="auto"/>
                  <w:vAlign w:val="center"/>
                </w:tcPr>
                <w:p w14:paraId="066CF576">
                  <w:pPr>
                    <w:pStyle w:val="52"/>
                    <w:ind w:left="0" w:leftChars="0" w:firstLine="0" w:firstLineChars="0"/>
                    <w:jc w:val="both"/>
                    <w:rPr>
                      <w:color w:val="auto"/>
                    </w:rPr>
                  </w:pPr>
                  <w:r>
                    <w:rPr>
                      <w:rFonts w:hint="eastAsia" w:ascii="宋体" w:hAnsi="宋体" w:cs="宋体"/>
                      <w:color w:val="auto"/>
                      <w:kern w:val="0"/>
                    </w:rPr>
                    <w:t>制定相关应急状态终止程序，事故现场、受影响范围内的善后处理、恢复措施，邻近区域解除事故警戒及善后恢复措施。</w:t>
                  </w:r>
                </w:p>
              </w:tc>
            </w:tr>
            <w:tr w14:paraId="4B081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549031AB">
                  <w:pPr>
                    <w:pStyle w:val="52"/>
                    <w:ind w:left="0" w:leftChars="0" w:firstLine="0" w:firstLineChars="0"/>
                    <w:jc w:val="center"/>
                    <w:rPr>
                      <w:rFonts w:hint="eastAsia" w:eastAsia="宋体"/>
                      <w:color w:val="auto"/>
                      <w:lang w:eastAsia="zh-CN"/>
                    </w:rPr>
                  </w:pPr>
                  <w:r>
                    <w:rPr>
                      <w:rFonts w:hint="eastAsia"/>
                      <w:color w:val="auto"/>
                      <w:lang w:val="en-US" w:eastAsia="zh-CN"/>
                    </w:rPr>
                    <w:t>9</w:t>
                  </w:r>
                </w:p>
              </w:tc>
              <w:tc>
                <w:tcPr>
                  <w:tcW w:w="1647" w:type="dxa"/>
                  <w:shd w:val="clear" w:color="auto" w:fill="auto"/>
                  <w:vAlign w:val="center"/>
                </w:tcPr>
                <w:p w14:paraId="7F348490">
                  <w:pPr>
                    <w:pStyle w:val="52"/>
                    <w:ind w:left="0" w:leftChars="0" w:firstLine="0" w:firstLineChars="0"/>
                    <w:jc w:val="center"/>
                    <w:rPr>
                      <w:color w:val="auto"/>
                    </w:rPr>
                  </w:pPr>
                  <w:r>
                    <w:rPr>
                      <w:rFonts w:hint="eastAsia"/>
                      <w:color w:val="auto"/>
                    </w:rPr>
                    <w:t>事故恢复措施</w:t>
                  </w:r>
                </w:p>
              </w:tc>
              <w:tc>
                <w:tcPr>
                  <w:tcW w:w="5640" w:type="dxa"/>
                  <w:tcBorders>
                    <w:right w:val="nil"/>
                  </w:tcBorders>
                  <w:shd w:val="clear" w:color="auto" w:fill="auto"/>
                  <w:vAlign w:val="center"/>
                </w:tcPr>
                <w:p w14:paraId="793810A4">
                  <w:pPr>
                    <w:pStyle w:val="52"/>
                    <w:ind w:left="0" w:leftChars="0" w:firstLine="0" w:firstLineChars="0"/>
                    <w:jc w:val="both"/>
                    <w:rPr>
                      <w:color w:val="auto"/>
                    </w:rPr>
                  </w:pPr>
                  <w:r>
                    <w:rPr>
                      <w:rFonts w:hint="eastAsia" w:ascii="宋体" w:hAnsi="宋体" w:cs="宋体"/>
                      <w:color w:val="auto"/>
                      <w:kern w:val="0"/>
                    </w:rPr>
                    <w:t>制定有关的环境恢复措施，组织专业人员对事故后的环境变化进行监测，对事故应急措施的环境可行性进行后影响评价。</w:t>
                  </w:r>
                </w:p>
              </w:tc>
            </w:tr>
            <w:tr w14:paraId="4ABBC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tcBorders>
                  <w:shd w:val="clear" w:color="auto" w:fill="auto"/>
                  <w:vAlign w:val="center"/>
                </w:tcPr>
                <w:p w14:paraId="4A4FA62B">
                  <w:pPr>
                    <w:pStyle w:val="52"/>
                    <w:ind w:left="0" w:leftChars="0" w:firstLine="0" w:firstLineChars="0"/>
                    <w:jc w:val="center"/>
                    <w:rPr>
                      <w:rFonts w:hint="default" w:eastAsia="宋体"/>
                      <w:color w:val="auto"/>
                      <w:lang w:val="en-US" w:eastAsia="zh-CN"/>
                    </w:rPr>
                  </w:pPr>
                  <w:r>
                    <w:rPr>
                      <w:rFonts w:hint="eastAsia"/>
                      <w:color w:val="auto"/>
                      <w:lang w:val="en-US" w:eastAsia="zh-CN"/>
                    </w:rPr>
                    <w:t>10</w:t>
                  </w:r>
                </w:p>
              </w:tc>
              <w:tc>
                <w:tcPr>
                  <w:tcW w:w="1647" w:type="dxa"/>
                  <w:shd w:val="clear" w:color="auto" w:fill="auto"/>
                  <w:vAlign w:val="center"/>
                </w:tcPr>
                <w:p w14:paraId="150BD9C6">
                  <w:pPr>
                    <w:pStyle w:val="52"/>
                    <w:ind w:left="0" w:leftChars="0" w:firstLine="0" w:firstLineChars="0"/>
                    <w:jc w:val="center"/>
                    <w:rPr>
                      <w:color w:val="auto"/>
                    </w:rPr>
                  </w:pPr>
                  <w:r>
                    <w:rPr>
                      <w:rFonts w:hint="eastAsia"/>
                      <w:color w:val="auto"/>
                    </w:rPr>
                    <w:t>应急培训计划</w:t>
                  </w:r>
                </w:p>
              </w:tc>
              <w:tc>
                <w:tcPr>
                  <w:tcW w:w="5640" w:type="dxa"/>
                  <w:tcBorders>
                    <w:right w:val="nil"/>
                  </w:tcBorders>
                  <w:shd w:val="clear" w:color="auto" w:fill="auto"/>
                  <w:vAlign w:val="center"/>
                </w:tcPr>
                <w:p w14:paraId="474ED19C">
                  <w:pPr>
                    <w:pStyle w:val="52"/>
                    <w:ind w:left="0" w:leftChars="0" w:firstLine="0" w:firstLineChars="0"/>
                    <w:jc w:val="both"/>
                    <w:rPr>
                      <w:color w:val="auto"/>
                    </w:rPr>
                  </w:pPr>
                  <w:r>
                    <w:rPr>
                      <w:rFonts w:hint="eastAsia"/>
                      <w:color w:val="auto"/>
                    </w:rPr>
                    <w:t>定期安排有关人员进行培训与演练。</w:t>
                  </w:r>
                </w:p>
              </w:tc>
            </w:tr>
            <w:tr w14:paraId="5061D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4" w:type="dxa"/>
                  <w:tcBorders>
                    <w:left w:val="nil"/>
                    <w:bottom w:val="single" w:color="000000" w:sz="12" w:space="0"/>
                  </w:tcBorders>
                  <w:shd w:val="clear" w:color="auto" w:fill="auto"/>
                  <w:vAlign w:val="center"/>
                </w:tcPr>
                <w:p w14:paraId="3F964B1B">
                  <w:pPr>
                    <w:pStyle w:val="52"/>
                    <w:ind w:left="0" w:leftChars="0" w:firstLine="0" w:firstLineChars="0"/>
                    <w:jc w:val="center"/>
                    <w:rPr>
                      <w:rFonts w:hint="default" w:eastAsia="宋体"/>
                      <w:color w:val="auto"/>
                      <w:lang w:val="en-US" w:eastAsia="zh-CN"/>
                    </w:rPr>
                  </w:pPr>
                  <w:r>
                    <w:rPr>
                      <w:rFonts w:hint="eastAsia"/>
                      <w:color w:val="auto"/>
                      <w:lang w:val="en-US" w:eastAsia="zh-CN"/>
                    </w:rPr>
                    <w:t>11</w:t>
                  </w:r>
                </w:p>
              </w:tc>
              <w:tc>
                <w:tcPr>
                  <w:tcW w:w="1647" w:type="dxa"/>
                  <w:tcBorders>
                    <w:bottom w:val="single" w:color="000000" w:sz="12" w:space="0"/>
                  </w:tcBorders>
                  <w:shd w:val="clear" w:color="auto" w:fill="auto"/>
                  <w:vAlign w:val="center"/>
                </w:tcPr>
                <w:p w14:paraId="18788D88">
                  <w:pPr>
                    <w:pStyle w:val="52"/>
                    <w:ind w:left="0" w:leftChars="0" w:firstLine="0" w:firstLineChars="0"/>
                    <w:jc w:val="both"/>
                    <w:rPr>
                      <w:color w:val="auto"/>
                    </w:rPr>
                  </w:pPr>
                  <w:r>
                    <w:rPr>
                      <w:rFonts w:hint="eastAsia"/>
                      <w:color w:val="auto"/>
                    </w:rPr>
                    <w:t>公众教育和信息</w:t>
                  </w:r>
                </w:p>
              </w:tc>
              <w:tc>
                <w:tcPr>
                  <w:tcW w:w="5640" w:type="dxa"/>
                  <w:tcBorders>
                    <w:bottom w:val="single" w:color="000000" w:sz="12" w:space="0"/>
                    <w:right w:val="nil"/>
                  </w:tcBorders>
                  <w:shd w:val="clear" w:color="auto" w:fill="auto"/>
                  <w:vAlign w:val="center"/>
                </w:tcPr>
                <w:p w14:paraId="12B9F279">
                  <w:pPr>
                    <w:pStyle w:val="52"/>
                    <w:ind w:left="0" w:leftChars="0" w:firstLine="0" w:firstLineChars="0"/>
                    <w:jc w:val="both"/>
                    <w:rPr>
                      <w:color w:val="auto"/>
                    </w:rPr>
                  </w:pPr>
                  <w:r>
                    <w:rPr>
                      <w:rFonts w:hint="eastAsia"/>
                      <w:color w:val="auto"/>
                    </w:rPr>
                    <w:t>对工厂邻近地区开展公众教育、培训和发布有关信息。</w:t>
                  </w:r>
                </w:p>
              </w:tc>
            </w:tr>
          </w:tbl>
          <w:p w14:paraId="7FD1C1D3">
            <w:pPr>
              <w:pStyle w:val="42"/>
              <w:spacing w:line="360" w:lineRule="auto"/>
              <w:ind w:left="0" w:leftChars="0" w:firstLine="0" w:firstLineChars="0"/>
              <w:rPr>
                <w:rFonts w:hint="default" w:ascii="Times New Roman" w:hAnsi="Times New Roman" w:cs="Times New Roman"/>
                <w:b/>
                <w:bCs w:val="0"/>
                <w:color w:val="auto"/>
                <w:spacing w:val="-10"/>
                <w:szCs w:val="21"/>
                <w:highlight w:val="none"/>
                <w:lang w:val="en-US" w:eastAsia="zh-CN"/>
              </w:rPr>
            </w:pPr>
            <w:r>
              <w:rPr>
                <w:rFonts w:hint="eastAsia" w:cs="Times New Roman"/>
                <w:b/>
                <w:bCs w:val="0"/>
                <w:color w:val="auto"/>
                <w:spacing w:val="-10"/>
                <w:szCs w:val="21"/>
                <w:highlight w:val="none"/>
                <w:lang w:val="en-US" w:eastAsia="zh-CN"/>
              </w:rPr>
              <w:t>7.环境管理及监测</w:t>
            </w:r>
          </w:p>
          <w:p w14:paraId="670727C6">
            <w:pPr>
              <w:pStyle w:val="42"/>
              <w:spacing w:line="360" w:lineRule="auto"/>
              <w:ind w:left="0" w:leftChars="0" w:firstLine="0" w:firstLineChars="0"/>
              <w:rPr>
                <w:rFonts w:hint="default" w:ascii="Times New Roman" w:hAnsi="Times New Roman" w:cs="Times New Roman"/>
                <w:b/>
                <w:bCs w:val="0"/>
                <w:color w:val="auto"/>
                <w:spacing w:val="-10"/>
                <w:szCs w:val="21"/>
                <w:highlight w:val="none"/>
                <w:lang w:val="en-US" w:eastAsia="zh-CN"/>
              </w:rPr>
            </w:pPr>
            <w:r>
              <w:rPr>
                <w:rFonts w:hint="eastAsia" w:cs="Times New Roman"/>
                <w:b/>
                <w:bCs w:val="0"/>
                <w:color w:val="auto"/>
                <w:spacing w:val="-10"/>
                <w:szCs w:val="21"/>
                <w:highlight w:val="none"/>
                <w:lang w:val="en-US" w:eastAsia="zh-CN"/>
              </w:rPr>
              <w:t>7.1环境管理</w:t>
            </w:r>
          </w:p>
          <w:p w14:paraId="59A04BBD">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环境管理就是指工程在施工期、营运期时全面执行和遵守国家、省、市有关环境保护法律、法规、政策和标准，接受地方环境保护主管部门的环境监督，调整和制定环境保护规划和目标，力争把不利影响减小到最低，加强项目环境管理，协调解决实现目标过程中的具体问题，及时调整工程运行方式和环境保护措施，以取得更好的综合环境效益，最终达到保护环境的目的。建设项目环境管理是工程管理的重要组成部分，是工程环境保护工作能够有效实施的关键。根据本项目的污染物排放特征，其产生的废气及固体废物存在一定的污染隐患。一旦管理不善将可能出现污染事故，从而影响周围环境。因此，运营期的环境管理十分重要，运营期应做好以下工作：</w:t>
            </w:r>
          </w:p>
          <w:p w14:paraId="04AE7E26">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（1）制定污染治理操作规程，记录污染治理设施运行及检修情况，确保治理设施常年正常运行。</w:t>
            </w:r>
          </w:p>
          <w:p w14:paraId="261B7B90">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2）安全环保科除执行各项有关环境保护工作的指令外，还应接受当地环境保护局的监督检查，组织环保监测及统计工作，配合上级部门对本企业环保项目进行检查验收，定期与不定期地上报各项管理工作的执行情况以及各项有关环境参数、污染源排放指标，建立污染源及厂区周围环境质量监测数据档案，定期编写环保简报，制定全厂环保年度计划和长远规划，为区域整体环境控制服务。</w:t>
            </w:r>
          </w:p>
          <w:p w14:paraId="1BB88F05">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（3）确保污染治理措施执行“三同时”，检查、监督全厂环保设施的正常高效运行，使各项治理设施达到设计要求。</w:t>
            </w:r>
          </w:p>
          <w:p w14:paraId="21B5C99B">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（4）控制场内运输过程中粉尘无组织排放。运输产生粉尘的物料，其车辆应采取密闭、苫盖等措施。厂区道路应硬化，并采取洒水、喷雾等降尘措施。</w:t>
            </w:r>
          </w:p>
          <w:p w14:paraId="2BCC0EFC">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（5）污染防治设施应在满足设计工况的条件下运行，并根据工艺要求，定期对设备、电气、自控仪表及构筑物进行检查维护，确保污染防治设施可靠运行。</w:t>
            </w:r>
          </w:p>
          <w:p w14:paraId="4F6F01E3">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（6）加强环保知识宣传教育，提高职工环境意识，把环境意识贯彻到企业各车间班组及每个职工的日常生产、生活中；推广治理方面的先进技术。</w:t>
            </w:r>
          </w:p>
          <w:p w14:paraId="523400A5">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（7）组织制定环境保护管理的规章制度并监督执行；制定并组织实施各项环境保护的规划和计划；贯彻执行环境保护法规和标准。</w:t>
            </w:r>
          </w:p>
          <w:p w14:paraId="3E50B15B">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（8）项目建成后及时进行环保验收并申请排污许可证。</w:t>
            </w:r>
            <w:r>
              <w:rPr>
                <w:rFonts w:hint="default" w:ascii="Times New Roman" w:hAnsi="Times New Roman" w:cs="Times New Roman"/>
                <w:color w:val="auto"/>
                <w:sz w:val="24"/>
                <w:highlight w:val="none"/>
              </w:rPr>
              <w:t>排污单位在申请排污许可证时，应按</w:t>
            </w:r>
            <w:r>
              <w:rPr>
                <w:rFonts w:hint="eastAsia" w:ascii="Times New Roman" w:hAnsi="Times New Roman" w:cs="Times New Roman"/>
                <w:color w:val="auto"/>
                <w:sz w:val="24"/>
                <w:highlight w:val="none"/>
                <w:lang w:eastAsia="zh-CN"/>
              </w:rPr>
              <w:t>《排污许可证申请与核发技术规范</w:t>
            </w:r>
            <w:r>
              <w:rPr>
                <w:rFonts w:hint="eastAsia" w:ascii="Times New Roman" w:hAnsi="Times New Roman" w:cs="Times New Roman"/>
                <w:color w:val="auto"/>
                <w:sz w:val="24"/>
                <w:highlight w:val="none"/>
                <w:lang w:val="en-US" w:eastAsia="zh-CN"/>
              </w:rPr>
              <w:t xml:space="preserve"> 锅炉</w:t>
            </w:r>
            <w:r>
              <w:rPr>
                <w:rFonts w:hint="eastAsia" w:ascii="Times New Roman" w:hAnsi="Times New Roman" w:cs="Times New Roman"/>
                <w:color w:val="auto"/>
                <w:sz w:val="24"/>
                <w:highlight w:val="none"/>
                <w:lang w:eastAsia="zh-CN"/>
              </w:rPr>
              <w:t>》（HJ</w:t>
            </w:r>
            <w:r>
              <w:rPr>
                <w:rFonts w:hint="eastAsia" w:ascii="Times New Roman" w:hAnsi="Times New Roman" w:cs="Times New Roman"/>
                <w:color w:val="auto"/>
                <w:sz w:val="24"/>
                <w:highlight w:val="none"/>
                <w:lang w:val="en-US" w:eastAsia="zh-CN"/>
              </w:rPr>
              <w:t>953</w:t>
            </w:r>
            <w:r>
              <w:rPr>
                <w:rFonts w:hint="eastAsia" w:ascii="Times New Roman" w:hAnsi="Times New Roman" w:cs="Times New Roman"/>
                <w:color w:val="auto"/>
                <w:sz w:val="24"/>
                <w:highlight w:val="none"/>
                <w:lang w:eastAsia="zh-CN"/>
              </w:rPr>
              <w:t>-20</w:t>
            </w:r>
            <w:r>
              <w:rPr>
                <w:rFonts w:hint="eastAsia" w:ascii="Times New Roman" w:hAnsi="Times New Roman" w:cs="Times New Roman"/>
                <w:color w:val="auto"/>
                <w:sz w:val="24"/>
                <w:highlight w:val="none"/>
                <w:lang w:val="en-US" w:eastAsia="zh-CN"/>
              </w:rPr>
              <w:t>18</w:t>
            </w: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相关</w:t>
            </w:r>
            <w:r>
              <w:rPr>
                <w:rFonts w:hint="default" w:ascii="Times New Roman" w:hAnsi="Times New Roman" w:cs="Times New Roman"/>
                <w:color w:val="auto"/>
                <w:sz w:val="24"/>
                <w:highlight w:val="none"/>
              </w:rPr>
              <w:t>标准规定，在全国排污许可证管理信息平台中明确环境管理台账记录要求。建立环境管理台账制度，落实环境管理台账记录的责任单位和责任人，明确工作职责，包括台账的记录、整理、维护和管理等，台账记录频次和内容须满足排污许可证环境管理要求，并对台账记录结果的真实性、完整性和规范性负责。</w:t>
            </w:r>
          </w:p>
          <w:p w14:paraId="30A97C15">
            <w:pPr>
              <w:pStyle w:val="42"/>
              <w:spacing w:line="360" w:lineRule="auto"/>
              <w:ind w:left="0" w:leftChars="0" w:firstLine="0" w:firstLineChars="0"/>
              <w:rPr>
                <w:rFonts w:hint="default" w:ascii="Times New Roman" w:hAnsi="Times New Roman" w:cs="Times New Roman"/>
                <w:b/>
                <w:bCs w:val="0"/>
                <w:color w:val="auto"/>
                <w:spacing w:val="-10"/>
                <w:szCs w:val="21"/>
                <w:highlight w:val="none"/>
                <w:lang w:val="en-US" w:eastAsia="zh-CN"/>
              </w:rPr>
            </w:pPr>
            <w:r>
              <w:rPr>
                <w:rFonts w:hint="eastAsia" w:cs="Times New Roman"/>
                <w:b/>
                <w:bCs w:val="0"/>
                <w:color w:val="auto"/>
                <w:spacing w:val="-10"/>
                <w:szCs w:val="21"/>
                <w:highlight w:val="none"/>
                <w:lang w:val="en-US" w:eastAsia="zh-CN"/>
              </w:rPr>
              <w:t>7.2环境监测</w:t>
            </w:r>
          </w:p>
          <w:p w14:paraId="597111E7">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监测是保证环境管理措施落实的一个基本手段。环境监测能及时、准确地提供环境质量、污染源状况及发展趋势、环保设施运行效果的信息。及时发现环境管理措施的不足而及时修正，使环境质量和环境资源维持在期望值之内。</w:t>
            </w:r>
          </w:p>
          <w:p w14:paraId="160CFF71">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根据《排污单位自行监测技术指南总则》（HJ819-2017）相关规定，排污单位应按照最新的监测方案开展监测活动，可根据自身条件和能力，利用自有人员、场所和设备进行自行监测；也可委托其他有资质</w:t>
            </w:r>
            <w:r>
              <w:rPr>
                <w:rFonts w:hint="eastAsia" w:cs="Times New Roman"/>
                <w:color w:val="auto"/>
                <w:sz w:val="24"/>
                <w:highlight w:val="none"/>
                <w:lang w:eastAsia="zh-CN"/>
              </w:rPr>
              <w:t>的</w:t>
            </w:r>
            <w:r>
              <w:rPr>
                <w:rFonts w:hint="default" w:ascii="Times New Roman" w:hAnsi="Times New Roman" w:cs="Times New Roman"/>
                <w:color w:val="auto"/>
                <w:sz w:val="24"/>
                <w:highlight w:val="none"/>
              </w:rPr>
              <w:t>检（监）测机构代其开展自行监测。排污单位应建立自行监测质量管理制度，按照相关技术规范要求做好监测质量保证与质量控制，记录好与监测有关的数据，按照规定进行保存并依据《企业事业单位环境信息公开办法》（环境保护部令第31号）、《国家重点监控企业自行监测及信息公开办法（试行）》（环发〔2013〕81号）要求向社会公开监测结果。非重点排污单位的信息公开要求有地方环境保护主管部门确定。</w:t>
            </w:r>
          </w:p>
          <w:p w14:paraId="6BD02D20">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生产特征和污染物的排放特征，依据国家颁布的环境质量标准，污染物排放标准及地方环保部门的要求，根据《排污单位自行监测技术指南总则》（HJ819-2017）有关规定，结合本项目主要排污特点，监测项目应包括大气污染物、厂界噪声。采样、分析方法按国家环保局颁发的GB/T16157、HJ/T397、HJ/T75、HJ/T76以及《环境监测技术规范》、《空气与废气监测分析方法》等进行。</w:t>
            </w:r>
          </w:p>
          <w:p w14:paraId="06BE9C37">
            <w:pPr>
              <w:pStyle w:val="42"/>
              <w:spacing w:line="360" w:lineRule="auto"/>
              <w:ind w:left="0" w:leftChars="0" w:firstLine="0" w:firstLineChars="0"/>
              <w:jc w:val="both"/>
              <w:rPr>
                <w:rFonts w:hint="default" w:ascii="Times New Roman" w:hAnsi="Times New Roman" w:cs="Times New Roman"/>
                <w:b/>
                <w:bCs w:val="0"/>
                <w:color w:val="auto"/>
                <w:spacing w:val="-10"/>
                <w:szCs w:val="21"/>
                <w:highlight w:val="none"/>
                <w:lang w:val="en-US" w:eastAsia="zh-CN"/>
              </w:rPr>
            </w:pPr>
            <w:r>
              <w:rPr>
                <w:rFonts w:hint="eastAsia" w:cs="Times New Roman"/>
                <w:b/>
                <w:bCs w:val="0"/>
                <w:color w:val="auto"/>
                <w:spacing w:val="-10"/>
                <w:szCs w:val="21"/>
                <w:highlight w:val="none"/>
                <w:lang w:val="en-US" w:eastAsia="zh-CN"/>
              </w:rPr>
              <w:t>8.环保投资分析</w:t>
            </w:r>
          </w:p>
          <w:p w14:paraId="7180A005">
            <w:pPr>
              <w:spacing w:line="360" w:lineRule="auto"/>
              <w:ind w:firstLine="480" w:firstLineChars="200"/>
              <w:jc w:val="both"/>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本项目建成投产后环保投资估算为</w:t>
            </w:r>
            <w:r>
              <w:rPr>
                <w:rFonts w:hint="eastAsia" w:cs="Times New Roman"/>
                <w:color w:val="auto"/>
                <w:sz w:val="24"/>
                <w:highlight w:val="none"/>
                <w:lang w:val="en-US" w:eastAsia="zh-CN"/>
              </w:rPr>
              <w:t>59.7</w:t>
            </w:r>
            <w:r>
              <w:rPr>
                <w:rFonts w:hint="default" w:ascii="Times New Roman" w:hAnsi="Times New Roman" w:cs="Times New Roman"/>
                <w:color w:val="auto"/>
                <w:sz w:val="24"/>
                <w:highlight w:val="none"/>
              </w:rPr>
              <w:t>万元，约占项目总投资</w:t>
            </w:r>
            <w:r>
              <w:rPr>
                <w:rFonts w:hint="eastAsia" w:ascii="Times New Roman" w:hAnsi="Times New Roman" w:cs="Times New Roman"/>
                <w:color w:val="auto"/>
                <w:sz w:val="24"/>
                <w:highlight w:val="none"/>
                <w:lang w:val="en-US" w:eastAsia="zh-CN"/>
              </w:rPr>
              <w:t>1000</w:t>
            </w:r>
            <w:r>
              <w:rPr>
                <w:rFonts w:hint="default" w:ascii="Times New Roman" w:hAnsi="Times New Roman" w:cs="Times New Roman"/>
                <w:color w:val="auto"/>
                <w:sz w:val="24"/>
                <w:highlight w:val="none"/>
              </w:rPr>
              <w:t>万元的</w:t>
            </w:r>
            <w:r>
              <w:rPr>
                <w:rFonts w:hint="eastAsia" w:ascii="Times New Roman" w:hAnsi="Times New Roman" w:cs="Times New Roman"/>
                <w:color w:val="auto"/>
                <w:sz w:val="24"/>
                <w:highlight w:val="none"/>
                <w:lang w:val="en-US" w:eastAsia="zh-CN"/>
              </w:rPr>
              <w:t>4.97</w:t>
            </w:r>
            <w:r>
              <w:rPr>
                <w:rFonts w:hint="default" w:ascii="Times New Roman" w:hAnsi="Times New Roman" w:cs="Times New Roman"/>
                <w:color w:val="auto"/>
                <w:sz w:val="24"/>
                <w:highlight w:val="none"/>
              </w:rPr>
              <w:t>%。具体环保投资估算见表</w:t>
            </w:r>
            <w:r>
              <w:rPr>
                <w:rFonts w:hint="eastAsia" w:ascii="Times New Roman" w:hAnsi="Times New Roman" w:cs="Times New Roman"/>
                <w:color w:val="auto"/>
                <w:sz w:val="24"/>
                <w:highlight w:val="none"/>
                <w:lang w:val="en-US" w:eastAsia="zh-CN"/>
              </w:rPr>
              <w:t>4-</w:t>
            </w:r>
            <w:r>
              <w:rPr>
                <w:rFonts w:hint="eastAsia" w:cs="Times New Roman"/>
                <w:color w:val="auto"/>
                <w:sz w:val="24"/>
                <w:highlight w:val="none"/>
                <w:lang w:val="en-US" w:eastAsia="zh-CN"/>
              </w:rPr>
              <w:t>22</w:t>
            </w:r>
            <w:r>
              <w:rPr>
                <w:rFonts w:hint="default" w:ascii="Times New Roman" w:hAnsi="Times New Roman" w:cs="Times New Roman"/>
                <w:color w:val="auto"/>
                <w:sz w:val="24"/>
                <w:highlight w:val="none"/>
              </w:rPr>
              <w:t>。</w:t>
            </w:r>
          </w:p>
          <w:p w14:paraId="71B6B5A5">
            <w:pPr>
              <w:spacing w:line="240" w:lineRule="auto"/>
              <w:jc w:val="center"/>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表4-</w:t>
            </w:r>
            <w:r>
              <w:rPr>
                <w:rFonts w:hint="eastAsia" w:cs="Times New Roman"/>
                <w:b/>
                <w:bCs/>
                <w:color w:val="auto"/>
                <w:sz w:val="21"/>
                <w:szCs w:val="21"/>
                <w:highlight w:val="none"/>
                <w:lang w:val="en-US" w:eastAsia="zh-CN"/>
              </w:rPr>
              <w:t>22</w:t>
            </w:r>
            <w:r>
              <w:rPr>
                <w:rFonts w:hint="eastAsia" w:ascii="Times New Roman" w:hAnsi="Times New Roman" w:cs="Times New Roman"/>
                <w:b/>
                <w:bCs/>
                <w:color w:val="auto"/>
                <w:sz w:val="21"/>
                <w:szCs w:val="21"/>
                <w:highlight w:val="none"/>
                <w:lang w:val="en-US" w:eastAsia="zh-CN"/>
              </w:rPr>
              <w:t xml:space="preserve">   环境保护投资估算一览表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
              <w:gridCol w:w="1768"/>
              <w:gridCol w:w="3660"/>
              <w:gridCol w:w="1853"/>
            </w:tblGrid>
            <w:tr w14:paraId="0761A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9" w:type="pct"/>
                  <w:gridSpan w:val="2"/>
                  <w:tcBorders>
                    <w:top w:val="single" w:color="auto" w:sz="12" w:space="0"/>
                    <w:left w:val="nil"/>
                    <w:bottom w:val="single" w:color="auto" w:sz="12" w:space="0"/>
                  </w:tcBorders>
                  <w:noWrap w:val="0"/>
                  <w:vAlign w:val="center"/>
                </w:tcPr>
                <w:p w14:paraId="28A732CE">
                  <w:pPr>
                    <w:adjustRightInd w:val="0"/>
                    <w:snapToGrid w:val="0"/>
                    <w:jc w:val="center"/>
                    <w:rPr>
                      <w:b/>
                      <w:bCs/>
                      <w:color w:val="auto"/>
                      <w:szCs w:val="21"/>
                      <w:highlight w:val="none"/>
                    </w:rPr>
                  </w:pPr>
                  <w:r>
                    <w:rPr>
                      <w:b/>
                      <w:bCs/>
                      <w:color w:val="auto"/>
                      <w:szCs w:val="21"/>
                      <w:highlight w:val="none"/>
                    </w:rPr>
                    <w:t>类别</w:t>
                  </w:r>
                </w:p>
              </w:tc>
              <w:tc>
                <w:tcPr>
                  <w:tcW w:w="2250" w:type="pct"/>
                  <w:tcBorders>
                    <w:top w:val="single" w:color="auto" w:sz="12" w:space="0"/>
                    <w:bottom w:val="single" w:color="auto" w:sz="12" w:space="0"/>
                  </w:tcBorders>
                  <w:noWrap w:val="0"/>
                  <w:vAlign w:val="center"/>
                </w:tcPr>
                <w:p w14:paraId="6B0C33D0">
                  <w:pPr>
                    <w:adjustRightInd w:val="0"/>
                    <w:snapToGrid w:val="0"/>
                    <w:jc w:val="center"/>
                    <w:rPr>
                      <w:b/>
                      <w:bCs/>
                      <w:color w:val="auto"/>
                      <w:szCs w:val="21"/>
                      <w:highlight w:val="none"/>
                    </w:rPr>
                  </w:pPr>
                  <w:r>
                    <w:rPr>
                      <w:b/>
                      <w:bCs/>
                      <w:color w:val="auto"/>
                      <w:szCs w:val="21"/>
                      <w:highlight w:val="none"/>
                    </w:rPr>
                    <w:t>主要环保措施</w:t>
                  </w:r>
                </w:p>
              </w:tc>
              <w:tc>
                <w:tcPr>
                  <w:tcW w:w="1139" w:type="pct"/>
                  <w:tcBorders>
                    <w:top w:val="single" w:color="auto" w:sz="12" w:space="0"/>
                    <w:bottom w:val="single" w:color="auto" w:sz="12" w:space="0"/>
                    <w:right w:val="nil"/>
                  </w:tcBorders>
                  <w:noWrap w:val="0"/>
                  <w:vAlign w:val="center"/>
                </w:tcPr>
                <w:p w14:paraId="7ECCA817">
                  <w:pPr>
                    <w:adjustRightInd w:val="0"/>
                    <w:snapToGrid w:val="0"/>
                    <w:jc w:val="center"/>
                    <w:rPr>
                      <w:b/>
                      <w:bCs/>
                      <w:color w:val="auto"/>
                      <w:szCs w:val="21"/>
                      <w:highlight w:val="none"/>
                    </w:rPr>
                  </w:pPr>
                  <w:r>
                    <w:rPr>
                      <w:b/>
                      <w:bCs/>
                      <w:color w:val="auto"/>
                      <w:szCs w:val="21"/>
                      <w:highlight w:val="none"/>
                    </w:rPr>
                    <w:t>投资估算（万元）</w:t>
                  </w:r>
                </w:p>
              </w:tc>
            </w:tr>
            <w:tr w14:paraId="2BE00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2" w:type="pct"/>
                  <w:vMerge w:val="restart"/>
                  <w:tcBorders>
                    <w:top w:val="single" w:color="auto" w:sz="12" w:space="0"/>
                    <w:left w:val="nil"/>
                  </w:tcBorders>
                  <w:noWrap w:val="0"/>
                  <w:vAlign w:val="center"/>
                </w:tcPr>
                <w:p w14:paraId="6CE3ECC8">
                  <w:pPr>
                    <w:adjustRightInd w:val="0"/>
                    <w:snapToGrid w:val="0"/>
                    <w:jc w:val="center"/>
                    <w:rPr>
                      <w:color w:val="auto"/>
                      <w:szCs w:val="21"/>
                      <w:highlight w:val="none"/>
                    </w:rPr>
                  </w:pPr>
                  <w:r>
                    <w:rPr>
                      <w:color w:val="auto"/>
                      <w:szCs w:val="21"/>
                      <w:highlight w:val="none"/>
                    </w:rPr>
                    <w:t>废气</w:t>
                  </w:r>
                </w:p>
              </w:tc>
              <w:tc>
                <w:tcPr>
                  <w:tcW w:w="1087" w:type="pct"/>
                  <w:tcBorders>
                    <w:top w:val="single" w:color="auto" w:sz="12" w:space="0"/>
                  </w:tcBorders>
                  <w:noWrap w:val="0"/>
                  <w:vAlign w:val="center"/>
                </w:tcPr>
                <w:p w14:paraId="58999988">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燃气锅炉</w:t>
                  </w:r>
                </w:p>
              </w:tc>
              <w:tc>
                <w:tcPr>
                  <w:tcW w:w="2250" w:type="pct"/>
                  <w:tcBorders>
                    <w:top w:val="single" w:color="auto" w:sz="12" w:space="0"/>
                  </w:tcBorders>
                  <w:noWrap w:val="0"/>
                  <w:vAlign w:val="center"/>
                </w:tcPr>
                <w:p w14:paraId="3FE71C44">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低氮燃烧+15m排气筒</w:t>
                  </w:r>
                </w:p>
              </w:tc>
              <w:tc>
                <w:tcPr>
                  <w:tcW w:w="1139" w:type="pct"/>
                  <w:tcBorders>
                    <w:top w:val="single" w:color="auto" w:sz="12" w:space="0"/>
                    <w:right w:val="nil"/>
                  </w:tcBorders>
                  <w:noWrap w:val="0"/>
                  <w:vAlign w:val="center"/>
                </w:tcPr>
                <w:p w14:paraId="2C59B376">
                  <w:pPr>
                    <w:adjustRightInd w:val="0"/>
                    <w:snapToGrid w:val="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w:t>
                  </w:r>
                </w:p>
              </w:tc>
            </w:tr>
            <w:tr w14:paraId="1251B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2" w:type="pct"/>
                  <w:vMerge w:val="continue"/>
                  <w:tcBorders>
                    <w:left w:val="nil"/>
                  </w:tcBorders>
                  <w:noWrap w:val="0"/>
                  <w:vAlign w:val="center"/>
                </w:tcPr>
                <w:p w14:paraId="33239822">
                  <w:pPr>
                    <w:adjustRightInd w:val="0"/>
                    <w:snapToGrid w:val="0"/>
                    <w:jc w:val="center"/>
                    <w:rPr>
                      <w:color w:val="auto"/>
                      <w:szCs w:val="21"/>
                      <w:highlight w:val="none"/>
                    </w:rPr>
                  </w:pPr>
                </w:p>
              </w:tc>
              <w:tc>
                <w:tcPr>
                  <w:tcW w:w="1087" w:type="pct"/>
                  <w:noWrap w:val="0"/>
                  <w:vAlign w:val="center"/>
                </w:tcPr>
                <w:p w14:paraId="266904F2">
                  <w:pPr>
                    <w:adjustRightInd w:val="0"/>
                    <w:snapToGrid w:val="0"/>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搅拌</w:t>
                  </w:r>
                  <w:r>
                    <w:rPr>
                      <w:color w:val="auto"/>
                      <w:szCs w:val="21"/>
                      <w:highlight w:val="none"/>
                    </w:rPr>
                    <w:t>废气</w:t>
                  </w:r>
                </w:p>
              </w:tc>
              <w:tc>
                <w:tcPr>
                  <w:tcW w:w="2250" w:type="pct"/>
                  <w:noWrap w:val="0"/>
                  <w:vAlign w:val="center"/>
                </w:tcPr>
                <w:p w14:paraId="3DE36EA9">
                  <w:pPr>
                    <w:adjustRightInd w:val="0"/>
                    <w:snapToGrid w:val="0"/>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val="en-US" w:eastAsia="zh-CN"/>
                    </w:rPr>
                    <w:t>布袋除尘器</w:t>
                  </w:r>
                  <w:r>
                    <w:rPr>
                      <w:color w:val="auto"/>
                      <w:szCs w:val="21"/>
                      <w:highlight w:val="none"/>
                    </w:rPr>
                    <w:t>处理设备处理</w:t>
                  </w:r>
                </w:p>
              </w:tc>
              <w:tc>
                <w:tcPr>
                  <w:tcW w:w="1139" w:type="pct"/>
                  <w:tcBorders>
                    <w:right w:val="nil"/>
                  </w:tcBorders>
                  <w:noWrap w:val="0"/>
                  <w:vAlign w:val="center"/>
                </w:tcPr>
                <w:p w14:paraId="0121E064">
                  <w:pPr>
                    <w:adjustRightInd w:val="0"/>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15</w:t>
                  </w:r>
                </w:p>
              </w:tc>
            </w:tr>
            <w:tr w14:paraId="150C2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2" w:type="pct"/>
                  <w:vMerge w:val="continue"/>
                  <w:tcBorders>
                    <w:left w:val="nil"/>
                  </w:tcBorders>
                  <w:noWrap w:val="0"/>
                  <w:vAlign w:val="center"/>
                </w:tcPr>
                <w:p w14:paraId="14D7EF5C">
                  <w:pPr>
                    <w:adjustRightInd w:val="0"/>
                    <w:snapToGrid w:val="0"/>
                    <w:jc w:val="center"/>
                    <w:rPr>
                      <w:color w:val="auto"/>
                      <w:szCs w:val="21"/>
                      <w:highlight w:val="none"/>
                    </w:rPr>
                  </w:pPr>
                </w:p>
              </w:tc>
              <w:tc>
                <w:tcPr>
                  <w:tcW w:w="1087" w:type="pct"/>
                  <w:noWrap w:val="0"/>
                  <w:vAlign w:val="center"/>
                </w:tcPr>
                <w:p w14:paraId="04213EDE">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食堂油烟</w:t>
                  </w:r>
                </w:p>
              </w:tc>
              <w:tc>
                <w:tcPr>
                  <w:tcW w:w="2250" w:type="pct"/>
                  <w:noWrap w:val="0"/>
                  <w:vAlign w:val="center"/>
                </w:tcPr>
                <w:p w14:paraId="4B53EAA4">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油烟净化器</w:t>
                  </w:r>
                </w:p>
              </w:tc>
              <w:tc>
                <w:tcPr>
                  <w:tcW w:w="1139" w:type="pct"/>
                  <w:tcBorders>
                    <w:right w:val="nil"/>
                  </w:tcBorders>
                  <w:noWrap w:val="0"/>
                  <w:vAlign w:val="center"/>
                </w:tcPr>
                <w:p w14:paraId="2DB90CEB">
                  <w:pPr>
                    <w:adjustRightInd w:val="0"/>
                    <w:snapToGrid w:val="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0.2</w:t>
                  </w:r>
                </w:p>
              </w:tc>
            </w:tr>
            <w:tr w14:paraId="1C418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2" w:type="pct"/>
                  <w:vMerge w:val="continue"/>
                  <w:tcBorders>
                    <w:left w:val="nil"/>
                  </w:tcBorders>
                  <w:noWrap w:val="0"/>
                  <w:vAlign w:val="center"/>
                </w:tcPr>
                <w:p w14:paraId="634AD2A1">
                  <w:pPr>
                    <w:adjustRightInd w:val="0"/>
                    <w:snapToGrid w:val="0"/>
                    <w:jc w:val="center"/>
                    <w:rPr>
                      <w:color w:val="auto"/>
                      <w:szCs w:val="21"/>
                      <w:highlight w:val="none"/>
                    </w:rPr>
                  </w:pPr>
                </w:p>
              </w:tc>
              <w:tc>
                <w:tcPr>
                  <w:tcW w:w="1087" w:type="pct"/>
                  <w:noWrap w:val="0"/>
                  <w:vAlign w:val="center"/>
                </w:tcPr>
                <w:p w14:paraId="420C5610">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堆场扬尘</w:t>
                  </w:r>
                </w:p>
              </w:tc>
              <w:tc>
                <w:tcPr>
                  <w:tcW w:w="2250" w:type="pct"/>
                  <w:noWrap w:val="0"/>
                  <w:vAlign w:val="center"/>
                </w:tcPr>
                <w:p w14:paraId="536214DF">
                  <w:pPr>
                    <w:adjustRightInd w:val="0"/>
                    <w:snapToGrid w:val="0"/>
                    <w:jc w:val="center"/>
                    <w:rPr>
                      <w:rFonts w:hint="default"/>
                      <w:color w:val="auto"/>
                      <w:szCs w:val="21"/>
                      <w:highlight w:val="none"/>
                      <w:lang w:val="en-US" w:eastAsia="zh-CN"/>
                    </w:rPr>
                  </w:pPr>
                  <w:r>
                    <w:rPr>
                      <w:rFonts w:hint="eastAsia"/>
                      <w:color w:val="auto"/>
                      <w:szCs w:val="21"/>
                      <w:highlight w:val="none"/>
                      <w:lang w:val="en-US" w:eastAsia="zh-CN"/>
                    </w:rPr>
                    <w:t>堆场设置三面围挡</w:t>
                  </w:r>
                </w:p>
              </w:tc>
              <w:tc>
                <w:tcPr>
                  <w:tcW w:w="1139" w:type="pct"/>
                  <w:tcBorders>
                    <w:right w:val="nil"/>
                  </w:tcBorders>
                  <w:noWrap w:val="0"/>
                  <w:vAlign w:val="center"/>
                </w:tcPr>
                <w:p w14:paraId="2203FAAD">
                  <w:pPr>
                    <w:adjustRightInd w:val="0"/>
                    <w:snapToGrid w:val="0"/>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10</w:t>
                  </w:r>
                </w:p>
              </w:tc>
            </w:tr>
            <w:tr w14:paraId="6BBFC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left w:val="nil"/>
                  </w:tcBorders>
                  <w:noWrap w:val="0"/>
                  <w:vAlign w:val="center"/>
                </w:tcPr>
                <w:p w14:paraId="1AB1C8D8">
                  <w:pPr>
                    <w:adjustRightInd w:val="0"/>
                    <w:snapToGrid w:val="0"/>
                    <w:jc w:val="center"/>
                    <w:rPr>
                      <w:color w:val="auto"/>
                      <w:szCs w:val="21"/>
                      <w:highlight w:val="none"/>
                    </w:rPr>
                  </w:pPr>
                  <w:r>
                    <w:rPr>
                      <w:color w:val="auto"/>
                      <w:szCs w:val="21"/>
                      <w:highlight w:val="none"/>
                    </w:rPr>
                    <w:t>噪声</w:t>
                  </w:r>
                </w:p>
              </w:tc>
              <w:tc>
                <w:tcPr>
                  <w:tcW w:w="1087" w:type="pct"/>
                  <w:noWrap w:val="0"/>
                  <w:vAlign w:val="center"/>
                </w:tcPr>
                <w:p w14:paraId="0F69D8F3">
                  <w:pPr>
                    <w:adjustRightInd w:val="0"/>
                    <w:snapToGrid w:val="0"/>
                    <w:jc w:val="center"/>
                    <w:rPr>
                      <w:color w:val="auto"/>
                      <w:szCs w:val="21"/>
                      <w:highlight w:val="none"/>
                    </w:rPr>
                  </w:pPr>
                  <w:r>
                    <w:rPr>
                      <w:color w:val="auto"/>
                      <w:szCs w:val="21"/>
                      <w:highlight w:val="none"/>
                    </w:rPr>
                    <w:t>生产设备</w:t>
                  </w:r>
                </w:p>
              </w:tc>
              <w:tc>
                <w:tcPr>
                  <w:tcW w:w="2250" w:type="pct"/>
                  <w:noWrap w:val="0"/>
                  <w:vAlign w:val="center"/>
                </w:tcPr>
                <w:p w14:paraId="4D34F392">
                  <w:pPr>
                    <w:adjustRightInd w:val="0"/>
                    <w:snapToGrid w:val="0"/>
                    <w:jc w:val="center"/>
                    <w:rPr>
                      <w:color w:val="auto"/>
                      <w:szCs w:val="21"/>
                      <w:highlight w:val="none"/>
                    </w:rPr>
                  </w:pPr>
                  <w:r>
                    <w:rPr>
                      <w:bCs/>
                      <w:color w:val="auto"/>
                      <w:szCs w:val="21"/>
                      <w:highlight w:val="none"/>
                    </w:rPr>
                    <w:t>基础减振，安装隔声罩</w:t>
                  </w:r>
                </w:p>
              </w:tc>
              <w:tc>
                <w:tcPr>
                  <w:tcW w:w="1139" w:type="pct"/>
                  <w:tcBorders>
                    <w:right w:val="nil"/>
                  </w:tcBorders>
                  <w:noWrap w:val="0"/>
                  <w:vAlign w:val="center"/>
                </w:tcPr>
                <w:p w14:paraId="7C4BA67B">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10</w:t>
                  </w:r>
                </w:p>
              </w:tc>
            </w:tr>
            <w:tr w14:paraId="59659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22" w:type="pct"/>
                  <w:vMerge w:val="restart"/>
                  <w:tcBorders>
                    <w:left w:val="nil"/>
                  </w:tcBorders>
                  <w:noWrap w:val="0"/>
                  <w:vAlign w:val="center"/>
                </w:tcPr>
                <w:p w14:paraId="44F41E29">
                  <w:pPr>
                    <w:adjustRightInd w:val="0"/>
                    <w:snapToGrid w:val="0"/>
                    <w:jc w:val="center"/>
                    <w:rPr>
                      <w:color w:val="auto"/>
                      <w:szCs w:val="21"/>
                      <w:highlight w:val="none"/>
                    </w:rPr>
                  </w:pPr>
                  <w:r>
                    <w:rPr>
                      <w:color w:val="auto"/>
                      <w:szCs w:val="21"/>
                      <w:highlight w:val="none"/>
                    </w:rPr>
                    <w:t>固废</w:t>
                  </w:r>
                </w:p>
              </w:tc>
              <w:tc>
                <w:tcPr>
                  <w:tcW w:w="1087" w:type="pct"/>
                  <w:noWrap w:val="0"/>
                  <w:vAlign w:val="center"/>
                </w:tcPr>
                <w:p w14:paraId="447CFB5E">
                  <w:pPr>
                    <w:adjustRightInd w:val="0"/>
                    <w:snapToGrid w:val="0"/>
                    <w:jc w:val="center"/>
                    <w:rPr>
                      <w:color w:val="auto"/>
                      <w:szCs w:val="21"/>
                      <w:highlight w:val="none"/>
                    </w:rPr>
                  </w:pPr>
                  <w:r>
                    <w:rPr>
                      <w:color w:val="auto"/>
                      <w:szCs w:val="21"/>
                      <w:highlight w:val="none"/>
                    </w:rPr>
                    <w:t>生活垃圾</w:t>
                  </w:r>
                </w:p>
              </w:tc>
              <w:tc>
                <w:tcPr>
                  <w:tcW w:w="2250" w:type="pct"/>
                  <w:noWrap w:val="0"/>
                  <w:vAlign w:val="center"/>
                </w:tcPr>
                <w:p w14:paraId="6B7BD2E5">
                  <w:pPr>
                    <w:adjustRightInd w:val="0"/>
                    <w:snapToGrid w:val="0"/>
                    <w:jc w:val="center"/>
                    <w:rPr>
                      <w:rFonts w:hint="eastAsia" w:eastAsia="宋体"/>
                      <w:bCs/>
                      <w:color w:val="auto"/>
                      <w:szCs w:val="21"/>
                      <w:highlight w:val="none"/>
                      <w:lang w:val="en-US" w:eastAsia="zh-CN"/>
                    </w:rPr>
                  </w:pPr>
                  <w:r>
                    <w:rPr>
                      <w:rFonts w:hint="eastAsia"/>
                      <w:bCs/>
                      <w:color w:val="auto"/>
                      <w:szCs w:val="21"/>
                      <w:highlight w:val="none"/>
                      <w:lang w:val="en-US" w:eastAsia="zh-CN"/>
                    </w:rPr>
                    <w:t>垃圾箱、</w:t>
                  </w:r>
                  <w:r>
                    <w:rPr>
                      <w:bCs/>
                      <w:color w:val="auto"/>
                      <w:szCs w:val="21"/>
                      <w:highlight w:val="none"/>
                    </w:rPr>
                    <w:t>生活垃圾</w:t>
                  </w:r>
                  <w:r>
                    <w:rPr>
                      <w:rFonts w:hint="eastAsia"/>
                      <w:bCs/>
                      <w:color w:val="auto"/>
                      <w:szCs w:val="21"/>
                      <w:highlight w:val="none"/>
                      <w:lang w:val="en-US" w:eastAsia="zh-CN"/>
                    </w:rPr>
                    <w:t>厂</w:t>
                  </w:r>
                </w:p>
              </w:tc>
              <w:tc>
                <w:tcPr>
                  <w:tcW w:w="1139" w:type="pct"/>
                  <w:tcBorders>
                    <w:right w:val="nil"/>
                  </w:tcBorders>
                  <w:noWrap w:val="0"/>
                  <w:vAlign w:val="center"/>
                </w:tcPr>
                <w:p w14:paraId="71675103">
                  <w:pPr>
                    <w:adjustRightInd w:val="0"/>
                    <w:snapToGrid w:val="0"/>
                    <w:jc w:val="center"/>
                    <w:rPr>
                      <w:color w:val="auto"/>
                      <w:szCs w:val="21"/>
                      <w:highlight w:val="none"/>
                    </w:rPr>
                  </w:pPr>
                  <w:r>
                    <w:rPr>
                      <w:color w:val="auto"/>
                      <w:szCs w:val="21"/>
                      <w:highlight w:val="none"/>
                    </w:rPr>
                    <w:t>0.5</w:t>
                  </w:r>
                </w:p>
              </w:tc>
            </w:tr>
            <w:tr w14:paraId="0ECE0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522" w:type="pct"/>
                  <w:vMerge w:val="continue"/>
                  <w:tcBorders>
                    <w:left w:val="nil"/>
                  </w:tcBorders>
                  <w:noWrap w:val="0"/>
                  <w:vAlign w:val="center"/>
                </w:tcPr>
                <w:p w14:paraId="3A50E34C">
                  <w:pPr>
                    <w:adjustRightInd w:val="0"/>
                    <w:snapToGrid w:val="0"/>
                    <w:jc w:val="center"/>
                    <w:rPr>
                      <w:color w:val="auto"/>
                      <w:szCs w:val="21"/>
                      <w:highlight w:val="none"/>
                    </w:rPr>
                  </w:pPr>
                </w:p>
              </w:tc>
              <w:tc>
                <w:tcPr>
                  <w:tcW w:w="1087" w:type="pct"/>
                  <w:noWrap w:val="0"/>
                  <w:vAlign w:val="center"/>
                </w:tcPr>
                <w:p w14:paraId="114779BC">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危险废物暂存间</w:t>
                  </w:r>
                </w:p>
              </w:tc>
              <w:tc>
                <w:tcPr>
                  <w:tcW w:w="2250" w:type="pct"/>
                  <w:noWrap w:val="0"/>
                  <w:vAlign w:val="center"/>
                </w:tcPr>
                <w:p w14:paraId="6EE35DCE">
                  <w:pPr>
                    <w:adjustRightInd w:val="0"/>
                    <w:snapToGrid w:val="0"/>
                    <w:jc w:val="center"/>
                    <w:rPr>
                      <w:bCs/>
                      <w:color w:val="auto"/>
                      <w:szCs w:val="21"/>
                      <w:highlight w:val="none"/>
                    </w:rPr>
                  </w:pPr>
                  <w:r>
                    <w:rPr>
                      <w:rFonts w:hint="eastAsia"/>
                      <w:bCs/>
                      <w:color w:val="auto"/>
                      <w:szCs w:val="21"/>
                      <w:highlight w:val="none"/>
                      <w:lang w:val="en-US" w:eastAsia="zh-CN"/>
                    </w:rPr>
                    <w:t>危险</w:t>
                  </w:r>
                  <w:r>
                    <w:rPr>
                      <w:bCs/>
                      <w:color w:val="auto"/>
                      <w:szCs w:val="21"/>
                      <w:highlight w:val="none"/>
                    </w:rPr>
                    <w:t>废</w:t>
                  </w:r>
                  <w:r>
                    <w:rPr>
                      <w:rFonts w:hint="eastAsia"/>
                      <w:bCs/>
                      <w:color w:val="auto"/>
                      <w:szCs w:val="21"/>
                      <w:highlight w:val="none"/>
                      <w:lang w:val="en-US" w:eastAsia="zh-CN"/>
                    </w:rPr>
                    <w:t>物</w:t>
                  </w:r>
                  <w:r>
                    <w:rPr>
                      <w:bCs/>
                      <w:color w:val="auto"/>
                      <w:szCs w:val="21"/>
                      <w:highlight w:val="none"/>
                    </w:rPr>
                    <w:t>暂存间</w:t>
                  </w:r>
                </w:p>
              </w:tc>
              <w:tc>
                <w:tcPr>
                  <w:tcW w:w="1139" w:type="pct"/>
                  <w:tcBorders>
                    <w:right w:val="nil"/>
                  </w:tcBorders>
                  <w:noWrap w:val="0"/>
                  <w:vAlign w:val="center"/>
                </w:tcPr>
                <w:p w14:paraId="178D4A7B">
                  <w:pPr>
                    <w:adjustRightInd w:val="0"/>
                    <w:snapToGrid w:val="0"/>
                    <w:jc w:val="center"/>
                    <w:rPr>
                      <w:rFonts w:hint="default" w:eastAsia="宋体"/>
                      <w:color w:val="auto"/>
                      <w:szCs w:val="21"/>
                      <w:highlight w:val="none"/>
                      <w:lang w:val="en-US" w:eastAsia="zh-CN"/>
                    </w:rPr>
                  </w:pPr>
                  <w:r>
                    <w:rPr>
                      <w:rFonts w:hint="eastAsia" w:eastAsia="宋体"/>
                      <w:color w:val="auto"/>
                      <w:szCs w:val="21"/>
                      <w:highlight w:val="none"/>
                      <w:lang w:val="en-US" w:eastAsia="zh-CN"/>
                    </w:rPr>
                    <w:t>10</w:t>
                  </w:r>
                </w:p>
              </w:tc>
            </w:tr>
            <w:tr w14:paraId="25F0C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2" w:type="pct"/>
                  <w:tcBorders>
                    <w:left w:val="nil"/>
                  </w:tcBorders>
                  <w:noWrap w:val="0"/>
                  <w:vAlign w:val="center"/>
                </w:tcPr>
                <w:p w14:paraId="775D6C86">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废水</w:t>
                  </w:r>
                </w:p>
              </w:tc>
              <w:tc>
                <w:tcPr>
                  <w:tcW w:w="1087" w:type="pct"/>
                  <w:noWrap w:val="0"/>
                  <w:vAlign w:val="center"/>
                </w:tcPr>
                <w:p w14:paraId="74416A08">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设备清洗废水</w:t>
                  </w:r>
                </w:p>
              </w:tc>
              <w:tc>
                <w:tcPr>
                  <w:tcW w:w="2250" w:type="pct"/>
                  <w:noWrap w:val="0"/>
                  <w:vAlign w:val="center"/>
                </w:tcPr>
                <w:p w14:paraId="5161C59F">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沉淀池</w:t>
                  </w:r>
                </w:p>
              </w:tc>
              <w:tc>
                <w:tcPr>
                  <w:tcW w:w="1139" w:type="pct"/>
                  <w:tcBorders>
                    <w:right w:val="nil"/>
                  </w:tcBorders>
                  <w:noWrap w:val="0"/>
                  <w:vAlign w:val="center"/>
                </w:tcPr>
                <w:p w14:paraId="3878361D">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w:t>
                  </w:r>
                </w:p>
              </w:tc>
            </w:tr>
            <w:tr w14:paraId="11655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09" w:type="pct"/>
                  <w:gridSpan w:val="2"/>
                  <w:tcBorders>
                    <w:left w:val="nil"/>
                  </w:tcBorders>
                  <w:noWrap w:val="0"/>
                  <w:vAlign w:val="center"/>
                </w:tcPr>
                <w:p w14:paraId="587207FE">
                  <w:pPr>
                    <w:adjustRightInd w:val="0"/>
                    <w:snapToGrid w:val="0"/>
                    <w:jc w:val="center"/>
                    <w:rPr>
                      <w:color w:val="auto"/>
                      <w:szCs w:val="21"/>
                      <w:highlight w:val="none"/>
                    </w:rPr>
                  </w:pPr>
                  <w:r>
                    <w:rPr>
                      <w:color w:val="auto"/>
                      <w:szCs w:val="21"/>
                      <w:highlight w:val="none"/>
                    </w:rPr>
                    <w:t>环境监测及管理</w:t>
                  </w:r>
                </w:p>
              </w:tc>
              <w:tc>
                <w:tcPr>
                  <w:tcW w:w="2250" w:type="pct"/>
                  <w:noWrap w:val="0"/>
                  <w:vAlign w:val="center"/>
                </w:tcPr>
                <w:p w14:paraId="2CCBD5BD">
                  <w:pPr>
                    <w:adjustRightInd w:val="0"/>
                    <w:snapToGrid w:val="0"/>
                    <w:jc w:val="center"/>
                    <w:rPr>
                      <w:color w:val="auto"/>
                      <w:szCs w:val="21"/>
                      <w:highlight w:val="none"/>
                    </w:rPr>
                  </w:pPr>
                  <w:r>
                    <w:rPr>
                      <w:color w:val="auto"/>
                      <w:szCs w:val="21"/>
                      <w:highlight w:val="none"/>
                    </w:rPr>
                    <w:t>委托监测机构开展监测工作，加强环境保护管理工作</w:t>
                  </w:r>
                </w:p>
              </w:tc>
              <w:tc>
                <w:tcPr>
                  <w:tcW w:w="1139" w:type="pct"/>
                  <w:tcBorders>
                    <w:right w:val="nil"/>
                  </w:tcBorders>
                  <w:noWrap w:val="0"/>
                  <w:vAlign w:val="center"/>
                </w:tcPr>
                <w:p w14:paraId="5748FD1D">
                  <w:pPr>
                    <w:adjustRightInd w:val="0"/>
                    <w:snapToGrid w:val="0"/>
                    <w:jc w:val="center"/>
                    <w:rPr>
                      <w:color w:val="auto"/>
                      <w:szCs w:val="21"/>
                      <w:highlight w:val="none"/>
                    </w:rPr>
                  </w:pPr>
                  <w:r>
                    <w:rPr>
                      <w:color w:val="auto"/>
                      <w:szCs w:val="21"/>
                      <w:highlight w:val="none"/>
                    </w:rPr>
                    <w:t>2</w:t>
                  </w:r>
                </w:p>
              </w:tc>
            </w:tr>
            <w:tr w14:paraId="1E4CD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3860" w:type="pct"/>
                  <w:gridSpan w:val="3"/>
                  <w:tcBorders>
                    <w:left w:val="nil"/>
                    <w:bottom w:val="single" w:color="000000" w:sz="12" w:space="0"/>
                  </w:tcBorders>
                  <w:noWrap w:val="0"/>
                  <w:vAlign w:val="center"/>
                </w:tcPr>
                <w:p w14:paraId="5E32A523">
                  <w:pPr>
                    <w:adjustRightInd w:val="0"/>
                    <w:snapToGrid w:val="0"/>
                    <w:jc w:val="center"/>
                    <w:rPr>
                      <w:color w:val="auto"/>
                      <w:szCs w:val="21"/>
                      <w:highlight w:val="none"/>
                    </w:rPr>
                  </w:pPr>
                  <w:r>
                    <w:rPr>
                      <w:color w:val="auto"/>
                      <w:szCs w:val="21"/>
                      <w:highlight w:val="none"/>
                    </w:rPr>
                    <w:t>合计</w:t>
                  </w:r>
                </w:p>
              </w:tc>
              <w:tc>
                <w:tcPr>
                  <w:tcW w:w="1139" w:type="pct"/>
                  <w:tcBorders>
                    <w:bottom w:val="single" w:color="000000" w:sz="12" w:space="0"/>
                    <w:right w:val="nil"/>
                  </w:tcBorders>
                  <w:noWrap w:val="0"/>
                  <w:vAlign w:val="center"/>
                </w:tcPr>
                <w:p w14:paraId="243149F9">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59.7</w:t>
                  </w:r>
                </w:p>
              </w:tc>
            </w:tr>
          </w:tbl>
          <w:p w14:paraId="6D062FD1">
            <w:pPr>
              <w:pStyle w:val="42"/>
              <w:spacing w:line="360" w:lineRule="auto"/>
              <w:ind w:left="0" w:leftChars="0" w:firstLine="0" w:firstLineChars="0"/>
              <w:rPr>
                <w:rFonts w:hint="default" w:ascii="Times New Roman" w:hAnsi="Times New Roman" w:cs="Times New Roman"/>
                <w:b/>
                <w:bCs w:val="0"/>
                <w:color w:val="auto"/>
                <w:spacing w:val="-10"/>
                <w:szCs w:val="21"/>
                <w:highlight w:val="none"/>
                <w:lang w:val="en-US" w:eastAsia="zh-CN"/>
              </w:rPr>
            </w:pPr>
            <w:r>
              <w:rPr>
                <w:rFonts w:hint="eastAsia" w:cs="Times New Roman"/>
                <w:b/>
                <w:bCs w:val="0"/>
                <w:color w:val="auto"/>
                <w:spacing w:val="-10"/>
                <w:szCs w:val="21"/>
                <w:highlight w:val="none"/>
                <w:lang w:val="en-US" w:eastAsia="zh-CN"/>
              </w:rPr>
              <w:t>9.建设项目竣工环保验收</w:t>
            </w:r>
          </w:p>
          <w:p w14:paraId="256B5ADA">
            <w:pPr>
              <w:pStyle w:val="42"/>
              <w:spacing w:line="360" w:lineRule="auto"/>
              <w:ind w:left="0" w:leftChars="0" w:firstLine="440" w:firstLineChars="200"/>
              <w:jc w:val="both"/>
              <w:rPr>
                <w:rFonts w:hint="eastAsia" w:cs="Times New Roman"/>
                <w:bCs/>
                <w:color w:val="auto"/>
                <w:spacing w:val="-10"/>
                <w:szCs w:val="21"/>
                <w:highlight w:val="none"/>
                <w:lang w:val="en-US" w:eastAsia="zh-CN"/>
              </w:rPr>
            </w:pPr>
            <w:r>
              <w:rPr>
                <w:rFonts w:hint="eastAsia" w:cs="Times New Roman"/>
                <w:bCs/>
                <w:color w:val="auto"/>
                <w:spacing w:val="-10"/>
                <w:szCs w:val="21"/>
                <w:highlight w:val="none"/>
                <w:lang w:val="en-US" w:eastAsia="zh-CN"/>
              </w:rPr>
              <w:t>建设项目竣工环保“三同时”验收内容具体见表4-23。</w:t>
            </w:r>
          </w:p>
          <w:p w14:paraId="5E731FB6">
            <w:pPr>
              <w:pStyle w:val="42"/>
              <w:spacing w:line="240" w:lineRule="auto"/>
              <w:ind w:left="0" w:leftChars="0" w:firstLine="0" w:firstLineChars="0"/>
              <w:jc w:val="center"/>
              <w:rPr>
                <w:rFonts w:hint="eastAsia" w:cs="Times New Roman"/>
                <w:b/>
                <w:bCs w:val="0"/>
                <w:color w:val="auto"/>
                <w:spacing w:val="-10"/>
                <w:sz w:val="21"/>
                <w:szCs w:val="21"/>
                <w:highlight w:val="none"/>
                <w:lang w:val="en-US" w:eastAsia="zh-CN"/>
              </w:rPr>
            </w:pPr>
            <w:r>
              <w:rPr>
                <w:rFonts w:hint="eastAsia" w:cs="Times New Roman"/>
                <w:b/>
                <w:bCs w:val="0"/>
                <w:color w:val="auto"/>
                <w:spacing w:val="-10"/>
                <w:sz w:val="21"/>
                <w:szCs w:val="21"/>
                <w:highlight w:val="none"/>
                <w:lang w:val="en-US" w:eastAsia="zh-CN"/>
              </w:rPr>
              <w:t>表4-23   环保“三同时”验收一览表</w:t>
            </w:r>
          </w:p>
          <w:tbl>
            <w:tblPr>
              <w:tblStyle w:val="23"/>
              <w:tblW w:w="4978" w:type="pct"/>
              <w:tblInd w:w="-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
              <w:gridCol w:w="875"/>
              <w:gridCol w:w="1233"/>
              <w:gridCol w:w="2161"/>
              <w:gridCol w:w="3393"/>
            </w:tblGrid>
            <w:tr w14:paraId="0D907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267" w:type="pct"/>
                  <w:tcBorders>
                    <w:top w:val="single" w:color="000000" w:sz="12" w:space="0"/>
                    <w:left w:val="nil"/>
                    <w:bottom w:val="single" w:color="000000" w:sz="12" w:space="0"/>
                    <w:right w:val="single" w:color="000000" w:sz="4" w:space="0"/>
                  </w:tcBorders>
                  <w:noWrap w:val="0"/>
                  <w:vAlign w:val="center"/>
                </w:tcPr>
                <w:p w14:paraId="5E607FFF">
                  <w:pPr>
                    <w:pStyle w:val="50"/>
                    <w:spacing w:line="240" w:lineRule="auto"/>
                    <w:rPr>
                      <w:b/>
                      <w:bCs/>
                      <w:color w:val="auto"/>
                      <w:highlight w:val="none"/>
                    </w:rPr>
                  </w:pPr>
                  <w:r>
                    <w:rPr>
                      <w:b/>
                      <w:bCs/>
                      <w:color w:val="auto"/>
                      <w:highlight w:val="none"/>
                    </w:rPr>
                    <w:t>序号</w:t>
                  </w:r>
                </w:p>
              </w:tc>
              <w:tc>
                <w:tcPr>
                  <w:tcW w:w="540" w:type="pct"/>
                  <w:tcBorders>
                    <w:top w:val="single" w:color="000000" w:sz="12" w:space="0"/>
                    <w:left w:val="single" w:color="000000" w:sz="4" w:space="0"/>
                    <w:bottom w:val="single" w:color="000000" w:sz="12" w:space="0"/>
                  </w:tcBorders>
                  <w:noWrap w:val="0"/>
                  <w:vAlign w:val="center"/>
                </w:tcPr>
                <w:p w14:paraId="3CE51D16">
                  <w:pPr>
                    <w:pStyle w:val="50"/>
                    <w:spacing w:line="240" w:lineRule="auto"/>
                    <w:rPr>
                      <w:b/>
                      <w:bCs/>
                      <w:color w:val="auto"/>
                      <w:highlight w:val="none"/>
                    </w:rPr>
                  </w:pPr>
                  <w:r>
                    <w:rPr>
                      <w:b/>
                      <w:bCs/>
                      <w:color w:val="auto"/>
                      <w:spacing w:val="-6"/>
                      <w:highlight w:val="none"/>
                    </w:rPr>
                    <w:t>污染源分类</w:t>
                  </w:r>
                </w:p>
              </w:tc>
              <w:tc>
                <w:tcPr>
                  <w:tcW w:w="761" w:type="pct"/>
                  <w:tcBorders>
                    <w:top w:val="single" w:color="000000" w:sz="12" w:space="0"/>
                    <w:bottom w:val="single" w:color="000000" w:sz="12" w:space="0"/>
                  </w:tcBorders>
                  <w:noWrap w:val="0"/>
                  <w:vAlign w:val="center"/>
                </w:tcPr>
                <w:p w14:paraId="47183438">
                  <w:pPr>
                    <w:pStyle w:val="50"/>
                    <w:spacing w:line="240" w:lineRule="auto"/>
                    <w:rPr>
                      <w:b/>
                      <w:bCs/>
                      <w:color w:val="auto"/>
                      <w:highlight w:val="none"/>
                    </w:rPr>
                  </w:pPr>
                  <w:r>
                    <w:rPr>
                      <w:b/>
                      <w:bCs/>
                      <w:color w:val="auto"/>
                      <w:highlight w:val="none"/>
                    </w:rPr>
                    <w:t>验收监测因子</w:t>
                  </w:r>
                </w:p>
              </w:tc>
              <w:tc>
                <w:tcPr>
                  <w:tcW w:w="1334" w:type="pct"/>
                  <w:tcBorders>
                    <w:top w:val="single" w:color="000000" w:sz="12" w:space="0"/>
                    <w:bottom w:val="single" w:color="000000" w:sz="12" w:space="0"/>
                  </w:tcBorders>
                  <w:noWrap w:val="0"/>
                  <w:vAlign w:val="center"/>
                </w:tcPr>
                <w:p w14:paraId="7A769EBB">
                  <w:pPr>
                    <w:pStyle w:val="50"/>
                    <w:spacing w:line="240" w:lineRule="auto"/>
                    <w:rPr>
                      <w:b/>
                      <w:bCs/>
                      <w:color w:val="auto"/>
                      <w:highlight w:val="none"/>
                    </w:rPr>
                  </w:pPr>
                  <w:r>
                    <w:rPr>
                      <w:b/>
                      <w:bCs/>
                      <w:color w:val="auto"/>
                      <w:highlight w:val="none"/>
                    </w:rPr>
                    <w:t>环保措施</w:t>
                  </w:r>
                </w:p>
              </w:tc>
              <w:tc>
                <w:tcPr>
                  <w:tcW w:w="2095" w:type="pct"/>
                  <w:tcBorders>
                    <w:top w:val="single" w:color="000000" w:sz="12" w:space="0"/>
                    <w:bottom w:val="single" w:color="000000" w:sz="12" w:space="0"/>
                    <w:right w:val="nil"/>
                  </w:tcBorders>
                  <w:noWrap w:val="0"/>
                  <w:vAlign w:val="center"/>
                </w:tcPr>
                <w:p w14:paraId="5FD53183">
                  <w:pPr>
                    <w:pStyle w:val="50"/>
                    <w:spacing w:line="240" w:lineRule="auto"/>
                    <w:rPr>
                      <w:b/>
                      <w:bCs/>
                      <w:color w:val="auto"/>
                      <w:highlight w:val="none"/>
                    </w:rPr>
                  </w:pPr>
                  <w:r>
                    <w:rPr>
                      <w:b/>
                      <w:bCs/>
                      <w:color w:val="auto"/>
                      <w:highlight w:val="none"/>
                    </w:rPr>
                    <w:t>验收要求</w:t>
                  </w:r>
                </w:p>
              </w:tc>
            </w:tr>
            <w:tr w14:paraId="6CEC1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restart"/>
                  <w:tcBorders>
                    <w:top w:val="single" w:color="000000" w:sz="12" w:space="0"/>
                    <w:left w:val="nil"/>
                  </w:tcBorders>
                  <w:noWrap w:val="0"/>
                  <w:vAlign w:val="center"/>
                </w:tcPr>
                <w:p w14:paraId="77444650">
                  <w:pPr>
                    <w:pStyle w:val="50"/>
                    <w:spacing w:line="240" w:lineRule="auto"/>
                    <w:rPr>
                      <w:color w:val="auto"/>
                      <w:highlight w:val="none"/>
                    </w:rPr>
                  </w:pPr>
                  <w:r>
                    <w:rPr>
                      <w:color w:val="auto"/>
                      <w:highlight w:val="none"/>
                    </w:rPr>
                    <w:t>1</w:t>
                  </w:r>
                </w:p>
              </w:tc>
              <w:tc>
                <w:tcPr>
                  <w:tcW w:w="540" w:type="pct"/>
                  <w:vMerge w:val="restart"/>
                  <w:tcBorders>
                    <w:top w:val="single" w:color="000000" w:sz="12" w:space="0"/>
                  </w:tcBorders>
                  <w:noWrap w:val="0"/>
                  <w:vAlign w:val="center"/>
                </w:tcPr>
                <w:p w14:paraId="31DC67F0">
                  <w:pPr>
                    <w:pStyle w:val="50"/>
                    <w:spacing w:line="240" w:lineRule="auto"/>
                    <w:rPr>
                      <w:color w:val="auto"/>
                      <w:highlight w:val="none"/>
                    </w:rPr>
                  </w:pPr>
                  <w:r>
                    <w:rPr>
                      <w:color w:val="auto"/>
                      <w:highlight w:val="none"/>
                    </w:rPr>
                    <w:t>废气</w:t>
                  </w:r>
                </w:p>
              </w:tc>
              <w:tc>
                <w:tcPr>
                  <w:tcW w:w="761" w:type="pct"/>
                  <w:tcBorders>
                    <w:top w:val="single" w:color="000000" w:sz="12" w:space="0"/>
                  </w:tcBorders>
                  <w:noWrap w:val="0"/>
                  <w:vAlign w:val="center"/>
                </w:tcPr>
                <w:p w14:paraId="5BD0831E">
                  <w:pPr>
                    <w:pStyle w:val="50"/>
                    <w:spacing w:line="240" w:lineRule="auto"/>
                    <w:rPr>
                      <w:rFonts w:hint="default" w:eastAsia="宋体"/>
                      <w:color w:val="auto"/>
                      <w:highlight w:val="none"/>
                      <w:lang w:val="en-US" w:eastAsia="zh-CN"/>
                    </w:rPr>
                  </w:pPr>
                  <w:r>
                    <w:rPr>
                      <w:rFonts w:hint="eastAsia"/>
                      <w:color w:val="auto"/>
                      <w:highlight w:val="none"/>
                      <w:lang w:val="en-US" w:eastAsia="zh-CN"/>
                    </w:rPr>
                    <w:t>NO</w:t>
                  </w:r>
                  <w:r>
                    <w:rPr>
                      <w:rFonts w:hint="eastAsia"/>
                      <w:color w:val="auto"/>
                      <w:highlight w:val="none"/>
                      <w:vertAlign w:val="subscript"/>
                      <w:lang w:val="en-US" w:eastAsia="zh-CN"/>
                    </w:rPr>
                    <w:t>X</w:t>
                  </w:r>
                </w:p>
              </w:tc>
              <w:tc>
                <w:tcPr>
                  <w:tcW w:w="1334" w:type="pct"/>
                  <w:tcBorders>
                    <w:top w:val="single" w:color="000000" w:sz="12" w:space="0"/>
                  </w:tcBorders>
                  <w:noWrap w:val="0"/>
                  <w:vAlign w:val="center"/>
                </w:tcPr>
                <w:p w14:paraId="54F5C76A">
                  <w:pPr>
                    <w:pStyle w:val="50"/>
                    <w:spacing w:line="240" w:lineRule="auto"/>
                    <w:rPr>
                      <w:rFonts w:hint="default"/>
                      <w:color w:val="auto"/>
                      <w:szCs w:val="21"/>
                      <w:highlight w:val="none"/>
                      <w:lang w:val="en-US" w:eastAsia="zh-CN"/>
                    </w:rPr>
                  </w:pPr>
                  <w:r>
                    <w:rPr>
                      <w:rFonts w:hint="eastAsia"/>
                      <w:color w:val="auto"/>
                      <w:szCs w:val="21"/>
                      <w:highlight w:val="none"/>
                      <w:lang w:val="en-US" w:eastAsia="zh-CN"/>
                    </w:rPr>
                    <w:t>低氮燃烧</w:t>
                  </w:r>
                </w:p>
              </w:tc>
              <w:tc>
                <w:tcPr>
                  <w:tcW w:w="2095" w:type="pct"/>
                  <w:vMerge w:val="restart"/>
                  <w:tcBorders>
                    <w:top w:val="single" w:color="000000" w:sz="12" w:space="0"/>
                    <w:right w:val="nil"/>
                  </w:tcBorders>
                  <w:noWrap w:val="0"/>
                  <w:vAlign w:val="center"/>
                </w:tcPr>
                <w:p w14:paraId="78AB40E4">
                  <w:pPr>
                    <w:pStyle w:val="50"/>
                    <w:spacing w:line="240" w:lineRule="auto"/>
                    <w:jc w:val="both"/>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Cs w:val="21"/>
                      <w:highlight w:val="none"/>
                      <w:lang w:val="en-US" w:eastAsia="zh-CN"/>
                    </w:rPr>
                    <w:t>《关于开展自治州2022年度夏秋季大气污染防治“冬病夏治”有关工作的通知》中规定的氮氧化物排放浓度不高于50毫克/立方米的要求，《锅炉大气污染物排放标准》（GB13271-2014）表2大气污染物排放限值中燃气锅炉排放限值</w:t>
                  </w:r>
                  <w:r>
                    <w:rPr>
                      <w:rFonts w:hint="eastAsia" w:ascii="Times New Roman" w:hAnsi="Times New Roman" w:cs="Times New Roman"/>
                      <w:b w:val="0"/>
                      <w:bCs w:val="0"/>
                      <w:color w:val="auto"/>
                      <w:sz w:val="21"/>
                      <w:szCs w:val="21"/>
                      <w:highlight w:val="none"/>
                      <w:lang w:val="en-US" w:eastAsia="zh-CN"/>
                    </w:rPr>
                    <w:t>中规定的大气污染物排放限值</w:t>
                  </w:r>
                  <w:r>
                    <w:rPr>
                      <w:rFonts w:hint="eastAsia"/>
                      <w:color w:val="auto"/>
                      <w:highlight w:val="none"/>
                      <w:lang w:val="en-US" w:eastAsia="zh-CN"/>
                    </w:rPr>
                    <w:t>SO</w:t>
                  </w:r>
                  <w:r>
                    <w:rPr>
                      <w:rFonts w:hint="eastAsia"/>
                      <w:color w:val="auto"/>
                      <w:highlight w:val="none"/>
                      <w:vertAlign w:val="subscript"/>
                      <w:lang w:val="en-US" w:eastAsia="zh-CN"/>
                    </w:rPr>
                    <w:t>2</w:t>
                  </w:r>
                  <w:r>
                    <w:rPr>
                      <w:rFonts w:hint="eastAsia" w:cs="Times New Roman"/>
                      <w:b w:val="0"/>
                      <w:bCs w:val="0"/>
                      <w:color w:val="auto"/>
                      <w:sz w:val="21"/>
                      <w:szCs w:val="21"/>
                      <w:highlight w:val="none"/>
                      <w:lang w:val="en-US" w:eastAsia="zh-CN"/>
                    </w:rPr>
                    <w:t>最高允许排放浓度50</w:t>
                  </w:r>
                  <w:r>
                    <w:rPr>
                      <w:rFonts w:hint="eastAsia" w:ascii="Times New Roman" w:hAnsi="Times New Roman" w:cs="Times New Roman"/>
                      <w:b w:val="0"/>
                      <w:bCs w:val="0"/>
                      <w:color w:val="auto"/>
                      <w:sz w:val="21"/>
                      <w:szCs w:val="21"/>
                      <w:highlight w:val="none"/>
                      <w:lang w:val="en-US" w:eastAsia="zh-CN"/>
                    </w:rPr>
                    <w:t>mg/m</w:t>
                  </w:r>
                  <w:r>
                    <w:rPr>
                      <w:rFonts w:hint="eastAsia" w:ascii="Times New Roman" w:hAnsi="Times New Roman" w:cs="Times New Roman"/>
                      <w:b w:val="0"/>
                      <w:bCs w:val="0"/>
                      <w:color w:val="auto"/>
                      <w:sz w:val="21"/>
                      <w:szCs w:val="21"/>
                      <w:highlight w:val="none"/>
                      <w:vertAlign w:val="superscript"/>
                      <w:lang w:val="en-US" w:eastAsia="zh-CN"/>
                    </w:rPr>
                    <w:t>3</w:t>
                  </w:r>
                  <w:r>
                    <w:rPr>
                      <w:rFonts w:hint="eastAsia" w:cs="Times New Roman"/>
                      <w:b w:val="0"/>
                      <w:bCs w:val="0"/>
                      <w:color w:val="auto"/>
                      <w:sz w:val="21"/>
                      <w:szCs w:val="21"/>
                      <w:highlight w:val="none"/>
                      <w:vertAlign w:val="baseline"/>
                      <w:lang w:val="en-US" w:eastAsia="zh-CN"/>
                    </w:rPr>
                    <w:t>，颗粒物</w:t>
                  </w:r>
                  <w:r>
                    <w:rPr>
                      <w:rFonts w:hint="eastAsia" w:cs="Times New Roman"/>
                      <w:b w:val="0"/>
                      <w:bCs w:val="0"/>
                      <w:color w:val="auto"/>
                      <w:sz w:val="21"/>
                      <w:szCs w:val="21"/>
                      <w:highlight w:val="none"/>
                      <w:lang w:val="en-US" w:eastAsia="zh-CN"/>
                    </w:rPr>
                    <w:t>最高允许排放浓度20</w:t>
                  </w:r>
                  <w:r>
                    <w:rPr>
                      <w:rFonts w:hint="eastAsia" w:ascii="Times New Roman" w:hAnsi="Times New Roman" w:cs="Times New Roman"/>
                      <w:b w:val="0"/>
                      <w:bCs w:val="0"/>
                      <w:color w:val="auto"/>
                      <w:sz w:val="21"/>
                      <w:szCs w:val="21"/>
                      <w:highlight w:val="none"/>
                      <w:lang w:val="en-US" w:eastAsia="zh-CN"/>
                    </w:rPr>
                    <w:t>mg/m</w:t>
                  </w:r>
                  <w:r>
                    <w:rPr>
                      <w:rFonts w:hint="eastAsia" w:ascii="Times New Roman" w:hAnsi="Times New Roman" w:cs="Times New Roman"/>
                      <w:b w:val="0"/>
                      <w:bCs w:val="0"/>
                      <w:color w:val="auto"/>
                      <w:sz w:val="21"/>
                      <w:szCs w:val="21"/>
                      <w:highlight w:val="none"/>
                      <w:vertAlign w:val="superscript"/>
                      <w:lang w:val="en-US" w:eastAsia="zh-CN"/>
                    </w:rPr>
                    <w:t>3</w:t>
                  </w:r>
                </w:p>
              </w:tc>
            </w:tr>
            <w:tr w14:paraId="17B3B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2E95A4A1">
                  <w:pPr>
                    <w:pStyle w:val="50"/>
                    <w:spacing w:line="240" w:lineRule="auto"/>
                    <w:rPr>
                      <w:color w:val="auto"/>
                      <w:highlight w:val="none"/>
                    </w:rPr>
                  </w:pPr>
                </w:p>
              </w:tc>
              <w:tc>
                <w:tcPr>
                  <w:tcW w:w="540" w:type="pct"/>
                  <w:vMerge w:val="continue"/>
                  <w:noWrap w:val="0"/>
                  <w:vAlign w:val="center"/>
                </w:tcPr>
                <w:p w14:paraId="66D3A1DC">
                  <w:pPr>
                    <w:pStyle w:val="50"/>
                    <w:spacing w:line="240" w:lineRule="auto"/>
                    <w:rPr>
                      <w:color w:val="auto"/>
                      <w:highlight w:val="none"/>
                    </w:rPr>
                  </w:pPr>
                </w:p>
              </w:tc>
              <w:tc>
                <w:tcPr>
                  <w:tcW w:w="761" w:type="pct"/>
                  <w:noWrap w:val="0"/>
                  <w:vAlign w:val="center"/>
                </w:tcPr>
                <w:p w14:paraId="75699FC9">
                  <w:pPr>
                    <w:pStyle w:val="50"/>
                    <w:spacing w:line="240" w:lineRule="auto"/>
                    <w:rPr>
                      <w:rFonts w:hint="default" w:eastAsia="宋体"/>
                      <w:color w:val="auto"/>
                      <w:highlight w:val="none"/>
                      <w:lang w:val="en-US" w:eastAsia="zh-CN"/>
                    </w:rPr>
                  </w:pPr>
                  <w:r>
                    <w:rPr>
                      <w:rFonts w:hint="eastAsia"/>
                      <w:color w:val="auto"/>
                      <w:highlight w:val="none"/>
                      <w:lang w:val="en-US" w:eastAsia="zh-CN"/>
                    </w:rPr>
                    <w:t>SO</w:t>
                  </w:r>
                  <w:r>
                    <w:rPr>
                      <w:rFonts w:hint="eastAsia"/>
                      <w:color w:val="auto"/>
                      <w:highlight w:val="none"/>
                      <w:vertAlign w:val="subscript"/>
                      <w:lang w:val="en-US" w:eastAsia="zh-CN"/>
                    </w:rPr>
                    <w:t>2</w:t>
                  </w:r>
                </w:p>
              </w:tc>
              <w:tc>
                <w:tcPr>
                  <w:tcW w:w="1334" w:type="pct"/>
                  <w:noWrap w:val="0"/>
                  <w:vAlign w:val="center"/>
                </w:tcPr>
                <w:p w14:paraId="280E441D">
                  <w:pPr>
                    <w:pStyle w:val="50"/>
                    <w:spacing w:line="240" w:lineRule="auto"/>
                    <w:rPr>
                      <w:rFonts w:hint="default"/>
                      <w:color w:val="auto"/>
                      <w:szCs w:val="21"/>
                      <w:highlight w:val="none"/>
                      <w:lang w:val="en-US" w:eastAsia="zh-CN"/>
                    </w:rPr>
                  </w:pPr>
                  <w:r>
                    <w:rPr>
                      <w:rFonts w:hint="eastAsia"/>
                      <w:color w:val="auto"/>
                      <w:szCs w:val="21"/>
                      <w:highlight w:val="none"/>
                      <w:lang w:val="en-US" w:eastAsia="zh-CN"/>
                    </w:rPr>
                    <w:t>/</w:t>
                  </w:r>
                </w:p>
              </w:tc>
              <w:tc>
                <w:tcPr>
                  <w:tcW w:w="2095" w:type="pct"/>
                  <w:vMerge w:val="continue"/>
                  <w:tcBorders>
                    <w:right w:val="nil"/>
                  </w:tcBorders>
                  <w:noWrap w:val="0"/>
                  <w:vAlign w:val="center"/>
                </w:tcPr>
                <w:p w14:paraId="398FD548">
                  <w:pPr>
                    <w:pStyle w:val="50"/>
                    <w:spacing w:line="240" w:lineRule="auto"/>
                    <w:jc w:val="both"/>
                    <w:rPr>
                      <w:rFonts w:hint="eastAsia" w:ascii="Times New Roman" w:hAnsi="Times New Roman" w:cs="Times New Roman"/>
                      <w:b w:val="0"/>
                      <w:bCs w:val="0"/>
                      <w:color w:val="auto"/>
                      <w:sz w:val="21"/>
                      <w:szCs w:val="21"/>
                      <w:highlight w:val="none"/>
                      <w:lang w:val="en-US" w:eastAsia="zh-CN"/>
                    </w:rPr>
                  </w:pPr>
                </w:p>
              </w:tc>
            </w:tr>
            <w:tr w14:paraId="55258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59B7A87B">
                  <w:pPr>
                    <w:pStyle w:val="50"/>
                    <w:spacing w:line="240" w:lineRule="auto"/>
                    <w:rPr>
                      <w:color w:val="auto"/>
                      <w:highlight w:val="none"/>
                    </w:rPr>
                  </w:pPr>
                </w:p>
              </w:tc>
              <w:tc>
                <w:tcPr>
                  <w:tcW w:w="540" w:type="pct"/>
                  <w:vMerge w:val="continue"/>
                  <w:noWrap w:val="0"/>
                  <w:vAlign w:val="center"/>
                </w:tcPr>
                <w:p w14:paraId="174A3F66">
                  <w:pPr>
                    <w:pStyle w:val="50"/>
                    <w:spacing w:line="240" w:lineRule="auto"/>
                    <w:rPr>
                      <w:color w:val="auto"/>
                      <w:highlight w:val="none"/>
                    </w:rPr>
                  </w:pPr>
                </w:p>
              </w:tc>
              <w:tc>
                <w:tcPr>
                  <w:tcW w:w="761" w:type="pct"/>
                  <w:noWrap w:val="0"/>
                  <w:vAlign w:val="center"/>
                </w:tcPr>
                <w:p w14:paraId="615240E0">
                  <w:pPr>
                    <w:pStyle w:val="50"/>
                    <w:spacing w:line="240" w:lineRule="auto"/>
                    <w:rPr>
                      <w:rFonts w:hint="eastAsia" w:eastAsia="宋体"/>
                      <w:color w:val="auto"/>
                      <w:highlight w:val="none"/>
                      <w:lang w:val="en-US" w:eastAsia="zh-CN"/>
                    </w:rPr>
                  </w:pPr>
                  <w:r>
                    <w:rPr>
                      <w:rFonts w:hint="eastAsia"/>
                      <w:color w:val="auto"/>
                      <w:highlight w:val="none"/>
                      <w:lang w:val="en-US" w:eastAsia="zh-CN"/>
                    </w:rPr>
                    <w:t>颗粒物</w:t>
                  </w:r>
                </w:p>
              </w:tc>
              <w:tc>
                <w:tcPr>
                  <w:tcW w:w="1334" w:type="pct"/>
                  <w:noWrap w:val="0"/>
                  <w:vAlign w:val="center"/>
                </w:tcPr>
                <w:p w14:paraId="128DAAA7">
                  <w:pPr>
                    <w:pStyle w:val="50"/>
                    <w:spacing w:line="240" w:lineRule="auto"/>
                    <w:rPr>
                      <w:rFonts w:hint="default"/>
                      <w:color w:val="auto"/>
                      <w:szCs w:val="21"/>
                      <w:highlight w:val="none"/>
                      <w:lang w:val="en-US" w:eastAsia="zh-CN"/>
                    </w:rPr>
                  </w:pPr>
                  <w:r>
                    <w:rPr>
                      <w:rFonts w:hint="eastAsia"/>
                      <w:color w:val="auto"/>
                      <w:szCs w:val="21"/>
                      <w:highlight w:val="none"/>
                      <w:lang w:val="en-US" w:eastAsia="zh-CN"/>
                    </w:rPr>
                    <w:t>/</w:t>
                  </w:r>
                </w:p>
              </w:tc>
              <w:tc>
                <w:tcPr>
                  <w:tcW w:w="2095" w:type="pct"/>
                  <w:vMerge w:val="continue"/>
                  <w:tcBorders>
                    <w:right w:val="nil"/>
                  </w:tcBorders>
                  <w:noWrap w:val="0"/>
                  <w:vAlign w:val="center"/>
                </w:tcPr>
                <w:p w14:paraId="7A044B7E">
                  <w:pPr>
                    <w:pStyle w:val="50"/>
                    <w:spacing w:line="240" w:lineRule="auto"/>
                    <w:jc w:val="both"/>
                    <w:rPr>
                      <w:rFonts w:hint="eastAsia" w:ascii="Times New Roman" w:hAnsi="Times New Roman" w:cs="Times New Roman"/>
                      <w:b w:val="0"/>
                      <w:bCs w:val="0"/>
                      <w:color w:val="auto"/>
                      <w:sz w:val="21"/>
                      <w:szCs w:val="21"/>
                      <w:highlight w:val="none"/>
                      <w:lang w:val="en-US" w:eastAsia="zh-CN"/>
                    </w:rPr>
                  </w:pPr>
                </w:p>
              </w:tc>
            </w:tr>
            <w:tr w14:paraId="1418E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5F1E7F7A">
                  <w:pPr>
                    <w:pStyle w:val="50"/>
                    <w:spacing w:line="240" w:lineRule="auto"/>
                    <w:rPr>
                      <w:color w:val="auto"/>
                      <w:highlight w:val="none"/>
                    </w:rPr>
                  </w:pPr>
                </w:p>
              </w:tc>
              <w:tc>
                <w:tcPr>
                  <w:tcW w:w="540" w:type="pct"/>
                  <w:vMerge w:val="continue"/>
                  <w:noWrap w:val="0"/>
                  <w:vAlign w:val="center"/>
                </w:tcPr>
                <w:p w14:paraId="18677CB7">
                  <w:pPr>
                    <w:pStyle w:val="50"/>
                    <w:spacing w:line="240" w:lineRule="auto"/>
                    <w:rPr>
                      <w:color w:val="auto"/>
                      <w:highlight w:val="none"/>
                    </w:rPr>
                  </w:pPr>
                </w:p>
              </w:tc>
              <w:tc>
                <w:tcPr>
                  <w:tcW w:w="761" w:type="pct"/>
                  <w:noWrap w:val="0"/>
                  <w:vAlign w:val="center"/>
                </w:tcPr>
                <w:p w14:paraId="4832A7BE">
                  <w:pPr>
                    <w:pStyle w:val="50"/>
                    <w:spacing w:line="240" w:lineRule="auto"/>
                    <w:jc w:val="center"/>
                    <w:rPr>
                      <w:rFonts w:hint="eastAsia" w:ascii="Times New Roman" w:hAnsi="Times New Roman" w:eastAsia="宋体" w:cs="Times New Roman"/>
                      <w:snapToGrid w:val="0"/>
                      <w:color w:val="auto"/>
                      <w:kern w:val="2"/>
                      <w:sz w:val="21"/>
                      <w:szCs w:val="21"/>
                      <w:highlight w:val="none"/>
                      <w:lang w:val="en-US" w:eastAsia="zh-CN" w:bidi="ar-SA"/>
                    </w:rPr>
                  </w:pPr>
                  <w:r>
                    <w:rPr>
                      <w:rFonts w:hint="eastAsia"/>
                      <w:color w:val="auto"/>
                      <w:highlight w:val="none"/>
                      <w:lang w:val="en-US" w:eastAsia="zh-CN"/>
                    </w:rPr>
                    <w:t>颗粒物</w:t>
                  </w:r>
                </w:p>
              </w:tc>
              <w:tc>
                <w:tcPr>
                  <w:tcW w:w="1334" w:type="pct"/>
                  <w:noWrap w:val="0"/>
                  <w:vAlign w:val="center"/>
                </w:tcPr>
                <w:p w14:paraId="3F984397">
                  <w:pPr>
                    <w:pStyle w:val="50"/>
                    <w:spacing w:line="240" w:lineRule="auto"/>
                    <w:jc w:val="center"/>
                    <w:rPr>
                      <w:rFonts w:hint="default" w:ascii="Times New Roman" w:hAnsi="Times New Roman" w:eastAsia="宋体" w:cs="Times New Roman"/>
                      <w:snapToGrid w:val="0"/>
                      <w:color w:val="auto"/>
                      <w:kern w:val="2"/>
                      <w:sz w:val="21"/>
                      <w:szCs w:val="21"/>
                      <w:highlight w:val="none"/>
                      <w:lang w:val="en-US" w:eastAsia="zh-CN" w:bidi="ar-SA"/>
                    </w:rPr>
                  </w:pPr>
                  <w:r>
                    <w:rPr>
                      <w:rFonts w:hint="eastAsia"/>
                      <w:color w:val="auto"/>
                      <w:szCs w:val="21"/>
                      <w:highlight w:val="none"/>
                      <w:lang w:val="en-US" w:eastAsia="zh-CN"/>
                    </w:rPr>
                    <w:t>布袋除尘器</w:t>
                  </w:r>
                  <w:r>
                    <w:rPr>
                      <w:color w:val="auto"/>
                      <w:szCs w:val="21"/>
                      <w:highlight w:val="none"/>
                    </w:rPr>
                    <w:t>处理</w:t>
                  </w:r>
                </w:p>
              </w:tc>
              <w:tc>
                <w:tcPr>
                  <w:tcW w:w="2095" w:type="pct"/>
                  <w:tcBorders>
                    <w:right w:val="nil"/>
                  </w:tcBorders>
                  <w:noWrap w:val="0"/>
                  <w:vAlign w:val="center"/>
                </w:tcPr>
                <w:p w14:paraId="400F0A07">
                  <w:pPr>
                    <w:pStyle w:val="50"/>
                    <w:spacing w:line="240" w:lineRule="auto"/>
                    <w:jc w:val="center"/>
                    <w:rPr>
                      <w:rFonts w:ascii="Times New Roman" w:hAnsi="Times New Roman" w:eastAsia="宋体" w:cs="Times New Roman"/>
                      <w:snapToGrid w:val="0"/>
                      <w:color w:val="auto"/>
                      <w:kern w:val="2"/>
                      <w:sz w:val="21"/>
                      <w:szCs w:val="21"/>
                      <w:highlight w:val="none"/>
                      <w:lang w:val="en-US" w:eastAsia="zh-CN" w:bidi="ar-SA"/>
                    </w:rPr>
                  </w:pPr>
                  <w:r>
                    <w:rPr>
                      <w:rFonts w:hint="eastAsia"/>
                      <w:color w:val="auto"/>
                      <w:highlight w:val="none"/>
                    </w:rPr>
                    <w:t>《水泥工业大气污染物排放标准》（GB4915-2013）表3大气污染物无组织排放限值</w:t>
                  </w:r>
                  <w:r>
                    <w:rPr>
                      <w:rFonts w:hint="eastAsia"/>
                      <w:color w:val="auto"/>
                      <w:highlight w:val="none"/>
                      <w:lang w:val="en-US" w:eastAsia="zh-CN"/>
                    </w:rPr>
                    <w:t>0.5</w:t>
                  </w:r>
                  <w:r>
                    <w:rPr>
                      <w:rFonts w:hint="eastAsia" w:ascii="Times New Roman" w:hAnsi="Times New Roman" w:cs="Times New Roman"/>
                      <w:b w:val="0"/>
                      <w:bCs w:val="0"/>
                      <w:color w:val="auto"/>
                      <w:sz w:val="21"/>
                      <w:szCs w:val="21"/>
                      <w:highlight w:val="none"/>
                      <w:lang w:val="en-US" w:eastAsia="zh-CN"/>
                    </w:rPr>
                    <w:t>mg/m</w:t>
                  </w:r>
                  <w:r>
                    <w:rPr>
                      <w:rFonts w:hint="eastAsia" w:ascii="Times New Roman" w:hAnsi="Times New Roman" w:cs="Times New Roman"/>
                      <w:b w:val="0"/>
                      <w:bCs w:val="0"/>
                      <w:color w:val="auto"/>
                      <w:sz w:val="21"/>
                      <w:szCs w:val="21"/>
                      <w:highlight w:val="none"/>
                      <w:vertAlign w:val="superscript"/>
                      <w:lang w:val="en-US" w:eastAsia="zh-CN"/>
                    </w:rPr>
                    <w:t>3</w:t>
                  </w:r>
                  <w:r>
                    <w:rPr>
                      <w:rFonts w:hint="eastAsia"/>
                      <w:color w:val="auto"/>
                      <w:highlight w:val="none"/>
                    </w:rPr>
                    <w:t>。</w:t>
                  </w:r>
                </w:p>
              </w:tc>
            </w:tr>
            <w:tr w14:paraId="32EC7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7CAB6430">
                  <w:pPr>
                    <w:pStyle w:val="50"/>
                    <w:spacing w:line="240" w:lineRule="auto"/>
                    <w:rPr>
                      <w:color w:val="auto"/>
                      <w:highlight w:val="none"/>
                    </w:rPr>
                  </w:pPr>
                </w:p>
              </w:tc>
              <w:tc>
                <w:tcPr>
                  <w:tcW w:w="540" w:type="pct"/>
                  <w:vMerge w:val="continue"/>
                  <w:noWrap w:val="0"/>
                  <w:vAlign w:val="center"/>
                </w:tcPr>
                <w:p w14:paraId="5C23DDB3">
                  <w:pPr>
                    <w:pStyle w:val="50"/>
                    <w:spacing w:line="240" w:lineRule="auto"/>
                    <w:rPr>
                      <w:color w:val="auto"/>
                      <w:highlight w:val="none"/>
                    </w:rPr>
                  </w:pPr>
                </w:p>
              </w:tc>
              <w:tc>
                <w:tcPr>
                  <w:tcW w:w="761" w:type="pct"/>
                  <w:noWrap w:val="0"/>
                  <w:vAlign w:val="center"/>
                </w:tcPr>
                <w:p w14:paraId="6D06C265">
                  <w:pPr>
                    <w:pStyle w:val="50"/>
                    <w:spacing w:line="240" w:lineRule="auto"/>
                    <w:jc w:val="center"/>
                    <w:rPr>
                      <w:rFonts w:hint="eastAsia" w:eastAsia="宋体"/>
                      <w:color w:val="auto"/>
                      <w:highlight w:val="none"/>
                      <w:lang w:eastAsia="zh-CN"/>
                    </w:rPr>
                  </w:pPr>
                  <w:r>
                    <w:rPr>
                      <w:rFonts w:hint="eastAsia"/>
                      <w:color w:val="auto"/>
                      <w:highlight w:val="none"/>
                      <w:lang w:val="en-US" w:eastAsia="zh-CN"/>
                    </w:rPr>
                    <w:t>颗粒物</w:t>
                  </w:r>
                </w:p>
              </w:tc>
              <w:tc>
                <w:tcPr>
                  <w:tcW w:w="1334" w:type="pct"/>
                  <w:noWrap w:val="0"/>
                  <w:vAlign w:val="center"/>
                </w:tcPr>
                <w:p w14:paraId="469D3D8C">
                  <w:pPr>
                    <w:pStyle w:val="50"/>
                    <w:spacing w:line="240" w:lineRule="auto"/>
                    <w:jc w:val="center"/>
                    <w:rPr>
                      <w:color w:val="auto"/>
                      <w:highlight w:val="none"/>
                    </w:rPr>
                  </w:pPr>
                  <w:r>
                    <w:rPr>
                      <w:color w:val="auto"/>
                      <w:highlight w:val="none"/>
                    </w:rPr>
                    <w:t>加强车间通风</w:t>
                  </w:r>
                </w:p>
              </w:tc>
              <w:tc>
                <w:tcPr>
                  <w:tcW w:w="2095" w:type="pct"/>
                  <w:tcBorders>
                    <w:right w:val="nil"/>
                  </w:tcBorders>
                  <w:noWrap w:val="0"/>
                  <w:vAlign w:val="center"/>
                </w:tcPr>
                <w:p w14:paraId="65FB26E1">
                  <w:pPr>
                    <w:pStyle w:val="50"/>
                    <w:spacing w:line="240" w:lineRule="auto"/>
                    <w:jc w:val="center"/>
                    <w:rPr>
                      <w:color w:val="auto"/>
                      <w:highlight w:val="none"/>
                    </w:rPr>
                  </w:pPr>
                  <w:r>
                    <w:rPr>
                      <w:rFonts w:hint="eastAsia"/>
                      <w:color w:val="auto"/>
                      <w:highlight w:val="none"/>
                    </w:rPr>
                    <w:t>《水泥工业大气污染物排放标准》（GB4915-2013）表3大气污染物无组织排放限值</w:t>
                  </w:r>
                  <w:r>
                    <w:rPr>
                      <w:rFonts w:hint="eastAsia"/>
                      <w:color w:val="auto"/>
                      <w:highlight w:val="none"/>
                      <w:lang w:val="en-US" w:eastAsia="zh-CN"/>
                    </w:rPr>
                    <w:t>0.5</w:t>
                  </w:r>
                  <w:r>
                    <w:rPr>
                      <w:rFonts w:hint="eastAsia" w:ascii="Times New Roman" w:hAnsi="Times New Roman" w:cs="Times New Roman"/>
                      <w:b w:val="0"/>
                      <w:bCs w:val="0"/>
                      <w:color w:val="auto"/>
                      <w:sz w:val="21"/>
                      <w:szCs w:val="21"/>
                      <w:highlight w:val="none"/>
                      <w:lang w:val="en-US" w:eastAsia="zh-CN"/>
                    </w:rPr>
                    <w:t>mg/m</w:t>
                  </w:r>
                  <w:r>
                    <w:rPr>
                      <w:rFonts w:hint="eastAsia" w:ascii="Times New Roman" w:hAnsi="Times New Roman" w:cs="Times New Roman"/>
                      <w:b w:val="0"/>
                      <w:bCs w:val="0"/>
                      <w:color w:val="auto"/>
                      <w:sz w:val="21"/>
                      <w:szCs w:val="21"/>
                      <w:highlight w:val="none"/>
                      <w:vertAlign w:val="superscript"/>
                      <w:lang w:val="en-US" w:eastAsia="zh-CN"/>
                    </w:rPr>
                    <w:t>3</w:t>
                  </w:r>
                  <w:r>
                    <w:rPr>
                      <w:rFonts w:hint="eastAsia"/>
                      <w:color w:val="auto"/>
                      <w:highlight w:val="none"/>
                    </w:rPr>
                    <w:t>。</w:t>
                  </w:r>
                </w:p>
              </w:tc>
            </w:tr>
            <w:tr w14:paraId="71675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12FB361B">
                  <w:pPr>
                    <w:pStyle w:val="50"/>
                    <w:spacing w:line="240" w:lineRule="auto"/>
                    <w:rPr>
                      <w:color w:val="auto"/>
                      <w:highlight w:val="none"/>
                    </w:rPr>
                  </w:pPr>
                </w:p>
              </w:tc>
              <w:tc>
                <w:tcPr>
                  <w:tcW w:w="540" w:type="pct"/>
                  <w:vMerge w:val="continue"/>
                  <w:noWrap w:val="0"/>
                  <w:vAlign w:val="center"/>
                </w:tcPr>
                <w:p w14:paraId="49397ED2">
                  <w:pPr>
                    <w:pStyle w:val="50"/>
                    <w:spacing w:line="240" w:lineRule="auto"/>
                    <w:rPr>
                      <w:color w:val="auto"/>
                      <w:highlight w:val="none"/>
                    </w:rPr>
                  </w:pPr>
                </w:p>
              </w:tc>
              <w:tc>
                <w:tcPr>
                  <w:tcW w:w="761" w:type="pct"/>
                  <w:noWrap w:val="0"/>
                  <w:vAlign w:val="center"/>
                </w:tcPr>
                <w:p w14:paraId="242AAB4C">
                  <w:pPr>
                    <w:pStyle w:val="50"/>
                    <w:spacing w:line="240" w:lineRule="auto"/>
                    <w:jc w:val="center"/>
                    <w:rPr>
                      <w:rFonts w:hint="default"/>
                      <w:color w:val="auto"/>
                      <w:highlight w:val="none"/>
                      <w:lang w:val="en-US" w:eastAsia="zh-CN"/>
                    </w:rPr>
                  </w:pPr>
                  <w:r>
                    <w:rPr>
                      <w:rFonts w:hint="eastAsia"/>
                      <w:color w:val="auto"/>
                      <w:highlight w:val="none"/>
                      <w:lang w:val="en-US" w:eastAsia="zh-CN"/>
                    </w:rPr>
                    <w:t>切割烟尘</w:t>
                  </w:r>
                </w:p>
              </w:tc>
              <w:tc>
                <w:tcPr>
                  <w:tcW w:w="1334" w:type="pct"/>
                  <w:noWrap w:val="0"/>
                  <w:vAlign w:val="center"/>
                </w:tcPr>
                <w:p w14:paraId="58A780DF">
                  <w:pPr>
                    <w:pStyle w:val="50"/>
                    <w:spacing w:line="240" w:lineRule="auto"/>
                    <w:jc w:val="center"/>
                    <w:rPr>
                      <w:rFonts w:hint="default" w:eastAsia="宋体"/>
                      <w:color w:val="auto"/>
                      <w:highlight w:val="none"/>
                      <w:lang w:val="en-US" w:eastAsia="zh-CN"/>
                    </w:rPr>
                  </w:pPr>
                  <w:r>
                    <w:rPr>
                      <w:rFonts w:hint="eastAsia"/>
                      <w:color w:val="auto"/>
                      <w:highlight w:val="none"/>
                      <w:lang w:val="en-US" w:eastAsia="zh-CN"/>
                    </w:rPr>
                    <w:t>在全封闭车间进行，对周围环境影响较小</w:t>
                  </w:r>
                </w:p>
              </w:tc>
              <w:tc>
                <w:tcPr>
                  <w:tcW w:w="2095" w:type="pct"/>
                  <w:tcBorders>
                    <w:right w:val="nil"/>
                  </w:tcBorders>
                  <w:noWrap w:val="0"/>
                  <w:vAlign w:val="center"/>
                </w:tcPr>
                <w:p w14:paraId="44CBE58B">
                  <w:pPr>
                    <w:pStyle w:val="50"/>
                    <w:spacing w:line="240" w:lineRule="auto"/>
                    <w:jc w:val="center"/>
                    <w:rPr>
                      <w:rFonts w:hint="eastAsia"/>
                      <w:color w:val="auto"/>
                      <w:highlight w:val="none"/>
                    </w:rPr>
                  </w:pPr>
                  <w:r>
                    <w:rPr>
                      <w:rFonts w:hint="default" w:ascii="Times New Roman" w:hAnsi="Times New Roman" w:cs="Times New Roman" w:eastAsiaTheme="minorEastAsia"/>
                      <w:color w:val="auto"/>
                      <w:sz w:val="24"/>
                      <w:szCs w:val="24"/>
                    </w:rPr>
                    <w:t>《大气污染物综合排放标准》(GB16297-1996)</w:t>
                  </w:r>
                  <w:r>
                    <w:rPr>
                      <w:rFonts w:hint="eastAsia" w:ascii="Times New Roman" w:hAnsi="Times New Roman" w:cs="Times New Roman" w:eastAsiaTheme="minorEastAsia"/>
                      <w:color w:val="auto"/>
                      <w:sz w:val="24"/>
                      <w:szCs w:val="24"/>
                      <w:lang w:val="en-US" w:eastAsia="zh-CN"/>
                    </w:rPr>
                    <w:t>表2无组织排放浓度限制</w:t>
                  </w:r>
                </w:p>
              </w:tc>
            </w:tr>
            <w:tr w14:paraId="0D96C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37F4D874">
                  <w:pPr>
                    <w:pStyle w:val="50"/>
                    <w:spacing w:line="240" w:lineRule="auto"/>
                    <w:rPr>
                      <w:color w:val="auto"/>
                      <w:highlight w:val="none"/>
                    </w:rPr>
                  </w:pPr>
                </w:p>
              </w:tc>
              <w:tc>
                <w:tcPr>
                  <w:tcW w:w="540" w:type="pct"/>
                  <w:vMerge w:val="continue"/>
                  <w:noWrap w:val="0"/>
                  <w:vAlign w:val="center"/>
                </w:tcPr>
                <w:p w14:paraId="3FF12EB0">
                  <w:pPr>
                    <w:pStyle w:val="50"/>
                    <w:spacing w:line="240" w:lineRule="auto"/>
                    <w:rPr>
                      <w:color w:val="auto"/>
                      <w:highlight w:val="none"/>
                    </w:rPr>
                  </w:pPr>
                </w:p>
              </w:tc>
              <w:tc>
                <w:tcPr>
                  <w:tcW w:w="761" w:type="pct"/>
                  <w:noWrap w:val="0"/>
                  <w:vAlign w:val="center"/>
                </w:tcPr>
                <w:p w14:paraId="78A7ACA7">
                  <w:pPr>
                    <w:pStyle w:val="50"/>
                    <w:spacing w:line="240" w:lineRule="auto"/>
                    <w:jc w:val="center"/>
                    <w:rPr>
                      <w:rFonts w:hint="default"/>
                      <w:color w:val="auto"/>
                      <w:highlight w:val="none"/>
                      <w:lang w:val="en-US" w:eastAsia="zh-CN"/>
                    </w:rPr>
                  </w:pPr>
                  <w:r>
                    <w:rPr>
                      <w:rFonts w:hint="eastAsia"/>
                      <w:color w:val="auto"/>
                      <w:highlight w:val="none"/>
                      <w:lang w:val="en-US" w:eastAsia="zh-CN"/>
                    </w:rPr>
                    <w:t>焊接烟尘</w:t>
                  </w:r>
                </w:p>
              </w:tc>
              <w:tc>
                <w:tcPr>
                  <w:tcW w:w="1334" w:type="pct"/>
                  <w:noWrap w:val="0"/>
                  <w:vAlign w:val="center"/>
                </w:tcPr>
                <w:p w14:paraId="04B80D70">
                  <w:pPr>
                    <w:pStyle w:val="50"/>
                    <w:spacing w:line="240" w:lineRule="auto"/>
                    <w:jc w:val="center"/>
                    <w:rPr>
                      <w:color w:val="auto"/>
                      <w:highlight w:val="none"/>
                    </w:rPr>
                  </w:pPr>
                  <w:r>
                    <w:rPr>
                      <w:rFonts w:hint="eastAsia"/>
                      <w:color w:val="auto"/>
                      <w:highlight w:val="none"/>
                      <w:lang w:val="en-US" w:eastAsia="zh-CN"/>
                    </w:rPr>
                    <w:t>在全封闭车间进行，对周围环境影响较小</w:t>
                  </w:r>
                </w:p>
              </w:tc>
              <w:tc>
                <w:tcPr>
                  <w:tcW w:w="2095" w:type="pct"/>
                  <w:tcBorders>
                    <w:right w:val="nil"/>
                  </w:tcBorders>
                  <w:noWrap w:val="0"/>
                  <w:vAlign w:val="center"/>
                </w:tcPr>
                <w:p w14:paraId="09F8ACE8">
                  <w:pPr>
                    <w:pStyle w:val="50"/>
                    <w:spacing w:line="240" w:lineRule="auto"/>
                    <w:jc w:val="center"/>
                    <w:rPr>
                      <w:rFonts w:hint="eastAsia" w:ascii="Times New Roman" w:hAnsi="Times New Roman" w:cs="Times New Roman"/>
                      <w:color w:val="auto"/>
                      <w:highlight w:val="none"/>
                    </w:rPr>
                  </w:pPr>
                  <w:r>
                    <w:rPr>
                      <w:rFonts w:hint="default" w:ascii="Times New Roman" w:hAnsi="Times New Roman" w:cs="Times New Roman"/>
                      <w:color w:val="auto"/>
                      <w:highlight w:val="none"/>
                    </w:rPr>
                    <w:t>《大气污染物综合排放标准》(GB16297-1996)</w:t>
                  </w:r>
                  <w:r>
                    <w:rPr>
                      <w:rFonts w:hint="eastAsia" w:ascii="Times New Roman" w:hAnsi="Times New Roman" w:cs="Times New Roman"/>
                      <w:color w:val="auto"/>
                      <w:highlight w:val="none"/>
                      <w:lang w:val="en-US" w:eastAsia="zh-CN"/>
                    </w:rPr>
                    <w:t>表2无组织排放浓度限制</w:t>
                  </w:r>
                </w:p>
              </w:tc>
            </w:tr>
            <w:tr w14:paraId="7AF3F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56CDBD4A">
                  <w:pPr>
                    <w:pStyle w:val="50"/>
                    <w:spacing w:line="240" w:lineRule="auto"/>
                    <w:rPr>
                      <w:color w:val="auto"/>
                      <w:highlight w:val="none"/>
                    </w:rPr>
                  </w:pPr>
                </w:p>
              </w:tc>
              <w:tc>
                <w:tcPr>
                  <w:tcW w:w="540" w:type="pct"/>
                  <w:vMerge w:val="continue"/>
                  <w:noWrap w:val="0"/>
                  <w:vAlign w:val="center"/>
                </w:tcPr>
                <w:p w14:paraId="710C21FB">
                  <w:pPr>
                    <w:pStyle w:val="50"/>
                    <w:spacing w:line="240" w:lineRule="auto"/>
                    <w:rPr>
                      <w:color w:val="auto"/>
                      <w:highlight w:val="none"/>
                    </w:rPr>
                  </w:pPr>
                </w:p>
              </w:tc>
              <w:tc>
                <w:tcPr>
                  <w:tcW w:w="761" w:type="pct"/>
                  <w:noWrap w:val="0"/>
                  <w:vAlign w:val="center"/>
                </w:tcPr>
                <w:p w14:paraId="3FE9E449">
                  <w:pPr>
                    <w:pStyle w:val="50"/>
                    <w:spacing w:line="240" w:lineRule="auto"/>
                    <w:jc w:val="center"/>
                    <w:rPr>
                      <w:rFonts w:hint="default"/>
                      <w:color w:val="auto"/>
                      <w:highlight w:val="none"/>
                      <w:lang w:val="en-US" w:eastAsia="zh-CN"/>
                    </w:rPr>
                  </w:pPr>
                  <w:r>
                    <w:rPr>
                      <w:rFonts w:hint="eastAsia"/>
                      <w:color w:val="auto"/>
                      <w:highlight w:val="none"/>
                      <w:lang w:val="en-US" w:eastAsia="zh-CN"/>
                    </w:rPr>
                    <w:t>涂料废气</w:t>
                  </w:r>
                </w:p>
              </w:tc>
              <w:tc>
                <w:tcPr>
                  <w:tcW w:w="1334" w:type="pct"/>
                  <w:noWrap w:val="0"/>
                  <w:vAlign w:val="center"/>
                </w:tcPr>
                <w:p w14:paraId="0C8F78B9">
                  <w:pPr>
                    <w:pStyle w:val="50"/>
                    <w:spacing w:line="240" w:lineRule="auto"/>
                    <w:jc w:val="center"/>
                    <w:rPr>
                      <w:color w:val="auto"/>
                      <w:highlight w:val="none"/>
                    </w:rPr>
                  </w:pPr>
                  <w:r>
                    <w:rPr>
                      <w:rFonts w:hint="eastAsia"/>
                      <w:color w:val="auto"/>
                      <w:highlight w:val="none"/>
                      <w:lang w:val="en-US" w:eastAsia="zh-CN"/>
                    </w:rPr>
                    <w:t>在全封闭车间进行，对周围环境影响较小</w:t>
                  </w:r>
                </w:p>
              </w:tc>
              <w:tc>
                <w:tcPr>
                  <w:tcW w:w="2095" w:type="pct"/>
                  <w:tcBorders>
                    <w:right w:val="nil"/>
                  </w:tcBorders>
                  <w:noWrap w:val="0"/>
                  <w:vAlign w:val="center"/>
                </w:tcPr>
                <w:p w14:paraId="3CA94D47">
                  <w:pPr>
                    <w:pStyle w:val="50"/>
                    <w:spacing w:line="240" w:lineRule="auto"/>
                    <w:jc w:val="center"/>
                    <w:rPr>
                      <w:rFonts w:hint="eastAsia" w:ascii="Times New Roman" w:hAnsi="Times New Roman" w:cs="Times New Roman"/>
                      <w:color w:val="auto"/>
                      <w:highlight w:val="none"/>
                    </w:rPr>
                  </w:pPr>
                  <w:r>
                    <w:rPr>
                      <w:rFonts w:hint="default" w:ascii="Times New Roman" w:hAnsi="Times New Roman" w:cs="Times New Roman"/>
                      <w:color w:val="auto"/>
                      <w:highlight w:val="none"/>
                    </w:rPr>
                    <w:t>《大气污染物综合排放标准》(GB16297-1996)</w:t>
                  </w:r>
                  <w:r>
                    <w:rPr>
                      <w:rFonts w:hint="eastAsia" w:ascii="Times New Roman" w:hAnsi="Times New Roman" w:cs="Times New Roman"/>
                      <w:color w:val="auto"/>
                      <w:highlight w:val="none"/>
                      <w:lang w:val="en-US" w:eastAsia="zh-CN"/>
                    </w:rPr>
                    <w:t>表2无组织排放浓度限制</w:t>
                  </w:r>
                </w:p>
              </w:tc>
            </w:tr>
            <w:tr w14:paraId="065A2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14F9238F">
                  <w:pPr>
                    <w:pStyle w:val="50"/>
                    <w:spacing w:line="240" w:lineRule="auto"/>
                    <w:rPr>
                      <w:color w:val="auto"/>
                      <w:highlight w:val="none"/>
                    </w:rPr>
                  </w:pPr>
                </w:p>
              </w:tc>
              <w:tc>
                <w:tcPr>
                  <w:tcW w:w="540" w:type="pct"/>
                  <w:vMerge w:val="continue"/>
                  <w:noWrap w:val="0"/>
                  <w:vAlign w:val="center"/>
                </w:tcPr>
                <w:p w14:paraId="412D204A">
                  <w:pPr>
                    <w:pStyle w:val="50"/>
                    <w:spacing w:line="240" w:lineRule="auto"/>
                    <w:rPr>
                      <w:color w:val="auto"/>
                      <w:highlight w:val="none"/>
                    </w:rPr>
                  </w:pPr>
                </w:p>
              </w:tc>
              <w:tc>
                <w:tcPr>
                  <w:tcW w:w="761" w:type="pct"/>
                  <w:noWrap w:val="0"/>
                  <w:vAlign w:val="center"/>
                </w:tcPr>
                <w:p w14:paraId="280F8CD1">
                  <w:pPr>
                    <w:pStyle w:val="50"/>
                    <w:spacing w:line="240" w:lineRule="auto"/>
                    <w:jc w:val="center"/>
                    <w:rPr>
                      <w:rFonts w:hint="default"/>
                      <w:color w:val="auto"/>
                      <w:highlight w:val="none"/>
                      <w:lang w:val="en-US" w:eastAsia="zh-CN"/>
                    </w:rPr>
                  </w:pPr>
                  <w:r>
                    <w:rPr>
                      <w:rFonts w:hint="eastAsia"/>
                      <w:color w:val="auto"/>
                      <w:highlight w:val="none"/>
                      <w:lang w:val="en-US" w:eastAsia="zh-CN"/>
                    </w:rPr>
                    <w:t>运输扬尘</w:t>
                  </w:r>
                </w:p>
              </w:tc>
              <w:tc>
                <w:tcPr>
                  <w:tcW w:w="1334" w:type="pct"/>
                  <w:noWrap w:val="0"/>
                  <w:vAlign w:val="center"/>
                </w:tcPr>
                <w:p w14:paraId="02F12D05">
                  <w:pPr>
                    <w:pStyle w:val="50"/>
                    <w:spacing w:line="240" w:lineRule="auto"/>
                    <w:jc w:val="center"/>
                    <w:rPr>
                      <w:color w:val="auto"/>
                      <w:highlight w:val="none"/>
                    </w:rPr>
                  </w:pPr>
                  <w:r>
                    <w:rPr>
                      <w:rFonts w:hint="default" w:ascii="Times New Roman" w:hAnsi="Times New Roman" w:cs="Times New Roman"/>
                      <w:color w:val="auto"/>
                      <w:highlight w:val="none"/>
                      <w:lang w:val="en-US" w:eastAsia="zh-CN"/>
                    </w:rPr>
                    <w:t>厂区道路硬化、控制车速、密封运输物料及安装车辆冲洗平台等措施后，运输产生的扬尘对周围环境影响不大</w:t>
                  </w:r>
                  <w:r>
                    <w:rPr>
                      <w:rFonts w:hint="eastAsia" w:ascii="Times New Roman" w:hAnsi="Times New Roman" w:cs="Times New Roman"/>
                      <w:color w:val="auto"/>
                      <w:highlight w:val="none"/>
                      <w:lang w:val="en-US" w:eastAsia="zh-CN"/>
                    </w:rPr>
                    <w:t>。</w:t>
                  </w:r>
                </w:p>
              </w:tc>
              <w:tc>
                <w:tcPr>
                  <w:tcW w:w="2095" w:type="pct"/>
                  <w:tcBorders>
                    <w:right w:val="nil"/>
                  </w:tcBorders>
                  <w:noWrap w:val="0"/>
                  <w:vAlign w:val="center"/>
                </w:tcPr>
                <w:p w14:paraId="43DEEDC8">
                  <w:pPr>
                    <w:pStyle w:val="50"/>
                    <w:spacing w:line="240" w:lineRule="auto"/>
                    <w:jc w:val="center"/>
                    <w:rPr>
                      <w:rFonts w:hint="eastAsia" w:ascii="Times New Roman" w:hAnsi="Times New Roman" w:cs="Times New Roman"/>
                      <w:color w:val="auto"/>
                      <w:highlight w:val="none"/>
                    </w:rPr>
                  </w:pPr>
                  <w:r>
                    <w:rPr>
                      <w:rFonts w:hint="default" w:ascii="Times New Roman" w:hAnsi="Times New Roman" w:cs="Times New Roman"/>
                      <w:color w:val="auto"/>
                      <w:highlight w:val="none"/>
                    </w:rPr>
                    <w:t>《大气污染物综合排放标准》(GB16297-1996)</w:t>
                  </w:r>
                  <w:r>
                    <w:rPr>
                      <w:rFonts w:hint="eastAsia" w:ascii="Times New Roman" w:hAnsi="Times New Roman" w:cs="Times New Roman"/>
                      <w:color w:val="auto"/>
                      <w:highlight w:val="none"/>
                      <w:lang w:val="en-US" w:eastAsia="zh-CN"/>
                    </w:rPr>
                    <w:t>表2无组织排放浓度限制</w:t>
                  </w:r>
                </w:p>
              </w:tc>
            </w:tr>
            <w:tr w14:paraId="58B3C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2FCB6F70">
                  <w:pPr>
                    <w:pStyle w:val="50"/>
                    <w:spacing w:line="240" w:lineRule="auto"/>
                    <w:rPr>
                      <w:color w:val="auto"/>
                      <w:highlight w:val="none"/>
                    </w:rPr>
                  </w:pPr>
                </w:p>
              </w:tc>
              <w:tc>
                <w:tcPr>
                  <w:tcW w:w="540" w:type="pct"/>
                  <w:vMerge w:val="continue"/>
                  <w:noWrap w:val="0"/>
                  <w:vAlign w:val="center"/>
                </w:tcPr>
                <w:p w14:paraId="7B14C8BC">
                  <w:pPr>
                    <w:pStyle w:val="50"/>
                    <w:spacing w:line="240" w:lineRule="auto"/>
                    <w:rPr>
                      <w:color w:val="auto"/>
                      <w:highlight w:val="none"/>
                    </w:rPr>
                  </w:pPr>
                </w:p>
              </w:tc>
              <w:tc>
                <w:tcPr>
                  <w:tcW w:w="761" w:type="pct"/>
                  <w:noWrap w:val="0"/>
                  <w:vAlign w:val="center"/>
                </w:tcPr>
                <w:p w14:paraId="32C379E3">
                  <w:pPr>
                    <w:pStyle w:val="50"/>
                    <w:spacing w:line="240" w:lineRule="auto"/>
                    <w:rPr>
                      <w:rFonts w:hint="default" w:eastAsia="宋体"/>
                      <w:color w:val="auto"/>
                      <w:highlight w:val="none"/>
                      <w:lang w:val="en-US" w:eastAsia="zh-CN"/>
                    </w:rPr>
                  </w:pPr>
                  <w:r>
                    <w:rPr>
                      <w:rFonts w:hint="eastAsia"/>
                      <w:color w:val="auto"/>
                      <w:highlight w:val="none"/>
                      <w:lang w:val="en-US" w:eastAsia="zh-CN"/>
                    </w:rPr>
                    <w:t>食堂油烟</w:t>
                  </w:r>
                </w:p>
              </w:tc>
              <w:tc>
                <w:tcPr>
                  <w:tcW w:w="1334" w:type="pct"/>
                  <w:noWrap w:val="0"/>
                  <w:vAlign w:val="center"/>
                </w:tcPr>
                <w:p w14:paraId="3D0AD9F7">
                  <w:pPr>
                    <w:pStyle w:val="50"/>
                    <w:spacing w:line="240" w:lineRule="auto"/>
                    <w:rPr>
                      <w:rFonts w:hint="eastAsia" w:eastAsia="宋体"/>
                      <w:color w:val="auto"/>
                      <w:highlight w:val="none"/>
                      <w:lang w:val="en-US" w:eastAsia="zh-CN"/>
                    </w:rPr>
                  </w:pPr>
                  <w:r>
                    <w:rPr>
                      <w:rFonts w:hint="eastAsia"/>
                      <w:color w:val="auto"/>
                      <w:highlight w:val="none"/>
                      <w:lang w:val="en-US" w:eastAsia="zh-CN"/>
                    </w:rPr>
                    <w:t>油烟净化器</w:t>
                  </w:r>
                </w:p>
              </w:tc>
              <w:tc>
                <w:tcPr>
                  <w:tcW w:w="2095" w:type="pct"/>
                  <w:tcBorders>
                    <w:right w:val="nil"/>
                  </w:tcBorders>
                  <w:noWrap w:val="0"/>
                  <w:vAlign w:val="center"/>
                </w:tcPr>
                <w:p w14:paraId="6DE444C3">
                  <w:pPr>
                    <w:pStyle w:val="50"/>
                    <w:spacing w:line="240" w:lineRule="auto"/>
                    <w:jc w:val="both"/>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《饮食业油烟排放标准（试行）》（GB18483-2001）标准要求</w:t>
                  </w:r>
                  <w:r>
                    <w:rPr>
                      <w:rFonts w:hint="eastAsia" w:ascii="Times New Roman" w:hAnsi="Times New Roman" w:eastAsia="宋体" w:cs="Times New Roman"/>
                      <w:color w:val="auto"/>
                      <w:sz w:val="21"/>
                      <w:szCs w:val="21"/>
                      <w:highlight w:val="none"/>
                      <w:lang w:val="en-US" w:eastAsia="zh-CN"/>
                    </w:rPr>
                    <w:t>.</w:t>
                  </w:r>
                </w:p>
              </w:tc>
            </w:tr>
            <w:tr w14:paraId="0FD04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tcBorders>
                    <w:left w:val="nil"/>
                  </w:tcBorders>
                  <w:noWrap w:val="0"/>
                  <w:vAlign w:val="center"/>
                </w:tcPr>
                <w:p w14:paraId="1B3A0F73">
                  <w:pPr>
                    <w:pStyle w:val="50"/>
                    <w:spacing w:line="240" w:lineRule="auto"/>
                    <w:rPr>
                      <w:color w:val="auto"/>
                      <w:highlight w:val="none"/>
                    </w:rPr>
                  </w:pPr>
                  <w:r>
                    <w:rPr>
                      <w:color w:val="auto"/>
                      <w:highlight w:val="none"/>
                    </w:rPr>
                    <w:t>2</w:t>
                  </w:r>
                </w:p>
              </w:tc>
              <w:tc>
                <w:tcPr>
                  <w:tcW w:w="540" w:type="pct"/>
                  <w:noWrap w:val="0"/>
                  <w:vAlign w:val="center"/>
                </w:tcPr>
                <w:p w14:paraId="6CBBDB02">
                  <w:pPr>
                    <w:pStyle w:val="50"/>
                    <w:spacing w:line="240" w:lineRule="auto"/>
                    <w:rPr>
                      <w:color w:val="auto"/>
                      <w:highlight w:val="none"/>
                    </w:rPr>
                  </w:pPr>
                  <w:r>
                    <w:rPr>
                      <w:color w:val="auto"/>
                      <w:highlight w:val="none"/>
                    </w:rPr>
                    <w:t>废水</w:t>
                  </w:r>
                </w:p>
              </w:tc>
              <w:tc>
                <w:tcPr>
                  <w:tcW w:w="761" w:type="pct"/>
                  <w:noWrap w:val="0"/>
                  <w:vAlign w:val="center"/>
                </w:tcPr>
                <w:p w14:paraId="6B827311">
                  <w:pPr>
                    <w:pStyle w:val="50"/>
                    <w:spacing w:line="240" w:lineRule="auto"/>
                    <w:rPr>
                      <w:color w:val="auto"/>
                      <w:highlight w:val="none"/>
                    </w:rPr>
                  </w:pPr>
                  <w:r>
                    <w:rPr>
                      <w:color w:val="auto"/>
                      <w:highlight w:val="none"/>
                    </w:rPr>
                    <w:t>生活污水</w:t>
                  </w:r>
                </w:p>
              </w:tc>
              <w:tc>
                <w:tcPr>
                  <w:tcW w:w="1334" w:type="pct"/>
                  <w:noWrap w:val="0"/>
                  <w:vAlign w:val="center"/>
                </w:tcPr>
                <w:p w14:paraId="58995195">
                  <w:pPr>
                    <w:pStyle w:val="50"/>
                    <w:spacing w:line="240" w:lineRule="auto"/>
                    <w:jc w:val="both"/>
                    <w:rPr>
                      <w:rFonts w:hint="default" w:eastAsia="宋体"/>
                      <w:color w:val="auto"/>
                      <w:highlight w:val="none"/>
                      <w:lang w:val="en-US" w:eastAsia="zh-CN"/>
                    </w:rPr>
                  </w:pPr>
                  <w:r>
                    <w:rPr>
                      <w:color w:val="auto"/>
                      <w:highlight w:val="none"/>
                    </w:rPr>
                    <w:t>直排</w:t>
                  </w:r>
                  <w:r>
                    <w:rPr>
                      <w:rFonts w:hint="eastAsia"/>
                      <w:color w:val="auto"/>
                      <w:highlight w:val="none"/>
                      <w:lang w:val="en-US" w:eastAsia="zh-CN"/>
                    </w:rPr>
                    <w:t>园区</w:t>
                  </w:r>
                  <w:r>
                    <w:rPr>
                      <w:color w:val="auto"/>
                      <w:highlight w:val="none"/>
                    </w:rPr>
                    <w:t>污水管网</w:t>
                  </w:r>
                  <w:r>
                    <w:rPr>
                      <w:rFonts w:hint="eastAsia"/>
                      <w:color w:val="auto"/>
                      <w:highlight w:val="none"/>
                      <w:lang w:val="en-US" w:eastAsia="zh-CN"/>
                    </w:rPr>
                    <w:t>最终通向吉木萨尔县第二污水处理厂</w:t>
                  </w:r>
                </w:p>
              </w:tc>
              <w:tc>
                <w:tcPr>
                  <w:tcW w:w="2095" w:type="pct"/>
                  <w:tcBorders>
                    <w:right w:val="nil"/>
                  </w:tcBorders>
                  <w:noWrap w:val="0"/>
                  <w:vAlign w:val="center"/>
                </w:tcPr>
                <w:p w14:paraId="07E67F2E">
                  <w:pPr>
                    <w:pStyle w:val="50"/>
                    <w:spacing w:line="240" w:lineRule="auto"/>
                    <w:jc w:val="both"/>
                    <w:rPr>
                      <w:color w:val="auto"/>
                      <w:highlight w:val="none"/>
                    </w:rPr>
                  </w:pPr>
                  <w:r>
                    <w:rPr>
                      <w:color w:val="auto"/>
                      <w:highlight w:val="none"/>
                    </w:rPr>
                    <w:t>《污水综合排放标准》（GB8978-1996）表4中三级标准</w:t>
                  </w:r>
                </w:p>
              </w:tc>
            </w:tr>
            <w:tr w14:paraId="7B6CF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tcBorders>
                    <w:left w:val="nil"/>
                  </w:tcBorders>
                  <w:noWrap w:val="0"/>
                  <w:vAlign w:val="center"/>
                </w:tcPr>
                <w:p w14:paraId="4DF52628">
                  <w:pPr>
                    <w:pStyle w:val="50"/>
                    <w:spacing w:line="240" w:lineRule="auto"/>
                    <w:rPr>
                      <w:color w:val="auto"/>
                      <w:highlight w:val="none"/>
                    </w:rPr>
                  </w:pPr>
                  <w:r>
                    <w:rPr>
                      <w:color w:val="auto"/>
                      <w:highlight w:val="none"/>
                    </w:rPr>
                    <w:t>3</w:t>
                  </w:r>
                </w:p>
              </w:tc>
              <w:tc>
                <w:tcPr>
                  <w:tcW w:w="540" w:type="pct"/>
                  <w:noWrap w:val="0"/>
                  <w:vAlign w:val="center"/>
                </w:tcPr>
                <w:p w14:paraId="520629AA">
                  <w:pPr>
                    <w:pStyle w:val="50"/>
                    <w:spacing w:line="240" w:lineRule="auto"/>
                    <w:rPr>
                      <w:color w:val="auto"/>
                      <w:highlight w:val="none"/>
                    </w:rPr>
                  </w:pPr>
                  <w:r>
                    <w:rPr>
                      <w:color w:val="auto"/>
                      <w:highlight w:val="none"/>
                    </w:rPr>
                    <w:t>噪声</w:t>
                  </w:r>
                </w:p>
              </w:tc>
              <w:tc>
                <w:tcPr>
                  <w:tcW w:w="761" w:type="pct"/>
                  <w:noWrap w:val="0"/>
                  <w:vAlign w:val="center"/>
                </w:tcPr>
                <w:p w14:paraId="1DD21EAB">
                  <w:pPr>
                    <w:pStyle w:val="50"/>
                    <w:spacing w:line="240" w:lineRule="auto"/>
                    <w:jc w:val="both"/>
                    <w:rPr>
                      <w:color w:val="auto"/>
                      <w:highlight w:val="none"/>
                    </w:rPr>
                  </w:pPr>
                  <w:r>
                    <w:rPr>
                      <w:color w:val="auto"/>
                      <w:highlight w:val="none"/>
                    </w:rPr>
                    <w:t>等效连续A声级(Leq(A))</w:t>
                  </w:r>
                </w:p>
              </w:tc>
              <w:tc>
                <w:tcPr>
                  <w:tcW w:w="1334" w:type="pct"/>
                  <w:noWrap w:val="0"/>
                  <w:vAlign w:val="center"/>
                </w:tcPr>
                <w:p w14:paraId="6BA66B0A">
                  <w:pPr>
                    <w:pStyle w:val="50"/>
                    <w:spacing w:line="240" w:lineRule="auto"/>
                    <w:jc w:val="both"/>
                    <w:rPr>
                      <w:color w:val="auto"/>
                      <w:highlight w:val="none"/>
                    </w:rPr>
                  </w:pPr>
                  <w:r>
                    <w:rPr>
                      <w:color w:val="auto"/>
                      <w:highlight w:val="none"/>
                    </w:rPr>
                    <w:t>噪声源全部安装在室内，设备采取减振措施</w:t>
                  </w:r>
                </w:p>
              </w:tc>
              <w:tc>
                <w:tcPr>
                  <w:tcW w:w="2095" w:type="pct"/>
                  <w:tcBorders>
                    <w:right w:val="nil"/>
                  </w:tcBorders>
                  <w:noWrap w:val="0"/>
                  <w:vAlign w:val="center"/>
                </w:tcPr>
                <w:p w14:paraId="710BB04B">
                  <w:pPr>
                    <w:pStyle w:val="50"/>
                    <w:spacing w:line="240" w:lineRule="auto"/>
                    <w:jc w:val="both"/>
                    <w:rPr>
                      <w:color w:val="auto"/>
                      <w:highlight w:val="none"/>
                    </w:rPr>
                  </w:pPr>
                  <w:r>
                    <w:rPr>
                      <w:color w:val="auto"/>
                      <w:highlight w:val="none"/>
                    </w:rPr>
                    <w:t>厂界噪声达《工业企业厂界环境噪声排放标准》（GB12348-2008）中的</w:t>
                  </w:r>
                  <w:r>
                    <w:rPr>
                      <w:rFonts w:hint="eastAsia"/>
                      <w:color w:val="auto"/>
                      <w:highlight w:val="none"/>
                      <w:lang w:val="en-US" w:eastAsia="zh-CN"/>
                    </w:rPr>
                    <w:t>3</w:t>
                  </w:r>
                  <w:r>
                    <w:rPr>
                      <w:color w:val="auto"/>
                      <w:highlight w:val="none"/>
                    </w:rPr>
                    <w:t>类标准</w:t>
                  </w:r>
                </w:p>
              </w:tc>
            </w:tr>
            <w:tr w14:paraId="577F0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restart"/>
                  <w:tcBorders>
                    <w:left w:val="nil"/>
                  </w:tcBorders>
                  <w:noWrap w:val="0"/>
                  <w:vAlign w:val="center"/>
                </w:tcPr>
                <w:p w14:paraId="4629F27E">
                  <w:pPr>
                    <w:pStyle w:val="50"/>
                    <w:spacing w:line="240" w:lineRule="auto"/>
                    <w:rPr>
                      <w:color w:val="auto"/>
                      <w:highlight w:val="none"/>
                    </w:rPr>
                  </w:pPr>
                  <w:r>
                    <w:rPr>
                      <w:color w:val="auto"/>
                      <w:highlight w:val="none"/>
                    </w:rPr>
                    <w:t>4</w:t>
                  </w:r>
                </w:p>
              </w:tc>
              <w:tc>
                <w:tcPr>
                  <w:tcW w:w="540" w:type="pct"/>
                  <w:vMerge w:val="restart"/>
                  <w:noWrap w:val="0"/>
                  <w:vAlign w:val="center"/>
                </w:tcPr>
                <w:p w14:paraId="2C0B86BC">
                  <w:pPr>
                    <w:pStyle w:val="50"/>
                    <w:spacing w:line="240" w:lineRule="auto"/>
                    <w:rPr>
                      <w:color w:val="auto"/>
                      <w:highlight w:val="none"/>
                    </w:rPr>
                  </w:pPr>
                  <w:r>
                    <w:rPr>
                      <w:color w:val="auto"/>
                      <w:highlight w:val="none"/>
                    </w:rPr>
                    <w:t>固废</w:t>
                  </w:r>
                </w:p>
              </w:tc>
              <w:tc>
                <w:tcPr>
                  <w:tcW w:w="761" w:type="pct"/>
                  <w:noWrap w:val="0"/>
                  <w:vAlign w:val="center"/>
                </w:tcPr>
                <w:p w14:paraId="6A4833CC">
                  <w:pPr>
                    <w:pStyle w:val="50"/>
                    <w:spacing w:line="240" w:lineRule="auto"/>
                    <w:rPr>
                      <w:color w:val="auto"/>
                      <w:highlight w:val="none"/>
                    </w:rPr>
                  </w:pPr>
                  <w:r>
                    <w:rPr>
                      <w:color w:val="auto"/>
                      <w:highlight w:val="none"/>
                    </w:rPr>
                    <w:t>生活垃圾</w:t>
                  </w:r>
                </w:p>
              </w:tc>
              <w:tc>
                <w:tcPr>
                  <w:tcW w:w="1334" w:type="pct"/>
                  <w:noWrap w:val="0"/>
                  <w:vAlign w:val="center"/>
                </w:tcPr>
                <w:p w14:paraId="42B78039">
                  <w:pPr>
                    <w:pStyle w:val="50"/>
                    <w:spacing w:line="240" w:lineRule="auto"/>
                    <w:jc w:val="both"/>
                    <w:rPr>
                      <w:color w:val="auto"/>
                      <w:highlight w:val="none"/>
                    </w:rPr>
                  </w:pPr>
                  <w:r>
                    <w:rPr>
                      <w:color w:val="auto"/>
                      <w:highlight w:val="none"/>
                    </w:rPr>
                    <w:t>集中收集后由环卫部门定期清运</w:t>
                  </w:r>
                </w:p>
              </w:tc>
              <w:tc>
                <w:tcPr>
                  <w:tcW w:w="2095" w:type="pct"/>
                  <w:vMerge w:val="restart"/>
                  <w:tcBorders>
                    <w:right w:val="nil"/>
                  </w:tcBorders>
                  <w:noWrap w:val="0"/>
                  <w:vAlign w:val="center"/>
                </w:tcPr>
                <w:p w14:paraId="1FCCE428">
                  <w:pPr>
                    <w:pStyle w:val="50"/>
                    <w:spacing w:line="240" w:lineRule="auto"/>
                    <w:jc w:val="both"/>
                    <w:rPr>
                      <w:color w:val="auto"/>
                      <w:highlight w:val="none"/>
                    </w:rPr>
                  </w:pPr>
                  <w:r>
                    <w:rPr>
                      <w:color w:val="auto"/>
                      <w:highlight w:val="none"/>
                    </w:rPr>
                    <w:t>《一般工业固体废物贮存和填埋污染控制标准》（GB18599-2020）要求</w:t>
                  </w:r>
                </w:p>
              </w:tc>
            </w:tr>
            <w:tr w14:paraId="6C5F7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267" w:type="pct"/>
                  <w:vMerge w:val="continue"/>
                  <w:tcBorders>
                    <w:left w:val="nil"/>
                  </w:tcBorders>
                  <w:noWrap w:val="0"/>
                  <w:vAlign w:val="center"/>
                </w:tcPr>
                <w:p w14:paraId="12290ED7">
                  <w:pPr>
                    <w:pStyle w:val="50"/>
                    <w:spacing w:line="240" w:lineRule="auto"/>
                    <w:rPr>
                      <w:color w:val="auto"/>
                      <w:highlight w:val="none"/>
                    </w:rPr>
                  </w:pPr>
                </w:p>
              </w:tc>
              <w:tc>
                <w:tcPr>
                  <w:tcW w:w="540" w:type="pct"/>
                  <w:vMerge w:val="continue"/>
                  <w:noWrap w:val="0"/>
                  <w:vAlign w:val="center"/>
                </w:tcPr>
                <w:p w14:paraId="02BB54BE">
                  <w:pPr>
                    <w:pStyle w:val="50"/>
                    <w:spacing w:line="240" w:lineRule="auto"/>
                    <w:rPr>
                      <w:color w:val="auto"/>
                      <w:highlight w:val="none"/>
                    </w:rPr>
                  </w:pPr>
                </w:p>
              </w:tc>
              <w:tc>
                <w:tcPr>
                  <w:tcW w:w="761" w:type="pct"/>
                  <w:noWrap w:val="0"/>
                  <w:vAlign w:val="center"/>
                </w:tcPr>
                <w:p w14:paraId="266BC18B">
                  <w:pPr>
                    <w:pStyle w:val="50"/>
                    <w:spacing w:line="240" w:lineRule="auto"/>
                    <w:jc w:val="both"/>
                    <w:rPr>
                      <w:rFonts w:hint="default" w:eastAsia="宋体"/>
                      <w:color w:val="auto"/>
                      <w:highlight w:val="none"/>
                      <w:lang w:val="en-US" w:eastAsia="zh-CN"/>
                    </w:rPr>
                  </w:pPr>
                  <w:r>
                    <w:rPr>
                      <w:rFonts w:hint="eastAsia" w:eastAsia="宋体"/>
                      <w:color w:val="auto"/>
                      <w:highlight w:val="none"/>
                      <w:lang w:val="en-US" w:eastAsia="zh-CN"/>
                    </w:rPr>
                    <w:t>废金属边角料</w:t>
                  </w:r>
                </w:p>
              </w:tc>
              <w:tc>
                <w:tcPr>
                  <w:tcW w:w="1334" w:type="pct"/>
                  <w:noWrap w:val="0"/>
                  <w:vAlign w:val="center"/>
                </w:tcPr>
                <w:p w14:paraId="1E776F58">
                  <w:pPr>
                    <w:pStyle w:val="50"/>
                    <w:spacing w:line="240" w:lineRule="auto"/>
                    <w:jc w:val="both"/>
                    <w:rPr>
                      <w:color w:val="auto"/>
                      <w:highlight w:val="none"/>
                    </w:rPr>
                  </w:pPr>
                  <w:r>
                    <w:rPr>
                      <w:color w:val="auto"/>
                      <w:highlight w:val="none"/>
                    </w:rPr>
                    <w:t>集中收集后定期外售</w:t>
                  </w:r>
                </w:p>
              </w:tc>
              <w:tc>
                <w:tcPr>
                  <w:tcW w:w="2095" w:type="pct"/>
                  <w:vMerge w:val="continue"/>
                  <w:tcBorders>
                    <w:right w:val="nil"/>
                  </w:tcBorders>
                  <w:noWrap w:val="0"/>
                  <w:vAlign w:val="center"/>
                </w:tcPr>
                <w:p w14:paraId="1DE0732C">
                  <w:pPr>
                    <w:pStyle w:val="50"/>
                    <w:spacing w:line="240" w:lineRule="auto"/>
                    <w:jc w:val="both"/>
                    <w:rPr>
                      <w:color w:val="auto"/>
                      <w:highlight w:val="none"/>
                    </w:rPr>
                  </w:pPr>
                </w:p>
              </w:tc>
            </w:tr>
            <w:tr w14:paraId="5FBDA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267" w:type="pct"/>
                  <w:vMerge w:val="continue"/>
                  <w:tcBorders>
                    <w:left w:val="nil"/>
                  </w:tcBorders>
                  <w:noWrap w:val="0"/>
                  <w:vAlign w:val="center"/>
                </w:tcPr>
                <w:p w14:paraId="6EA05D01">
                  <w:pPr>
                    <w:pStyle w:val="50"/>
                    <w:spacing w:line="240" w:lineRule="auto"/>
                    <w:rPr>
                      <w:color w:val="auto"/>
                    </w:rPr>
                  </w:pPr>
                </w:p>
              </w:tc>
              <w:tc>
                <w:tcPr>
                  <w:tcW w:w="540" w:type="pct"/>
                  <w:vMerge w:val="continue"/>
                  <w:noWrap w:val="0"/>
                  <w:vAlign w:val="center"/>
                </w:tcPr>
                <w:p w14:paraId="3229ACE1">
                  <w:pPr>
                    <w:pStyle w:val="50"/>
                    <w:spacing w:line="240" w:lineRule="auto"/>
                    <w:rPr>
                      <w:color w:val="auto"/>
                    </w:rPr>
                  </w:pPr>
                </w:p>
              </w:tc>
              <w:tc>
                <w:tcPr>
                  <w:tcW w:w="761" w:type="pct"/>
                  <w:noWrap w:val="0"/>
                  <w:vAlign w:val="center"/>
                </w:tcPr>
                <w:p w14:paraId="6280BF3A">
                  <w:pPr>
                    <w:pStyle w:val="50"/>
                    <w:spacing w:line="240" w:lineRule="auto"/>
                    <w:rPr>
                      <w:rFonts w:hint="default" w:eastAsia="宋体"/>
                      <w:color w:val="auto"/>
                      <w:highlight w:val="none"/>
                      <w:lang w:val="en-US" w:eastAsia="zh-CN"/>
                    </w:rPr>
                  </w:pPr>
                  <w:r>
                    <w:rPr>
                      <w:rFonts w:hint="eastAsia" w:eastAsia="宋体"/>
                      <w:color w:val="auto"/>
                      <w:highlight w:val="none"/>
                      <w:lang w:val="en-US" w:eastAsia="zh-CN"/>
                    </w:rPr>
                    <w:t>除尘灰</w:t>
                  </w:r>
                </w:p>
              </w:tc>
              <w:tc>
                <w:tcPr>
                  <w:tcW w:w="1334" w:type="pct"/>
                  <w:noWrap w:val="0"/>
                  <w:vAlign w:val="center"/>
                </w:tcPr>
                <w:p w14:paraId="1188EB17">
                  <w:pPr>
                    <w:pStyle w:val="50"/>
                    <w:spacing w:line="240" w:lineRule="auto"/>
                    <w:jc w:val="both"/>
                    <w:rPr>
                      <w:rFonts w:hint="default" w:eastAsia="宋体"/>
                      <w:color w:val="auto"/>
                      <w:highlight w:val="none"/>
                      <w:lang w:val="en-US" w:eastAsia="zh-CN"/>
                    </w:rPr>
                  </w:pPr>
                  <w:r>
                    <w:rPr>
                      <w:rFonts w:hint="eastAsia" w:eastAsia="宋体"/>
                      <w:color w:val="auto"/>
                      <w:highlight w:val="none"/>
                      <w:lang w:val="en-US" w:eastAsia="zh-CN"/>
                    </w:rPr>
                    <w:t>收集后回用于生产</w:t>
                  </w:r>
                </w:p>
              </w:tc>
              <w:tc>
                <w:tcPr>
                  <w:tcW w:w="2095" w:type="pct"/>
                  <w:vMerge w:val="continue"/>
                  <w:tcBorders>
                    <w:right w:val="nil"/>
                  </w:tcBorders>
                  <w:noWrap w:val="0"/>
                  <w:vAlign w:val="center"/>
                </w:tcPr>
                <w:p w14:paraId="2C99D091">
                  <w:pPr>
                    <w:pStyle w:val="50"/>
                    <w:spacing w:line="240" w:lineRule="auto"/>
                    <w:jc w:val="both"/>
                    <w:rPr>
                      <w:rFonts w:hint="eastAsia" w:eastAsia="宋体"/>
                      <w:color w:val="auto"/>
                      <w:highlight w:val="none"/>
                      <w:lang w:val="en-US" w:eastAsia="zh-CN"/>
                    </w:rPr>
                  </w:pPr>
                </w:p>
              </w:tc>
            </w:tr>
            <w:tr w14:paraId="3BF83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267" w:type="pct"/>
                  <w:vMerge w:val="continue"/>
                  <w:tcBorders>
                    <w:left w:val="nil"/>
                  </w:tcBorders>
                  <w:noWrap w:val="0"/>
                  <w:vAlign w:val="center"/>
                </w:tcPr>
                <w:p w14:paraId="4326CEF4">
                  <w:pPr>
                    <w:pStyle w:val="50"/>
                    <w:spacing w:line="240" w:lineRule="auto"/>
                    <w:rPr>
                      <w:rFonts w:hint="eastAsia" w:eastAsia="宋体"/>
                      <w:color w:val="auto"/>
                      <w:highlight w:val="none"/>
                      <w:lang w:val="en-US" w:eastAsia="zh-CN"/>
                    </w:rPr>
                  </w:pPr>
                </w:p>
              </w:tc>
              <w:tc>
                <w:tcPr>
                  <w:tcW w:w="540" w:type="pct"/>
                  <w:vMerge w:val="continue"/>
                  <w:noWrap w:val="0"/>
                  <w:vAlign w:val="center"/>
                </w:tcPr>
                <w:p w14:paraId="37AE47BC">
                  <w:pPr>
                    <w:pStyle w:val="50"/>
                    <w:spacing w:line="240" w:lineRule="auto"/>
                    <w:rPr>
                      <w:rFonts w:hint="eastAsia" w:eastAsia="宋体"/>
                      <w:color w:val="auto"/>
                      <w:highlight w:val="none"/>
                      <w:lang w:val="en-US" w:eastAsia="zh-CN"/>
                    </w:rPr>
                  </w:pPr>
                </w:p>
              </w:tc>
              <w:tc>
                <w:tcPr>
                  <w:tcW w:w="761" w:type="pct"/>
                  <w:noWrap w:val="0"/>
                  <w:vAlign w:val="center"/>
                </w:tcPr>
                <w:p w14:paraId="07A7A536">
                  <w:pPr>
                    <w:pStyle w:val="50"/>
                    <w:spacing w:line="240" w:lineRule="auto"/>
                    <w:rPr>
                      <w:rFonts w:hint="default" w:eastAsia="宋体"/>
                      <w:color w:val="auto"/>
                      <w:highlight w:val="none"/>
                      <w:lang w:val="en-US" w:eastAsia="zh-CN"/>
                    </w:rPr>
                  </w:pPr>
                  <w:r>
                    <w:rPr>
                      <w:rFonts w:hint="eastAsia" w:eastAsia="宋体"/>
                      <w:color w:val="auto"/>
                      <w:highlight w:val="none"/>
                      <w:lang w:val="en-US" w:eastAsia="zh-CN"/>
                    </w:rPr>
                    <w:t>不合格品</w:t>
                  </w:r>
                </w:p>
              </w:tc>
              <w:tc>
                <w:tcPr>
                  <w:tcW w:w="1334" w:type="pct"/>
                  <w:noWrap w:val="0"/>
                  <w:vAlign w:val="center"/>
                </w:tcPr>
                <w:p w14:paraId="3576F349">
                  <w:pPr>
                    <w:pStyle w:val="50"/>
                    <w:spacing w:line="240" w:lineRule="auto"/>
                    <w:jc w:val="both"/>
                    <w:rPr>
                      <w:rFonts w:hint="default" w:eastAsia="宋体"/>
                      <w:color w:val="auto"/>
                      <w:highlight w:val="none"/>
                      <w:lang w:val="en-US" w:eastAsia="zh-CN"/>
                    </w:rPr>
                  </w:pPr>
                  <w:r>
                    <w:rPr>
                      <w:rFonts w:hint="eastAsia" w:eastAsia="宋体"/>
                      <w:color w:val="auto"/>
                      <w:highlight w:val="none"/>
                      <w:lang w:val="en-US" w:eastAsia="zh-CN"/>
                    </w:rPr>
                    <w:t>集中收集后定期外售</w:t>
                  </w:r>
                </w:p>
              </w:tc>
              <w:tc>
                <w:tcPr>
                  <w:tcW w:w="2095" w:type="pct"/>
                  <w:vMerge w:val="continue"/>
                  <w:tcBorders>
                    <w:right w:val="nil"/>
                  </w:tcBorders>
                  <w:noWrap w:val="0"/>
                  <w:vAlign w:val="center"/>
                </w:tcPr>
                <w:p w14:paraId="7FC8D11D">
                  <w:pPr>
                    <w:pStyle w:val="50"/>
                    <w:spacing w:line="240" w:lineRule="auto"/>
                    <w:jc w:val="both"/>
                    <w:rPr>
                      <w:rFonts w:hint="eastAsia" w:eastAsia="宋体"/>
                      <w:color w:val="auto"/>
                      <w:highlight w:val="none"/>
                      <w:lang w:val="en-US" w:eastAsia="zh-CN"/>
                    </w:rPr>
                  </w:pPr>
                </w:p>
              </w:tc>
            </w:tr>
            <w:tr w14:paraId="0D8A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267" w:type="pct"/>
                  <w:vMerge w:val="continue"/>
                  <w:tcBorders>
                    <w:left w:val="nil"/>
                  </w:tcBorders>
                  <w:noWrap w:val="0"/>
                  <w:vAlign w:val="center"/>
                </w:tcPr>
                <w:p w14:paraId="3A98FA74">
                  <w:pPr>
                    <w:pStyle w:val="50"/>
                    <w:spacing w:line="240" w:lineRule="auto"/>
                    <w:rPr>
                      <w:rFonts w:hint="eastAsia" w:eastAsia="宋体"/>
                      <w:color w:val="auto"/>
                      <w:highlight w:val="none"/>
                      <w:lang w:val="en-US" w:eastAsia="zh-CN"/>
                    </w:rPr>
                  </w:pPr>
                </w:p>
              </w:tc>
              <w:tc>
                <w:tcPr>
                  <w:tcW w:w="540" w:type="pct"/>
                  <w:vMerge w:val="continue"/>
                  <w:noWrap w:val="0"/>
                  <w:vAlign w:val="center"/>
                </w:tcPr>
                <w:p w14:paraId="79053A18">
                  <w:pPr>
                    <w:pStyle w:val="50"/>
                    <w:spacing w:line="240" w:lineRule="auto"/>
                    <w:rPr>
                      <w:rFonts w:hint="eastAsia" w:eastAsia="宋体"/>
                      <w:color w:val="auto"/>
                      <w:highlight w:val="none"/>
                      <w:lang w:val="en-US" w:eastAsia="zh-CN"/>
                    </w:rPr>
                  </w:pPr>
                </w:p>
              </w:tc>
              <w:tc>
                <w:tcPr>
                  <w:tcW w:w="761" w:type="pct"/>
                  <w:noWrap w:val="0"/>
                  <w:vAlign w:val="center"/>
                </w:tcPr>
                <w:p w14:paraId="0BB439FA">
                  <w:pPr>
                    <w:pStyle w:val="50"/>
                    <w:spacing w:line="240" w:lineRule="auto"/>
                    <w:jc w:val="both"/>
                    <w:rPr>
                      <w:rFonts w:hint="default" w:eastAsia="宋体"/>
                      <w:color w:val="auto"/>
                      <w:highlight w:val="none"/>
                      <w:lang w:val="en-US" w:eastAsia="zh-CN"/>
                    </w:rPr>
                  </w:pPr>
                  <w:r>
                    <w:rPr>
                      <w:rFonts w:hint="eastAsia"/>
                      <w:color w:val="auto"/>
                      <w:highlight w:val="none"/>
                      <w:lang w:val="en-US" w:eastAsia="zh-CN"/>
                    </w:rPr>
                    <w:t>沉淀池沉渣</w:t>
                  </w:r>
                </w:p>
              </w:tc>
              <w:tc>
                <w:tcPr>
                  <w:tcW w:w="1334" w:type="pct"/>
                  <w:noWrap w:val="0"/>
                  <w:vAlign w:val="center"/>
                </w:tcPr>
                <w:p w14:paraId="2649EE05">
                  <w:pPr>
                    <w:pStyle w:val="50"/>
                    <w:spacing w:line="240" w:lineRule="auto"/>
                    <w:jc w:val="both"/>
                    <w:rPr>
                      <w:rFonts w:hint="eastAsia" w:eastAsia="宋体"/>
                      <w:color w:val="auto"/>
                      <w:highlight w:val="none"/>
                      <w:lang w:val="en-US" w:eastAsia="zh-CN"/>
                    </w:rPr>
                  </w:pPr>
                  <w:r>
                    <w:rPr>
                      <w:rFonts w:hint="eastAsia" w:eastAsia="宋体"/>
                      <w:color w:val="auto"/>
                      <w:highlight w:val="none"/>
                      <w:lang w:val="en-US" w:eastAsia="zh-CN"/>
                    </w:rPr>
                    <w:t>收集后回用于生产</w:t>
                  </w:r>
                </w:p>
              </w:tc>
              <w:tc>
                <w:tcPr>
                  <w:tcW w:w="2095" w:type="pct"/>
                  <w:vMerge w:val="continue"/>
                  <w:tcBorders>
                    <w:right w:val="nil"/>
                  </w:tcBorders>
                  <w:noWrap w:val="0"/>
                  <w:vAlign w:val="center"/>
                </w:tcPr>
                <w:p w14:paraId="20B6C029">
                  <w:pPr>
                    <w:pStyle w:val="50"/>
                    <w:spacing w:line="240" w:lineRule="auto"/>
                    <w:jc w:val="both"/>
                    <w:rPr>
                      <w:rFonts w:hint="eastAsia" w:eastAsia="宋体"/>
                      <w:color w:val="auto"/>
                      <w:highlight w:val="none"/>
                      <w:lang w:val="en-US" w:eastAsia="zh-CN"/>
                    </w:rPr>
                  </w:pPr>
                </w:p>
              </w:tc>
            </w:tr>
            <w:tr w14:paraId="407C8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67" w:type="pct"/>
                  <w:vMerge w:val="continue"/>
                  <w:tcBorders>
                    <w:left w:val="nil"/>
                  </w:tcBorders>
                  <w:noWrap w:val="0"/>
                  <w:vAlign w:val="center"/>
                </w:tcPr>
                <w:p w14:paraId="560577B0">
                  <w:pPr>
                    <w:pStyle w:val="50"/>
                    <w:spacing w:line="240" w:lineRule="auto"/>
                    <w:rPr>
                      <w:color w:val="auto"/>
                      <w:highlight w:val="none"/>
                    </w:rPr>
                  </w:pPr>
                </w:p>
              </w:tc>
              <w:tc>
                <w:tcPr>
                  <w:tcW w:w="540" w:type="pct"/>
                  <w:vMerge w:val="continue"/>
                  <w:noWrap w:val="0"/>
                  <w:vAlign w:val="center"/>
                </w:tcPr>
                <w:p w14:paraId="6B34C74D">
                  <w:pPr>
                    <w:pStyle w:val="50"/>
                    <w:spacing w:line="240" w:lineRule="auto"/>
                    <w:rPr>
                      <w:color w:val="auto"/>
                      <w:highlight w:val="none"/>
                    </w:rPr>
                  </w:pPr>
                </w:p>
              </w:tc>
              <w:tc>
                <w:tcPr>
                  <w:tcW w:w="761" w:type="pct"/>
                  <w:noWrap w:val="0"/>
                  <w:vAlign w:val="center"/>
                </w:tcPr>
                <w:p w14:paraId="3E758F75">
                  <w:pPr>
                    <w:pStyle w:val="50"/>
                    <w:spacing w:line="240" w:lineRule="auto"/>
                    <w:rPr>
                      <w:rFonts w:hint="default"/>
                      <w:color w:val="auto"/>
                      <w:highlight w:val="none"/>
                      <w:lang w:val="en-US" w:eastAsia="zh-CN"/>
                    </w:rPr>
                  </w:pPr>
                  <w:r>
                    <w:rPr>
                      <w:rFonts w:hint="eastAsia"/>
                      <w:color w:val="auto"/>
                      <w:highlight w:val="none"/>
                      <w:lang w:val="en-US" w:eastAsia="zh-CN"/>
                    </w:rPr>
                    <w:t>废机油</w:t>
                  </w:r>
                </w:p>
              </w:tc>
              <w:tc>
                <w:tcPr>
                  <w:tcW w:w="1334" w:type="pct"/>
                  <w:noWrap w:val="0"/>
                  <w:vAlign w:val="center"/>
                </w:tcPr>
                <w:p w14:paraId="12BEA258">
                  <w:pPr>
                    <w:pStyle w:val="50"/>
                    <w:spacing w:line="240" w:lineRule="auto"/>
                    <w:jc w:val="both"/>
                    <w:rPr>
                      <w:rFonts w:hint="default" w:eastAsia="宋体"/>
                      <w:color w:val="auto"/>
                      <w:highlight w:val="none"/>
                      <w:lang w:val="en-US" w:eastAsia="zh-CN"/>
                    </w:rPr>
                  </w:pPr>
                  <w:r>
                    <w:rPr>
                      <w:rFonts w:hint="eastAsia"/>
                      <w:color w:val="auto"/>
                      <w:highlight w:val="none"/>
                    </w:rPr>
                    <w:t>集中收集后</w:t>
                  </w:r>
                  <w:r>
                    <w:rPr>
                      <w:rFonts w:hint="eastAsia"/>
                      <w:color w:val="auto"/>
                      <w:highlight w:val="none"/>
                      <w:lang w:val="en-US" w:eastAsia="zh-CN"/>
                    </w:rPr>
                    <w:t>委托有资质的单位处理</w:t>
                  </w:r>
                </w:p>
              </w:tc>
              <w:tc>
                <w:tcPr>
                  <w:tcW w:w="2095" w:type="pct"/>
                  <w:tcBorders>
                    <w:right w:val="nil"/>
                  </w:tcBorders>
                  <w:noWrap w:val="0"/>
                  <w:vAlign w:val="center"/>
                </w:tcPr>
                <w:p w14:paraId="0AAC1770">
                  <w:pPr>
                    <w:pStyle w:val="50"/>
                    <w:spacing w:line="240" w:lineRule="auto"/>
                    <w:jc w:val="both"/>
                    <w:rPr>
                      <w:color w:val="auto"/>
                      <w:highlight w:val="none"/>
                    </w:rPr>
                  </w:pPr>
                  <w:r>
                    <w:rPr>
                      <w:rFonts w:hint="eastAsia"/>
                      <w:color w:val="auto"/>
                      <w:highlight w:val="none"/>
                    </w:rPr>
                    <w:t>《危险废物贮存污染控制标准》（GB18597-2023）</w:t>
                  </w:r>
                </w:p>
              </w:tc>
            </w:tr>
          </w:tbl>
          <w:p w14:paraId="44834852">
            <w:pPr>
              <w:pStyle w:val="20"/>
              <w:ind w:left="0" w:leftChars="0" w:firstLine="0" w:firstLineChars="0"/>
              <w:rPr>
                <w:rFonts w:hint="default"/>
                <w:color w:val="auto"/>
                <w:lang w:val="en-US" w:eastAsia="zh-CN"/>
              </w:rPr>
            </w:pPr>
          </w:p>
        </w:tc>
      </w:tr>
    </w:tbl>
    <w:p w14:paraId="2F79F694">
      <w:pPr>
        <w:rPr>
          <w:rFonts w:hint="eastAsia" w:ascii="黑体" w:hAnsi="黑体" w:eastAsia="黑体"/>
          <w:snapToGrid w:val="0"/>
          <w:color w:val="auto"/>
          <w:sz w:val="30"/>
          <w:szCs w:val="30"/>
        </w:rPr>
      </w:pPr>
      <w:r>
        <w:rPr>
          <w:rFonts w:hint="eastAsia" w:ascii="黑体" w:hAnsi="黑体" w:eastAsia="黑体"/>
          <w:snapToGrid w:val="0"/>
          <w:color w:val="auto"/>
          <w:sz w:val="30"/>
          <w:szCs w:val="30"/>
        </w:rPr>
        <w:br w:type="page"/>
      </w:r>
    </w:p>
    <w:p w14:paraId="350900D0">
      <w:pPr>
        <w:pStyle w:val="21"/>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五、</w:t>
      </w:r>
      <w:bookmarkStart w:id="6" w:name="_Hlk54167917"/>
      <w:r>
        <w:rPr>
          <w:rFonts w:hint="eastAsia" w:ascii="黑体" w:hAnsi="黑体" w:eastAsia="黑体"/>
          <w:snapToGrid w:val="0"/>
          <w:color w:val="auto"/>
          <w:sz w:val="30"/>
          <w:szCs w:val="30"/>
        </w:rPr>
        <w:t>环境保护措施监督检查清单</w:t>
      </w:r>
      <w:bookmarkEnd w:id="6"/>
    </w:p>
    <w:tbl>
      <w:tblPr>
        <w:tblStyle w:val="23"/>
        <w:tblW w:w="880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88"/>
        <w:gridCol w:w="1411"/>
        <w:gridCol w:w="14"/>
        <w:gridCol w:w="1345"/>
        <w:gridCol w:w="13"/>
        <w:gridCol w:w="2452"/>
        <w:gridCol w:w="2077"/>
      </w:tblGrid>
      <w:tr w14:paraId="61C9CC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88" w:type="dxa"/>
            <w:tcBorders>
              <w:tl2br w:val="single" w:color="auto" w:sz="4" w:space="0"/>
            </w:tcBorders>
            <w:noWrap w:val="0"/>
            <w:vAlign w:val="top"/>
          </w:tcPr>
          <w:p w14:paraId="07C33AE8">
            <w:pPr>
              <w:adjustRightInd w:val="0"/>
              <w:snapToGrid w:val="0"/>
              <w:ind w:firstLine="84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内容</w:t>
            </w:r>
          </w:p>
          <w:p w14:paraId="2500C871">
            <w:pPr>
              <w:adjustRightInd w:val="0"/>
              <w:snapToGrid w:val="0"/>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要素</w:t>
            </w:r>
          </w:p>
        </w:tc>
        <w:tc>
          <w:tcPr>
            <w:tcW w:w="1411" w:type="dxa"/>
            <w:noWrap w:val="0"/>
            <w:vAlign w:val="center"/>
          </w:tcPr>
          <w:p w14:paraId="1A0A3968">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排放口(编号、名称)/污染源</w:t>
            </w:r>
          </w:p>
        </w:tc>
        <w:tc>
          <w:tcPr>
            <w:tcW w:w="1372" w:type="dxa"/>
            <w:gridSpan w:val="3"/>
            <w:noWrap w:val="0"/>
            <w:vAlign w:val="center"/>
          </w:tcPr>
          <w:p w14:paraId="2071A8DE">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污染物项目</w:t>
            </w:r>
          </w:p>
        </w:tc>
        <w:tc>
          <w:tcPr>
            <w:tcW w:w="2452" w:type="dxa"/>
            <w:noWrap w:val="0"/>
            <w:vAlign w:val="center"/>
          </w:tcPr>
          <w:p w14:paraId="37BB8E10">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环境保护措施</w:t>
            </w:r>
          </w:p>
        </w:tc>
        <w:tc>
          <w:tcPr>
            <w:tcW w:w="2077" w:type="dxa"/>
            <w:noWrap w:val="0"/>
            <w:vAlign w:val="center"/>
          </w:tcPr>
          <w:p w14:paraId="68A1FED7">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执行标准</w:t>
            </w:r>
          </w:p>
        </w:tc>
      </w:tr>
      <w:tr w14:paraId="090C0E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2" w:hRule="atLeast"/>
        </w:trPr>
        <w:tc>
          <w:tcPr>
            <w:tcW w:w="1488" w:type="dxa"/>
            <w:vMerge w:val="restart"/>
            <w:noWrap w:val="0"/>
            <w:vAlign w:val="center"/>
          </w:tcPr>
          <w:p w14:paraId="71D830E9">
            <w:pPr>
              <w:adjustRightInd w:val="0"/>
              <w:snapToGrid w:val="0"/>
              <w:jc w:val="center"/>
              <w:rPr>
                <w:rFonts w:hint="default" w:ascii="Times New Roman" w:hAnsi="Times New Roman" w:cs="Times New Roman" w:eastAsiaTheme="minorEastAsia"/>
                <w:color w:val="auto"/>
                <w:sz w:val="24"/>
                <w:szCs w:val="24"/>
              </w:rPr>
            </w:pPr>
          </w:p>
        </w:tc>
        <w:tc>
          <w:tcPr>
            <w:tcW w:w="1411" w:type="dxa"/>
            <w:vMerge w:val="restart"/>
            <w:noWrap w:val="0"/>
            <w:vAlign w:val="center"/>
          </w:tcPr>
          <w:p w14:paraId="3F81D327">
            <w:pPr>
              <w:adjustRightInd w:val="0"/>
              <w:snapToGrid w:val="0"/>
              <w:jc w:val="center"/>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rPr>
              <w:t>DA00</w:t>
            </w:r>
            <w:r>
              <w:rPr>
                <w:rFonts w:hint="eastAsia" w:cs="Times New Roman" w:eastAsiaTheme="minorEastAsia"/>
                <w:color w:val="auto"/>
                <w:sz w:val="24"/>
                <w:szCs w:val="24"/>
                <w:lang w:val="en-US" w:eastAsia="zh-CN"/>
              </w:rPr>
              <w:t>1</w:t>
            </w:r>
          </w:p>
        </w:tc>
        <w:tc>
          <w:tcPr>
            <w:tcW w:w="1372" w:type="dxa"/>
            <w:gridSpan w:val="3"/>
            <w:noWrap w:val="0"/>
            <w:vAlign w:val="center"/>
          </w:tcPr>
          <w:p w14:paraId="0A3B76FF">
            <w:pPr>
              <w:adjustRightInd w:val="0"/>
              <w:snapToGrid w:val="0"/>
              <w:jc w:val="center"/>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eastAsiaTheme="minorEastAsia"/>
                <w:color w:val="auto"/>
                <w:sz w:val="24"/>
                <w:szCs w:val="24"/>
                <w:lang w:val="en-US" w:eastAsia="zh-CN"/>
              </w:rPr>
              <w:t>颗粒物</w:t>
            </w:r>
          </w:p>
        </w:tc>
        <w:tc>
          <w:tcPr>
            <w:tcW w:w="2452" w:type="dxa"/>
            <w:vMerge w:val="restart"/>
            <w:noWrap w:val="0"/>
            <w:vAlign w:val="center"/>
          </w:tcPr>
          <w:p w14:paraId="3A2D68A5">
            <w:pPr>
              <w:pStyle w:val="29"/>
              <w:jc w:val="both"/>
              <w:rPr>
                <w:rFonts w:hint="default" w:ascii="Times New Roman" w:hAnsi="Times New Roman" w:cs="Times New Roman" w:eastAsiaTheme="minorEastAsia"/>
                <w:color w:val="auto"/>
                <w:kern w:val="2"/>
                <w:sz w:val="24"/>
                <w:szCs w:val="24"/>
                <w:lang w:val="en-US" w:eastAsia="zh-CN" w:bidi="zh-CN"/>
              </w:rPr>
            </w:pPr>
            <w:r>
              <w:rPr>
                <w:rFonts w:hint="eastAsia" w:ascii="Times New Roman" w:hAnsi="Times New Roman" w:cs="Times New Roman" w:eastAsiaTheme="minorEastAsia"/>
                <w:color w:val="auto"/>
                <w:sz w:val="24"/>
                <w:szCs w:val="24"/>
                <w:lang w:val="en-US" w:eastAsia="zh-CN"/>
              </w:rPr>
              <w:t>低氮燃烧+</w:t>
            </w:r>
            <w:r>
              <w:rPr>
                <w:rFonts w:hint="default" w:ascii="Times New Roman" w:hAnsi="Times New Roman" w:cs="Times New Roman" w:eastAsiaTheme="minorEastAsia"/>
                <w:color w:val="auto"/>
                <w:sz w:val="24"/>
                <w:szCs w:val="24"/>
                <w:lang w:val="en-US" w:eastAsia="zh-CN"/>
              </w:rPr>
              <w:t>15</w:t>
            </w:r>
            <w:r>
              <w:rPr>
                <w:rFonts w:hint="default" w:ascii="Times New Roman" w:hAnsi="Times New Roman" w:cs="Times New Roman" w:eastAsiaTheme="minorEastAsia"/>
                <w:color w:val="auto"/>
                <w:sz w:val="24"/>
                <w:szCs w:val="24"/>
              </w:rPr>
              <w:t>m高排气筒（</w:t>
            </w:r>
            <w:r>
              <w:rPr>
                <w:rFonts w:hint="default" w:ascii="Times New Roman" w:hAnsi="Times New Roman" w:cs="Times New Roman" w:eastAsiaTheme="minorEastAsia"/>
                <w:color w:val="auto"/>
                <w:sz w:val="24"/>
                <w:szCs w:val="24"/>
                <w:lang w:val="en-US"/>
              </w:rPr>
              <w:t>DA00</w:t>
            </w:r>
            <w:r>
              <w:rPr>
                <w:rFonts w:hint="eastAsia" w:ascii="Times New Roman" w:hAnsi="Times New Roman" w:cs="Times New Roman" w:eastAsiaTheme="minorEastAsia"/>
                <w:color w:val="auto"/>
                <w:sz w:val="24"/>
                <w:szCs w:val="24"/>
                <w:lang w:val="en-US" w:eastAsia="zh-CN"/>
              </w:rPr>
              <w:t>1</w:t>
            </w:r>
            <w:r>
              <w:rPr>
                <w:rFonts w:hint="default" w:ascii="Times New Roman" w:hAnsi="Times New Roman" w:cs="Times New Roman" w:eastAsiaTheme="minorEastAsia"/>
                <w:color w:val="auto"/>
                <w:sz w:val="24"/>
                <w:szCs w:val="24"/>
              </w:rPr>
              <w:t>）</w:t>
            </w:r>
          </w:p>
        </w:tc>
        <w:tc>
          <w:tcPr>
            <w:tcW w:w="2077" w:type="dxa"/>
            <w:vMerge w:val="restart"/>
            <w:noWrap w:val="0"/>
            <w:vAlign w:val="center"/>
          </w:tcPr>
          <w:p w14:paraId="609E1303">
            <w:pPr>
              <w:adjustRightInd w:val="0"/>
              <w:snapToGrid w:val="0"/>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21"/>
                <w:sz w:val="24"/>
                <w:szCs w:val="24"/>
                <w:lang w:bidi="ar"/>
              </w:rPr>
              <w:t>锅炉废气颗粒物、SO</w:t>
            </w:r>
            <w:r>
              <w:rPr>
                <w:rFonts w:hint="default" w:ascii="Times New Roman" w:hAnsi="Times New Roman" w:cs="Times New Roman" w:eastAsiaTheme="minorEastAsia"/>
                <w:color w:val="auto"/>
                <w:kern w:val="21"/>
                <w:sz w:val="24"/>
                <w:szCs w:val="24"/>
                <w:vertAlign w:val="subscript"/>
                <w:lang w:bidi="ar"/>
              </w:rPr>
              <w:t>2</w:t>
            </w:r>
            <w:r>
              <w:rPr>
                <w:rFonts w:hint="default" w:ascii="Times New Roman" w:hAnsi="Times New Roman" w:cs="Times New Roman" w:eastAsiaTheme="minorEastAsia"/>
                <w:color w:val="auto"/>
                <w:kern w:val="21"/>
                <w:sz w:val="24"/>
                <w:szCs w:val="24"/>
                <w:lang w:bidi="ar"/>
              </w:rPr>
              <w:t>执行《锅炉大气污染物排放标准》（GB13271-2014）表</w:t>
            </w:r>
            <w:r>
              <w:rPr>
                <w:rFonts w:hint="eastAsia" w:cs="Times New Roman" w:eastAsiaTheme="minorEastAsia"/>
                <w:color w:val="auto"/>
                <w:kern w:val="21"/>
                <w:sz w:val="24"/>
                <w:szCs w:val="24"/>
                <w:lang w:val="en-US" w:eastAsia="zh-CN" w:bidi="ar"/>
              </w:rPr>
              <w:t>2</w:t>
            </w:r>
            <w:r>
              <w:rPr>
                <w:rFonts w:hint="default" w:ascii="Times New Roman" w:hAnsi="Times New Roman" w:cs="Times New Roman" w:eastAsiaTheme="minorEastAsia"/>
                <w:color w:val="auto"/>
                <w:kern w:val="21"/>
                <w:sz w:val="24"/>
                <w:szCs w:val="24"/>
                <w:lang w:val="en-US" w:eastAsia="zh-CN" w:bidi="ar"/>
              </w:rPr>
              <w:t>大气污染物排放限值中</w:t>
            </w:r>
            <w:r>
              <w:rPr>
                <w:rFonts w:hint="eastAsia" w:cs="Times New Roman" w:eastAsiaTheme="minorEastAsia"/>
                <w:color w:val="auto"/>
                <w:kern w:val="21"/>
                <w:sz w:val="24"/>
                <w:szCs w:val="24"/>
                <w:lang w:val="en-US" w:eastAsia="zh-CN" w:bidi="ar"/>
              </w:rPr>
              <w:t>燃气</w:t>
            </w:r>
            <w:r>
              <w:rPr>
                <w:rFonts w:hint="default" w:ascii="Times New Roman" w:hAnsi="Times New Roman" w:cs="Times New Roman" w:eastAsiaTheme="minorEastAsia"/>
                <w:color w:val="auto"/>
                <w:kern w:val="21"/>
                <w:sz w:val="24"/>
                <w:szCs w:val="24"/>
                <w:lang w:val="en-US" w:eastAsia="zh-CN" w:bidi="ar"/>
              </w:rPr>
              <w:t>锅炉排放限值，NOx执行《关于开展自治州2022年度夏秋季大气污染防治“冬病夏治”有关工作的通知》中不高于50mg/m</w:t>
            </w:r>
            <w:r>
              <w:rPr>
                <w:rFonts w:hint="default" w:ascii="Times New Roman" w:hAnsi="Times New Roman" w:cs="Times New Roman" w:eastAsiaTheme="minorEastAsia"/>
                <w:color w:val="auto"/>
                <w:kern w:val="21"/>
                <w:sz w:val="24"/>
                <w:szCs w:val="24"/>
                <w:vertAlign w:val="superscript"/>
                <w:lang w:val="en-US" w:eastAsia="zh-CN" w:bidi="ar"/>
              </w:rPr>
              <w:t>3</w:t>
            </w:r>
            <w:r>
              <w:rPr>
                <w:rFonts w:hint="default" w:ascii="Times New Roman" w:hAnsi="Times New Roman" w:cs="Times New Roman" w:eastAsiaTheme="minorEastAsia"/>
                <w:color w:val="auto"/>
                <w:kern w:val="21"/>
                <w:sz w:val="24"/>
                <w:szCs w:val="24"/>
                <w:lang w:val="en-US" w:eastAsia="zh-CN" w:bidi="ar"/>
              </w:rPr>
              <w:t>。</w:t>
            </w:r>
          </w:p>
        </w:tc>
      </w:tr>
      <w:tr w14:paraId="38A83A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2" w:hRule="atLeast"/>
        </w:trPr>
        <w:tc>
          <w:tcPr>
            <w:tcW w:w="1488" w:type="dxa"/>
            <w:vMerge w:val="continue"/>
            <w:noWrap w:val="0"/>
            <w:vAlign w:val="center"/>
          </w:tcPr>
          <w:p w14:paraId="6A6D0DB0">
            <w:pPr>
              <w:adjustRightInd w:val="0"/>
              <w:snapToGrid w:val="0"/>
              <w:jc w:val="center"/>
              <w:rPr>
                <w:color w:val="auto"/>
              </w:rPr>
            </w:pPr>
          </w:p>
        </w:tc>
        <w:tc>
          <w:tcPr>
            <w:tcW w:w="1411" w:type="dxa"/>
            <w:vMerge w:val="continue"/>
            <w:noWrap w:val="0"/>
            <w:vAlign w:val="center"/>
          </w:tcPr>
          <w:p w14:paraId="3FCF0900">
            <w:pPr>
              <w:adjustRightInd w:val="0"/>
              <w:snapToGrid w:val="0"/>
              <w:jc w:val="center"/>
              <w:rPr>
                <w:color w:val="auto"/>
              </w:rPr>
            </w:pPr>
          </w:p>
        </w:tc>
        <w:tc>
          <w:tcPr>
            <w:tcW w:w="1372" w:type="dxa"/>
            <w:gridSpan w:val="3"/>
            <w:noWrap w:val="0"/>
            <w:vAlign w:val="center"/>
          </w:tcPr>
          <w:p w14:paraId="50B493E9">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kern w:val="21"/>
                <w:sz w:val="24"/>
                <w:szCs w:val="24"/>
                <w:lang w:bidi="ar"/>
              </w:rPr>
              <w:t>SO</w:t>
            </w:r>
            <w:r>
              <w:rPr>
                <w:rFonts w:hint="default" w:ascii="Times New Roman" w:hAnsi="Times New Roman" w:cs="Times New Roman" w:eastAsiaTheme="minorEastAsia"/>
                <w:color w:val="auto"/>
                <w:kern w:val="21"/>
                <w:sz w:val="24"/>
                <w:szCs w:val="24"/>
                <w:vertAlign w:val="subscript"/>
                <w:lang w:bidi="ar"/>
              </w:rPr>
              <w:t>2</w:t>
            </w:r>
          </w:p>
        </w:tc>
        <w:tc>
          <w:tcPr>
            <w:tcW w:w="2452" w:type="dxa"/>
            <w:vMerge w:val="continue"/>
            <w:noWrap w:val="0"/>
            <w:vAlign w:val="center"/>
          </w:tcPr>
          <w:p w14:paraId="5F43B1F3">
            <w:pPr>
              <w:adjustRightInd w:val="0"/>
              <w:snapToGrid w:val="0"/>
              <w:jc w:val="center"/>
              <w:rPr>
                <w:rFonts w:hint="default" w:ascii="Times New Roman" w:hAnsi="Times New Roman" w:cs="Times New Roman" w:eastAsiaTheme="minorEastAsia"/>
                <w:color w:val="auto"/>
                <w:sz w:val="24"/>
                <w:szCs w:val="24"/>
                <w:lang w:val="en-US" w:eastAsia="zh-CN"/>
              </w:rPr>
            </w:pPr>
          </w:p>
        </w:tc>
        <w:tc>
          <w:tcPr>
            <w:tcW w:w="2077" w:type="dxa"/>
            <w:vMerge w:val="continue"/>
            <w:noWrap w:val="0"/>
            <w:vAlign w:val="center"/>
          </w:tcPr>
          <w:p w14:paraId="7F9BF5F7">
            <w:pPr>
              <w:adjustRightInd w:val="0"/>
              <w:snapToGrid w:val="0"/>
              <w:jc w:val="center"/>
              <w:rPr>
                <w:rFonts w:hint="default" w:ascii="Times New Roman" w:hAnsi="Times New Roman" w:cs="Times New Roman" w:eastAsiaTheme="minorEastAsia"/>
                <w:color w:val="auto"/>
                <w:sz w:val="24"/>
                <w:szCs w:val="24"/>
                <w:lang w:val="en-US" w:eastAsia="zh-CN"/>
              </w:rPr>
            </w:pPr>
          </w:p>
        </w:tc>
      </w:tr>
      <w:tr w14:paraId="65541D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2" w:hRule="atLeast"/>
        </w:trPr>
        <w:tc>
          <w:tcPr>
            <w:tcW w:w="1488" w:type="dxa"/>
            <w:vMerge w:val="continue"/>
            <w:noWrap w:val="0"/>
            <w:vAlign w:val="center"/>
          </w:tcPr>
          <w:p w14:paraId="59CC3A54">
            <w:pPr>
              <w:adjustRightInd w:val="0"/>
              <w:snapToGrid w:val="0"/>
              <w:jc w:val="center"/>
              <w:rPr>
                <w:rFonts w:hint="default" w:ascii="Times New Roman" w:hAnsi="Times New Roman" w:cs="Times New Roman" w:eastAsiaTheme="minorEastAsia"/>
                <w:color w:val="auto"/>
                <w:sz w:val="24"/>
                <w:szCs w:val="24"/>
                <w:lang w:val="en-US" w:eastAsia="zh-CN"/>
              </w:rPr>
            </w:pPr>
          </w:p>
        </w:tc>
        <w:tc>
          <w:tcPr>
            <w:tcW w:w="1411" w:type="dxa"/>
            <w:vMerge w:val="continue"/>
            <w:noWrap w:val="0"/>
            <w:vAlign w:val="center"/>
          </w:tcPr>
          <w:p w14:paraId="3E10811A">
            <w:pPr>
              <w:adjustRightInd w:val="0"/>
              <w:snapToGrid w:val="0"/>
              <w:jc w:val="center"/>
              <w:rPr>
                <w:rFonts w:hint="default" w:ascii="Times New Roman" w:hAnsi="Times New Roman" w:cs="Times New Roman" w:eastAsiaTheme="minorEastAsia"/>
                <w:color w:val="auto"/>
                <w:sz w:val="24"/>
                <w:szCs w:val="24"/>
                <w:lang w:val="en-US" w:eastAsia="zh-CN"/>
              </w:rPr>
            </w:pPr>
          </w:p>
        </w:tc>
        <w:tc>
          <w:tcPr>
            <w:tcW w:w="1372" w:type="dxa"/>
            <w:gridSpan w:val="3"/>
            <w:noWrap w:val="0"/>
            <w:vAlign w:val="center"/>
          </w:tcPr>
          <w:p w14:paraId="58A14044">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kern w:val="21"/>
                <w:sz w:val="24"/>
                <w:szCs w:val="24"/>
                <w:lang w:val="en-US" w:eastAsia="zh-CN" w:bidi="ar"/>
              </w:rPr>
              <w:t>NOx</w:t>
            </w:r>
          </w:p>
        </w:tc>
        <w:tc>
          <w:tcPr>
            <w:tcW w:w="2452" w:type="dxa"/>
            <w:vMerge w:val="continue"/>
            <w:noWrap w:val="0"/>
            <w:vAlign w:val="center"/>
          </w:tcPr>
          <w:p w14:paraId="270717F4">
            <w:pPr>
              <w:adjustRightInd w:val="0"/>
              <w:snapToGrid w:val="0"/>
              <w:jc w:val="center"/>
              <w:rPr>
                <w:rFonts w:hint="default" w:ascii="Times New Roman" w:hAnsi="Times New Roman" w:cs="Times New Roman" w:eastAsiaTheme="minorEastAsia"/>
                <w:color w:val="auto"/>
                <w:sz w:val="24"/>
                <w:szCs w:val="24"/>
                <w:lang w:val="en-US" w:eastAsia="zh-CN"/>
              </w:rPr>
            </w:pPr>
          </w:p>
        </w:tc>
        <w:tc>
          <w:tcPr>
            <w:tcW w:w="2077" w:type="dxa"/>
            <w:vMerge w:val="continue"/>
            <w:noWrap w:val="0"/>
            <w:vAlign w:val="center"/>
          </w:tcPr>
          <w:p w14:paraId="7B1A6FAD">
            <w:pPr>
              <w:adjustRightInd w:val="0"/>
              <w:snapToGrid w:val="0"/>
              <w:jc w:val="center"/>
              <w:rPr>
                <w:rFonts w:hint="default" w:ascii="Times New Roman" w:hAnsi="Times New Roman" w:cs="Times New Roman" w:eastAsiaTheme="minorEastAsia"/>
                <w:color w:val="auto"/>
                <w:sz w:val="24"/>
                <w:szCs w:val="24"/>
                <w:lang w:val="en-US" w:eastAsia="zh-CN"/>
              </w:rPr>
            </w:pPr>
          </w:p>
        </w:tc>
      </w:tr>
      <w:tr w14:paraId="1BAEAD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488" w:type="dxa"/>
            <w:vMerge w:val="continue"/>
            <w:noWrap w:val="0"/>
            <w:vAlign w:val="center"/>
          </w:tcPr>
          <w:p w14:paraId="40EFFB8A">
            <w:pPr>
              <w:adjustRightInd w:val="0"/>
              <w:snapToGrid w:val="0"/>
              <w:jc w:val="center"/>
              <w:rPr>
                <w:rFonts w:hint="default" w:ascii="Times New Roman" w:hAnsi="Times New Roman" w:cs="Times New Roman" w:eastAsiaTheme="minorEastAsia"/>
                <w:color w:val="auto"/>
                <w:sz w:val="24"/>
                <w:szCs w:val="24"/>
              </w:rPr>
            </w:pPr>
          </w:p>
        </w:tc>
        <w:tc>
          <w:tcPr>
            <w:tcW w:w="1411" w:type="dxa"/>
            <w:vMerge w:val="restart"/>
            <w:noWrap w:val="0"/>
            <w:vAlign w:val="center"/>
          </w:tcPr>
          <w:p w14:paraId="587CC1E6">
            <w:pPr>
              <w:overflowPunct w:val="0"/>
              <w:autoSpaceDE w:val="0"/>
              <w:autoSpaceDN w:val="0"/>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无组织</w:t>
            </w:r>
          </w:p>
          <w:p w14:paraId="5332B7F4">
            <w:pPr>
              <w:overflowPunct w:val="0"/>
              <w:autoSpaceDE w:val="0"/>
              <w:autoSpaceDN w:val="0"/>
              <w:adjustRightInd w:val="0"/>
              <w:snapToGrid w:val="0"/>
              <w:jc w:val="center"/>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sz w:val="24"/>
                <w:szCs w:val="24"/>
              </w:rPr>
              <w:t>排放</w:t>
            </w:r>
          </w:p>
        </w:tc>
        <w:tc>
          <w:tcPr>
            <w:tcW w:w="1372" w:type="dxa"/>
            <w:gridSpan w:val="3"/>
            <w:noWrap w:val="0"/>
            <w:vAlign w:val="center"/>
          </w:tcPr>
          <w:p w14:paraId="4F9E7249">
            <w:pPr>
              <w:overflowPunct w:val="0"/>
              <w:autoSpaceDE w:val="0"/>
              <w:autoSpaceDN w:val="0"/>
              <w:adjustRightInd w:val="0"/>
              <w:snapToGrid w:val="0"/>
              <w:jc w:val="center"/>
              <w:rPr>
                <w:rFonts w:hint="default" w:ascii="Times New Roman" w:hAnsi="Times New Roman" w:cs="Times New Roman" w:eastAsiaTheme="minorEastAsia"/>
                <w:color w:val="auto"/>
                <w:kern w:val="2"/>
                <w:sz w:val="24"/>
                <w:szCs w:val="24"/>
                <w:lang w:val="en-US" w:eastAsia="zh-CN" w:bidi="ar-SA"/>
              </w:rPr>
            </w:pPr>
            <w:r>
              <w:rPr>
                <w:rFonts w:hint="eastAsia" w:cs="Times New Roman" w:eastAsiaTheme="minorEastAsia"/>
                <w:color w:val="auto"/>
                <w:sz w:val="24"/>
                <w:szCs w:val="24"/>
                <w:lang w:val="en-US" w:eastAsia="zh-CN"/>
              </w:rPr>
              <w:t>筒仓粉尘</w:t>
            </w:r>
            <w:r>
              <w:rPr>
                <w:rFonts w:hint="default" w:ascii="Times New Roman" w:hAnsi="Times New Roman" w:cs="Times New Roman" w:eastAsiaTheme="minorEastAsia"/>
                <w:color w:val="auto"/>
                <w:sz w:val="24"/>
                <w:szCs w:val="24"/>
              </w:rPr>
              <w:t>颗粒物</w:t>
            </w:r>
          </w:p>
        </w:tc>
        <w:tc>
          <w:tcPr>
            <w:tcW w:w="2452" w:type="dxa"/>
            <w:noWrap w:val="0"/>
            <w:vAlign w:val="center"/>
          </w:tcPr>
          <w:p w14:paraId="5465A772">
            <w:pPr>
              <w:pStyle w:val="29"/>
              <w:jc w:val="both"/>
              <w:rPr>
                <w:rFonts w:hint="default" w:ascii="Times New Roman" w:hAnsi="Times New Roman" w:cs="Times New Roman" w:eastAsiaTheme="minorEastAsia"/>
                <w:color w:val="auto"/>
                <w:kern w:val="2"/>
                <w:sz w:val="24"/>
                <w:szCs w:val="24"/>
                <w:lang w:val="en-US" w:eastAsia="zh-CN" w:bidi="zh-CN"/>
              </w:rPr>
            </w:pPr>
            <w:r>
              <w:rPr>
                <w:rFonts w:hint="default" w:ascii="Times New Roman" w:hAnsi="Times New Roman" w:cs="Times New Roman" w:eastAsiaTheme="minorEastAsia"/>
                <w:color w:val="auto"/>
                <w:sz w:val="24"/>
                <w:szCs w:val="24"/>
                <w:lang w:val="en-US" w:bidi="ar-SA"/>
              </w:rPr>
              <w:t>项目砂石料堆场</w:t>
            </w:r>
            <w:r>
              <w:rPr>
                <w:rFonts w:hint="default" w:ascii="Times New Roman" w:hAnsi="Times New Roman" w:cs="Times New Roman" w:eastAsiaTheme="minorEastAsia"/>
                <w:color w:val="auto"/>
                <w:sz w:val="24"/>
                <w:szCs w:val="24"/>
                <w:lang w:val="en-US" w:eastAsia="zh-CN" w:bidi="ar-SA"/>
              </w:rPr>
              <w:t>设置</w:t>
            </w:r>
            <w:r>
              <w:rPr>
                <w:rFonts w:hint="default" w:ascii="Times New Roman" w:hAnsi="Times New Roman" w:cs="Times New Roman" w:eastAsiaTheme="minorEastAsia"/>
                <w:color w:val="auto"/>
                <w:sz w:val="24"/>
                <w:szCs w:val="24"/>
                <w:lang w:val="en-US" w:bidi="ar-SA"/>
              </w:rPr>
              <w:t>三面围挡；水泥筒仓粉尘在呼吸孔安装滤筒进行过滤</w:t>
            </w:r>
            <w:r>
              <w:rPr>
                <w:rFonts w:hint="default" w:ascii="Times New Roman" w:hAnsi="Times New Roman" w:cs="Times New Roman" w:eastAsiaTheme="minorEastAsia"/>
                <w:color w:val="auto"/>
                <w:sz w:val="24"/>
                <w:szCs w:val="24"/>
                <w:lang w:val="en-US" w:eastAsia="zh-CN" w:bidi="ar-SA"/>
              </w:rPr>
              <w:t>除尘。</w:t>
            </w:r>
          </w:p>
        </w:tc>
        <w:tc>
          <w:tcPr>
            <w:tcW w:w="2077" w:type="dxa"/>
            <w:noWrap w:val="0"/>
            <w:vAlign w:val="center"/>
          </w:tcPr>
          <w:p w14:paraId="3313A2F3">
            <w:pPr>
              <w:adjustRightInd w:val="0"/>
              <w:snapToGrid w:val="0"/>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sz w:val="24"/>
                <w:szCs w:val="24"/>
              </w:rPr>
              <w:t>《水泥工业大气污染物排放标准》（GB4915-2013）表3大气污染物无组织排放限值。</w:t>
            </w:r>
          </w:p>
        </w:tc>
      </w:tr>
      <w:tr w14:paraId="0B21F6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488" w:type="dxa"/>
            <w:vMerge w:val="continue"/>
            <w:noWrap w:val="0"/>
            <w:vAlign w:val="center"/>
          </w:tcPr>
          <w:p w14:paraId="61F8636F">
            <w:pPr>
              <w:adjustRightInd w:val="0"/>
              <w:snapToGrid w:val="0"/>
              <w:jc w:val="both"/>
              <w:rPr>
                <w:color w:val="auto"/>
              </w:rPr>
            </w:pPr>
          </w:p>
        </w:tc>
        <w:tc>
          <w:tcPr>
            <w:tcW w:w="1411" w:type="dxa"/>
            <w:vMerge w:val="continue"/>
            <w:noWrap w:val="0"/>
            <w:vAlign w:val="center"/>
          </w:tcPr>
          <w:p w14:paraId="6A91C254">
            <w:pPr>
              <w:adjustRightInd w:val="0"/>
              <w:snapToGrid w:val="0"/>
              <w:jc w:val="both"/>
              <w:rPr>
                <w:color w:val="auto"/>
              </w:rPr>
            </w:pPr>
          </w:p>
        </w:tc>
        <w:tc>
          <w:tcPr>
            <w:tcW w:w="1372" w:type="dxa"/>
            <w:gridSpan w:val="3"/>
            <w:noWrap w:val="0"/>
            <w:vAlign w:val="center"/>
          </w:tcPr>
          <w:p w14:paraId="29EEC523">
            <w:pPr>
              <w:adjustRightInd w:val="0"/>
              <w:snapToGrid w:val="0"/>
              <w:jc w:val="both"/>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搅拌粉尘</w:t>
            </w:r>
          </w:p>
        </w:tc>
        <w:tc>
          <w:tcPr>
            <w:tcW w:w="2452" w:type="dxa"/>
            <w:noWrap w:val="0"/>
            <w:vAlign w:val="center"/>
          </w:tcPr>
          <w:p w14:paraId="28733968">
            <w:pPr>
              <w:adjustRightInd w:val="0"/>
              <w:snapToGrid w:val="0"/>
              <w:jc w:val="both"/>
              <w:rPr>
                <w:rFonts w:hint="default" w:ascii="Times New Roman" w:hAnsi="Times New Roman" w:cs="Times New Roman" w:eastAsiaTheme="minorEastAsia"/>
                <w:color w:val="auto"/>
                <w:sz w:val="24"/>
                <w:szCs w:val="24"/>
              </w:rPr>
            </w:pPr>
            <w:r>
              <w:rPr>
                <w:rFonts w:hint="eastAsia" w:ascii="Times New Roman" w:hAnsi="Times New Roman" w:cs="Times New Roman" w:eastAsiaTheme="minorEastAsia"/>
                <w:color w:val="auto"/>
                <w:sz w:val="24"/>
                <w:szCs w:val="24"/>
                <w:lang w:val="en-US" w:eastAsia="zh-CN" w:bidi="ar-SA"/>
              </w:rPr>
              <w:t>搅拌</w:t>
            </w:r>
            <w:r>
              <w:rPr>
                <w:rFonts w:hint="default" w:ascii="Times New Roman" w:hAnsi="Times New Roman" w:cs="Times New Roman" w:eastAsiaTheme="minorEastAsia"/>
                <w:color w:val="auto"/>
                <w:sz w:val="24"/>
                <w:szCs w:val="24"/>
                <w:lang w:val="en-US" w:bidi="ar-SA"/>
              </w:rPr>
              <w:t>粉尘在</w:t>
            </w:r>
            <w:r>
              <w:rPr>
                <w:rFonts w:hint="eastAsia" w:ascii="Times New Roman" w:hAnsi="Times New Roman" w:cs="Times New Roman" w:eastAsiaTheme="minorEastAsia"/>
                <w:color w:val="auto"/>
                <w:sz w:val="24"/>
                <w:szCs w:val="24"/>
                <w:lang w:val="en-US" w:eastAsia="zh-CN" w:bidi="ar-SA"/>
              </w:rPr>
              <w:t>搅拌设备内安装脉冲除尘器</w:t>
            </w:r>
            <w:r>
              <w:rPr>
                <w:rFonts w:hint="default" w:ascii="Times New Roman" w:hAnsi="Times New Roman" w:cs="Times New Roman" w:eastAsiaTheme="minorEastAsia"/>
                <w:color w:val="auto"/>
                <w:sz w:val="24"/>
                <w:szCs w:val="24"/>
                <w:lang w:val="en-US" w:eastAsia="zh-CN" w:bidi="ar-SA"/>
              </w:rPr>
              <w:t>。</w:t>
            </w:r>
          </w:p>
        </w:tc>
        <w:tc>
          <w:tcPr>
            <w:tcW w:w="2077" w:type="dxa"/>
            <w:noWrap w:val="0"/>
            <w:vAlign w:val="center"/>
          </w:tcPr>
          <w:p w14:paraId="315F37F1">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《水泥工业大气污染物排放标准》（GB4915-2013）表3大气污染物无组织排放限值。</w:t>
            </w:r>
          </w:p>
        </w:tc>
      </w:tr>
      <w:tr w14:paraId="4FB319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488" w:type="dxa"/>
            <w:vMerge w:val="continue"/>
            <w:noWrap w:val="0"/>
            <w:vAlign w:val="center"/>
          </w:tcPr>
          <w:p w14:paraId="2D2E7519">
            <w:pPr>
              <w:adjustRightInd w:val="0"/>
              <w:snapToGrid w:val="0"/>
              <w:jc w:val="both"/>
              <w:rPr>
                <w:rFonts w:hint="default" w:ascii="Times New Roman" w:hAnsi="Times New Roman" w:cs="Times New Roman" w:eastAsiaTheme="minorEastAsia"/>
                <w:color w:val="auto"/>
                <w:sz w:val="24"/>
                <w:szCs w:val="24"/>
              </w:rPr>
            </w:pPr>
          </w:p>
        </w:tc>
        <w:tc>
          <w:tcPr>
            <w:tcW w:w="1411" w:type="dxa"/>
            <w:vMerge w:val="continue"/>
            <w:noWrap w:val="0"/>
            <w:vAlign w:val="center"/>
          </w:tcPr>
          <w:p w14:paraId="2BADFA66">
            <w:pPr>
              <w:adjustRightInd w:val="0"/>
              <w:snapToGrid w:val="0"/>
              <w:jc w:val="both"/>
              <w:rPr>
                <w:rFonts w:hint="default" w:ascii="Times New Roman" w:hAnsi="Times New Roman" w:cs="Times New Roman" w:eastAsiaTheme="minorEastAsia"/>
                <w:color w:val="auto"/>
                <w:sz w:val="24"/>
                <w:szCs w:val="24"/>
              </w:rPr>
            </w:pPr>
          </w:p>
        </w:tc>
        <w:tc>
          <w:tcPr>
            <w:tcW w:w="1372" w:type="dxa"/>
            <w:gridSpan w:val="3"/>
            <w:noWrap w:val="0"/>
            <w:vAlign w:val="center"/>
          </w:tcPr>
          <w:p w14:paraId="6D233D4E">
            <w:pPr>
              <w:adjustRightInd w:val="0"/>
              <w:snapToGrid w:val="0"/>
              <w:jc w:val="both"/>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运输扬尘</w:t>
            </w:r>
          </w:p>
        </w:tc>
        <w:tc>
          <w:tcPr>
            <w:tcW w:w="2452" w:type="dxa"/>
            <w:noWrap w:val="0"/>
            <w:vAlign w:val="center"/>
          </w:tcPr>
          <w:p w14:paraId="3E99653C">
            <w:pPr>
              <w:adjustRightInd w:val="0"/>
              <w:snapToGrid w:val="0"/>
              <w:jc w:val="both"/>
              <w:rPr>
                <w:rFonts w:hint="eastAsia" w:ascii="Times New Roman" w:hAnsi="Times New Roman" w:cs="Times New Roman" w:eastAsiaTheme="minorEastAsia"/>
                <w:color w:val="auto"/>
                <w:sz w:val="24"/>
                <w:szCs w:val="24"/>
                <w:lang w:eastAsia="zh-CN"/>
              </w:rPr>
            </w:pPr>
            <w:r>
              <w:rPr>
                <w:rFonts w:hint="default" w:ascii="Times New Roman" w:hAnsi="Times New Roman" w:cs="Times New Roman" w:eastAsiaTheme="minorEastAsia"/>
                <w:color w:val="auto"/>
                <w:sz w:val="24"/>
                <w:szCs w:val="24"/>
                <w:lang w:val="en-US"/>
              </w:rPr>
              <w:t>厂区道路硬化、</w:t>
            </w:r>
            <w:r>
              <w:rPr>
                <w:rFonts w:hint="default" w:ascii="Times New Roman" w:hAnsi="Times New Roman" w:cs="Times New Roman" w:eastAsiaTheme="minorEastAsia"/>
                <w:color w:val="auto"/>
                <w:sz w:val="24"/>
                <w:szCs w:val="24"/>
              </w:rPr>
              <w:t>控制车速、密封运输物料及</w:t>
            </w:r>
            <w:r>
              <w:rPr>
                <w:rFonts w:hint="default" w:ascii="Times New Roman" w:hAnsi="Times New Roman" w:cs="Times New Roman" w:eastAsiaTheme="minorEastAsia"/>
                <w:color w:val="auto"/>
                <w:sz w:val="24"/>
                <w:szCs w:val="24"/>
                <w:lang w:val="en-US" w:eastAsia="zh-CN"/>
              </w:rPr>
              <w:t>安装</w:t>
            </w:r>
            <w:r>
              <w:rPr>
                <w:rFonts w:hint="default" w:ascii="Times New Roman" w:hAnsi="Times New Roman" w:cs="Times New Roman" w:eastAsiaTheme="minorEastAsia"/>
                <w:color w:val="auto"/>
                <w:sz w:val="24"/>
                <w:szCs w:val="24"/>
              </w:rPr>
              <w:t>车辆冲洗</w:t>
            </w:r>
            <w:r>
              <w:rPr>
                <w:rFonts w:hint="default" w:ascii="Times New Roman" w:hAnsi="Times New Roman" w:cs="Times New Roman" w:eastAsiaTheme="minorEastAsia"/>
                <w:color w:val="auto"/>
                <w:sz w:val="24"/>
                <w:szCs w:val="24"/>
                <w:lang w:val="en-US" w:eastAsia="zh-CN"/>
              </w:rPr>
              <w:t>平台等</w:t>
            </w:r>
            <w:r>
              <w:rPr>
                <w:rFonts w:hint="default" w:ascii="Times New Roman" w:hAnsi="Times New Roman" w:cs="Times New Roman" w:eastAsiaTheme="minorEastAsia"/>
                <w:color w:val="auto"/>
                <w:sz w:val="24"/>
                <w:szCs w:val="24"/>
              </w:rPr>
              <w:t>措施后，运输产生的扬尘对周围环境影响不大</w:t>
            </w:r>
            <w:r>
              <w:rPr>
                <w:rFonts w:hint="eastAsia" w:ascii="Times New Roman" w:hAnsi="Times New Roman" w:cs="Times New Roman" w:eastAsiaTheme="minorEastAsia"/>
                <w:color w:val="auto"/>
                <w:sz w:val="24"/>
                <w:szCs w:val="24"/>
                <w:lang w:eastAsia="zh-CN"/>
              </w:rPr>
              <w:t>。</w:t>
            </w:r>
          </w:p>
        </w:tc>
        <w:tc>
          <w:tcPr>
            <w:tcW w:w="2077" w:type="dxa"/>
            <w:noWrap w:val="0"/>
            <w:vAlign w:val="center"/>
          </w:tcPr>
          <w:p w14:paraId="2BD85401">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《大气污染物综合排放标准》(GB16297-1996)</w:t>
            </w:r>
            <w:r>
              <w:rPr>
                <w:rFonts w:hint="eastAsia" w:ascii="Times New Roman" w:hAnsi="Times New Roman" w:cs="Times New Roman" w:eastAsiaTheme="minorEastAsia"/>
                <w:color w:val="auto"/>
                <w:sz w:val="24"/>
                <w:szCs w:val="24"/>
                <w:lang w:val="en-US" w:eastAsia="zh-CN"/>
              </w:rPr>
              <w:t>表2无组织排放浓度限制</w:t>
            </w:r>
          </w:p>
        </w:tc>
      </w:tr>
      <w:tr w14:paraId="59AFC6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488" w:type="dxa"/>
            <w:vMerge w:val="continue"/>
            <w:noWrap w:val="0"/>
            <w:vAlign w:val="center"/>
          </w:tcPr>
          <w:p w14:paraId="2B1B5803">
            <w:pPr>
              <w:adjustRightInd w:val="0"/>
              <w:snapToGrid w:val="0"/>
              <w:jc w:val="both"/>
              <w:rPr>
                <w:rFonts w:hint="default" w:ascii="Times New Roman" w:hAnsi="Times New Roman" w:cs="Times New Roman" w:eastAsiaTheme="minorEastAsia"/>
                <w:color w:val="auto"/>
                <w:sz w:val="24"/>
                <w:szCs w:val="24"/>
              </w:rPr>
            </w:pPr>
          </w:p>
        </w:tc>
        <w:tc>
          <w:tcPr>
            <w:tcW w:w="1411" w:type="dxa"/>
            <w:vMerge w:val="continue"/>
            <w:noWrap w:val="0"/>
            <w:vAlign w:val="center"/>
          </w:tcPr>
          <w:p w14:paraId="30022921">
            <w:pPr>
              <w:adjustRightInd w:val="0"/>
              <w:snapToGrid w:val="0"/>
              <w:jc w:val="both"/>
              <w:rPr>
                <w:rFonts w:hint="default" w:ascii="Times New Roman" w:hAnsi="Times New Roman" w:cs="Times New Roman" w:eastAsiaTheme="minorEastAsia"/>
                <w:color w:val="auto"/>
                <w:sz w:val="24"/>
                <w:szCs w:val="24"/>
              </w:rPr>
            </w:pPr>
          </w:p>
        </w:tc>
        <w:tc>
          <w:tcPr>
            <w:tcW w:w="1372" w:type="dxa"/>
            <w:gridSpan w:val="3"/>
            <w:noWrap w:val="0"/>
            <w:vAlign w:val="center"/>
          </w:tcPr>
          <w:p w14:paraId="3A8FD1DD">
            <w:pPr>
              <w:adjustRightInd w:val="0"/>
              <w:snapToGrid w:val="0"/>
              <w:jc w:val="both"/>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切割粉尘</w:t>
            </w:r>
          </w:p>
        </w:tc>
        <w:tc>
          <w:tcPr>
            <w:tcW w:w="2452" w:type="dxa"/>
            <w:noWrap w:val="0"/>
            <w:vAlign w:val="center"/>
          </w:tcPr>
          <w:p w14:paraId="0B8C762F">
            <w:pPr>
              <w:adjustRightInd w:val="0"/>
              <w:snapToGrid w:val="0"/>
              <w:jc w:val="both"/>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全封闭厂房，对周围环境影响较小</w:t>
            </w:r>
          </w:p>
        </w:tc>
        <w:tc>
          <w:tcPr>
            <w:tcW w:w="2077" w:type="dxa"/>
            <w:noWrap w:val="0"/>
            <w:vAlign w:val="center"/>
          </w:tcPr>
          <w:p w14:paraId="29F4FAAB">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《大气污染物综合排放标准》(GB16297-1996)</w:t>
            </w:r>
            <w:r>
              <w:rPr>
                <w:rFonts w:hint="eastAsia" w:ascii="Times New Roman" w:hAnsi="Times New Roman" w:cs="Times New Roman" w:eastAsiaTheme="minorEastAsia"/>
                <w:color w:val="auto"/>
                <w:sz w:val="24"/>
                <w:szCs w:val="24"/>
                <w:lang w:val="en-US" w:eastAsia="zh-CN"/>
              </w:rPr>
              <w:t>表2无组织排放浓度限制</w:t>
            </w:r>
          </w:p>
        </w:tc>
      </w:tr>
      <w:tr w14:paraId="4460C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488" w:type="dxa"/>
            <w:vMerge w:val="continue"/>
            <w:noWrap w:val="0"/>
            <w:vAlign w:val="center"/>
          </w:tcPr>
          <w:p w14:paraId="618B3B73">
            <w:pPr>
              <w:adjustRightInd w:val="0"/>
              <w:snapToGrid w:val="0"/>
              <w:jc w:val="both"/>
              <w:rPr>
                <w:rFonts w:hint="default" w:ascii="Times New Roman" w:hAnsi="Times New Roman" w:cs="Times New Roman" w:eastAsiaTheme="minorEastAsia"/>
                <w:color w:val="auto"/>
                <w:sz w:val="24"/>
                <w:szCs w:val="24"/>
              </w:rPr>
            </w:pPr>
          </w:p>
        </w:tc>
        <w:tc>
          <w:tcPr>
            <w:tcW w:w="1411" w:type="dxa"/>
            <w:vMerge w:val="continue"/>
            <w:noWrap w:val="0"/>
            <w:vAlign w:val="center"/>
          </w:tcPr>
          <w:p w14:paraId="41AB3ABA">
            <w:pPr>
              <w:adjustRightInd w:val="0"/>
              <w:snapToGrid w:val="0"/>
              <w:jc w:val="both"/>
              <w:rPr>
                <w:rFonts w:hint="default" w:ascii="Times New Roman" w:hAnsi="Times New Roman" w:cs="Times New Roman" w:eastAsiaTheme="minorEastAsia"/>
                <w:color w:val="auto"/>
                <w:sz w:val="24"/>
                <w:szCs w:val="24"/>
              </w:rPr>
            </w:pPr>
          </w:p>
        </w:tc>
        <w:tc>
          <w:tcPr>
            <w:tcW w:w="1372" w:type="dxa"/>
            <w:gridSpan w:val="3"/>
            <w:noWrap w:val="0"/>
            <w:vAlign w:val="center"/>
          </w:tcPr>
          <w:p w14:paraId="4B964BF0">
            <w:pPr>
              <w:adjustRightInd w:val="0"/>
              <w:snapToGrid w:val="0"/>
              <w:jc w:val="both"/>
              <w:rPr>
                <w:rFonts w:hint="eastAsia"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焊接烟尘</w:t>
            </w:r>
          </w:p>
        </w:tc>
        <w:tc>
          <w:tcPr>
            <w:tcW w:w="2452" w:type="dxa"/>
            <w:noWrap w:val="0"/>
            <w:vAlign w:val="center"/>
          </w:tcPr>
          <w:p w14:paraId="3D11F920">
            <w:pPr>
              <w:adjustRightInd w:val="0"/>
              <w:snapToGrid w:val="0"/>
              <w:jc w:val="both"/>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val="en-US" w:eastAsia="zh-CN"/>
              </w:rPr>
              <w:t>全封闭厂房，对周围环境影响较小</w:t>
            </w:r>
          </w:p>
        </w:tc>
        <w:tc>
          <w:tcPr>
            <w:tcW w:w="2077" w:type="dxa"/>
            <w:noWrap w:val="0"/>
            <w:vAlign w:val="center"/>
          </w:tcPr>
          <w:p w14:paraId="494407F8">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《大气污染物综合排放标准》(GB16297-1996)</w:t>
            </w:r>
            <w:r>
              <w:rPr>
                <w:rFonts w:hint="eastAsia" w:ascii="Times New Roman" w:hAnsi="Times New Roman" w:cs="Times New Roman" w:eastAsiaTheme="minorEastAsia"/>
                <w:color w:val="auto"/>
                <w:sz w:val="24"/>
                <w:szCs w:val="24"/>
                <w:lang w:val="en-US" w:eastAsia="zh-CN"/>
              </w:rPr>
              <w:t>表2无组织排放浓度限制</w:t>
            </w:r>
          </w:p>
        </w:tc>
      </w:tr>
      <w:tr w14:paraId="68C8C8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1488" w:type="dxa"/>
            <w:vMerge w:val="continue"/>
            <w:noWrap w:val="0"/>
            <w:vAlign w:val="center"/>
          </w:tcPr>
          <w:p w14:paraId="0D9B8F59">
            <w:pPr>
              <w:adjustRightInd w:val="0"/>
              <w:snapToGrid w:val="0"/>
              <w:jc w:val="both"/>
              <w:rPr>
                <w:rFonts w:hint="default" w:ascii="Times New Roman" w:hAnsi="Times New Roman" w:cs="Times New Roman" w:eastAsiaTheme="minorEastAsia"/>
                <w:color w:val="auto"/>
                <w:sz w:val="24"/>
                <w:szCs w:val="24"/>
              </w:rPr>
            </w:pPr>
          </w:p>
        </w:tc>
        <w:tc>
          <w:tcPr>
            <w:tcW w:w="1411" w:type="dxa"/>
            <w:vMerge w:val="continue"/>
            <w:noWrap w:val="0"/>
            <w:vAlign w:val="center"/>
          </w:tcPr>
          <w:p w14:paraId="69177BDB">
            <w:pPr>
              <w:adjustRightInd w:val="0"/>
              <w:snapToGrid w:val="0"/>
              <w:jc w:val="both"/>
              <w:rPr>
                <w:rFonts w:hint="default" w:ascii="Times New Roman" w:hAnsi="Times New Roman" w:cs="Times New Roman" w:eastAsiaTheme="minorEastAsia"/>
                <w:color w:val="auto"/>
                <w:sz w:val="24"/>
                <w:szCs w:val="24"/>
              </w:rPr>
            </w:pPr>
          </w:p>
        </w:tc>
        <w:tc>
          <w:tcPr>
            <w:tcW w:w="1372" w:type="dxa"/>
            <w:gridSpan w:val="3"/>
            <w:noWrap w:val="0"/>
            <w:vAlign w:val="center"/>
          </w:tcPr>
          <w:p w14:paraId="5EDF2D2D">
            <w:pPr>
              <w:adjustRightInd w:val="0"/>
              <w:snapToGrid w:val="0"/>
              <w:jc w:val="both"/>
              <w:rPr>
                <w:rFonts w:hint="default"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涂料废气</w:t>
            </w:r>
          </w:p>
        </w:tc>
        <w:tc>
          <w:tcPr>
            <w:tcW w:w="2452" w:type="dxa"/>
            <w:noWrap w:val="0"/>
            <w:vAlign w:val="center"/>
          </w:tcPr>
          <w:p w14:paraId="094A8A2B">
            <w:pPr>
              <w:adjustRightInd w:val="0"/>
              <w:snapToGrid w:val="0"/>
              <w:jc w:val="both"/>
              <w:rPr>
                <w:rFonts w:hint="default" w:ascii="Times New Roman" w:hAnsi="Times New Roman" w:cs="Times New Roman" w:eastAsiaTheme="minorEastAsia"/>
                <w:color w:val="auto"/>
                <w:sz w:val="24"/>
                <w:szCs w:val="24"/>
              </w:rPr>
            </w:pPr>
            <w:r>
              <w:rPr>
                <w:rFonts w:hint="eastAsia" w:cs="Times New Roman" w:eastAsiaTheme="minorEastAsia"/>
                <w:color w:val="auto"/>
                <w:sz w:val="24"/>
                <w:szCs w:val="24"/>
                <w:lang w:val="en-US" w:eastAsia="zh-CN"/>
              </w:rPr>
              <w:t>全封闭厂房，对周围环境影响较小</w:t>
            </w:r>
          </w:p>
        </w:tc>
        <w:tc>
          <w:tcPr>
            <w:tcW w:w="2077" w:type="dxa"/>
            <w:noWrap w:val="0"/>
            <w:vAlign w:val="center"/>
          </w:tcPr>
          <w:p w14:paraId="12251F3F">
            <w:pPr>
              <w:adjustRightInd w:val="0"/>
              <w:snapToGrid w:val="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rPr>
              <w:t>《大气污染物综合排放标准》(GB16297-1996)</w:t>
            </w:r>
            <w:r>
              <w:rPr>
                <w:rFonts w:hint="eastAsia" w:ascii="Times New Roman" w:hAnsi="Times New Roman" w:cs="Times New Roman" w:eastAsiaTheme="minorEastAsia"/>
                <w:color w:val="auto"/>
                <w:sz w:val="24"/>
                <w:szCs w:val="24"/>
                <w:lang w:val="en-US" w:eastAsia="zh-CN"/>
              </w:rPr>
              <w:t>表2无组织排放浓度限制</w:t>
            </w:r>
          </w:p>
        </w:tc>
      </w:tr>
      <w:tr w14:paraId="3663FD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88" w:type="dxa"/>
            <w:vMerge w:val="continue"/>
            <w:noWrap w:val="0"/>
            <w:vAlign w:val="center"/>
          </w:tcPr>
          <w:p w14:paraId="0F09AA43">
            <w:pPr>
              <w:adjustRightInd w:val="0"/>
              <w:snapToGrid w:val="0"/>
              <w:jc w:val="center"/>
              <w:rPr>
                <w:rFonts w:hint="default" w:ascii="Times New Roman" w:hAnsi="Times New Roman" w:cs="Times New Roman" w:eastAsiaTheme="minorEastAsia"/>
                <w:color w:val="auto"/>
                <w:sz w:val="24"/>
                <w:szCs w:val="24"/>
              </w:rPr>
            </w:pPr>
          </w:p>
        </w:tc>
        <w:tc>
          <w:tcPr>
            <w:tcW w:w="1411" w:type="dxa"/>
            <w:noWrap w:val="0"/>
            <w:vAlign w:val="center"/>
          </w:tcPr>
          <w:p w14:paraId="5BF37452">
            <w:pPr>
              <w:overflowPunct w:val="0"/>
              <w:autoSpaceDE w:val="0"/>
              <w:autoSpaceDN w:val="0"/>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食堂油烟</w:t>
            </w:r>
          </w:p>
        </w:tc>
        <w:tc>
          <w:tcPr>
            <w:tcW w:w="1372" w:type="dxa"/>
            <w:gridSpan w:val="3"/>
            <w:noWrap w:val="0"/>
            <w:vAlign w:val="center"/>
          </w:tcPr>
          <w:p w14:paraId="671C0559">
            <w:pPr>
              <w:overflowPunct w:val="0"/>
              <w:autoSpaceDE w:val="0"/>
              <w:autoSpaceDN w:val="0"/>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食堂油烟</w:t>
            </w:r>
          </w:p>
        </w:tc>
        <w:tc>
          <w:tcPr>
            <w:tcW w:w="2452" w:type="dxa"/>
            <w:noWrap w:val="0"/>
            <w:vAlign w:val="center"/>
          </w:tcPr>
          <w:p w14:paraId="13F70E08">
            <w:pPr>
              <w:pStyle w:val="29"/>
              <w:jc w:val="center"/>
              <w:rPr>
                <w:rFonts w:hint="default" w:ascii="Times New Roman" w:hAnsi="Times New Roman" w:cs="Times New Roman" w:eastAsiaTheme="minorEastAsia"/>
                <w:color w:val="auto"/>
                <w:sz w:val="24"/>
                <w:szCs w:val="24"/>
                <w:lang w:val="en-US" w:eastAsia="zh-CN" w:bidi="ar-SA"/>
              </w:rPr>
            </w:pPr>
            <w:r>
              <w:rPr>
                <w:rFonts w:hint="default" w:ascii="Times New Roman" w:hAnsi="Times New Roman" w:cs="Times New Roman" w:eastAsiaTheme="minorEastAsia"/>
                <w:color w:val="auto"/>
                <w:sz w:val="24"/>
                <w:szCs w:val="24"/>
                <w:lang w:val="en-US" w:eastAsia="zh-CN" w:bidi="ar-SA"/>
              </w:rPr>
              <w:t>油烟净化器</w:t>
            </w:r>
          </w:p>
        </w:tc>
        <w:tc>
          <w:tcPr>
            <w:tcW w:w="2077" w:type="dxa"/>
            <w:noWrap w:val="0"/>
            <w:vAlign w:val="center"/>
          </w:tcPr>
          <w:p w14:paraId="5DC142E6">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《饮食业油烟排放标准（试行）》（GB18483-2001）标准要求</w:t>
            </w:r>
          </w:p>
        </w:tc>
      </w:tr>
      <w:tr w14:paraId="27ED08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88" w:type="dxa"/>
            <w:vMerge w:val="restart"/>
            <w:noWrap w:val="0"/>
            <w:vAlign w:val="center"/>
          </w:tcPr>
          <w:p w14:paraId="163E1227">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地表水环境</w:t>
            </w:r>
          </w:p>
        </w:tc>
        <w:tc>
          <w:tcPr>
            <w:tcW w:w="1411" w:type="dxa"/>
            <w:noWrap w:val="0"/>
            <w:vAlign w:val="center"/>
          </w:tcPr>
          <w:p w14:paraId="25898185">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生活污水</w:t>
            </w:r>
          </w:p>
        </w:tc>
        <w:tc>
          <w:tcPr>
            <w:tcW w:w="1372" w:type="dxa"/>
            <w:gridSpan w:val="3"/>
            <w:noWrap w:val="0"/>
            <w:vAlign w:val="center"/>
          </w:tcPr>
          <w:p w14:paraId="3830631C">
            <w:pPr>
              <w:adjustRightInd w:val="0"/>
              <w:snapToGrid w:val="0"/>
              <w:jc w:val="center"/>
              <w:rPr>
                <w:rFonts w:hint="default" w:ascii="Times New Roman" w:hAnsi="Times New Roman" w:cs="Times New Roman" w:eastAsiaTheme="minorEastAsia"/>
                <w:color w:val="auto"/>
                <w:sz w:val="24"/>
                <w:szCs w:val="24"/>
              </w:rPr>
            </w:pPr>
            <w:r>
              <w:rPr>
                <w:rFonts w:hint="eastAsia" w:cs="Times New Roman" w:eastAsiaTheme="minorEastAsia"/>
                <w:bCs/>
                <w:color w:val="auto"/>
                <w:sz w:val="24"/>
                <w:szCs w:val="24"/>
                <w:lang w:val="en-US" w:eastAsia="zh-CN"/>
              </w:rPr>
              <w:t>BOD5、</w:t>
            </w:r>
            <w:r>
              <w:rPr>
                <w:rFonts w:hint="default" w:ascii="Times New Roman" w:hAnsi="Times New Roman" w:cs="Times New Roman" w:eastAsiaTheme="minorEastAsia"/>
                <w:bCs/>
                <w:color w:val="auto"/>
                <w:sz w:val="24"/>
                <w:szCs w:val="24"/>
              </w:rPr>
              <w:t>COD、SS</w:t>
            </w:r>
          </w:p>
        </w:tc>
        <w:tc>
          <w:tcPr>
            <w:tcW w:w="2452" w:type="dxa"/>
            <w:noWrap w:val="0"/>
            <w:vAlign w:val="center"/>
          </w:tcPr>
          <w:p w14:paraId="0E83DFB6">
            <w:pPr>
              <w:adjustRightInd w:val="0"/>
              <w:snapToGrid w:val="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kern w:val="2"/>
                <w:sz w:val="24"/>
                <w:szCs w:val="24"/>
                <w:lang w:val="en-US" w:eastAsia="zh-CN" w:bidi="ar-SA"/>
              </w:rPr>
              <w:t>排入园区污水管网最终排入</w:t>
            </w:r>
            <w:r>
              <w:rPr>
                <w:rFonts w:hint="eastAsia" w:ascii="Times New Roman" w:hAnsi="Times New Roman" w:cs="Times New Roman" w:eastAsiaTheme="minorEastAsia"/>
                <w:color w:val="auto"/>
                <w:kern w:val="2"/>
                <w:sz w:val="24"/>
                <w:szCs w:val="24"/>
                <w:lang w:val="en-US" w:eastAsia="zh-CN" w:bidi="ar-SA"/>
              </w:rPr>
              <w:t>吉木萨尔县第二污水处理厂</w:t>
            </w:r>
            <w:r>
              <w:rPr>
                <w:rFonts w:hint="default" w:ascii="Times New Roman" w:hAnsi="Times New Roman" w:cs="Times New Roman" w:eastAsiaTheme="minorEastAsia"/>
                <w:color w:val="auto"/>
                <w:kern w:val="2"/>
                <w:sz w:val="24"/>
                <w:szCs w:val="24"/>
                <w:lang w:val="en-US" w:eastAsia="zh-CN" w:bidi="ar-SA"/>
              </w:rPr>
              <w:t>进行处理</w:t>
            </w:r>
          </w:p>
        </w:tc>
        <w:tc>
          <w:tcPr>
            <w:tcW w:w="2077" w:type="dxa"/>
            <w:vMerge w:val="restart"/>
            <w:noWrap w:val="0"/>
            <w:vAlign w:val="center"/>
          </w:tcPr>
          <w:p w14:paraId="45EAA8E2">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《污水综合排放标准》(GB8978-1996)</w:t>
            </w:r>
            <w:r>
              <w:rPr>
                <w:rFonts w:hint="default" w:ascii="Times New Roman" w:hAnsi="Times New Roman" w:cs="Times New Roman" w:eastAsiaTheme="minorEastAsia"/>
                <w:color w:val="auto"/>
                <w:sz w:val="24"/>
                <w:szCs w:val="24"/>
                <w:lang w:val="en-US" w:eastAsia="zh-CN"/>
              </w:rPr>
              <w:t>表4</w:t>
            </w:r>
            <w:r>
              <w:rPr>
                <w:rFonts w:hint="default" w:ascii="Times New Roman" w:hAnsi="Times New Roman" w:cs="Times New Roman" w:eastAsiaTheme="minorEastAsia"/>
                <w:color w:val="auto"/>
                <w:sz w:val="24"/>
                <w:szCs w:val="24"/>
                <w:lang w:eastAsia="zh-CN"/>
              </w:rPr>
              <w:t>三</w:t>
            </w:r>
            <w:r>
              <w:rPr>
                <w:rFonts w:hint="default" w:ascii="Times New Roman" w:hAnsi="Times New Roman" w:cs="Times New Roman" w:eastAsiaTheme="minorEastAsia"/>
                <w:color w:val="auto"/>
                <w:sz w:val="24"/>
                <w:szCs w:val="24"/>
              </w:rPr>
              <w:t>级标准。</w:t>
            </w:r>
          </w:p>
        </w:tc>
      </w:tr>
      <w:tr w14:paraId="25F446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88" w:type="dxa"/>
            <w:vMerge w:val="continue"/>
            <w:noWrap w:val="0"/>
            <w:vAlign w:val="center"/>
          </w:tcPr>
          <w:p w14:paraId="5976D310">
            <w:pPr>
              <w:adjustRightInd w:val="0"/>
              <w:snapToGrid w:val="0"/>
              <w:jc w:val="center"/>
              <w:rPr>
                <w:rFonts w:hint="default" w:ascii="Times New Roman" w:hAnsi="Times New Roman" w:cs="Times New Roman" w:eastAsiaTheme="minorEastAsia"/>
                <w:color w:val="auto"/>
                <w:sz w:val="24"/>
                <w:szCs w:val="24"/>
              </w:rPr>
            </w:pPr>
          </w:p>
        </w:tc>
        <w:tc>
          <w:tcPr>
            <w:tcW w:w="1411" w:type="dxa"/>
            <w:noWrap w:val="0"/>
            <w:vAlign w:val="center"/>
          </w:tcPr>
          <w:p w14:paraId="065AB7F6">
            <w:pPr>
              <w:adjustRightInd w:val="0"/>
              <w:snapToGrid w:val="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设备清洗废水</w:t>
            </w:r>
          </w:p>
        </w:tc>
        <w:tc>
          <w:tcPr>
            <w:tcW w:w="1372" w:type="dxa"/>
            <w:gridSpan w:val="3"/>
            <w:noWrap w:val="0"/>
            <w:vAlign w:val="center"/>
          </w:tcPr>
          <w:p w14:paraId="7A84805C">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沉淀池</w:t>
            </w:r>
          </w:p>
        </w:tc>
        <w:tc>
          <w:tcPr>
            <w:tcW w:w="2452" w:type="dxa"/>
            <w:noWrap w:val="0"/>
            <w:vAlign w:val="center"/>
          </w:tcPr>
          <w:p w14:paraId="29808E70">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循环利用</w:t>
            </w:r>
          </w:p>
        </w:tc>
        <w:tc>
          <w:tcPr>
            <w:tcW w:w="2077" w:type="dxa"/>
            <w:vMerge w:val="continue"/>
            <w:noWrap w:val="0"/>
            <w:vAlign w:val="center"/>
          </w:tcPr>
          <w:p w14:paraId="06E11377">
            <w:pPr>
              <w:adjustRightInd w:val="0"/>
              <w:snapToGrid w:val="0"/>
              <w:jc w:val="center"/>
              <w:rPr>
                <w:rFonts w:hint="default" w:ascii="Times New Roman" w:hAnsi="Times New Roman" w:cs="Times New Roman" w:eastAsiaTheme="minorEastAsia"/>
                <w:color w:val="auto"/>
                <w:sz w:val="24"/>
                <w:szCs w:val="24"/>
              </w:rPr>
            </w:pPr>
          </w:p>
        </w:tc>
      </w:tr>
      <w:tr w14:paraId="217D76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88" w:type="dxa"/>
            <w:noWrap w:val="0"/>
            <w:vAlign w:val="center"/>
          </w:tcPr>
          <w:p w14:paraId="2EA1DA71">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声环境</w:t>
            </w:r>
          </w:p>
        </w:tc>
        <w:tc>
          <w:tcPr>
            <w:tcW w:w="1411" w:type="dxa"/>
            <w:noWrap w:val="0"/>
            <w:vAlign w:val="center"/>
          </w:tcPr>
          <w:p w14:paraId="5E17DC88">
            <w:pPr>
              <w:pStyle w:val="29"/>
              <w:jc w:val="both"/>
              <w:rPr>
                <w:rFonts w:hint="default" w:ascii="Times New Roman" w:hAnsi="Times New Roman" w:cs="Times New Roman" w:eastAsiaTheme="minorEastAsia"/>
                <w:color w:val="auto"/>
                <w:kern w:val="2"/>
                <w:sz w:val="24"/>
                <w:szCs w:val="24"/>
                <w:lang w:val="zh-CN" w:eastAsia="zh-CN" w:bidi="zh-CN"/>
              </w:rPr>
            </w:pPr>
            <w:r>
              <w:rPr>
                <w:rFonts w:hint="default" w:ascii="Times New Roman" w:hAnsi="Times New Roman" w:cs="Times New Roman" w:eastAsiaTheme="minorEastAsia"/>
                <w:color w:val="auto"/>
                <w:sz w:val="24"/>
                <w:szCs w:val="24"/>
              </w:rPr>
              <w:t>设备运行噪声</w:t>
            </w:r>
          </w:p>
        </w:tc>
        <w:tc>
          <w:tcPr>
            <w:tcW w:w="1372" w:type="dxa"/>
            <w:gridSpan w:val="3"/>
            <w:noWrap w:val="0"/>
            <w:vAlign w:val="center"/>
          </w:tcPr>
          <w:p w14:paraId="49F30696">
            <w:pPr>
              <w:pStyle w:val="29"/>
              <w:jc w:val="center"/>
              <w:rPr>
                <w:rFonts w:hint="default" w:ascii="Times New Roman" w:hAnsi="Times New Roman" w:cs="Times New Roman" w:eastAsiaTheme="minorEastAsia"/>
                <w:color w:val="auto"/>
                <w:kern w:val="2"/>
                <w:sz w:val="24"/>
                <w:szCs w:val="24"/>
                <w:lang w:val="zh-CN" w:eastAsia="zh-CN" w:bidi="zh-CN"/>
              </w:rPr>
            </w:pPr>
            <w:r>
              <w:rPr>
                <w:rFonts w:hint="default" w:ascii="Times New Roman" w:hAnsi="Times New Roman" w:cs="Times New Roman" w:eastAsiaTheme="minorEastAsia"/>
                <w:color w:val="auto"/>
                <w:sz w:val="24"/>
                <w:szCs w:val="24"/>
              </w:rPr>
              <w:t>等效A声级</w:t>
            </w:r>
          </w:p>
        </w:tc>
        <w:tc>
          <w:tcPr>
            <w:tcW w:w="2452" w:type="dxa"/>
            <w:noWrap w:val="0"/>
            <w:vAlign w:val="center"/>
          </w:tcPr>
          <w:p w14:paraId="5F9180E5">
            <w:pPr>
              <w:pStyle w:val="29"/>
              <w:jc w:val="center"/>
              <w:rPr>
                <w:rFonts w:hint="default" w:ascii="Times New Roman" w:hAnsi="Times New Roman" w:cs="Times New Roman" w:eastAsiaTheme="minorEastAsia"/>
                <w:color w:val="auto"/>
                <w:kern w:val="2"/>
                <w:sz w:val="24"/>
                <w:szCs w:val="24"/>
                <w:lang w:val="zh-CN" w:eastAsia="zh-CN" w:bidi="zh-CN"/>
              </w:rPr>
            </w:pPr>
            <w:r>
              <w:rPr>
                <w:rFonts w:hint="default" w:ascii="Times New Roman" w:hAnsi="Times New Roman" w:cs="Times New Roman" w:eastAsiaTheme="minorEastAsia"/>
                <w:color w:val="auto"/>
                <w:sz w:val="24"/>
                <w:szCs w:val="24"/>
              </w:rPr>
              <w:t>基础减振厂房隔声</w:t>
            </w:r>
          </w:p>
        </w:tc>
        <w:tc>
          <w:tcPr>
            <w:tcW w:w="2077" w:type="dxa"/>
            <w:noWrap w:val="0"/>
            <w:vAlign w:val="center"/>
          </w:tcPr>
          <w:p w14:paraId="5F3FB927">
            <w:pPr>
              <w:pStyle w:val="29"/>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sz w:val="24"/>
                <w:szCs w:val="24"/>
                <w:lang w:val="en-US" w:bidi="ar-SA"/>
              </w:rPr>
              <w:t>《工业企业厂界环境噪声排放标准》（GB12348-2008）</w:t>
            </w:r>
            <w:r>
              <w:rPr>
                <w:rFonts w:hint="eastAsia" w:ascii="Times New Roman" w:hAnsi="Times New Roman" w:cs="Times New Roman" w:eastAsiaTheme="minorEastAsia"/>
                <w:color w:val="auto"/>
                <w:sz w:val="24"/>
                <w:szCs w:val="24"/>
                <w:lang w:val="en-US" w:eastAsia="zh-CN" w:bidi="ar-SA"/>
              </w:rPr>
              <w:t>3</w:t>
            </w:r>
            <w:r>
              <w:rPr>
                <w:rFonts w:hint="default" w:ascii="Times New Roman" w:hAnsi="Times New Roman" w:cs="Times New Roman" w:eastAsiaTheme="minorEastAsia"/>
                <w:color w:val="auto"/>
                <w:sz w:val="24"/>
                <w:szCs w:val="24"/>
                <w:lang w:val="en-US" w:bidi="ar-SA"/>
              </w:rPr>
              <w:t>类区</w:t>
            </w:r>
          </w:p>
        </w:tc>
      </w:tr>
      <w:tr w14:paraId="77FB7A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488" w:type="dxa"/>
            <w:noWrap w:val="0"/>
            <w:vAlign w:val="center"/>
          </w:tcPr>
          <w:p w14:paraId="716B46E2">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电磁辐射</w:t>
            </w:r>
          </w:p>
        </w:tc>
        <w:tc>
          <w:tcPr>
            <w:tcW w:w="7312" w:type="dxa"/>
            <w:gridSpan w:val="6"/>
            <w:noWrap w:val="0"/>
            <w:vAlign w:val="center"/>
          </w:tcPr>
          <w:p w14:paraId="7551DC7C">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p>
        </w:tc>
      </w:tr>
      <w:tr w14:paraId="08151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488" w:type="dxa"/>
            <w:vMerge w:val="restart"/>
            <w:noWrap w:val="0"/>
            <w:vAlign w:val="center"/>
          </w:tcPr>
          <w:p w14:paraId="615920EC">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固体废物</w:t>
            </w:r>
          </w:p>
        </w:tc>
        <w:tc>
          <w:tcPr>
            <w:tcW w:w="1425" w:type="dxa"/>
            <w:gridSpan w:val="2"/>
            <w:vMerge w:val="restart"/>
            <w:noWrap w:val="0"/>
            <w:vAlign w:val="center"/>
          </w:tcPr>
          <w:p w14:paraId="74302E20">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一般固废</w:t>
            </w:r>
          </w:p>
        </w:tc>
        <w:tc>
          <w:tcPr>
            <w:tcW w:w="1345" w:type="dxa"/>
            <w:noWrap w:val="0"/>
            <w:vAlign w:val="center"/>
          </w:tcPr>
          <w:p w14:paraId="26F74947">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生活垃圾</w:t>
            </w:r>
          </w:p>
        </w:tc>
        <w:tc>
          <w:tcPr>
            <w:tcW w:w="2465" w:type="dxa"/>
            <w:gridSpan w:val="2"/>
            <w:noWrap w:val="0"/>
            <w:vAlign w:val="center"/>
          </w:tcPr>
          <w:p w14:paraId="2BDB0045">
            <w:pPr>
              <w:adjustRightInd w:val="0"/>
              <w:snapToGrid w:val="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集中收集后</w:t>
            </w:r>
            <w:r>
              <w:rPr>
                <w:rFonts w:hint="default" w:ascii="Times New Roman" w:hAnsi="Times New Roman" w:cs="Times New Roman" w:eastAsiaTheme="minorEastAsia"/>
                <w:color w:val="auto"/>
                <w:sz w:val="24"/>
                <w:szCs w:val="24"/>
              </w:rPr>
              <w:t>由当地环卫部门统一处理</w:t>
            </w:r>
          </w:p>
        </w:tc>
        <w:tc>
          <w:tcPr>
            <w:tcW w:w="2077" w:type="dxa"/>
            <w:vMerge w:val="restart"/>
            <w:noWrap w:val="0"/>
            <w:vAlign w:val="center"/>
          </w:tcPr>
          <w:p w14:paraId="2D99B422">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《一般工业固体废物贮存和填埋污染控制标准》(GB18599-2020)。</w:t>
            </w:r>
          </w:p>
        </w:tc>
      </w:tr>
      <w:tr w14:paraId="1E2E54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488" w:type="dxa"/>
            <w:vMerge w:val="continue"/>
            <w:noWrap w:val="0"/>
            <w:vAlign w:val="center"/>
          </w:tcPr>
          <w:p w14:paraId="1595DB19">
            <w:pPr>
              <w:adjustRightInd w:val="0"/>
              <w:snapToGrid w:val="0"/>
              <w:jc w:val="center"/>
              <w:rPr>
                <w:rFonts w:hint="default" w:ascii="Times New Roman" w:hAnsi="Times New Roman" w:cs="Times New Roman" w:eastAsiaTheme="minorEastAsia"/>
                <w:color w:val="auto"/>
                <w:sz w:val="24"/>
                <w:szCs w:val="24"/>
              </w:rPr>
            </w:pPr>
          </w:p>
        </w:tc>
        <w:tc>
          <w:tcPr>
            <w:tcW w:w="1425" w:type="dxa"/>
            <w:gridSpan w:val="2"/>
            <w:vMerge w:val="continue"/>
            <w:noWrap w:val="0"/>
            <w:vAlign w:val="center"/>
          </w:tcPr>
          <w:p w14:paraId="5CA7713A">
            <w:pPr>
              <w:adjustRightInd w:val="0"/>
              <w:snapToGrid w:val="0"/>
              <w:jc w:val="center"/>
              <w:rPr>
                <w:rFonts w:hint="default" w:ascii="Times New Roman" w:hAnsi="Times New Roman" w:cs="Times New Roman" w:eastAsiaTheme="minorEastAsia"/>
                <w:color w:val="auto"/>
                <w:sz w:val="24"/>
                <w:szCs w:val="24"/>
              </w:rPr>
            </w:pPr>
          </w:p>
        </w:tc>
        <w:tc>
          <w:tcPr>
            <w:tcW w:w="1345" w:type="dxa"/>
            <w:noWrap w:val="0"/>
            <w:vAlign w:val="center"/>
          </w:tcPr>
          <w:p w14:paraId="41048AAA">
            <w:pPr>
              <w:adjustRightInd w:val="0"/>
              <w:snapToGrid w:val="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废金属边角料</w:t>
            </w:r>
          </w:p>
        </w:tc>
        <w:tc>
          <w:tcPr>
            <w:tcW w:w="2465" w:type="dxa"/>
            <w:gridSpan w:val="2"/>
            <w:noWrap w:val="0"/>
            <w:vAlign w:val="center"/>
          </w:tcPr>
          <w:p w14:paraId="38A02EFB">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lang w:val="en-US"/>
              </w:rPr>
              <w:t>统一收集外售物资回收单位</w:t>
            </w:r>
          </w:p>
        </w:tc>
        <w:tc>
          <w:tcPr>
            <w:tcW w:w="2077" w:type="dxa"/>
            <w:vMerge w:val="continue"/>
            <w:noWrap w:val="0"/>
            <w:vAlign w:val="center"/>
          </w:tcPr>
          <w:p w14:paraId="1BAC6E6C">
            <w:pPr>
              <w:adjustRightInd w:val="0"/>
              <w:snapToGrid w:val="0"/>
              <w:jc w:val="center"/>
              <w:rPr>
                <w:rFonts w:hint="default" w:ascii="Times New Roman" w:hAnsi="Times New Roman" w:cs="Times New Roman" w:eastAsiaTheme="minorEastAsia"/>
                <w:color w:val="auto"/>
                <w:sz w:val="24"/>
                <w:szCs w:val="24"/>
              </w:rPr>
            </w:pPr>
          </w:p>
        </w:tc>
      </w:tr>
      <w:tr w14:paraId="0727C8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1488" w:type="dxa"/>
            <w:vMerge w:val="continue"/>
            <w:noWrap w:val="0"/>
            <w:vAlign w:val="center"/>
          </w:tcPr>
          <w:p w14:paraId="17C592F0">
            <w:pPr>
              <w:adjustRightInd w:val="0"/>
              <w:snapToGrid w:val="0"/>
              <w:jc w:val="center"/>
              <w:rPr>
                <w:rFonts w:hint="default" w:ascii="Times New Roman" w:hAnsi="Times New Roman" w:cs="Times New Roman" w:eastAsiaTheme="minorEastAsia"/>
                <w:color w:val="auto"/>
                <w:sz w:val="24"/>
                <w:szCs w:val="24"/>
              </w:rPr>
            </w:pPr>
          </w:p>
        </w:tc>
        <w:tc>
          <w:tcPr>
            <w:tcW w:w="1425" w:type="dxa"/>
            <w:gridSpan w:val="2"/>
            <w:vMerge w:val="continue"/>
            <w:noWrap w:val="0"/>
            <w:vAlign w:val="center"/>
          </w:tcPr>
          <w:p w14:paraId="3AD73178">
            <w:pPr>
              <w:adjustRightInd w:val="0"/>
              <w:snapToGrid w:val="0"/>
              <w:jc w:val="center"/>
              <w:rPr>
                <w:rFonts w:hint="default" w:ascii="Times New Roman" w:hAnsi="Times New Roman" w:cs="Times New Roman" w:eastAsiaTheme="minorEastAsia"/>
                <w:color w:val="auto"/>
                <w:sz w:val="24"/>
                <w:szCs w:val="24"/>
              </w:rPr>
            </w:pPr>
          </w:p>
        </w:tc>
        <w:tc>
          <w:tcPr>
            <w:tcW w:w="1345" w:type="dxa"/>
            <w:noWrap w:val="0"/>
            <w:vAlign w:val="center"/>
          </w:tcPr>
          <w:p w14:paraId="72E0CFB1">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除尘灰</w:t>
            </w:r>
          </w:p>
        </w:tc>
        <w:tc>
          <w:tcPr>
            <w:tcW w:w="2465" w:type="dxa"/>
            <w:gridSpan w:val="2"/>
            <w:vMerge w:val="restart"/>
            <w:noWrap w:val="0"/>
            <w:vAlign w:val="center"/>
          </w:tcPr>
          <w:p w14:paraId="6D0E829D">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回用于生产</w:t>
            </w:r>
          </w:p>
        </w:tc>
        <w:tc>
          <w:tcPr>
            <w:tcW w:w="2077" w:type="dxa"/>
            <w:vMerge w:val="continue"/>
            <w:noWrap w:val="0"/>
            <w:vAlign w:val="center"/>
          </w:tcPr>
          <w:p w14:paraId="359DE86B">
            <w:pPr>
              <w:adjustRightInd w:val="0"/>
              <w:snapToGrid w:val="0"/>
              <w:jc w:val="center"/>
              <w:rPr>
                <w:rFonts w:hint="default" w:ascii="Times New Roman" w:hAnsi="Times New Roman" w:cs="Times New Roman" w:eastAsiaTheme="minorEastAsia"/>
                <w:color w:val="auto"/>
                <w:sz w:val="24"/>
                <w:szCs w:val="24"/>
              </w:rPr>
            </w:pPr>
          </w:p>
        </w:tc>
      </w:tr>
      <w:tr w14:paraId="583E7B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1488" w:type="dxa"/>
            <w:vMerge w:val="continue"/>
            <w:noWrap w:val="0"/>
            <w:vAlign w:val="center"/>
          </w:tcPr>
          <w:p w14:paraId="78F6322A">
            <w:pPr>
              <w:adjustRightInd w:val="0"/>
              <w:snapToGrid w:val="0"/>
              <w:jc w:val="center"/>
              <w:rPr>
                <w:color w:val="auto"/>
              </w:rPr>
            </w:pPr>
          </w:p>
        </w:tc>
        <w:tc>
          <w:tcPr>
            <w:tcW w:w="1425" w:type="dxa"/>
            <w:gridSpan w:val="2"/>
            <w:vMerge w:val="continue"/>
            <w:noWrap w:val="0"/>
            <w:vAlign w:val="center"/>
          </w:tcPr>
          <w:p w14:paraId="413405CB">
            <w:pPr>
              <w:adjustRightInd w:val="0"/>
              <w:snapToGrid w:val="0"/>
              <w:jc w:val="center"/>
              <w:rPr>
                <w:color w:val="auto"/>
              </w:rPr>
            </w:pPr>
          </w:p>
        </w:tc>
        <w:tc>
          <w:tcPr>
            <w:tcW w:w="1345" w:type="dxa"/>
            <w:noWrap w:val="0"/>
            <w:vAlign w:val="center"/>
          </w:tcPr>
          <w:p w14:paraId="04D7F308">
            <w:pPr>
              <w:adjustRightInd w:val="0"/>
              <w:snapToGrid w:val="0"/>
              <w:jc w:val="both"/>
              <w:rPr>
                <w:rFonts w:hint="default" w:ascii="Times New Roman" w:hAnsi="Times New Roman" w:cs="Times New Roman" w:eastAsiaTheme="minorEastAsia"/>
                <w:color w:val="auto"/>
                <w:sz w:val="24"/>
                <w:szCs w:val="24"/>
                <w:lang w:val="en-US" w:eastAsia="zh-CN"/>
              </w:rPr>
            </w:pPr>
            <w:r>
              <w:rPr>
                <w:rFonts w:hint="eastAsia" w:cs="Times New Roman" w:eastAsiaTheme="minorEastAsia"/>
                <w:color w:val="auto"/>
                <w:sz w:val="24"/>
                <w:szCs w:val="24"/>
                <w:lang w:val="en-US" w:eastAsia="zh-CN"/>
              </w:rPr>
              <w:t>沉淀池沉渣</w:t>
            </w:r>
          </w:p>
        </w:tc>
        <w:tc>
          <w:tcPr>
            <w:tcW w:w="2465" w:type="dxa"/>
            <w:gridSpan w:val="2"/>
            <w:vMerge w:val="continue"/>
            <w:noWrap w:val="0"/>
            <w:vAlign w:val="center"/>
          </w:tcPr>
          <w:p w14:paraId="47D21271">
            <w:pPr>
              <w:adjustRightInd w:val="0"/>
              <w:snapToGrid w:val="0"/>
              <w:jc w:val="center"/>
              <w:rPr>
                <w:rFonts w:hint="default" w:ascii="Times New Roman" w:hAnsi="Times New Roman" w:cs="Times New Roman" w:eastAsiaTheme="minorEastAsia"/>
                <w:color w:val="auto"/>
                <w:sz w:val="24"/>
                <w:szCs w:val="24"/>
                <w:lang w:val="en-US" w:eastAsia="zh-CN"/>
              </w:rPr>
            </w:pPr>
          </w:p>
        </w:tc>
        <w:tc>
          <w:tcPr>
            <w:tcW w:w="2077" w:type="dxa"/>
            <w:vMerge w:val="continue"/>
            <w:noWrap w:val="0"/>
            <w:vAlign w:val="center"/>
          </w:tcPr>
          <w:p w14:paraId="68727C3C">
            <w:pPr>
              <w:adjustRightInd w:val="0"/>
              <w:snapToGrid w:val="0"/>
              <w:jc w:val="center"/>
              <w:rPr>
                <w:rFonts w:hint="default" w:ascii="Times New Roman" w:hAnsi="Times New Roman" w:cs="Times New Roman" w:eastAsiaTheme="minorEastAsia"/>
                <w:color w:val="auto"/>
                <w:sz w:val="24"/>
                <w:szCs w:val="24"/>
                <w:lang w:val="en-US" w:eastAsia="zh-CN"/>
              </w:rPr>
            </w:pPr>
          </w:p>
        </w:tc>
      </w:tr>
      <w:tr w14:paraId="241225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488" w:type="dxa"/>
            <w:vMerge w:val="continue"/>
            <w:noWrap w:val="0"/>
            <w:vAlign w:val="center"/>
          </w:tcPr>
          <w:p w14:paraId="34EA41FE">
            <w:pPr>
              <w:adjustRightInd w:val="0"/>
              <w:snapToGrid w:val="0"/>
              <w:jc w:val="center"/>
              <w:rPr>
                <w:rFonts w:hint="default" w:ascii="Times New Roman" w:hAnsi="Times New Roman" w:cs="Times New Roman" w:eastAsiaTheme="minorEastAsia"/>
                <w:color w:val="auto"/>
                <w:sz w:val="24"/>
                <w:szCs w:val="24"/>
              </w:rPr>
            </w:pPr>
          </w:p>
        </w:tc>
        <w:tc>
          <w:tcPr>
            <w:tcW w:w="1425" w:type="dxa"/>
            <w:gridSpan w:val="2"/>
            <w:vMerge w:val="continue"/>
            <w:noWrap w:val="0"/>
            <w:vAlign w:val="center"/>
          </w:tcPr>
          <w:p w14:paraId="0031960D">
            <w:pPr>
              <w:adjustRightInd w:val="0"/>
              <w:snapToGrid w:val="0"/>
              <w:jc w:val="center"/>
              <w:rPr>
                <w:rFonts w:hint="default" w:ascii="Times New Roman" w:hAnsi="Times New Roman" w:cs="Times New Roman" w:eastAsiaTheme="minorEastAsia"/>
                <w:color w:val="auto"/>
                <w:sz w:val="24"/>
                <w:szCs w:val="24"/>
              </w:rPr>
            </w:pPr>
          </w:p>
        </w:tc>
        <w:tc>
          <w:tcPr>
            <w:tcW w:w="1345" w:type="dxa"/>
            <w:noWrap w:val="0"/>
            <w:vAlign w:val="center"/>
          </w:tcPr>
          <w:p w14:paraId="0BB1753E">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不合格品</w:t>
            </w:r>
          </w:p>
        </w:tc>
        <w:tc>
          <w:tcPr>
            <w:tcW w:w="2465" w:type="dxa"/>
            <w:gridSpan w:val="2"/>
            <w:noWrap w:val="0"/>
            <w:vAlign w:val="center"/>
          </w:tcPr>
          <w:p w14:paraId="616AF842">
            <w:pPr>
              <w:adjustRightInd w:val="0"/>
              <w:snapToGrid w:val="0"/>
              <w:jc w:val="both"/>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rPr>
              <w:t>内部钢筋外售，混凝土渣定期清运</w:t>
            </w:r>
          </w:p>
        </w:tc>
        <w:tc>
          <w:tcPr>
            <w:tcW w:w="2077" w:type="dxa"/>
            <w:vMerge w:val="continue"/>
            <w:noWrap w:val="0"/>
            <w:vAlign w:val="center"/>
          </w:tcPr>
          <w:p w14:paraId="6F26BC31">
            <w:pPr>
              <w:adjustRightInd w:val="0"/>
              <w:snapToGrid w:val="0"/>
              <w:jc w:val="center"/>
              <w:rPr>
                <w:rFonts w:hint="default" w:ascii="Times New Roman" w:hAnsi="Times New Roman" w:cs="Times New Roman" w:eastAsiaTheme="minorEastAsia"/>
                <w:color w:val="auto"/>
                <w:sz w:val="24"/>
                <w:szCs w:val="24"/>
              </w:rPr>
            </w:pPr>
          </w:p>
        </w:tc>
      </w:tr>
      <w:tr w14:paraId="7364F7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488" w:type="dxa"/>
            <w:vMerge w:val="continue"/>
            <w:noWrap w:val="0"/>
            <w:vAlign w:val="center"/>
          </w:tcPr>
          <w:p w14:paraId="7071A6E8">
            <w:pPr>
              <w:adjustRightInd w:val="0"/>
              <w:snapToGrid w:val="0"/>
              <w:jc w:val="center"/>
              <w:rPr>
                <w:rFonts w:hint="default" w:ascii="Times New Roman" w:hAnsi="Times New Roman" w:cs="Times New Roman" w:eastAsiaTheme="minorEastAsia"/>
                <w:color w:val="auto"/>
                <w:sz w:val="24"/>
                <w:szCs w:val="24"/>
              </w:rPr>
            </w:pPr>
          </w:p>
        </w:tc>
        <w:tc>
          <w:tcPr>
            <w:tcW w:w="1425" w:type="dxa"/>
            <w:gridSpan w:val="2"/>
            <w:noWrap w:val="0"/>
            <w:vAlign w:val="center"/>
          </w:tcPr>
          <w:p w14:paraId="7A042408">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危险废物</w:t>
            </w:r>
          </w:p>
        </w:tc>
        <w:tc>
          <w:tcPr>
            <w:tcW w:w="1345" w:type="dxa"/>
            <w:noWrap w:val="0"/>
            <w:vAlign w:val="center"/>
          </w:tcPr>
          <w:p w14:paraId="70C2FA88">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废机油</w:t>
            </w:r>
          </w:p>
        </w:tc>
        <w:tc>
          <w:tcPr>
            <w:tcW w:w="2465" w:type="dxa"/>
            <w:gridSpan w:val="2"/>
            <w:noWrap w:val="0"/>
            <w:vAlign w:val="center"/>
          </w:tcPr>
          <w:p w14:paraId="7E646EFC">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暂存于危废暂存间内，定期交由有资质单位处理</w:t>
            </w:r>
          </w:p>
        </w:tc>
        <w:tc>
          <w:tcPr>
            <w:tcW w:w="2077" w:type="dxa"/>
            <w:noWrap w:val="0"/>
            <w:vAlign w:val="center"/>
          </w:tcPr>
          <w:p w14:paraId="23FB3DF8">
            <w:pPr>
              <w:adjustRightInd w:val="0"/>
              <w:snapToGrid w:val="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危险废物贮存应符合《危险废物贮存污染控制标准》（GB18597-2023）</w:t>
            </w:r>
          </w:p>
        </w:tc>
      </w:tr>
      <w:tr w14:paraId="3A71F1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trPr>
        <w:tc>
          <w:tcPr>
            <w:tcW w:w="1488" w:type="dxa"/>
            <w:noWrap w:val="0"/>
            <w:vAlign w:val="center"/>
          </w:tcPr>
          <w:p w14:paraId="2D0F9C64">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土壤及地下水</w:t>
            </w:r>
          </w:p>
          <w:p w14:paraId="6DC848B5">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污染防治措施</w:t>
            </w:r>
          </w:p>
        </w:tc>
        <w:tc>
          <w:tcPr>
            <w:tcW w:w="7312" w:type="dxa"/>
            <w:gridSpan w:val="6"/>
            <w:noWrap w:val="0"/>
            <w:vAlign w:val="center"/>
          </w:tcPr>
          <w:p w14:paraId="611E63DD">
            <w:pPr>
              <w:widowControl/>
              <w:numPr>
                <w:ilvl w:val="0"/>
                <w:numId w:val="0"/>
              </w:numPr>
              <w:spacing w:line="360" w:lineRule="auto"/>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val="en-US" w:eastAsia="zh-CN" w:bidi="ar"/>
              </w:rPr>
              <w:t>1、</w:t>
            </w:r>
            <w:r>
              <w:rPr>
                <w:rFonts w:hint="default" w:ascii="Times New Roman" w:hAnsi="Times New Roman" w:cs="Times New Roman" w:eastAsiaTheme="minorEastAsia"/>
                <w:color w:val="auto"/>
                <w:kern w:val="0"/>
                <w:sz w:val="24"/>
                <w:szCs w:val="24"/>
                <w:lang w:bidi="ar"/>
              </w:rPr>
              <w:t>源头控制措施</w:t>
            </w:r>
          </w:p>
          <w:p w14:paraId="4001B4B8">
            <w:pPr>
              <w:widowControl/>
              <w:spacing w:line="360" w:lineRule="auto"/>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①项目应根据国家现行相关规范加强环境管理，采取防止和降低污染物跑、冒、滴、漏的措施。正常生产过程中应加强巡检及时处理污染物跑、冒、滴、漏，同时应加强对防渗工程的检查，若发现防渗密封材料老化或损坏，应及时维修更换；</w:t>
            </w:r>
          </w:p>
          <w:p w14:paraId="2882BFFF">
            <w:pPr>
              <w:widowControl/>
              <w:spacing w:line="360" w:lineRule="auto"/>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②对工艺、设备、废水处理设施等构筑物采取控制措施，防止污染物的跑、冒、滴、漏，将污染物泄漏的环境风险事故降到最低限度。</w:t>
            </w:r>
          </w:p>
          <w:p w14:paraId="23D0B52E">
            <w:pPr>
              <w:widowControl/>
              <w:spacing w:line="360" w:lineRule="auto"/>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③加强管理，设备维修保养时应注意防止废润滑油滴漏。</w:t>
            </w:r>
          </w:p>
          <w:p w14:paraId="533FAEEB">
            <w:pPr>
              <w:widowControl/>
              <w:spacing w:line="360" w:lineRule="auto"/>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2、分区防渗控制措施</w:t>
            </w:r>
          </w:p>
          <w:p w14:paraId="3367D04B">
            <w:pPr>
              <w:widowControl/>
              <w:spacing w:line="360" w:lineRule="auto"/>
              <w:ind w:firstLine="480" w:firstLineChars="200"/>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厂区可能泄漏污染物的污染区地面进行防渗处理，并及时地将泄漏/渗漏的污染物收集起来进行处理，有效防治洒落地面的污染物渗入地下。根据本工程的特点，将厂区不同的区域划分为重点污染防治区和一般污染防治区。</w:t>
            </w:r>
          </w:p>
          <w:p w14:paraId="61C74D76">
            <w:pPr>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重点防渗区：本项目危废暂存间</w:t>
            </w:r>
            <w:r>
              <w:rPr>
                <w:rFonts w:hint="eastAsia" w:ascii="Times New Roman" w:hAnsi="Times New Roman" w:cs="Times New Roman" w:eastAsiaTheme="minorEastAsia"/>
                <w:color w:val="auto"/>
                <w:sz w:val="24"/>
                <w:szCs w:val="24"/>
                <w:lang w:val="en-US" w:eastAsia="zh-CN"/>
              </w:rPr>
              <w:t>和沉淀池</w:t>
            </w:r>
            <w:r>
              <w:rPr>
                <w:rFonts w:hint="default" w:ascii="Times New Roman" w:hAnsi="Times New Roman" w:cs="Times New Roman" w:eastAsiaTheme="minorEastAsia"/>
                <w:color w:val="auto"/>
                <w:sz w:val="24"/>
                <w:szCs w:val="24"/>
              </w:rPr>
              <w:t>，防渗方案黏土夯实+2mm厚高密度聚乙烯膜（HDPE）+水泥地面，防渗技术为：等效黏土防渗层Mb≥6.0m，K≤1×10</w:t>
            </w:r>
            <w:r>
              <w:rPr>
                <w:rFonts w:hint="default" w:ascii="Times New Roman" w:hAnsi="Times New Roman" w:cs="Times New Roman" w:eastAsiaTheme="minorEastAsia"/>
                <w:color w:val="auto"/>
                <w:sz w:val="24"/>
                <w:szCs w:val="24"/>
                <w:vertAlign w:val="superscript"/>
              </w:rPr>
              <w:t>-10</w:t>
            </w:r>
            <w:r>
              <w:rPr>
                <w:rFonts w:hint="default" w:ascii="Times New Roman" w:hAnsi="Times New Roman" w:cs="Times New Roman" w:eastAsiaTheme="minorEastAsia"/>
                <w:color w:val="auto"/>
                <w:sz w:val="24"/>
                <w:szCs w:val="24"/>
              </w:rPr>
              <w:t>cm/s。</w:t>
            </w:r>
          </w:p>
          <w:p w14:paraId="010477D6">
            <w:pPr>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一般防渗区：采用厚度Mb=1.5m，渗透系数K≤10</w:t>
            </w:r>
            <w:r>
              <w:rPr>
                <w:rFonts w:hint="default" w:ascii="Times New Roman" w:hAnsi="Times New Roman" w:cs="Times New Roman" w:eastAsiaTheme="minorEastAsia"/>
                <w:color w:val="auto"/>
                <w:sz w:val="24"/>
                <w:szCs w:val="24"/>
                <w:vertAlign w:val="superscript"/>
              </w:rPr>
              <w:t>-7</w:t>
            </w:r>
            <w:r>
              <w:rPr>
                <w:rFonts w:hint="default" w:ascii="Times New Roman" w:hAnsi="Times New Roman" w:cs="Times New Roman" w:eastAsiaTheme="minorEastAsia"/>
                <w:color w:val="auto"/>
                <w:sz w:val="24"/>
                <w:szCs w:val="24"/>
              </w:rPr>
              <w:t>cm/s防渗等效的20cm厚P4等级水泥制品进行防渗。要求防渗技术要求为：等效黏土防渗层Mb≥1.5m，K≤1×10</w:t>
            </w:r>
            <w:r>
              <w:rPr>
                <w:rFonts w:hint="default" w:ascii="Times New Roman" w:hAnsi="Times New Roman" w:cs="Times New Roman" w:eastAsiaTheme="minorEastAsia"/>
                <w:color w:val="auto"/>
                <w:sz w:val="24"/>
                <w:szCs w:val="24"/>
                <w:vertAlign w:val="superscript"/>
              </w:rPr>
              <w:t>-7</w:t>
            </w:r>
            <w:r>
              <w:rPr>
                <w:rFonts w:hint="default" w:ascii="Times New Roman" w:hAnsi="Times New Roman" w:cs="Times New Roman" w:eastAsiaTheme="minorEastAsia"/>
                <w:color w:val="auto"/>
                <w:sz w:val="24"/>
                <w:szCs w:val="24"/>
              </w:rPr>
              <w:t>cm/s；或参照GB16889执行。</w:t>
            </w:r>
          </w:p>
          <w:p w14:paraId="5E09B28D">
            <w:pPr>
              <w:widowControl/>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简单污染防治区：硬化地面即可，生活区以及进出场道路已依托现有厂区。</w:t>
            </w:r>
          </w:p>
          <w:p w14:paraId="4282E314">
            <w:pPr>
              <w:widowControl/>
              <w:spacing w:line="360" w:lineRule="auto"/>
              <w:ind w:firstLine="480" w:firstLineChars="200"/>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同时，项目建设符合《工业建筑防腐蚀设计规范》（GB50046-2008）等有关要求，其它采取的防渗漏措施主要有：</w:t>
            </w:r>
          </w:p>
          <w:p w14:paraId="7DA3A16D">
            <w:pPr>
              <w:widowControl/>
              <w:spacing w:line="360" w:lineRule="auto"/>
              <w:ind w:firstLine="480" w:firstLineChars="200"/>
              <w:jc w:val="both"/>
              <w:rPr>
                <w:rFonts w:hint="default" w:ascii="Times New Roman" w:hAnsi="Times New Roman" w:cs="Times New Roman" w:eastAsiaTheme="minorEastAsia"/>
                <w:color w:val="auto"/>
                <w:kern w:val="0"/>
                <w:sz w:val="24"/>
                <w:szCs w:val="24"/>
                <w:lang w:bidi="ar"/>
              </w:rPr>
            </w:pPr>
            <w:r>
              <w:rPr>
                <w:rFonts w:hint="default" w:ascii="Times New Roman" w:hAnsi="Times New Roman" w:cs="Times New Roman" w:eastAsiaTheme="minorEastAsia"/>
                <w:color w:val="auto"/>
                <w:kern w:val="0"/>
                <w:sz w:val="24"/>
                <w:szCs w:val="24"/>
                <w:lang w:bidi="ar"/>
              </w:rPr>
              <w:t>（1）选用优质设备和管件，并加强日常管理和维修维护工作，防止和减少跑、冒、滴、漏现象的发生。</w:t>
            </w:r>
          </w:p>
          <w:p w14:paraId="33FC26A3">
            <w:pPr>
              <w:widowControl/>
              <w:spacing w:line="360" w:lineRule="auto"/>
              <w:ind w:firstLine="480" w:firstLineChars="200"/>
              <w:jc w:val="both"/>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eastAsiaTheme="minorEastAsia"/>
                <w:color w:val="auto"/>
                <w:kern w:val="0"/>
                <w:sz w:val="24"/>
                <w:szCs w:val="24"/>
                <w:lang w:bidi="ar"/>
              </w:rPr>
              <w:t>（2）在厂区设置雨水、排水系统并做好相应的防渗措施。同时在厂区内严格管理，禁止进行分散的地面漫流冲洗。采取上述措施后，可有效避免对土壤、地下水造成污染。</w:t>
            </w:r>
          </w:p>
        </w:tc>
      </w:tr>
      <w:tr w14:paraId="6CEF40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trPr>
        <w:tc>
          <w:tcPr>
            <w:tcW w:w="1488" w:type="dxa"/>
            <w:noWrap w:val="0"/>
            <w:vAlign w:val="center"/>
          </w:tcPr>
          <w:p w14:paraId="666E411A">
            <w:pPr>
              <w:adjustRightInd w:val="0"/>
              <w:snapToGrid w:val="0"/>
              <w:jc w:val="center"/>
              <w:rPr>
                <w:rFonts w:hint="default" w:ascii="Times New Roman" w:hAnsi="Times New Roman" w:cs="Times New Roman" w:eastAsiaTheme="minorEastAsia"/>
                <w:color w:val="auto"/>
                <w:sz w:val="24"/>
                <w:szCs w:val="24"/>
              </w:rPr>
            </w:pPr>
            <w:r>
              <w:rPr>
                <w:rFonts w:hint="default" w:ascii="Times New Roman" w:hAnsi="Times New Roman" w:cs="Times New Roman" w:eastAsiaTheme="minorEastAsia"/>
                <w:color w:val="auto"/>
                <w:sz w:val="24"/>
                <w:szCs w:val="24"/>
              </w:rPr>
              <w:t>生态保护措施</w:t>
            </w:r>
          </w:p>
        </w:tc>
        <w:tc>
          <w:tcPr>
            <w:tcW w:w="7312" w:type="dxa"/>
            <w:gridSpan w:val="6"/>
            <w:noWrap w:val="0"/>
            <w:vAlign w:val="center"/>
          </w:tcPr>
          <w:p w14:paraId="0EEE38BD">
            <w:pPr>
              <w:adjustRightInd w:val="0"/>
              <w:snapToGrid w:val="0"/>
              <w:jc w:val="center"/>
              <w:rPr>
                <w:rFonts w:hint="default" w:ascii="Times New Roman" w:hAnsi="Times New Roman" w:cs="Times New Roman" w:eastAsiaTheme="minorEastAsia"/>
                <w:color w:val="auto"/>
                <w:sz w:val="24"/>
                <w:szCs w:val="24"/>
                <w:lang w:val="en-US" w:eastAsia="zh-CN"/>
              </w:rPr>
            </w:pPr>
            <w:r>
              <w:rPr>
                <w:rFonts w:hint="default" w:ascii="Times New Roman" w:hAnsi="Times New Roman" w:cs="Times New Roman" w:eastAsiaTheme="minorEastAsia"/>
                <w:color w:val="auto"/>
                <w:sz w:val="24"/>
                <w:szCs w:val="24"/>
                <w:lang w:val="en-US" w:eastAsia="zh-CN"/>
              </w:rPr>
              <w:t>/</w:t>
            </w:r>
          </w:p>
        </w:tc>
      </w:tr>
      <w:tr w14:paraId="7E59B7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trPr>
        <w:tc>
          <w:tcPr>
            <w:tcW w:w="1488" w:type="dxa"/>
            <w:noWrap w:val="0"/>
            <w:vAlign w:val="center"/>
          </w:tcPr>
          <w:p w14:paraId="0B294BBD">
            <w:pPr>
              <w:adjustRightInd w:val="0"/>
              <w:snapToGrid w:val="0"/>
              <w:jc w:val="center"/>
              <w:rPr>
                <w:rFonts w:hint="default" w:ascii="Times New Roman" w:hAnsi="Times New Roman" w:cs="Times New Roman" w:eastAsiaTheme="minorEastAsia"/>
                <w:color w:val="auto"/>
                <w:spacing w:val="-8"/>
                <w:sz w:val="24"/>
                <w:szCs w:val="24"/>
              </w:rPr>
            </w:pPr>
            <w:r>
              <w:rPr>
                <w:rFonts w:hint="default" w:ascii="Times New Roman" w:hAnsi="Times New Roman" w:cs="Times New Roman" w:eastAsiaTheme="minorEastAsia"/>
                <w:color w:val="auto"/>
                <w:spacing w:val="-8"/>
                <w:sz w:val="24"/>
                <w:szCs w:val="24"/>
              </w:rPr>
              <w:t>环境风险</w:t>
            </w:r>
          </w:p>
          <w:p w14:paraId="1D1E214C">
            <w:pPr>
              <w:adjustRightInd w:val="0"/>
              <w:snapToGrid w:val="0"/>
              <w:jc w:val="center"/>
              <w:rPr>
                <w:rFonts w:hint="default" w:ascii="Times New Roman" w:hAnsi="Times New Roman" w:cs="Times New Roman" w:eastAsiaTheme="minorEastAsia"/>
                <w:color w:val="auto"/>
                <w:spacing w:val="-8"/>
                <w:sz w:val="24"/>
                <w:szCs w:val="24"/>
              </w:rPr>
            </w:pPr>
            <w:r>
              <w:rPr>
                <w:rFonts w:hint="default" w:ascii="Times New Roman" w:hAnsi="Times New Roman" w:cs="Times New Roman" w:eastAsiaTheme="minorEastAsia"/>
                <w:color w:val="auto"/>
                <w:spacing w:val="-8"/>
                <w:sz w:val="24"/>
                <w:szCs w:val="24"/>
              </w:rPr>
              <w:t>防范措施</w:t>
            </w:r>
          </w:p>
        </w:tc>
        <w:tc>
          <w:tcPr>
            <w:tcW w:w="7312" w:type="dxa"/>
            <w:gridSpan w:val="6"/>
            <w:noWrap w:val="0"/>
            <w:vAlign w:val="center"/>
          </w:tcPr>
          <w:p w14:paraId="6FFBC129">
            <w:pPr>
              <w:adjustRightInd w:val="0"/>
              <w:snapToGrid w:val="0"/>
              <w:spacing w:line="360" w:lineRule="auto"/>
              <w:ind w:firstLine="480" w:firstLineChars="200"/>
              <w:jc w:val="both"/>
              <w:rPr>
                <w:rFonts w:hint="default" w:ascii="Times New Roman" w:hAnsi="Times New Roman" w:cs="Times New Roman" w:eastAsiaTheme="minorEastAsia"/>
                <w:color w:val="auto"/>
                <w:sz w:val="24"/>
                <w:szCs w:val="24"/>
              </w:rPr>
            </w:pPr>
            <w:r>
              <w:rPr>
                <w:rFonts w:hint="default"/>
                <w:color w:val="auto"/>
                <w:sz w:val="24"/>
                <w:lang w:val="en-US" w:eastAsia="zh-CN"/>
              </w:rPr>
              <w:t>做好厂区分区防渗处理、厂区地面硬化、生产工艺过程风险防范措施、泄漏风险防范措施、安管理措施。</w:t>
            </w:r>
          </w:p>
        </w:tc>
      </w:tr>
      <w:tr w14:paraId="159B19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trPr>
        <w:tc>
          <w:tcPr>
            <w:tcW w:w="1488" w:type="dxa"/>
            <w:noWrap w:val="0"/>
            <w:vAlign w:val="center"/>
          </w:tcPr>
          <w:p w14:paraId="7659A993">
            <w:pPr>
              <w:adjustRightInd w:val="0"/>
              <w:snapToGrid w:val="0"/>
              <w:jc w:val="center"/>
              <w:rPr>
                <w:rFonts w:hint="default" w:ascii="Times New Roman" w:hAnsi="Times New Roman" w:cs="Times New Roman" w:eastAsiaTheme="minorEastAsia"/>
                <w:color w:val="auto"/>
                <w:spacing w:val="-8"/>
                <w:sz w:val="24"/>
                <w:szCs w:val="24"/>
              </w:rPr>
            </w:pPr>
            <w:r>
              <w:rPr>
                <w:rFonts w:hint="default" w:ascii="Times New Roman" w:hAnsi="Times New Roman" w:cs="Times New Roman" w:eastAsiaTheme="minorEastAsia"/>
                <w:color w:val="auto"/>
                <w:spacing w:val="-8"/>
                <w:sz w:val="24"/>
                <w:szCs w:val="24"/>
              </w:rPr>
              <w:t>其他环境</w:t>
            </w:r>
          </w:p>
          <w:p w14:paraId="4344B7BA">
            <w:pPr>
              <w:adjustRightInd w:val="0"/>
              <w:snapToGrid w:val="0"/>
              <w:jc w:val="center"/>
              <w:rPr>
                <w:rFonts w:hint="default" w:ascii="Times New Roman" w:hAnsi="Times New Roman" w:cs="Times New Roman" w:eastAsiaTheme="minorEastAsia"/>
                <w:color w:val="auto"/>
                <w:spacing w:val="-8"/>
                <w:sz w:val="24"/>
                <w:szCs w:val="24"/>
              </w:rPr>
            </w:pPr>
            <w:r>
              <w:rPr>
                <w:rFonts w:hint="default" w:ascii="Times New Roman" w:hAnsi="Times New Roman" w:cs="Times New Roman" w:eastAsiaTheme="minorEastAsia"/>
                <w:color w:val="auto"/>
                <w:spacing w:val="-8"/>
                <w:sz w:val="24"/>
                <w:szCs w:val="24"/>
              </w:rPr>
              <w:t>管理要求</w:t>
            </w:r>
          </w:p>
        </w:tc>
        <w:tc>
          <w:tcPr>
            <w:tcW w:w="7312" w:type="dxa"/>
            <w:gridSpan w:val="6"/>
            <w:noWrap w:val="0"/>
            <w:vAlign w:val="center"/>
          </w:tcPr>
          <w:p w14:paraId="661D0FED">
            <w:pPr>
              <w:adjustRightInd w:val="0"/>
              <w:snapToGrid w:val="0"/>
              <w:spacing w:line="360" w:lineRule="auto"/>
              <w:jc w:val="left"/>
              <w:rPr>
                <w:rFonts w:hint="eastAsia"/>
                <w:b/>
                <w:bCs/>
                <w:color w:val="auto"/>
                <w:sz w:val="24"/>
              </w:rPr>
            </w:pPr>
            <w:r>
              <w:rPr>
                <w:rFonts w:hint="eastAsia"/>
                <w:b/>
                <w:bCs/>
                <w:color w:val="auto"/>
                <w:sz w:val="24"/>
                <w:lang w:val="en-US" w:eastAsia="zh-CN"/>
              </w:rPr>
              <w:t>一、</w:t>
            </w:r>
            <w:r>
              <w:rPr>
                <w:rFonts w:hint="eastAsia"/>
                <w:b/>
                <w:bCs/>
                <w:color w:val="auto"/>
                <w:sz w:val="24"/>
              </w:rPr>
              <w:t>排污许可证申请</w:t>
            </w:r>
          </w:p>
          <w:p w14:paraId="486E8C5D">
            <w:pPr>
              <w:adjustRightInd w:val="0"/>
              <w:snapToGrid w:val="0"/>
              <w:spacing w:line="360" w:lineRule="auto"/>
              <w:ind w:firstLine="480" w:firstLineChars="200"/>
              <w:jc w:val="both"/>
              <w:rPr>
                <w:rFonts w:hint="eastAsia"/>
                <w:color w:val="auto"/>
                <w:sz w:val="24"/>
              </w:rPr>
            </w:pPr>
            <w:r>
              <w:rPr>
                <w:rFonts w:hint="eastAsia"/>
                <w:color w:val="auto"/>
                <w:sz w:val="24"/>
              </w:rPr>
              <w:t>根据《固定污染源排污许可分类管理名录（2019版）》规定，本项目类别属于“二十五、非金属矿物制品30”中的“砼结构构件制造3022”</w:t>
            </w:r>
            <w:r>
              <w:rPr>
                <w:rFonts w:hint="eastAsia"/>
                <w:color w:val="auto"/>
                <w:sz w:val="24"/>
                <w:lang w:val="en-US" w:eastAsia="zh-CN"/>
              </w:rPr>
              <w:t>排污许可为登记管理；又因本项目设置有1台3t/h燃气蒸汽发生器，属于“五十一、通用工序”中的“109锅炉，本公司未纳入重点排污单位名录，故</w:t>
            </w:r>
            <w:r>
              <w:rPr>
                <w:rFonts w:hint="eastAsia"/>
                <w:color w:val="auto"/>
                <w:sz w:val="24"/>
              </w:rPr>
              <w:t>应进行登记管理。根据《固定污染源排污许可分类管理名录（2019版）》</w:t>
            </w:r>
            <w:r>
              <w:rPr>
                <w:rFonts w:hint="eastAsia"/>
                <w:color w:val="auto"/>
                <w:sz w:val="24"/>
                <w:lang w:val="en-US" w:eastAsia="zh-CN"/>
              </w:rPr>
              <w:t>要求，</w:t>
            </w:r>
            <w:r>
              <w:rPr>
                <w:rFonts w:hint="eastAsia"/>
                <w:color w:val="auto"/>
                <w:sz w:val="24"/>
              </w:rPr>
              <w:t>“新建排污单位应当在启动生产设施或者发生实际排污之前申请取得排污许可证或者填报排污登记表。”建设单位应在“全国排污许可证管理信息平台－</w:t>
            </w:r>
            <w:r>
              <w:rPr>
                <w:rFonts w:hint="eastAsia"/>
                <w:color w:val="auto"/>
                <w:sz w:val="24"/>
                <w:lang w:val="en-US" w:eastAsia="zh-CN"/>
              </w:rPr>
              <w:t>企业</w:t>
            </w:r>
            <w:r>
              <w:rPr>
                <w:rFonts w:hint="eastAsia"/>
                <w:color w:val="auto"/>
                <w:sz w:val="24"/>
              </w:rPr>
              <w:t>端系统”上进行</w:t>
            </w:r>
            <w:r>
              <w:rPr>
                <w:rFonts w:hint="eastAsia"/>
                <w:color w:val="auto"/>
                <w:sz w:val="24"/>
                <w:lang w:val="en-US" w:eastAsia="zh-CN"/>
              </w:rPr>
              <w:t>登记</w:t>
            </w:r>
            <w:r>
              <w:rPr>
                <w:rFonts w:hint="eastAsia"/>
                <w:color w:val="auto"/>
                <w:sz w:val="24"/>
              </w:rPr>
              <w:t>管理。落实污染物排放控制措施和其他各项环境管理要求，确保污染物排放种类、浓度和排放量等达到许可要求，不断提高污染治理和环境管理水平，自觉接受监督检查。</w:t>
            </w:r>
          </w:p>
          <w:p w14:paraId="0E0C00F1">
            <w:pPr>
              <w:adjustRightInd w:val="0"/>
              <w:snapToGrid w:val="0"/>
              <w:spacing w:line="360" w:lineRule="auto"/>
              <w:ind w:firstLine="480" w:firstLineChars="200"/>
              <w:jc w:val="both"/>
              <w:rPr>
                <w:rFonts w:hint="eastAsia"/>
                <w:color w:val="auto"/>
                <w:sz w:val="24"/>
              </w:rPr>
            </w:pPr>
            <w:r>
              <w:rPr>
                <w:rFonts w:hint="eastAsia"/>
                <w:color w:val="auto"/>
                <w:sz w:val="24"/>
              </w:rPr>
              <w:t>本项目生活垃圾暂存于垃圾桶、袋中，集中收集后交环卫部门处理，废金属边角料统一收集外售物资回收单位、项目产生的除尘灰经布袋收集后回用于搅拌及拌合工序，危险废物废机油集中收集在危险废物暂存间内，定期委托有资质的单位处置。建设单位严格按照《一般工业固体废物贮存和填埋污染控制标准》（GB18599-2020）对固体废物进行处理处置。</w:t>
            </w:r>
          </w:p>
          <w:p w14:paraId="0E7E27A3">
            <w:pPr>
              <w:adjustRightInd w:val="0"/>
              <w:snapToGrid w:val="0"/>
              <w:spacing w:line="360" w:lineRule="auto"/>
              <w:ind w:firstLine="480" w:firstLineChars="200"/>
              <w:jc w:val="both"/>
              <w:rPr>
                <w:rFonts w:hint="eastAsia"/>
                <w:color w:val="auto"/>
                <w:sz w:val="24"/>
              </w:rPr>
            </w:pPr>
            <w:r>
              <w:rPr>
                <w:rFonts w:hint="eastAsia"/>
                <w:color w:val="auto"/>
                <w:sz w:val="24"/>
              </w:rPr>
              <w:t>本项目危险废物贮存在危险废物暂存间内，危废暂存间按照《危险废物贮存污染控制标准》（GB18597-2023）中的要求，建设危废暂存间必须做防渗处理，并满足生态环境管理部门的要求，在醒目的位置安装危废的标识牌。危废暂存间用于暂存废机油，危险废物收集后存放于危废暂存间，并做好防扬散、防流失、防渗漏措施，由危废处置单位委托具有危险货物专业运输资质的运输单位进行承运，并根据规定实施危废转移联单制度。</w:t>
            </w:r>
          </w:p>
          <w:p w14:paraId="6240E21B">
            <w:pPr>
              <w:spacing w:line="360" w:lineRule="auto"/>
              <w:rPr>
                <w:b/>
                <w:bCs/>
                <w:color w:val="auto"/>
                <w:sz w:val="24"/>
              </w:rPr>
            </w:pPr>
            <w:r>
              <w:rPr>
                <w:rFonts w:hint="eastAsia"/>
                <w:b/>
                <w:bCs/>
                <w:color w:val="auto"/>
                <w:sz w:val="24"/>
                <w:lang w:val="en-US" w:eastAsia="zh-CN"/>
              </w:rPr>
              <w:t>二</w:t>
            </w:r>
            <w:r>
              <w:rPr>
                <w:rFonts w:hint="eastAsia"/>
                <w:b/>
                <w:bCs/>
                <w:color w:val="auto"/>
                <w:sz w:val="24"/>
              </w:rPr>
              <w:t>、</w:t>
            </w:r>
            <w:r>
              <w:rPr>
                <w:b/>
                <w:bCs/>
                <w:color w:val="auto"/>
                <w:sz w:val="24"/>
              </w:rPr>
              <w:t>排污口规范化管理</w:t>
            </w:r>
          </w:p>
          <w:p w14:paraId="45D8174B">
            <w:pPr>
              <w:spacing w:line="360" w:lineRule="auto"/>
              <w:ind w:firstLine="482" w:firstLineChars="200"/>
              <w:rPr>
                <w:b/>
                <w:bCs/>
                <w:color w:val="auto"/>
                <w:sz w:val="24"/>
              </w:rPr>
            </w:pPr>
            <w:r>
              <w:rPr>
                <w:rFonts w:hint="eastAsia"/>
                <w:b/>
                <w:bCs/>
                <w:color w:val="auto"/>
                <w:sz w:val="24"/>
              </w:rPr>
              <w:t>3.1</w:t>
            </w:r>
            <w:r>
              <w:rPr>
                <w:b/>
                <w:bCs/>
                <w:color w:val="auto"/>
                <w:sz w:val="24"/>
              </w:rPr>
              <w:t>排污口标识</w:t>
            </w:r>
          </w:p>
          <w:p w14:paraId="7BBDBBF5">
            <w:pPr>
              <w:spacing w:line="360" w:lineRule="auto"/>
              <w:ind w:firstLine="480" w:firstLineChars="200"/>
              <w:rPr>
                <w:color w:val="auto"/>
                <w:sz w:val="24"/>
              </w:rPr>
            </w:pPr>
            <w:r>
              <w:rPr>
                <w:color w:val="auto"/>
                <w:sz w:val="24"/>
              </w:rPr>
              <w:t>项目应完成</w:t>
            </w:r>
            <w:r>
              <w:rPr>
                <w:rFonts w:hint="eastAsia"/>
                <w:color w:val="auto"/>
                <w:sz w:val="24"/>
              </w:rPr>
              <w:t>污染</w:t>
            </w:r>
            <w:r>
              <w:rPr>
                <w:color w:val="auto"/>
                <w:sz w:val="24"/>
              </w:rPr>
              <w:t>排放源的规范化建设，其投资纳入项目总投资中，同时各项污染源应设置专项图标，执行《环境保护图形标志-排放口（源）》（GB15562-1995），详见下表。</w:t>
            </w:r>
          </w:p>
          <w:p w14:paraId="0FE10B01">
            <w:pPr>
              <w:jc w:val="center"/>
              <w:rPr>
                <w:b/>
                <w:bCs/>
                <w:color w:val="auto"/>
              </w:rPr>
            </w:pPr>
            <w:r>
              <w:rPr>
                <w:rFonts w:hint="eastAsia"/>
                <w:b/>
                <w:bCs/>
                <w:color w:val="auto"/>
                <w:szCs w:val="21"/>
                <w:lang w:val="en-US" w:eastAsia="zh-CN"/>
              </w:rPr>
              <w:t xml:space="preserve">表5-1  </w:t>
            </w:r>
            <w:r>
              <w:rPr>
                <w:rFonts w:hint="eastAsia"/>
                <w:b/>
                <w:bCs/>
                <w:color w:val="auto"/>
                <w:szCs w:val="21"/>
              </w:rPr>
              <w:t>一般</w:t>
            </w:r>
            <w:r>
              <w:rPr>
                <w:b/>
                <w:bCs/>
                <w:color w:val="auto"/>
                <w:szCs w:val="21"/>
              </w:rPr>
              <w:t>排污口（源）标志牌设置示意图表</w:t>
            </w:r>
          </w:p>
          <w:tbl>
            <w:tblPr>
              <w:tblStyle w:val="2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418"/>
              <w:gridCol w:w="1417"/>
              <w:gridCol w:w="1419"/>
              <w:gridCol w:w="1419"/>
            </w:tblGrid>
            <w:tr w14:paraId="3C488E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tcBorders>
                    <w:bottom w:val="single" w:color="000000" w:sz="12" w:space="0"/>
                  </w:tcBorders>
                  <w:noWrap w:val="0"/>
                  <w:vAlign w:val="center"/>
                </w:tcPr>
                <w:p w14:paraId="359DA2C6">
                  <w:pPr>
                    <w:jc w:val="center"/>
                    <w:rPr>
                      <w:b/>
                      <w:bCs/>
                      <w:color w:val="auto"/>
                    </w:rPr>
                  </w:pPr>
                  <w:r>
                    <w:rPr>
                      <w:b/>
                      <w:bCs/>
                      <w:color w:val="auto"/>
                    </w:rPr>
                    <w:t>名称</w:t>
                  </w:r>
                </w:p>
              </w:tc>
              <w:tc>
                <w:tcPr>
                  <w:tcW w:w="1000" w:type="pct"/>
                  <w:tcBorders>
                    <w:bottom w:val="single" w:color="000000" w:sz="12" w:space="0"/>
                  </w:tcBorders>
                  <w:noWrap w:val="0"/>
                  <w:vAlign w:val="center"/>
                </w:tcPr>
                <w:p w14:paraId="308A3349">
                  <w:pPr>
                    <w:jc w:val="center"/>
                    <w:rPr>
                      <w:b/>
                      <w:bCs/>
                      <w:color w:val="auto"/>
                    </w:rPr>
                  </w:pPr>
                  <w:r>
                    <w:rPr>
                      <w:b/>
                      <w:bCs/>
                      <w:color w:val="auto"/>
                    </w:rPr>
                    <w:t>废气排放口</w:t>
                  </w:r>
                </w:p>
              </w:tc>
              <w:tc>
                <w:tcPr>
                  <w:tcW w:w="999" w:type="pct"/>
                  <w:tcBorders>
                    <w:bottom w:val="single" w:color="000000" w:sz="12" w:space="0"/>
                  </w:tcBorders>
                  <w:noWrap w:val="0"/>
                  <w:vAlign w:val="center"/>
                </w:tcPr>
                <w:p w14:paraId="45CBBB20">
                  <w:pPr>
                    <w:jc w:val="center"/>
                    <w:rPr>
                      <w:b/>
                      <w:bCs/>
                      <w:color w:val="auto"/>
                    </w:rPr>
                  </w:pPr>
                  <w:r>
                    <w:rPr>
                      <w:b/>
                      <w:bCs/>
                      <w:color w:val="auto"/>
                    </w:rPr>
                    <w:t>废水排放口</w:t>
                  </w:r>
                </w:p>
              </w:tc>
              <w:tc>
                <w:tcPr>
                  <w:tcW w:w="1000" w:type="pct"/>
                  <w:tcBorders>
                    <w:bottom w:val="single" w:color="000000" w:sz="12" w:space="0"/>
                  </w:tcBorders>
                  <w:noWrap w:val="0"/>
                  <w:vAlign w:val="center"/>
                </w:tcPr>
                <w:p w14:paraId="0E3C4106">
                  <w:pPr>
                    <w:jc w:val="center"/>
                    <w:rPr>
                      <w:b/>
                      <w:bCs/>
                      <w:color w:val="auto"/>
                    </w:rPr>
                  </w:pPr>
                  <w:r>
                    <w:rPr>
                      <w:b/>
                      <w:bCs/>
                      <w:color w:val="auto"/>
                    </w:rPr>
                    <w:t>噪声排放源</w:t>
                  </w:r>
                </w:p>
              </w:tc>
              <w:tc>
                <w:tcPr>
                  <w:tcW w:w="1000" w:type="pct"/>
                  <w:tcBorders>
                    <w:bottom w:val="single" w:color="000000" w:sz="12" w:space="0"/>
                  </w:tcBorders>
                  <w:noWrap w:val="0"/>
                  <w:vAlign w:val="center"/>
                </w:tcPr>
                <w:p w14:paraId="2546BC50">
                  <w:pPr>
                    <w:jc w:val="center"/>
                    <w:rPr>
                      <w:b/>
                      <w:bCs/>
                      <w:color w:val="auto"/>
                    </w:rPr>
                  </w:pPr>
                  <w:r>
                    <w:rPr>
                      <w:b/>
                      <w:bCs/>
                      <w:color w:val="auto"/>
                    </w:rPr>
                    <w:t>一般固体废物</w:t>
                  </w:r>
                </w:p>
              </w:tc>
            </w:tr>
            <w:tr w14:paraId="5EEAF0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1000" w:type="pct"/>
                  <w:tcBorders>
                    <w:top w:val="single" w:color="000000" w:sz="12" w:space="0"/>
                  </w:tcBorders>
                  <w:noWrap w:val="0"/>
                  <w:vAlign w:val="center"/>
                </w:tcPr>
                <w:p w14:paraId="65A66F14">
                  <w:pPr>
                    <w:jc w:val="center"/>
                    <w:rPr>
                      <w:color w:val="auto"/>
                    </w:rPr>
                  </w:pPr>
                  <w:r>
                    <w:rPr>
                      <w:color w:val="auto"/>
                    </w:rPr>
                    <w:t>提示图形符号</w:t>
                  </w:r>
                </w:p>
              </w:tc>
              <w:tc>
                <w:tcPr>
                  <w:tcW w:w="1000" w:type="pct"/>
                  <w:tcBorders>
                    <w:top w:val="single" w:color="000000" w:sz="12" w:space="0"/>
                  </w:tcBorders>
                  <w:noWrap w:val="0"/>
                  <w:vAlign w:val="center"/>
                </w:tcPr>
                <w:p w14:paraId="7CE7D28E">
                  <w:pPr>
                    <w:jc w:val="center"/>
                    <w:rPr>
                      <w:color w:val="auto"/>
                    </w:rPr>
                  </w:pPr>
                  <w:r>
                    <w:rPr>
                      <w:color w:val="auto"/>
                    </w:rPr>
                    <w:drawing>
                      <wp:anchor distT="0" distB="0" distL="114300" distR="114300" simplePos="0" relativeHeight="251665408" behindDoc="0" locked="0" layoutInCell="1" allowOverlap="1">
                        <wp:simplePos x="0" y="0"/>
                        <wp:positionH relativeFrom="column">
                          <wp:posOffset>-46355</wp:posOffset>
                        </wp:positionH>
                        <wp:positionV relativeFrom="paragraph">
                          <wp:posOffset>18415</wp:posOffset>
                        </wp:positionV>
                        <wp:extent cx="930275" cy="757555"/>
                        <wp:effectExtent l="0" t="0" r="3175" b="4445"/>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33"/>
                                <a:stretch>
                                  <a:fillRect/>
                                </a:stretch>
                              </pic:blipFill>
                              <pic:spPr>
                                <a:xfrm>
                                  <a:off x="0" y="0"/>
                                  <a:ext cx="930275" cy="757555"/>
                                </a:xfrm>
                                <a:prstGeom prst="rect">
                                  <a:avLst/>
                                </a:prstGeom>
                                <a:noFill/>
                                <a:ln>
                                  <a:noFill/>
                                </a:ln>
                              </pic:spPr>
                            </pic:pic>
                          </a:graphicData>
                        </a:graphic>
                      </wp:anchor>
                    </w:drawing>
                  </w:r>
                </w:p>
              </w:tc>
              <w:tc>
                <w:tcPr>
                  <w:tcW w:w="999" w:type="pct"/>
                  <w:tcBorders>
                    <w:top w:val="single" w:color="000000" w:sz="12" w:space="0"/>
                  </w:tcBorders>
                  <w:noWrap w:val="0"/>
                  <w:vAlign w:val="center"/>
                </w:tcPr>
                <w:p w14:paraId="3FD65915">
                  <w:pPr>
                    <w:jc w:val="center"/>
                    <w:rPr>
                      <w:color w:val="auto"/>
                    </w:rPr>
                  </w:pPr>
                  <w:r>
                    <w:rPr>
                      <w:color w:val="auto"/>
                    </w:rPr>
                    <w:drawing>
                      <wp:anchor distT="0" distB="0" distL="114300" distR="114300" simplePos="0" relativeHeight="251662336" behindDoc="0" locked="0" layoutInCell="1" allowOverlap="1">
                        <wp:simplePos x="0" y="0"/>
                        <wp:positionH relativeFrom="column">
                          <wp:posOffset>-58420</wp:posOffset>
                        </wp:positionH>
                        <wp:positionV relativeFrom="paragraph">
                          <wp:posOffset>8890</wp:posOffset>
                        </wp:positionV>
                        <wp:extent cx="948055" cy="748030"/>
                        <wp:effectExtent l="0" t="0" r="4445" b="1397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4"/>
                                <a:stretch>
                                  <a:fillRect/>
                                </a:stretch>
                              </pic:blipFill>
                              <pic:spPr>
                                <a:xfrm>
                                  <a:off x="0" y="0"/>
                                  <a:ext cx="948055" cy="748030"/>
                                </a:xfrm>
                                <a:prstGeom prst="rect">
                                  <a:avLst/>
                                </a:prstGeom>
                                <a:noFill/>
                                <a:ln>
                                  <a:noFill/>
                                </a:ln>
                              </pic:spPr>
                            </pic:pic>
                          </a:graphicData>
                        </a:graphic>
                      </wp:anchor>
                    </w:drawing>
                  </w:r>
                </w:p>
              </w:tc>
              <w:tc>
                <w:tcPr>
                  <w:tcW w:w="1000" w:type="pct"/>
                  <w:tcBorders>
                    <w:top w:val="single" w:color="000000" w:sz="12" w:space="0"/>
                  </w:tcBorders>
                  <w:noWrap w:val="0"/>
                  <w:vAlign w:val="center"/>
                </w:tcPr>
                <w:p w14:paraId="4C65FCCB">
                  <w:pPr>
                    <w:jc w:val="center"/>
                    <w:rPr>
                      <w:color w:val="auto"/>
                    </w:rPr>
                  </w:pPr>
                  <w:r>
                    <w:rPr>
                      <w:color w:val="auto"/>
                    </w:rPr>
                    <w:drawing>
                      <wp:anchor distT="0" distB="0" distL="114300" distR="114300" simplePos="0" relativeHeight="251663360" behindDoc="0" locked="0" layoutInCell="1" allowOverlap="1">
                        <wp:simplePos x="0" y="0"/>
                        <wp:positionH relativeFrom="column">
                          <wp:posOffset>-41275</wp:posOffset>
                        </wp:positionH>
                        <wp:positionV relativeFrom="paragraph">
                          <wp:posOffset>26035</wp:posOffset>
                        </wp:positionV>
                        <wp:extent cx="921385" cy="742315"/>
                        <wp:effectExtent l="0" t="0" r="12065" b="635"/>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5"/>
                                <a:stretch>
                                  <a:fillRect/>
                                </a:stretch>
                              </pic:blipFill>
                              <pic:spPr>
                                <a:xfrm>
                                  <a:off x="0" y="0"/>
                                  <a:ext cx="921385" cy="742315"/>
                                </a:xfrm>
                                <a:prstGeom prst="rect">
                                  <a:avLst/>
                                </a:prstGeom>
                                <a:noFill/>
                                <a:ln>
                                  <a:noFill/>
                                </a:ln>
                              </pic:spPr>
                            </pic:pic>
                          </a:graphicData>
                        </a:graphic>
                      </wp:anchor>
                    </w:drawing>
                  </w:r>
                </w:p>
              </w:tc>
              <w:tc>
                <w:tcPr>
                  <w:tcW w:w="1000" w:type="pct"/>
                  <w:tcBorders>
                    <w:top w:val="single" w:color="000000" w:sz="12" w:space="0"/>
                  </w:tcBorders>
                  <w:noWrap w:val="0"/>
                  <w:vAlign w:val="center"/>
                </w:tcPr>
                <w:p w14:paraId="68E10118">
                  <w:pPr>
                    <w:jc w:val="center"/>
                    <w:rPr>
                      <w:color w:val="auto"/>
                    </w:rPr>
                  </w:pPr>
                  <w:r>
                    <w:rPr>
                      <w:color w:val="auto"/>
                    </w:rPr>
                    <w:drawing>
                      <wp:anchor distT="0" distB="0" distL="114300" distR="114300" simplePos="0" relativeHeight="251664384" behindDoc="0" locked="0" layoutInCell="1" allowOverlap="1">
                        <wp:simplePos x="0" y="0"/>
                        <wp:positionH relativeFrom="column">
                          <wp:posOffset>-41275</wp:posOffset>
                        </wp:positionH>
                        <wp:positionV relativeFrom="paragraph">
                          <wp:posOffset>19685</wp:posOffset>
                        </wp:positionV>
                        <wp:extent cx="921385" cy="749935"/>
                        <wp:effectExtent l="0" t="0" r="12065" b="1206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6"/>
                                <a:stretch>
                                  <a:fillRect/>
                                </a:stretch>
                              </pic:blipFill>
                              <pic:spPr>
                                <a:xfrm>
                                  <a:off x="0" y="0"/>
                                  <a:ext cx="921385" cy="749935"/>
                                </a:xfrm>
                                <a:prstGeom prst="rect">
                                  <a:avLst/>
                                </a:prstGeom>
                                <a:noFill/>
                                <a:ln>
                                  <a:noFill/>
                                </a:ln>
                              </pic:spPr>
                            </pic:pic>
                          </a:graphicData>
                        </a:graphic>
                      </wp:anchor>
                    </w:drawing>
                  </w:r>
                </w:p>
              </w:tc>
            </w:tr>
            <w:tr w14:paraId="783D22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0" w:type="pct"/>
                  <w:noWrap w:val="0"/>
                  <w:vAlign w:val="center"/>
                </w:tcPr>
                <w:p w14:paraId="04A38A8D">
                  <w:pPr>
                    <w:jc w:val="center"/>
                    <w:rPr>
                      <w:color w:val="auto"/>
                    </w:rPr>
                  </w:pPr>
                  <w:r>
                    <w:rPr>
                      <w:color w:val="auto"/>
                    </w:rPr>
                    <w:t>功能</w:t>
                  </w:r>
                </w:p>
              </w:tc>
              <w:tc>
                <w:tcPr>
                  <w:tcW w:w="1000" w:type="pct"/>
                  <w:noWrap w:val="0"/>
                  <w:vAlign w:val="center"/>
                </w:tcPr>
                <w:p w14:paraId="13CC81F8">
                  <w:pPr>
                    <w:jc w:val="center"/>
                    <w:rPr>
                      <w:color w:val="auto"/>
                    </w:rPr>
                  </w:pPr>
                  <w:r>
                    <w:rPr>
                      <w:color w:val="auto"/>
                    </w:rPr>
                    <w:t>表示废气向大气环境排放</w:t>
                  </w:r>
                </w:p>
              </w:tc>
              <w:tc>
                <w:tcPr>
                  <w:tcW w:w="999" w:type="pct"/>
                  <w:noWrap w:val="0"/>
                  <w:vAlign w:val="center"/>
                </w:tcPr>
                <w:p w14:paraId="727B2E96">
                  <w:pPr>
                    <w:jc w:val="center"/>
                    <w:rPr>
                      <w:color w:val="auto"/>
                    </w:rPr>
                  </w:pPr>
                  <w:r>
                    <w:rPr>
                      <w:color w:val="auto"/>
                    </w:rPr>
                    <w:t>表示废水向水环境排放</w:t>
                  </w:r>
                </w:p>
              </w:tc>
              <w:tc>
                <w:tcPr>
                  <w:tcW w:w="1000" w:type="pct"/>
                  <w:noWrap w:val="0"/>
                  <w:vAlign w:val="center"/>
                </w:tcPr>
                <w:p w14:paraId="6E9601D1">
                  <w:pPr>
                    <w:jc w:val="center"/>
                    <w:rPr>
                      <w:color w:val="auto"/>
                    </w:rPr>
                  </w:pPr>
                  <w:r>
                    <w:rPr>
                      <w:color w:val="auto"/>
                    </w:rPr>
                    <w:t>表示噪声向外环境排放</w:t>
                  </w:r>
                </w:p>
              </w:tc>
              <w:tc>
                <w:tcPr>
                  <w:tcW w:w="1000" w:type="pct"/>
                  <w:noWrap w:val="0"/>
                  <w:vAlign w:val="center"/>
                </w:tcPr>
                <w:p w14:paraId="4CD00818">
                  <w:pPr>
                    <w:jc w:val="center"/>
                    <w:rPr>
                      <w:color w:val="auto"/>
                    </w:rPr>
                  </w:pPr>
                  <w:r>
                    <w:rPr>
                      <w:color w:val="auto"/>
                    </w:rPr>
                    <w:t>表示一般固体废物贮存、处置场所</w:t>
                  </w:r>
                </w:p>
              </w:tc>
            </w:tr>
          </w:tbl>
          <w:p w14:paraId="573AAB01">
            <w:pPr>
              <w:pStyle w:val="54"/>
              <w:snapToGrid w:val="0"/>
              <w:ind w:firstLine="480"/>
              <w:rPr>
                <w:rFonts w:ascii="Times New Roman" w:hAnsi="Times New Roman"/>
                <w:color w:val="auto"/>
                <w:kern w:val="2"/>
              </w:rPr>
            </w:pPr>
            <w:r>
              <w:rPr>
                <w:rFonts w:hint="eastAsia" w:ascii="Times New Roman" w:hAnsi="Times New Roman"/>
                <w:color w:val="auto"/>
                <w:kern w:val="2"/>
              </w:rPr>
              <w:t>危废暂存间</w:t>
            </w:r>
            <w:r>
              <w:rPr>
                <w:rFonts w:ascii="Times New Roman" w:hAnsi="Times New Roman"/>
                <w:color w:val="auto"/>
                <w:kern w:val="2"/>
              </w:rPr>
              <w:t>按照《危险废物贮存污染控制标准》（GB18597-20</w:t>
            </w:r>
            <w:r>
              <w:rPr>
                <w:rFonts w:hint="eastAsia" w:ascii="Times New Roman" w:hAnsi="Times New Roman"/>
                <w:color w:val="auto"/>
                <w:kern w:val="2"/>
              </w:rPr>
              <w:t>23</w:t>
            </w:r>
            <w:r>
              <w:rPr>
                <w:rFonts w:ascii="Times New Roman" w:hAnsi="Times New Roman"/>
                <w:color w:val="auto"/>
                <w:kern w:val="2"/>
              </w:rPr>
              <w:t>）</w:t>
            </w:r>
            <w:r>
              <w:rPr>
                <w:rFonts w:hint="eastAsia" w:ascii="Times New Roman" w:hAnsi="Times New Roman"/>
                <w:color w:val="auto"/>
                <w:kern w:val="2"/>
              </w:rPr>
              <w:t>《危险废物识别标志设置技术规范》（HJ1276-2022）</w:t>
            </w:r>
            <w:r>
              <w:rPr>
                <w:rFonts w:ascii="Times New Roman" w:hAnsi="Times New Roman"/>
                <w:color w:val="auto"/>
                <w:kern w:val="2"/>
              </w:rPr>
              <w:t>相关规定要求，贮存库及废机油贮存储存容器上需要张贴有毒、易燃危险废物种类</w:t>
            </w:r>
            <w:r>
              <w:rPr>
                <w:rFonts w:hint="eastAsia" w:ascii="Times New Roman" w:hAnsi="Times New Roman"/>
                <w:color w:val="auto"/>
                <w:kern w:val="2"/>
              </w:rPr>
              <w:t>标识</w:t>
            </w:r>
            <w:r>
              <w:rPr>
                <w:rFonts w:ascii="Times New Roman" w:hAnsi="Times New Roman"/>
                <w:color w:val="auto"/>
                <w:kern w:val="2"/>
              </w:rPr>
              <w:t>，标识的设计需符合</w:t>
            </w:r>
            <w:r>
              <w:rPr>
                <w:rFonts w:hint="eastAsia" w:ascii="Times New Roman" w:hAnsi="Times New Roman"/>
                <w:color w:val="auto"/>
                <w:kern w:val="2"/>
              </w:rPr>
              <w:t>HJ1276-2022</w:t>
            </w:r>
            <w:r>
              <w:rPr>
                <w:rFonts w:ascii="Times New Roman" w:hAnsi="Times New Roman"/>
                <w:color w:val="auto"/>
                <w:kern w:val="2"/>
              </w:rPr>
              <w:t>的规定，</w:t>
            </w:r>
            <w:r>
              <w:rPr>
                <w:rFonts w:hint="eastAsia" w:ascii="Times New Roman" w:hAnsi="Times New Roman"/>
                <w:color w:val="auto"/>
                <w:kern w:val="2"/>
              </w:rPr>
              <w:t>详情见下表</w:t>
            </w:r>
            <w:r>
              <w:rPr>
                <w:rFonts w:ascii="Times New Roman" w:hAnsi="Times New Roman"/>
                <w:color w:val="auto"/>
                <w:kern w:val="2"/>
              </w:rPr>
              <w:t>。</w:t>
            </w:r>
          </w:p>
          <w:p w14:paraId="2688E3C8">
            <w:pPr>
              <w:widowControl/>
              <w:jc w:val="center"/>
              <w:rPr>
                <w:rFonts w:eastAsia="黑体"/>
                <w:color w:val="auto"/>
                <w:szCs w:val="21"/>
              </w:rPr>
            </w:pPr>
            <w:r>
              <w:rPr>
                <w:rFonts w:hint="eastAsia"/>
                <w:b/>
                <w:bCs/>
                <w:color w:val="auto"/>
                <w:szCs w:val="21"/>
              </w:rPr>
              <w:t xml:space="preserve">表5-2  </w:t>
            </w:r>
            <w:r>
              <w:rPr>
                <w:rFonts w:eastAsia="黑体"/>
                <w:color w:val="auto"/>
                <w:szCs w:val="21"/>
              </w:rPr>
              <w:t xml:space="preserve"> 危废暂存间标签示例</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13" w:type="dxa"/>
                <w:bottom w:w="0" w:type="dxa"/>
                <w:right w:w="0" w:type="dxa"/>
              </w:tblCellMar>
            </w:tblPr>
            <w:tblGrid>
              <w:gridCol w:w="998"/>
              <w:gridCol w:w="3042"/>
              <w:gridCol w:w="3053"/>
            </w:tblGrid>
            <w:tr w14:paraId="34200B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90" w:hRule="atLeast"/>
                <w:jc w:val="center"/>
              </w:trPr>
              <w:tc>
                <w:tcPr>
                  <w:tcW w:w="703" w:type="pct"/>
                  <w:tcBorders>
                    <w:bottom w:val="single" w:color="000000" w:sz="12" w:space="0"/>
                  </w:tcBorders>
                  <w:noWrap w:val="0"/>
                  <w:vAlign w:val="center"/>
                </w:tcPr>
                <w:p w14:paraId="15642F9D">
                  <w:pPr>
                    <w:pStyle w:val="55"/>
                    <w:snapToGrid w:val="0"/>
                    <w:rPr>
                      <w:rFonts w:ascii="Times New Roman" w:hAnsi="Times New Roman" w:cs="Times New Roman"/>
                      <w:color w:val="auto"/>
                    </w:rPr>
                  </w:pPr>
                  <w:r>
                    <w:rPr>
                      <w:rFonts w:ascii="Times New Roman" w:hAnsi="Times New Roman" w:cs="Times New Roman"/>
                      <w:color w:val="auto"/>
                    </w:rPr>
                    <w:t>场合</w:t>
                  </w:r>
                </w:p>
              </w:tc>
              <w:tc>
                <w:tcPr>
                  <w:tcW w:w="2144" w:type="pct"/>
                  <w:tcBorders>
                    <w:bottom w:val="single" w:color="000000" w:sz="12" w:space="0"/>
                  </w:tcBorders>
                  <w:noWrap w:val="0"/>
                  <w:vAlign w:val="center"/>
                </w:tcPr>
                <w:p w14:paraId="238E3C3E">
                  <w:pPr>
                    <w:pStyle w:val="55"/>
                    <w:snapToGrid w:val="0"/>
                    <w:rPr>
                      <w:rFonts w:ascii="Times New Roman" w:hAnsi="Times New Roman" w:cs="Times New Roman"/>
                      <w:color w:val="auto"/>
                    </w:rPr>
                  </w:pPr>
                  <w:r>
                    <w:rPr>
                      <w:rFonts w:ascii="Times New Roman" w:hAnsi="Times New Roman" w:cs="Times New Roman"/>
                      <w:color w:val="auto"/>
                    </w:rPr>
                    <w:t>样式</w:t>
                  </w:r>
                </w:p>
              </w:tc>
              <w:tc>
                <w:tcPr>
                  <w:tcW w:w="2152" w:type="pct"/>
                  <w:tcBorders>
                    <w:bottom w:val="single" w:color="000000" w:sz="12" w:space="0"/>
                  </w:tcBorders>
                  <w:noWrap w:val="0"/>
                  <w:vAlign w:val="center"/>
                </w:tcPr>
                <w:p w14:paraId="4B85D32E">
                  <w:pPr>
                    <w:pStyle w:val="55"/>
                    <w:snapToGrid w:val="0"/>
                    <w:rPr>
                      <w:rFonts w:ascii="Times New Roman" w:hAnsi="Times New Roman" w:cs="Times New Roman"/>
                      <w:color w:val="auto"/>
                    </w:rPr>
                  </w:pPr>
                  <w:r>
                    <w:rPr>
                      <w:rFonts w:ascii="Times New Roman" w:hAnsi="Times New Roman" w:cs="Times New Roman"/>
                      <w:color w:val="auto"/>
                    </w:rPr>
                    <w:t>要求</w:t>
                  </w:r>
                </w:p>
              </w:tc>
            </w:tr>
            <w:tr w14:paraId="693A8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703" w:type="pct"/>
                  <w:tcBorders>
                    <w:top w:val="single" w:color="000000" w:sz="12" w:space="0"/>
                  </w:tcBorders>
                  <w:noWrap w:val="0"/>
                  <w:vAlign w:val="center"/>
                </w:tcPr>
                <w:p w14:paraId="3E9197ED">
                  <w:pPr>
                    <w:pStyle w:val="55"/>
                    <w:snapToGrid w:val="0"/>
                    <w:jc w:val="both"/>
                    <w:rPr>
                      <w:rFonts w:ascii="Times New Roman" w:hAnsi="Times New Roman" w:cs="Times New Roman"/>
                      <w:color w:val="auto"/>
                    </w:rPr>
                  </w:pPr>
                  <w:r>
                    <w:rPr>
                      <w:rFonts w:ascii="Times New Roman" w:hAnsi="Times New Roman" w:cs="Times New Roman"/>
                      <w:color w:val="auto"/>
                    </w:rPr>
                    <w:t>室外（粘贴于门上或悬挂）</w:t>
                  </w:r>
                </w:p>
              </w:tc>
              <w:tc>
                <w:tcPr>
                  <w:tcW w:w="2144" w:type="pct"/>
                  <w:tcBorders>
                    <w:top w:val="single" w:color="000000" w:sz="12" w:space="0"/>
                  </w:tcBorders>
                  <w:noWrap w:val="0"/>
                  <w:vAlign w:val="center"/>
                </w:tcPr>
                <w:p w14:paraId="1A0FB888">
                  <w:pPr>
                    <w:pStyle w:val="55"/>
                    <w:snapToGrid w:val="0"/>
                    <w:rPr>
                      <w:rFonts w:ascii="Times New Roman" w:hAnsi="Times New Roman" w:cs="Times New Roman"/>
                      <w:color w:val="auto"/>
                    </w:rPr>
                  </w:pPr>
                  <w:r>
                    <w:rPr>
                      <w:rFonts w:hint="eastAsia" w:ascii="Times New Roman" w:hAnsi="Times New Roman" w:cs="Times New Roman"/>
                      <w:color w:val="auto"/>
                    </w:rPr>
                    <w:drawing>
                      <wp:anchor distT="0" distB="0" distL="114300" distR="114300" simplePos="0" relativeHeight="251659264" behindDoc="0" locked="0" layoutInCell="1" allowOverlap="1">
                        <wp:simplePos x="0" y="0"/>
                        <wp:positionH relativeFrom="column">
                          <wp:posOffset>-18415</wp:posOffset>
                        </wp:positionH>
                        <wp:positionV relativeFrom="paragraph">
                          <wp:posOffset>295910</wp:posOffset>
                        </wp:positionV>
                        <wp:extent cx="1575435" cy="610870"/>
                        <wp:effectExtent l="0" t="0" r="5715" b="17780"/>
                        <wp:wrapNone/>
                        <wp:docPr id="7" name="图片 60" descr="dd5a2859112a75e8ef204fc0504de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0" descr="dd5a2859112a75e8ef204fc0504de4d"/>
                                <pic:cNvPicPr>
                                  <a:picLocks noChangeAspect="1"/>
                                </pic:cNvPicPr>
                              </pic:nvPicPr>
                              <pic:blipFill>
                                <a:blip r:embed="rId37"/>
                                <a:stretch>
                                  <a:fillRect/>
                                </a:stretch>
                              </pic:blipFill>
                              <pic:spPr>
                                <a:xfrm>
                                  <a:off x="0" y="0"/>
                                  <a:ext cx="1575435" cy="610870"/>
                                </a:xfrm>
                                <a:prstGeom prst="rect">
                                  <a:avLst/>
                                </a:prstGeom>
                                <a:noFill/>
                                <a:ln>
                                  <a:noFill/>
                                </a:ln>
                              </pic:spPr>
                            </pic:pic>
                          </a:graphicData>
                        </a:graphic>
                      </wp:anchor>
                    </w:drawing>
                  </w:r>
                </w:p>
              </w:tc>
              <w:tc>
                <w:tcPr>
                  <w:tcW w:w="2152" w:type="pct"/>
                  <w:tcBorders>
                    <w:top w:val="single" w:color="000000" w:sz="12" w:space="0"/>
                  </w:tcBorders>
                  <w:noWrap w:val="0"/>
                  <w:vAlign w:val="center"/>
                </w:tcPr>
                <w:p w14:paraId="2ADD3F18">
                  <w:pPr>
                    <w:pStyle w:val="55"/>
                    <w:snapToGrid w:val="0"/>
                    <w:rPr>
                      <w:rFonts w:ascii="Times New Roman" w:hAnsi="Times New Roman" w:cs="Times New Roman"/>
                      <w:color w:val="auto"/>
                    </w:rPr>
                  </w:pPr>
                  <w:r>
                    <w:rPr>
                      <w:rFonts w:ascii="Times New Roman" w:hAnsi="Times New Roman" w:cs="Times New Roman"/>
                      <w:color w:val="auto"/>
                    </w:rPr>
                    <w:t>1、危险废物警告标志规格颜色：</w:t>
                  </w:r>
                </w:p>
                <w:p w14:paraId="29DB5B7F">
                  <w:pPr>
                    <w:pStyle w:val="55"/>
                    <w:snapToGrid w:val="0"/>
                    <w:rPr>
                      <w:rFonts w:ascii="Times New Roman" w:hAnsi="Times New Roman" w:cs="Times New Roman"/>
                      <w:color w:val="auto"/>
                    </w:rPr>
                  </w:pPr>
                  <w:r>
                    <w:rPr>
                      <w:rFonts w:ascii="Times New Roman" w:hAnsi="Times New Roman" w:cs="Times New Roman"/>
                      <w:color w:val="auto"/>
                    </w:rPr>
                    <w:t>形状：等边三角形，边长40cm</w:t>
                  </w:r>
                </w:p>
                <w:p w14:paraId="014FBC27">
                  <w:pPr>
                    <w:pStyle w:val="55"/>
                    <w:snapToGrid w:val="0"/>
                    <w:rPr>
                      <w:rFonts w:ascii="Times New Roman" w:hAnsi="Times New Roman" w:cs="Times New Roman"/>
                      <w:color w:val="auto"/>
                    </w:rPr>
                  </w:pPr>
                  <w:r>
                    <w:rPr>
                      <w:rFonts w:ascii="Times New Roman" w:hAnsi="Times New Roman" w:cs="Times New Roman"/>
                      <w:color w:val="auto"/>
                    </w:rPr>
                    <w:t>颜色：背景为黄色，图形为黑色</w:t>
                  </w:r>
                </w:p>
                <w:p w14:paraId="452037A9">
                  <w:pPr>
                    <w:pStyle w:val="55"/>
                    <w:snapToGrid w:val="0"/>
                    <w:jc w:val="both"/>
                    <w:rPr>
                      <w:rFonts w:ascii="Times New Roman" w:hAnsi="Times New Roman" w:cs="Times New Roman"/>
                      <w:color w:val="auto"/>
                    </w:rPr>
                  </w:pPr>
                  <w:r>
                    <w:rPr>
                      <w:rFonts w:ascii="Times New Roman" w:hAnsi="Times New Roman" w:cs="Times New Roman"/>
                      <w:color w:val="auto"/>
                    </w:rPr>
                    <w:t>警告标志外檐2.5cm</w:t>
                  </w:r>
                </w:p>
                <w:p w14:paraId="0B634932">
                  <w:pPr>
                    <w:pStyle w:val="55"/>
                    <w:snapToGrid w:val="0"/>
                    <w:jc w:val="both"/>
                    <w:rPr>
                      <w:rFonts w:ascii="Times New Roman" w:hAnsi="Times New Roman" w:cs="Times New Roman"/>
                      <w:color w:val="auto"/>
                    </w:rPr>
                  </w:pPr>
                  <w:r>
                    <w:rPr>
                      <w:rFonts w:ascii="Times New Roman" w:hAnsi="Times New Roman" w:cs="Times New Roman"/>
                      <w:color w:val="auto"/>
                    </w:rPr>
                    <w:t>适用于：危险废物贮存设施为房屋的，建有围墙或防护栅栏，且高度高于100cm时；部分危险废物利用、处置场所</w:t>
                  </w:r>
                </w:p>
              </w:tc>
            </w:tr>
          </w:tbl>
          <w:p w14:paraId="266F2338">
            <w:pPr>
              <w:widowControl/>
              <w:jc w:val="center"/>
              <w:rPr>
                <w:rFonts w:eastAsia="黑体"/>
                <w:color w:val="auto"/>
                <w:sz w:val="24"/>
              </w:rPr>
            </w:pPr>
            <w:r>
              <w:rPr>
                <w:rFonts w:hint="eastAsia"/>
                <w:b/>
                <w:bCs/>
                <w:color w:val="auto"/>
                <w:szCs w:val="21"/>
              </w:rPr>
              <w:t xml:space="preserve">表5-3  </w:t>
            </w:r>
            <w:r>
              <w:rPr>
                <w:rFonts w:eastAsia="黑体"/>
                <w:color w:val="auto"/>
                <w:sz w:val="24"/>
              </w:rPr>
              <w:t>危废储存容器标签示例</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13" w:type="dxa"/>
                <w:bottom w:w="0" w:type="dxa"/>
                <w:right w:w="0" w:type="dxa"/>
              </w:tblCellMar>
            </w:tblPr>
            <w:tblGrid>
              <w:gridCol w:w="816"/>
              <w:gridCol w:w="2492"/>
              <w:gridCol w:w="3788"/>
            </w:tblGrid>
            <w:tr w14:paraId="63AC37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576" w:type="pct"/>
                  <w:tcBorders>
                    <w:bottom w:val="single" w:color="000000" w:sz="12" w:space="0"/>
                  </w:tcBorders>
                  <w:noWrap w:val="0"/>
                  <w:vAlign w:val="center"/>
                </w:tcPr>
                <w:p w14:paraId="01B9DD4D">
                  <w:pPr>
                    <w:pStyle w:val="55"/>
                    <w:snapToGrid w:val="0"/>
                    <w:rPr>
                      <w:rFonts w:ascii="Times New Roman" w:hAnsi="Times New Roman" w:cs="Times New Roman"/>
                      <w:color w:val="auto"/>
                    </w:rPr>
                  </w:pPr>
                  <w:r>
                    <w:rPr>
                      <w:rFonts w:ascii="Times New Roman" w:hAnsi="Times New Roman" w:cs="Times New Roman"/>
                      <w:color w:val="auto"/>
                    </w:rPr>
                    <w:t>场合</w:t>
                  </w:r>
                </w:p>
              </w:tc>
              <w:tc>
                <w:tcPr>
                  <w:tcW w:w="1756" w:type="pct"/>
                  <w:tcBorders>
                    <w:bottom w:val="single" w:color="000000" w:sz="12" w:space="0"/>
                  </w:tcBorders>
                  <w:noWrap w:val="0"/>
                  <w:vAlign w:val="center"/>
                </w:tcPr>
                <w:p w14:paraId="6AF3C9B9">
                  <w:pPr>
                    <w:pStyle w:val="55"/>
                    <w:snapToGrid w:val="0"/>
                    <w:rPr>
                      <w:rFonts w:ascii="Times New Roman" w:hAnsi="Times New Roman" w:cs="Times New Roman"/>
                      <w:color w:val="auto"/>
                    </w:rPr>
                  </w:pPr>
                  <w:r>
                    <w:rPr>
                      <w:rFonts w:ascii="Times New Roman" w:hAnsi="Times New Roman" w:cs="Times New Roman"/>
                      <w:color w:val="auto"/>
                    </w:rPr>
                    <w:t>样式</w:t>
                  </w:r>
                </w:p>
              </w:tc>
              <w:tc>
                <w:tcPr>
                  <w:tcW w:w="2667" w:type="pct"/>
                  <w:tcBorders>
                    <w:bottom w:val="single" w:color="000000" w:sz="12" w:space="0"/>
                  </w:tcBorders>
                  <w:noWrap w:val="0"/>
                  <w:vAlign w:val="center"/>
                </w:tcPr>
                <w:p w14:paraId="5E1695BF">
                  <w:pPr>
                    <w:pStyle w:val="55"/>
                    <w:snapToGrid w:val="0"/>
                    <w:rPr>
                      <w:rFonts w:ascii="Times New Roman" w:hAnsi="Times New Roman" w:cs="Times New Roman"/>
                      <w:color w:val="auto"/>
                    </w:rPr>
                  </w:pPr>
                  <w:r>
                    <w:rPr>
                      <w:rFonts w:ascii="Times New Roman" w:hAnsi="Times New Roman" w:cs="Times New Roman"/>
                      <w:color w:val="auto"/>
                    </w:rPr>
                    <w:t>要求</w:t>
                  </w:r>
                </w:p>
              </w:tc>
            </w:tr>
            <w:tr w14:paraId="1A05E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13" w:type="dxa"/>
                  <w:bottom w:w="0" w:type="dxa"/>
                  <w:right w:w="0" w:type="dxa"/>
                </w:tblCellMar>
              </w:tblPrEx>
              <w:trPr>
                <w:trHeight w:val="340" w:hRule="atLeast"/>
                <w:jc w:val="center"/>
              </w:trPr>
              <w:tc>
                <w:tcPr>
                  <w:tcW w:w="576" w:type="pct"/>
                  <w:tcBorders>
                    <w:top w:val="single" w:color="000000" w:sz="12" w:space="0"/>
                  </w:tcBorders>
                  <w:noWrap w:val="0"/>
                  <w:vAlign w:val="center"/>
                </w:tcPr>
                <w:p w14:paraId="31BE77A6">
                  <w:pPr>
                    <w:pStyle w:val="55"/>
                    <w:snapToGrid w:val="0"/>
                    <w:jc w:val="both"/>
                    <w:rPr>
                      <w:rFonts w:ascii="Times New Roman" w:hAnsi="Times New Roman" w:cs="Times New Roman"/>
                      <w:color w:val="auto"/>
                    </w:rPr>
                  </w:pPr>
                  <w:r>
                    <w:rPr>
                      <w:rFonts w:ascii="Times New Roman" w:hAnsi="Times New Roman" w:cs="Times New Roman"/>
                      <w:color w:val="auto"/>
                    </w:rPr>
                    <w:t>粘贴于危险废物储存容器</w:t>
                  </w:r>
                </w:p>
              </w:tc>
              <w:tc>
                <w:tcPr>
                  <w:tcW w:w="1756" w:type="pct"/>
                  <w:tcBorders>
                    <w:top w:val="single" w:color="000000" w:sz="12" w:space="0"/>
                  </w:tcBorders>
                  <w:noWrap w:val="0"/>
                  <w:vAlign w:val="center"/>
                </w:tcPr>
                <w:p w14:paraId="68D5D26A">
                  <w:pPr>
                    <w:pStyle w:val="55"/>
                    <w:snapToGrid w:val="0"/>
                    <w:rPr>
                      <w:rFonts w:ascii="Times New Roman" w:hAnsi="Times New Roman" w:cs="Times New Roman"/>
                      <w:color w:val="auto"/>
                    </w:rPr>
                  </w:pPr>
                  <w:r>
                    <w:rPr>
                      <w:color w:val="auto"/>
                    </w:rPr>
                    <w:drawing>
                      <wp:anchor distT="0" distB="0" distL="114300" distR="114300" simplePos="0" relativeHeight="251660288" behindDoc="0" locked="0" layoutInCell="1" allowOverlap="1">
                        <wp:simplePos x="0" y="0"/>
                        <wp:positionH relativeFrom="column">
                          <wp:posOffset>130810</wp:posOffset>
                        </wp:positionH>
                        <wp:positionV relativeFrom="paragraph">
                          <wp:posOffset>171450</wp:posOffset>
                        </wp:positionV>
                        <wp:extent cx="1340485" cy="791210"/>
                        <wp:effectExtent l="0" t="0" r="12065" b="8890"/>
                        <wp:wrapNone/>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38"/>
                                <a:stretch>
                                  <a:fillRect/>
                                </a:stretch>
                              </pic:blipFill>
                              <pic:spPr>
                                <a:xfrm>
                                  <a:off x="0" y="0"/>
                                  <a:ext cx="1340485" cy="791210"/>
                                </a:xfrm>
                                <a:prstGeom prst="rect">
                                  <a:avLst/>
                                </a:prstGeom>
                                <a:noFill/>
                                <a:ln>
                                  <a:noFill/>
                                </a:ln>
                              </pic:spPr>
                            </pic:pic>
                          </a:graphicData>
                        </a:graphic>
                      </wp:anchor>
                    </w:drawing>
                  </w:r>
                </w:p>
                <w:p w14:paraId="35E245F5">
                  <w:pPr>
                    <w:pStyle w:val="55"/>
                    <w:snapToGrid w:val="0"/>
                    <w:rPr>
                      <w:rFonts w:ascii="Times New Roman" w:hAnsi="Times New Roman" w:cs="Times New Roman"/>
                      <w:color w:val="auto"/>
                    </w:rPr>
                  </w:pPr>
                </w:p>
                <w:p w14:paraId="3503F5C6">
                  <w:pPr>
                    <w:pStyle w:val="55"/>
                    <w:snapToGrid w:val="0"/>
                    <w:rPr>
                      <w:rFonts w:ascii="Times New Roman" w:hAnsi="Times New Roman" w:cs="Times New Roman"/>
                      <w:color w:val="auto"/>
                    </w:rPr>
                  </w:pPr>
                </w:p>
                <w:p w14:paraId="350431A8">
                  <w:pPr>
                    <w:pStyle w:val="55"/>
                    <w:snapToGrid w:val="0"/>
                    <w:rPr>
                      <w:rFonts w:ascii="Times New Roman" w:hAnsi="Times New Roman" w:cs="Times New Roman"/>
                      <w:color w:val="auto"/>
                    </w:rPr>
                  </w:pPr>
                </w:p>
                <w:p w14:paraId="775A65E4">
                  <w:pPr>
                    <w:pStyle w:val="55"/>
                    <w:snapToGrid w:val="0"/>
                    <w:rPr>
                      <w:rFonts w:ascii="Times New Roman" w:hAnsi="Times New Roman" w:cs="Times New Roman"/>
                      <w:color w:val="auto"/>
                    </w:rPr>
                  </w:pPr>
                </w:p>
                <w:p w14:paraId="079F1C36">
                  <w:pPr>
                    <w:pStyle w:val="55"/>
                    <w:snapToGrid w:val="0"/>
                    <w:rPr>
                      <w:rFonts w:ascii="Times New Roman" w:hAnsi="Times New Roman" w:cs="Times New Roman"/>
                      <w:color w:val="auto"/>
                    </w:rPr>
                  </w:pPr>
                </w:p>
                <w:p w14:paraId="09E67C7B">
                  <w:pPr>
                    <w:pStyle w:val="55"/>
                    <w:snapToGrid w:val="0"/>
                    <w:rPr>
                      <w:rFonts w:ascii="Times New Roman" w:hAnsi="Times New Roman" w:cs="Times New Roman"/>
                      <w:color w:val="auto"/>
                    </w:rPr>
                  </w:pPr>
                </w:p>
                <w:p w14:paraId="2E5983F1">
                  <w:pPr>
                    <w:pStyle w:val="55"/>
                    <w:snapToGrid w:val="0"/>
                    <w:rPr>
                      <w:rFonts w:ascii="Times New Roman" w:hAnsi="Times New Roman" w:cs="Times New Roman"/>
                      <w:color w:val="auto"/>
                    </w:rPr>
                  </w:pPr>
                  <w:r>
                    <w:rPr>
                      <w:color w:val="auto"/>
                    </w:rPr>
                    <w:drawing>
                      <wp:anchor distT="0" distB="0" distL="114300" distR="114300" simplePos="0" relativeHeight="251661312" behindDoc="0" locked="0" layoutInCell="1" allowOverlap="1">
                        <wp:simplePos x="0" y="0"/>
                        <wp:positionH relativeFrom="column">
                          <wp:posOffset>19050</wp:posOffset>
                        </wp:positionH>
                        <wp:positionV relativeFrom="paragraph">
                          <wp:posOffset>98425</wp:posOffset>
                        </wp:positionV>
                        <wp:extent cx="1390015" cy="895350"/>
                        <wp:effectExtent l="0" t="0" r="635" b="0"/>
                        <wp:wrapNone/>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39"/>
                                <a:stretch>
                                  <a:fillRect/>
                                </a:stretch>
                              </pic:blipFill>
                              <pic:spPr>
                                <a:xfrm>
                                  <a:off x="0" y="0"/>
                                  <a:ext cx="1390015" cy="895350"/>
                                </a:xfrm>
                                <a:prstGeom prst="rect">
                                  <a:avLst/>
                                </a:prstGeom>
                                <a:noFill/>
                                <a:ln>
                                  <a:noFill/>
                                </a:ln>
                              </pic:spPr>
                            </pic:pic>
                          </a:graphicData>
                        </a:graphic>
                      </wp:anchor>
                    </w:drawing>
                  </w:r>
                </w:p>
                <w:p w14:paraId="0B577F48">
                  <w:pPr>
                    <w:pStyle w:val="55"/>
                    <w:snapToGrid w:val="0"/>
                    <w:rPr>
                      <w:rFonts w:ascii="Times New Roman" w:hAnsi="Times New Roman" w:cs="Times New Roman"/>
                      <w:color w:val="auto"/>
                    </w:rPr>
                  </w:pPr>
                </w:p>
                <w:p w14:paraId="6D186D71">
                  <w:pPr>
                    <w:pStyle w:val="55"/>
                    <w:snapToGrid w:val="0"/>
                    <w:rPr>
                      <w:rFonts w:ascii="Times New Roman" w:hAnsi="Times New Roman" w:cs="Times New Roman"/>
                      <w:color w:val="auto"/>
                    </w:rPr>
                  </w:pPr>
                </w:p>
                <w:p w14:paraId="53D71A50">
                  <w:pPr>
                    <w:pStyle w:val="55"/>
                    <w:snapToGrid w:val="0"/>
                    <w:rPr>
                      <w:rFonts w:ascii="Times New Roman" w:hAnsi="Times New Roman" w:cs="Times New Roman"/>
                      <w:color w:val="auto"/>
                    </w:rPr>
                  </w:pPr>
                </w:p>
                <w:p w14:paraId="58EA9BFC">
                  <w:pPr>
                    <w:pStyle w:val="55"/>
                    <w:snapToGrid w:val="0"/>
                    <w:rPr>
                      <w:rFonts w:ascii="Times New Roman" w:hAnsi="Times New Roman" w:cs="Times New Roman"/>
                      <w:color w:val="auto"/>
                    </w:rPr>
                  </w:pPr>
                </w:p>
              </w:tc>
              <w:tc>
                <w:tcPr>
                  <w:tcW w:w="2667" w:type="pct"/>
                  <w:tcBorders>
                    <w:top w:val="single" w:color="000000" w:sz="12" w:space="0"/>
                  </w:tcBorders>
                  <w:noWrap w:val="0"/>
                  <w:vAlign w:val="center"/>
                </w:tcPr>
                <w:p w14:paraId="75F3380D">
                  <w:pPr>
                    <w:pStyle w:val="55"/>
                    <w:snapToGrid w:val="0"/>
                    <w:jc w:val="both"/>
                    <w:rPr>
                      <w:rFonts w:ascii="Times New Roman" w:hAnsi="Times New Roman" w:cs="Times New Roman"/>
                      <w:color w:val="auto"/>
                    </w:rPr>
                  </w:pPr>
                  <w:r>
                    <w:rPr>
                      <w:rFonts w:hint="eastAsia" w:ascii="Times New Roman" w:hAnsi="Times New Roman" w:cs="Times New Roman"/>
                      <w:color w:val="auto"/>
                    </w:rPr>
                    <w:t>1.危险废物标签的内容要求：</w:t>
                  </w:r>
                </w:p>
                <w:p w14:paraId="16AC87E3">
                  <w:pPr>
                    <w:pStyle w:val="55"/>
                    <w:snapToGrid w:val="0"/>
                    <w:jc w:val="both"/>
                    <w:rPr>
                      <w:rFonts w:ascii="Times New Roman" w:hAnsi="Times New Roman" w:cs="Times New Roman"/>
                      <w:color w:val="auto"/>
                    </w:rPr>
                  </w:pPr>
                  <w:r>
                    <w:rPr>
                      <w:rFonts w:hint="eastAsia" w:ascii="Times New Roman" w:hAnsi="Times New Roman" w:cs="Times New Roman"/>
                      <w:color w:val="auto"/>
                    </w:rPr>
                    <w:t>（1）危险废物标签应以醒目的字样标注“危险废物”</w:t>
                  </w:r>
                </w:p>
                <w:p w14:paraId="7A275E12">
                  <w:pPr>
                    <w:pStyle w:val="55"/>
                    <w:snapToGrid w:val="0"/>
                    <w:jc w:val="both"/>
                    <w:rPr>
                      <w:rFonts w:ascii="Times New Roman" w:hAnsi="Times New Roman" w:cs="Times New Roman"/>
                      <w:color w:val="auto"/>
                    </w:rPr>
                  </w:pPr>
                  <w:r>
                    <w:rPr>
                      <w:rFonts w:hint="eastAsia" w:ascii="Times New Roman" w:hAnsi="Times New Roman" w:cs="Times New Roman"/>
                      <w:color w:val="auto"/>
                    </w:rPr>
                    <w:t>（2）危险废物标签应包含废物名称、废物类别、废物代码、废物形态、危险特性、主要成分、有害成分、注意事项、产生收集单位名称、联系人、联系方式、产生日期、废物重量和备注。</w:t>
                  </w:r>
                </w:p>
                <w:p w14:paraId="0A278D13">
                  <w:pPr>
                    <w:pStyle w:val="55"/>
                    <w:snapToGrid w:val="0"/>
                    <w:jc w:val="both"/>
                    <w:rPr>
                      <w:rFonts w:ascii="Times New Roman" w:hAnsi="Times New Roman" w:cs="Times New Roman"/>
                      <w:color w:val="auto"/>
                    </w:rPr>
                  </w:pPr>
                  <w:r>
                    <w:rPr>
                      <w:rFonts w:hint="eastAsia" w:ascii="Times New Roman" w:hAnsi="Times New Roman" w:cs="Times New Roman"/>
                      <w:color w:val="auto"/>
                    </w:rPr>
                    <w:t>（3）危险废物标签宜设置危险废物数字识别和二维码。</w:t>
                  </w:r>
                </w:p>
                <w:p w14:paraId="68405DC8">
                  <w:pPr>
                    <w:pStyle w:val="55"/>
                    <w:snapToGrid w:val="0"/>
                    <w:jc w:val="both"/>
                    <w:rPr>
                      <w:rFonts w:ascii="Times New Roman" w:hAnsi="Times New Roman" w:cs="Times New Roman"/>
                      <w:color w:val="auto"/>
                    </w:rPr>
                  </w:pPr>
                  <w:r>
                    <w:rPr>
                      <w:rFonts w:hint="eastAsia" w:ascii="Times New Roman" w:hAnsi="Times New Roman" w:cs="Times New Roman"/>
                      <w:color w:val="auto"/>
                    </w:rPr>
                    <w:t>2.</w:t>
                  </w:r>
                  <w:r>
                    <w:rPr>
                      <w:rFonts w:ascii="Times New Roman" w:hAnsi="Times New Roman" w:cs="Times New Roman"/>
                      <w:color w:val="auto"/>
                    </w:rPr>
                    <w:t>危险废物标签颜色：</w:t>
                  </w:r>
                </w:p>
                <w:p w14:paraId="2049C432">
                  <w:pPr>
                    <w:pStyle w:val="55"/>
                    <w:snapToGrid w:val="0"/>
                    <w:jc w:val="both"/>
                    <w:rPr>
                      <w:rFonts w:ascii="Times New Roman" w:hAnsi="Times New Roman" w:cs="Times New Roman"/>
                      <w:color w:val="auto"/>
                    </w:rPr>
                  </w:pPr>
                  <w:r>
                    <w:rPr>
                      <w:rFonts w:ascii="Times New Roman" w:hAnsi="Times New Roman" w:cs="Times New Roman"/>
                      <w:color w:val="auto"/>
                    </w:rPr>
                    <w:t>底色：醒目的橘黄色</w:t>
                  </w:r>
                  <w:r>
                    <w:rPr>
                      <w:rFonts w:hint="eastAsia" w:ascii="Times New Roman" w:hAnsi="Times New Roman" w:cs="Times New Roman"/>
                      <w:color w:val="auto"/>
                    </w:rPr>
                    <w:t>，RGB颜色值为（255，150，0）</w:t>
                  </w:r>
                </w:p>
                <w:p w14:paraId="500226A8">
                  <w:pPr>
                    <w:pStyle w:val="55"/>
                    <w:snapToGrid w:val="0"/>
                    <w:jc w:val="both"/>
                    <w:rPr>
                      <w:rFonts w:ascii="Times New Roman" w:hAnsi="Times New Roman" w:cs="Times New Roman"/>
                      <w:color w:val="auto"/>
                    </w:rPr>
                  </w:pPr>
                  <w:r>
                    <w:rPr>
                      <w:rFonts w:hint="eastAsia" w:ascii="Times New Roman" w:hAnsi="Times New Roman" w:cs="Times New Roman"/>
                      <w:color w:val="auto"/>
                    </w:rPr>
                    <w:t>边框和</w:t>
                  </w:r>
                  <w:r>
                    <w:rPr>
                      <w:rFonts w:ascii="Times New Roman" w:hAnsi="Times New Roman" w:cs="Times New Roman"/>
                      <w:color w:val="auto"/>
                    </w:rPr>
                    <w:t>字体：黑体字</w:t>
                  </w:r>
                  <w:r>
                    <w:rPr>
                      <w:rFonts w:hint="eastAsia" w:ascii="Times New Roman" w:hAnsi="Times New Roman" w:cs="Times New Roman"/>
                      <w:color w:val="auto"/>
                    </w:rPr>
                    <w:t>，RGB颜色值为（0，0，0）</w:t>
                  </w:r>
                </w:p>
                <w:p w14:paraId="728DFD31">
                  <w:pPr>
                    <w:pStyle w:val="55"/>
                    <w:snapToGrid w:val="0"/>
                    <w:jc w:val="both"/>
                    <w:rPr>
                      <w:rFonts w:ascii="Times New Roman" w:hAnsi="Times New Roman" w:cs="Times New Roman"/>
                      <w:color w:val="auto"/>
                    </w:rPr>
                  </w:pPr>
                  <w:r>
                    <w:rPr>
                      <w:rFonts w:hint="eastAsia" w:ascii="Times New Roman" w:hAnsi="Times New Roman" w:cs="Times New Roman"/>
                      <w:color w:val="auto"/>
                    </w:rPr>
                    <w:t>3.</w:t>
                  </w:r>
                  <w:r>
                    <w:rPr>
                      <w:rFonts w:ascii="Times New Roman" w:hAnsi="Times New Roman" w:cs="Times New Roman"/>
                      <w:color w:val="auto"/>
                    </w:rPr>
                    <w:t>危险类别：废</w:t>
                  </w:r>
                  <w:r>
                    <w:rPr>
                      <w:rFonts w:hint="eastAsia" w:ascii="Times New Roman" w:hAnsi="Times New Roman" w:cs="Times New Roman"/>
                      <w:color w:val="auto"/>
                      <w:lang w:val="en-US" w:eastAsia="zh-CN"/>
                    </w:rPr>
                    <w:t>润滑</w:t>
                  </w:r>
                  <w:r>
                    <w:rPr>
                      <w:rFonts w:ascii="Times New Roman" w:hAnsi="Times New Roman" w:cs="Times New Roman"/>
                      <w:color w:val="auto"/>
                    </w:rPr>
                    <w:t>油（HW08 900-214-08）</w:t>
                  </w:r>
                  <w:r>
                    <w:rPr>
                      <w:rFonts w:hint="eastAsia" w:ascii="Times New Roman" w:hAnsi="Times New Roman" w:cs="Times New Roman"/>
                      <w:color w:val="auto"/>
                    </w:rPr>
                    <w:t>、废油桶（</w:t>
                  </w:r>
                  <w:r>
                    <w:rPr>
                      <w:rFonts w:ascii="Times New Roman" w:hAnsi="Times New Roman" w:cs="Times New Roman"/>
                      <w:color w:val="auto"/>
                    </w:rPr>
                    <w:t>HW08</w:t>
                  </w:r>
                  <w:r>
                    <w:rPr>
                      <w:rFonts w:hint="eastAsia" w:ascii="Times New Roman" w:hAnsi="Times New Roman" w:cs="Times New Roman"/>
                      <w:color w:val="auto"/>
                    </w:rPr>
                    <w:t xml:space="preserve"> </w:t>
                  </w:r>
                  <w:r>
                    <w:rPr>
                      <w:rFonts w:ascii="Times New Roman" w:hAnsi="Times New Roman" w:cs="Times New Roman"/>
                      <w:color w:val="auto"/>
                    </w:rPr>
                    <w:t>900-249-08</w:t>
                  </w:r>
                  <w:r>
                    <w:rPr>
                      <w:rFonts w:hint="eastAsia" w:ascii="Times New Roman" w:hAnsi="Times New Roman" w:cs="Times New Roman"/>
                      <w:color w:val="auto"/>
                    </w:rPr>
                    <w:t>）</w:t>
                  </w:r>
                </w:p>
              </w:tc>
            </w:tr>
          </w:tbl>
          <w:p w14:paraId="405C3DA1">
            <w:pPr>
              <w:adjustRightInd w:val="0"/>
              <w:snapToGrid w:val="0"/>
              <w:rPr>
                <w:rFonts w:hint="default" w:ascii="Times New Roman" w:hAnsi="Times New Roman" w:cs="Times New Roman" w:eastAsiaTheme="minorEastAsia"/>
                <w:color w:val="auto"/>
                <w:sz w:val="24"/>
                <w:szCs w:val="24"/>
              </w:rPr>
            </w:pPr>
          </w:p>
        </w:tc>
      </w:tr>
    </w:tbl>
    <w:p w14:paraId="15E99B9D">
      <w:pPr>
        <w:pStyle w:val="21"/>
        <w:jc w:val="center"/>
        <w:outlineLvl w:val="0"/>
        <w:rPr>
          <w:rFonts w:ascii="黑体" w:hAnsi="黑体" w:eastAsia="黑体"/>
          <w:snapToGrid w:val="0"/>
          <w:color w:val="auto"/>
          <w:sz w:val="30"/>
          <w:szCs w:val="30"/>
        </w:rPr>
      </w:pPr>
      <w:r>
        <w:rPr>
          <w:rFonts w:hint="default" w:ascii="Times New Roman" w:hAnsi="Times New Roman" w:cs="Times New Roman" w:eastAsiaTheme="minorEastAsia"/>
          <w:snapToGrid w:val="0"/>
          <w:color w:val="auto"/>
          <w:sz w:val="24"/>
          <w:szCs w:val="24"/>
        </w:rPr>
        <w:br w:type="page"/>
      </w:r>
      <w:r>
        <w:rPr>
          <w:rFonts w:hint="eastAsia" w:ascii="黑体" w:hAnsi="黑体" w:eastAsia="黑体"/>
          <w:snapToGrid w:val="0"/>
          <w:color w:val="auto"/>
          <w:sz w:val="30"/>
          <w:szCs w:val="30"/>
        </w:rPr>
        <w:t>六、结论</w:t>
      </w:r>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6A756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noWrap w:val="0"/>
            <w:vAlign w:val="center"/>
          </w:tcPr>
          <w:p w14:paraId="4DDA6457">
            <w:pPr>
              <w:spacing w:line="360" w:lineRule="auto"/>
              <w:ind w:firstLine="480" w:firstLineChars="200"/>
              <w:jc w:val="both"/>
              <w:rPr>
                <w:color w:val="auto"/>
                <w:sz w:val="24"/>
                <w:szCs w:val="32"/>
                <w:highlight w:val="none"/>
              </w:rPr>
            </w:pPr>
            <w:r>
              <w:rPr>
                <w:rFonts w:hint="eastAsia"/>
                <w:color w:val="auto"/>
                <w:sz w:val="24"/>
                <w:szCs w:val="32"/>
                <w:highlight w:val="none"/>
              </w:rPr>
              <w:t>本项目符合当前国家产业政策的要求，项目在采取环保治理措施及污染控制措施后，可实现各类污染物的稳定达标排放，不会对周围环境产生明显影响。因此，本评价从环保角度认为，本项目的建设是可行的。</w:t>
            </w:r>
          </w:p>
          <w:p w14:paraId="38087DFC">
            <w:pPr>
              <w:spacing w:line="360" w:lineRule="auto"/>
              <w:rPr>
                <w:rFonts w:ascii="宋体" w:cs="宋体"/>
                <w:color w:val="auto"/>
                <w:sz w:val="24"/>
              </w:rPr>
            </w:pPr>
          </w:p>
        </w:tc>
      </w:tr>
    </w:tbl>
    <w:p w14:paraId="235B596F">
      <w:pPr>
        <w:rPr>
          <w:rFonts w:ascii="宋体"/>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52FF64B2">
      <w:pPr>
        <w:pStyle w:val="21"/>
        <w:adjustRightInd w:val="0"/>
        <w:snapToGrid w:val="0"/>
        <w:spacing w:before="0" w:beforeAutospacing="0" w:after="0" w:afterAutospacing="0" w:line="360" w:lineRule="auto"/>
        <w:outlineLvl w:val="0"/>
        <w:rPr>
          <w:rFonts w:ascii="黑体" w:hAnsi="黑体" w:eastAsia="黑体"/>
          <w:snapToGrid w:val="0"/>
          <w:color w:val="auto"/>
          <w:sz w:val="32"/>
          <w:szCs w:val="32"/>
        </w:rPr>
      </w:pPr>
      <w:r>
        <w:rPr>
          <w:rFonts w:hint="eastAsia" w:ascii="黑体" w:hAnsi="黑体" w:eastAsia="黑体"/>
          <w:snapToGrid w:val="0"/>
          <w:color w:val="auto"/>
          <w:sz w:val="32"/>
          <w:szCs w:val="32"/>
        </w:rPr>
        <w:t>附表</w:t>
      </w:r>
    </w:p>
    <w:p w14:paraId="6C85BE69">
      <w:pPr>
        <w:pStyle w:val="21"/>
        <w:adjustRightInd w:val="0"/>
        <w:snapToGrid w:val="0"/>
        <w:spacing w:before="0" w:beforeAutospacing="0" w:after="0" w:afterAutospacing="0" w:line="360" w:lineRule="auto"/>
        <w:jc w:val="center"/>
        <w:outlineLvl w:val="0"/>
        <w:rPr>
          <w:rFonts w:hint="eastAsia" w:ascii="方正小标宋_GBK" w:hAnsi="黑体" w:eastAsia="方正小标宋_GBK"/>
          <w:snapToGrid w:val="0"/>
          <w:color w:val="auto"/>
          <w:sz w:val="38"/>
          <w:szCs w:val="38"/>
        </w:rPr>
      </w:pPr>
      <w:r>
        <w:rPr>
          <w:rFonts w:hint="eastAsia" w:ascii="方正小标宋_GBK" w:hAnsi="黑体" w:eastAsia="方正小标宋_GBK"/>
          <w:snapToGrid w:val="0"/>
          <w:color w:val="auto"/>
          <w:sz w:val="38"/>
          <w:szCs w:val="38"/>
        </w:rPr>
        <w:t>建设项目污染物排放量汇总表</w:t>
      </w:r>
    </w:p>
    <w:tbl>
      <w:tblPr>
        <w:tblStyle w:val="23"/>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516"/>
        <w:gridCol w:w="1602"/>
        <w:gridCol w:w="1276"/>
        <w:gridCol w:w="1701"/>
        <w:gridCol w:w="1559"/>
        <w:gridCol w:w="1594"/>
        <w:gridCol w:w="1773"/>
        <w:gridCol w:w="1179"/>
      </w:tblGrid>
      <w:tr w14:paraId="24C25E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tcBorders>
              <w:tl2br w:val="single" w:color="auto" w:sz="4" w:space="0"/>
            </w:tcBorders>
            <w:noWrap w:val="0"/>
            <w:tcMar>
              <w:left w:w="28" w:type="dxa"/>
              <w:right w:w="28" w:type="dxa"/>
            </w:tcMar>
            <w:vAlign w:val="center"/>
          </w:tcPr>
          <w:p w14:paraId="0992D2B8">
            <w:pPr>
              <w:pStyle w:val="41"/>
              <w:spacing w:beforeLines="0" w:afterLines="0" w:line="240" w:lineRule="auto"/>
              <w:jc w:val="right"/>
              <w:rPr>
                <w:rFonts w:hint="eastAsia" w:ascii="黑体" w:hAnsi="黑体" w:eastAsia="黑体" w:cs="宋体"/>
                <w:snapToGrid w:val="0"/>
                <w:color w:val="auto"/>
                <w:spacing w:val="-6"/>
                <w:kern w:val="21"/>
                <w:sz w:val="21"/>
                <w:szCs w:val="21"/>
              </w:rPr>
            </w:pPr>
            <w:r>
              <w:rPr>
                <w:rFonts w:hint="eastAsia" w:ascii="黑体" w:hAnsi="黑体" w:eastAsia="黑体" w:cs="宋体"/>
                <w:snapToGrid w:val="0"/>
                <w:color w:val="auto"/>
                <w:spacing w:val="-6"/>
                <w:kern w:val="21"/>
                <w:sz w:val="21"/>
                <w:szCs w:val="21"/>
              </w:rPr>
              <w:t>项目</w:t>
            </w:r>
          </w:p>
          <w:p w14:paraId="6F36E900">
            <w:pPr>
              <w:pStyle w:val="41"/>
              <w:spacing w:beforeLines="0" w:afterLines="0" w:line="240" w:lineRule="auto"/>
              <w:jc w:val="left"/>
              <w:rPr>
                <w:rFonts w:hint="eastAsia" w:ascii="黑体" w:hAnsi="黑体" w:eastAsia="黑体" w:cs="宋体"/>
                <w:snapToGrid w:val="0"/>
                <w:color w:val="auto"/>
                <w:spacing w:val="-6"/>
                <w:kern w:val="21"/>
                <w:sz w:val="21"/>
                <w:szCs w:val="21"/>
              </w:rPr>
            </w:pPr>
            <w:r>
              <w:rPr>
                <w:rFonts w:hint="eastAsia" w:ascii="黑体" w:hAnsi="黑体" w:eastAsia="黑体" w:cs="宋体"/>
                <w:snapToGrid w:val="0"/>
                <w:color w:val="auto"/>
                <w:spacing w:val="-6"/>
                <w:kern w:val="21"/>
                <w:sz w:val="21"/>
                <w:szCs w:val="21"/>
              </w:rPr>
              <w:t>分类</w:t>
            </w:r>
          </w:p>
        </w:tc>
        <w:tc>
          <w:tcPr>
            <w:tcW w:w="1516" w:type="dxa"/>
            <w:noWrap w:val="0"/>
            <w:tcMar>
              <w:left w:w="28" w:type="dxa"/>
              <w:right w:w="28" w:type="dxa"/>
            </w:tcMar>
            <w:vAlign w:val="center"/>
          </w:tcPr>
          <w:p w14:paraId="3F1CF0F6">
            <w:pPr>
              <w:pStyle w:val="41"/>
              <w:spacing w:beforeLines="0" w:afterLines="0" w:line="240" w:lineRule="auto"/>
              <w:rPr>
                <w:rFonts w:hint="eastAsia" w:ascii="黑体" w:hAnsi="黑体" w:eastAsia="黑体" w:cs="宋体"/>
                <w:snapToGrid w:val="0"/>
                <w:color w:val="auto"/>
                <w:spacing w:val="-6"/>
                <w:kern w:val="21"/>
                <w:sz w:val="21"/>
                <w:szCs w:val="21"/>
              </w:rPr>
            </w:pPr>
            <w:r>
              <w:rPr>
                <w:rFonts w:hint="eastAsia" w:ascii="黑体" w:hAnsi="黑体" w:eastAsia="黑体" w:cs="宋体"/>
                <w:snapToGrid w:val="0"/>
                <w:color w:val="auto"/>
                <w:spacing w:val="-6"/>
                <w:kern w:val="21"/>
                <w:sz w:val="21"/>
                <w:szCs w:val="21"/>
              </w:rPr>
              <w:t>污染物名称</w:t>
            </w:r>
          </w:p>
        </w:tc>
        <w:tc>
          <w:tcPr>
            <w:tcW w:w="1602" w:type="dxa"/>
            <w:noWrap w:val="0"/>
            <w:tcMar>
              <w:left w:w="28" w:type="dxa"/>
              <w:right w:w="28" w:type="dxa"/>
            </w:tcMar>
            <w:vAlign w:val="center"/>
          </w:tcPr>
          <w:p w14:paraId="4FC91C94">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hint="eastAsia"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现有工程</w:t>
            </w:r>
          </w:p>
          <w:p w14:paraId="6A602491">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排放量（固</w:t>
            </w:r>
            <w:r>
              <w:rPr>
                <w:rFonts w:hint="eastAsia" w:ascii="黑体" w:hAnsi="黑体" w:eastAsia="黑体"/>
                <w:snapToGrid w:val="0"/>
                <w:color w:val="auto"/>
                <w:spacing w:val="-6"/>
                <w:kern w:val="21"/>
                <w:sz w:val="21"/>
                <w:szCs w:val="21"/>
              </w:rPr>
              <w:t>体</w:t>
            </w:r>
            <w:r>
              <w:rPr>
                <w:rFonts w:ascii="黑体" w:hAnsi="黑体" w:eastAsia="黑体"/>
                <w:snapToGrid w:val="0"/>
                <w:color w:val="auto"/>
                <w:spacing w:val="-6"/>
                <w:kern w:val="21"/>
                <w:sz w:val="21"/>
                <w:szCs w:val="21"/>
              </w:rPr>
              <w:t>废</w:t>
            </w:r>
            <w:r>
              <w:rPr>
                <w:rFonts w:hint="eastAsia" w:ascii="黑体" w:hAnsi="黑体" w:eastAsia="黑体"/>
                <w:snapToGrid w:val="0"/>
                <w:color w:val="auto"/>
                <w:spacing w:val="-6"/>
                <w:kern w:val="21"/>
                <w:sz w:val="21"/>
                <w:szCs w:val="21"/>
              </w:rPr>
              <w:t>物</w:t>
            </w:r>
            <w:r>
              <w:rPr>
                <w:rFonts w:ascii="黑体" w:hAnsi="黑体" w:eastAsia="黑体"/>
                <w:snapToGrid w:val="0"/>
                <w:color w:val="auto"/>
                <w:spacing w:val="-6"/>
                <w:kern w:val="21"/>
                <w:sz w:val="21"/>
                <w:szCs w:val="21"/>
              </w:rPr>
              <w:t>产生量）</w:t>
            </w: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1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①</w:t>
            </w:r>
            <w:r>
              <w:rPr>
                <w:rFonts w:ascii="黑体" w:hAnsi="黑体" w:eastAsia="黑体"/>
                <w:snapToGrid w:val="0"/>
                <w:color w:val="auto"/>
                <w:spacing w:val="-6"/>
                <w:kern w:val="21"/>
                <w:sz w:val="21"/>
                <w:szCs w:val="21"/>
              </w:rPr>
              <w:fldChar w:fldCharType="end"/>
            </w:r>
          </w:p>
        </w:tc>
        <w:tc>
          <w:tcPr>
            <w:tcW w:w="1276" w:type="dxa"/>
            <w:noWrap w:val="0"/>
            <w:tcMar>
              <w:left w:w="28" w:type="dxa"/>
              <w:right w:w="28" w:type="dxa"/>
            </w:tcMar>
            <w:vAlign w:val="center"/>
          </w:tcPr>
          <w:p w14:paraId="78E264DB">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现有工程</w:t>
            </w:r>
          </w:p>
          <w:p w14:paraId="46CBDAC0">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许可排放量</w:t>
            </w:r>
          </w:p>
          <w:p w14:paraId="09D51877">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2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snapToGrid w:val="0"/>
                <w:color w:val="auto"/>
                <w:spacing w:val="-6"/>
                <w:kern w:val="21"/>
                <w:sz w:val="21"/>
                <w:szCs w:val="21"/>
              </w:rPr>
              <w:t>②</w:t>
            </w:r>
            <w:r>
              <w:rPr>
                <w:rFonts w:ascii="黑体" w:hAnsi="黑体" w:eastAsia="黑体"/>
                <w:snapToGrid w:val="0"/>
                <w:color w:val="auto"/>
                <w:spacing w:val="-6"/>
                <w:kern w:val="21"/>
                <w:sz w:val="21"/>
                <w:szCs w:val="21"/>
              </w:rPr>
              <w:fldChar w:fldCharType="end"/>
            </w:r>
          </w:p>
        </w:tc>
        <w:tc>
          <w:tcPr>
            <w:tcW w:w="1701" w:type="dxa"/>
            <w:noWrap w:val="0"/>
            <w:tcMar>
              <w:left w:w="28" w:type="dxa"/>
              <w:right w:w="28" w:type="dxa"/>
            </w:tcMar>
            <w:vAlign w:val="center"/>
          </w:tcPr>
          <w:p w14:paraId="56D8224F">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hint="eastAsia"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在建工程</w:t>
            </w:r>
          </w:p>
          <w:p w14:paraId="584E5419">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排放量（固</w:t>
            </w:r>
            <w:r>
              <w:rPr>
                <w:rFonts w:hint="eastAsia" w:ascii="黑体" w:hAnsi="黑体" w:eastAsia="黑体"/>
                <w:snapToGrid w:val="0"/>
                <w:color w:val="auto"/>
                <w:spacing w:val="-6"/>
                <w:kern w:val="21"/>
                <w:sz w:val="21"/>
                <w:szCs w:val="21"/>
              </w:rPr>
              <w:t>体</w:t>
            </w:r>
            <w:r>
              <w:rPr>
                <w:rFonts w:ascii="黑体" w:hAnsi="黑体" w:eastAsia="黑体"/>
                <w:snapToGrid w:val="0"/>
                <w:color w:val="auto"/>
                <w:spacing w:val="-6"/>
                <w:kern w:val="21"/>
                <w:sz w:val="21"/>
                <w:szCs w:val="21"/>
              </w:rPr>
              <w:t>废</w:t>
            </w:r>
            <w:r>
              <w:rPr>
                <w:rFonts w:hint="eastAsia" w:ascii="黑体" w:hAnsi="黑体" w:eastAsia="黑体"/>
                <w:snapToGrid w:val="0"/>
                <w:color w:val="auto"/>
                <w:spacing w:val="-6"/>
                <w:kern w:val="21"/>
                <w:sz w:val="21"/>
                <w:szCs w:val="21"/>
              </w:rPr>
              <w:t>物</w:t>
            </w:r>
            <w:r>
              <w:rPr>
                <w:rFonts w:ascii="黑体" w:hAnsi="黑体" w:eastAsia="黑体"/>
                <w:snapToGrid w:val="0"/>
                <w:color w:val="auto"/>
                <w:spacing w:val="-6"/>
                <w:kern w:val="21"/>
                <w:sz w:val="21"/>
                <w:szCs w:val="21"/>
              </w:rPr>
              <w:t>产生量）</w:t>
            </w: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3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③</w:t>
            </w:r>
            <w:r>
              <w:rPr>
                <w:rFonts w:ascii="黑体" w:hAnsi="黑体" w:eastAsia="黑体"/>
                <w:snapToGrid w:val="0"/>
                <w:color w:val="auto"/>
                <w:spacing w:val="-6"/>
                <w:kern w:val="21"/>
                <w:sz w:val="21"/>
                <w:szCs w:val="21"/>
              </w:rPr>
              <w:fldChar w:fldCharType="end"/>
            </w:r>
          </w:p>
        </w:tc>
        <w:tc>
          <w:tcPr>
            <w:tcW w:w="1559" w:type="dxa"/>
            <w:noWrap w:val="0"/>
            <w:tcMar>
              <w:left w:w="28" w:type="dxa"/>
              <w:right w:w="28" w:type="dxa"/>
            </w:tcMar>
            <w:vAlign w:val="center"/>
          </w:tcPr>
          <w:p w14:paraId="3AB43681">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hint="eastAsia"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本项目</w:t>
            </w:r>
          </w:p>
          <w:p w14:paraId="73946F77">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排放量（固</w:t>
            </w:r>
            <w:r>
              <w:rPr>
                <w:rFonts w:hint="eastAsia" w:ascii="黑体" w:hAnsi="黑体" w:eastAsia="黑体"/>
                <w:snapToGrid w:val="0"/>
                <w:color w:val="auto"/>
                <w:spacing w:val="-6"/>
                <w:kern w:val="21"/>
                <w:sz w:val="21"/>
                <w:szCs w:val="21"/>
              </w:rPr>
              <w:t>体</w:t>
            </w:r>
            <w:r>
              <w:rPr>
                <w:rFonts w:ascii="黑体" w:hAnsi="黑体" w:eastAsia="黑体"/>
                <w:snapToGrid w:val="0"/>
                <w:color w:val="auto"/>
                <w:spacing w:val="-6"/>
                <w:kern w:val="21"/>
                <w:sz w:val="21"/>
                <w:szCs w:val="21"/>
              </w:rPr>
              <w:t>废</w:t>
            </w:r>
            <w:r>
              <w:rPr>
                <w:rFonts w:hint="eastAsia" w:ascii="黑体" w:hAnsi="黑体" w:eastAsia="黑体"/>
                <w:snapToGrid w:val="0"/>
                <w:color w:val="auto"/>
                <w:spacing w:val="-6"/>
                <w:kern w:val="21"/>
                <w:sz w:val="21"/>
                <w:szCs w:val="21"/>
              </w:rPr>
              <w:t>物</w:t>
            </w:r>
            <w:r>
              <w:rPr>
                <w:rFonts w:ascii="黑体" w:hAnsi="黑体" w:eastAsia="黑体"/>
                <w:snapToGrid w:val="0"/>
                <w:color w:val="auto"/>
                <w:spacing w:val="-6"/>
                <w:kern w:val="21"/>
                <w:sz w:val="21"/>
                <w:szCs w:val="21"/>
              </w:rPr>
              <w:t>产生量）</w:t>
            </w: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4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④</w:t>
            </w:r>
            <w:r>
              <w:rPr>
                <w:rFonts w:ascii="黑体" w:hAnsi="黑体" w:eastAsia="黑体"/>
                <w:snapToGrid w:val="0"/>
                <w:color w:val="auto"/>
                <w:spacing w:val="-6"/>
                <w:kern w:val="21"/>
                <w:sz w:val="21"/>
                <w:szCs w:val="21"/>
              </w:rPr>
              <w:fldChar w:fldCharType="end"/>
            </w:r>
          </w:p>
        </w:tc>
        <w:tc>
          <w:tcPr>
            <w:tcW w:w="1594" w:type="dxa"/>
            <w:noWrap w:val="0"/>
            <w:tcMar>
              <w:left w:w="28" w:type="dxa"/>
              <w:right w:w="28" w:type="dxa"/>
            </w:tcMar>
            <w:vAlign w:val="center"/>
          </w:tcPr>
          <w:p w14:paraId="354A75C6">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hint="eastAsia" w:ascii="黑体" w:hAnsi="黑体" w:eastAsia="黑体"/>
                <w:snapToGrid w:val="0"/>
                <w:color w:val="auto"/>
                <w:spacing w:val="-16"/>
                <w:kern w:val="21"/>
                <w:sz w:val="21"/>
                <w:szCs w:val="21"/>
              </w:rPr>
            </w:pPr>
            <w:r>
              <w:rPr>
                <w:rFonts w:ascii="黑体" w:hAnsi="黑体" w:eastAsia="黑体"/>
                <w:snapToGrid w:val="0"/>
                <w:color w:val="auto"/>
                <w:spacing w:val="-16"/>
                <w:kern w:val="21"/>
                <w:sz w:val="21"/>
                <w:szCs w:val="21"/>
              </w:rPr>
              <w:t>以新带老削减量</w:t>
            </w:r>
          </w:p>
          <w:p w14:paraId="00FE027D">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16"/>
                <w:kern w:val="21"/>
                <w:sz w:val="21"/>
                <w:szCs w:val="21"/>
              </w:rPr>
            </w:pPr>
            <w:r>
              <w:rPr>
                <w:rFonts w:ascii="黑体" w:hAnsi="黑体" w:eastAsia="黑体"/>
                <w:snapToGrid w:val="0"/>
                <w:color w:val="auto"/>
                <w:spacing w:val="-16"/>
                <w:kern w:val="21"/>
                <w:sz w:val="21"/>
                <w:szCs w:val="21"/>
              </w:rPr>
              <w:t>（新建项目不填）</w:t>
            </w:r>
            <w:r>
              <w:rPr>
                <w:rFonts w:ascii="黑体" w:hAnsi="黑体" w:eastAsia="黑体"/>
                <w:snapToGrid w:val="0"/>
                <w:color w:val="auto"/>
                <w:spacing w:val="-16"/>
                <w:kern w:val="21"/>
                <w:sz w:val="21"/>
                <w:szCs w:val="21"/>
              </w:rPr>
              <w:fldChar w:fldCharType="begin"/>
            </w:r>
            <w:r>
              <w:rPr>
                <w:rFonts w:ascii="黑体" w:hAnsi="黑体" w:eastAsia="黑体"/>
                <w:snapToGrid w:val="0"/>
                <w:color w:val="auto"/>
                <w:spacing w:val="-16"/>
                <w:kern w:val="21"/>
                <w:sz w:val="21"/>
                <w:szCs w:val="21"/>
              </w:rPr>
              <w:instrText xml:space="preserve"> = 5 \* GB3 \* MERGEFORMAT </w:instrText>
            </w:r>
            <w:r>
              <w:rPr>
                <w:rFonts w:ascii="黑体" w:hAnsi="黑体" w:eastAsia="黑体"/>
                <w:snapToGrid w:val="0"/>
                <w:color w:val="auto"/>
                <w:spacing w:val="-16"/>
                <w:kern w:val="21"/>
                <w:sz w:val="21"/>
                <w:szCs w:val="21"/>
              </w:rPr>
              <w:fldChar w:fldCharType="separate"/>
            </w:r>
            <w:r>
              <w:rPr>
                <w:rFonts w:hint="eastAsia" w:ascii="黑体" w:hAnsi="黑体" w:eastAsia="黑体" w:cs="宋体"/>
                <w:color w:val="auto"/>
                <w:kern w:val="2"/>
                <w:sz w:val="21"/>
                <w:szCs w:val="21"/>
              </w:rPr>
              <w:t>⑤</w:t>
            </w:r>
            <w:r>
              <w:rPr>
                <w:rFonts w:ascii="黑体" w:hAnsi="黑体" w:eastAsia="黑体"/>
                <w:snapToGrid w:val="0"/>
                <w:color w:val="auto"/>
                <w:spacing w:val="-16"/>
                <w:kern w:val="21"/>
                <w:sz w:val="21"/>
                <w:szCs w:val="21"/>
              </w:rPr>
              <w:fldChar w:fldCharType="end"/>
            </w:r>
          </w:p>
        </w:tc>
        <w:tc>
          <w:tcPr>
            <w:tcW w:w="1773" w:type="dxa"/>
            <w:noWrap w:val="0"/>
            <w:tcMar>
              <w:left w:w="28" w:type="dxa"/>
              <w:right w:w="28" w:type="dxa"/>
            </w:tcMar>
            <w:vAlign w:val="center"/>
          </w:tcPr>
          <w:p w14:paraId="09C43632">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hint="eastAsia" w:ascii="黑体" w:hAnsi="黑体" w:eastAsia="黑体"/>
                <w:snapToGrid w:val="0"/>
                <w:color w:val="auto"/>
                <w:spacing w:val="-16"/>
                <w:kern w:val="21"/>
                <w:sz w:val="21"/>
                <w:szCs w:val="21"/>
              </w:rPr>
            </w:pPr>
            <w:r>
              <w:rPr>
                <w:rFonts w:ascii="黑体" w:hAnsi="黑体" w:eastAsia="黑体"/>
                <w:snapToGrid w:val="0"/>
                <w:color w:val="auto"/>
                <w:spacing w:val="-16"/>
                <w:kern w:val="21"/>
                <w:sz w:val="21"/>
                <w:szCs w:val="21"/>
              </w:rPr>
              <w:t>本项目建成后</w:t>
            </w:r>
          </w:p>
          <w:p w14:paraId="64FAD252">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16"/>
                <w:kern w:val="21"/>
                <w:sz w:val="21"/>
                <w:szCs w:val="21"/>
              </w:rPr>
            </w:pPr>
            <w:r>
              <w:rPr>
                <w:rFonts w:hint="eastAsia" w:ascii="黑体" w:hAnsi="黑体" w:eastAsia="黑体"/>
                <w:snapToGrid w:val="0"/>
                <w:color w:val="auto"/>
                <w:spacing w:val="-16"/>
                <w:kern w:val="21"/>
                <w:sz w:val="21"/>
                <w:szCs w:val="21"/>
              </w:rPr>
              <w:t>全厂</w:t>
            </w:r>
            <w:r>
              <w:rPr>
                <w:rFonts w:ascii="黑体" w:hAnsi="黑体" w:eastAsia="黑体"/>
                <w:snapToGrid w:val="0"/>
                <w:color w:val="auto"/>
                <w:spacing w:val="-16"/>
                <w:kern w:val="21"/>
                <w:sz w:val="21"/>
                <w:szCs w:val="21"/>
              </w:rPr>
              <w:t>排放量（固</w:t>
            </w:r>
            <w:r>
              <w:rPr>
                <w:rFonts w:hint="eastAsia" w:ascii="黑体" w:hAnsi="黑体" w:eastAsia="黑体"/>
                <w:snapToGrid w:val="0"/>
                <w:color w:val="auto"/>
                <w:spacing w:val="-16"/>
                <w:kern w:val="21"/>
                <w:sz w:val="21"/>
                <w:szCs w:val="21"/>
              </w:rPr>
              <w:t>体</w:t>
            </w:r>
            <w:r>
              <w:rPr>
                <w:rFonts w:ascii="黑体" w:hAnsi="黑体" w:eastAsia="黑体"/>
                <w:snapToGrid w:val="0"/>
                <w:color w:val="auto"/>
                <w:spacing w:val="-16"/>
                <w:kern w:val="21"/>
                <w:sz w:val="21"/>
                <w:szCs w:val="21"/>
              </w:rPr>
              <w:t>废</w:t>
            </w:r>
            <w:r>
              <w:rPr>
                <w:rFonts w:hint="eastAsia" w:ascii="黑体" w:hAnsi="黑体" w:eastAsia="黑体"/>
                <w:snapToGrid w:val="0"/>
                <w:color w:val="auto"/>
                <w:spacing w:val="-16"/>
                <w:kern w:val="21"/>
                <w:sz w:val="21"/>
                <w:szCs w:val="21"/>
              </w:rPr>
              <w:t>物</w:t>
            </w:r>
            <w:r>
              <w:rPr>
                <w:rFonts w:ascii="黑体" w:hAnsi="黑体" w:eastAsia="黑体"/>
                <w:snapToGrid w:val="0"/>
                <w:color w:val="auto"/>
                <w:spacing w:val="-16"/>
                <w:kern w:val="21"/>
                <w:sz w:val="21"/>
                <w:szCs w:val="21"/>
              </w:rPr>
              <w:t>产生量）</w:t>
            </w:r>
            <w:r>
              <w:rPr>
                <w:rFonts w:ascii="黑体" w:hAnsi="黑体" w:eastAsia="黑体"/>
                <w:snapToGrid w:val="0"/>
                <w:color w:val="auto"/>
                <w:spacing w:val="-16"/>
                <w:kern w:val="21"/>
                <w:sz w:val="21"/>
                <w:szCs w:val="21"/>
              </w:rPr>
              <w:fldChar w:fldCharType="begin"/>
            </w:r>
            <w:r>
              <w:rPr>
                <w:rFonts w:ascii="黑体" w:hAnsi="黑体" w:eastAsia="黑体"/>
                <w:snapToGrid w:val="0"/>
                <w:color w:val="auto"/>
                <w:spacing w:val="-16"/>
                <w:kern w:val="21"/>
                <w:sz w:val="21"/>
                <w:szCs w:val="21"/>
              </w:rPr>
              <w:instrText xml:space="preserve"> = 6 \* GB3 \* MERGEFORMAT </w:instrText>
            </w:r>
            <w:r>
              <w:rPr>
                <w:rFonts w:ascii="黑体" w:hAnsi="黑体" w:eastAsia="黑体"/>
                <w:snapToGrid w:val="0"/>
                <w:color w:val="auto"/>
                <w:spacing w:val="-16"/>
                <w:kern w:val="21"/>
                <w:sz w:val="21"/>
                <w:szCs w:val="21"/>
              </w:rPr>
              <w:fldChar w:fldCharType="separate"/>
            </w:r>
            <w:r>
              <w:rPr>
                <w:rFonts w:hint="eastAsia" w:ascii="黑体" w:hAnsi="黑体" w:eastAsia="黑体" w:cs="宋体"/>
                <w:color w:val="auto"/>
                <w:kern w:val="2"/>
                <w:sz w:val="21"/>
                <w:szCs w:val="21"/>
              </w:rPr>
              <w:t>⑥</w:t>
            </w:r>
            <w:r>
              <w:rPr>
                <w:rFonts w:ascii="黑体" w:hAnsi="黑体" w:eastAsia="黑体"/>
                <w:snapToGrid w:val="0"/>
                <w:color w:val="auto"/>
                <w:spacing w:val="-16"/>
                <w:kern w:val="21"/>
                <w:sz w:val="21"/>
                <w:szCs w:val="21"/>
              </w:rPr>
              <w:fldChar w:fldCharType="end"/>
            </w:r>
          </w:p>
        </w:tc>
        <w:tc>
          <w:tcPr>
            <w:tcW w:w="1179" w:type="dxa"/>
            <w:noWrap w:val="0"/>
            <w:tcMar>
              <w:left w:w="28" w:type="dxa"/>
              <w:right w:w="28" w:type="dxa"/>
            </w:tcMar>
            <w:vAlign w:val="center"/>
          </w:tcPr>
          <w:p w14:paraId="50C8FDCE">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t>变化量</w:t>
            </w:r>
          </w:p>
          <w:p w14:paraId="2CF0D2EF">
            <w:pPr>
              <w:pStyle w:val="41"/>
              <w:keepNext w:val="0"/>
              <w:keepLines w:val="0"/>
              <w:pageBreakBefore w:val="0"/>
              <w:widowControl/>
              <w:kinsoku/>
              <w:wordWrap/>
              <w:overflowPunct/>
              <w:topLinePunct w:val="0"/>
              <w:autoSpaceDE/>
              <w:autoSpaceDN/>
              <w:bidi w:val="0"/>
              <w:adjustRightInd w:val="0"/>
              <w:snapToGrid w:val="0"/>
              <w:spacing w:before="0" w:beforeLines="0" w:beforeAutospacing="0" w:after="0" w:afterLines="0" w:afterAutospacing="0" w:line="240" w:lineRule="auto"/>
              <w:textAlignment w:val="auto"/>
              <w:rPr>
                <w:rFonts w:ascii="黑体" w:hAnsi="黑体" w:eastAsia="黑体"/>
                <w:snapToGrid w:val="0"/>
                <w:color w:val="auto"/>
                <w:spacing w:val="-6"/>
                <w:kern w:val="21"/>
                <w:sz w:val="21"/>
                <w:szCs w:val="21"/>
              </w:rPr>
            </w:pPr>
            <w:r>
              <w:rPr>
                <w:rFonts w:ascii="黑体" w:hAnsi="黑体" w:eastAsia="黑体"/>
                <w:snapToGrid w:val="0"/>
                <w:color w:val="auto"/>
                <w:spacing w:val="-6"/>
                <w:kern w:val="21"/>
                <w:sz w:val="21"/>
                <w:szCs w:val="21"/>
              </w:rPr>
              <w:fldChar w:fldCharType="begin"/>
            </w:r>
            <w:r>
              <w:rPr>
                <w:rFonts w:ascii="黑体" w:hAnsi="黑体" w:eastAsia="黑体"/>
                <w:snapToGrid w:val="0"/>
                <w:color w:val="auto"/>
                <w:spacing w:val="-6"/>
                <w:kern w:val="21"/>
                <w:sz w:val="21"/>
                <w:szCs w:val="21"/>
              </w:rPr>
              <w:instrText xml:space="preserve"> = 7 \* GB3 \* MERGEFORMAT </w:instrText>
            </w:r>
            <w:r>
              <w:rPr>
                <w:rFonts w:ascii="黑体" w:hAnsi="黑体" w:eastAsia="黑体"/>
                <w:snapToGrid w:val="0"/>
                <w:color w:val="auto"/>
                <w:spacing w:val="-6"/>
                <w:kern w:val="21"/>
                <w:sz w:val="21"/>
                <w:szCs w:val="21"/>
              </w:rPr>
              <w:fldChar w:fldCharType="separate"/>
            </w:r>
            <w:r>
              <w:rPr>
                <w:rFonts w:hint="eastAsia" w:ascii="黑体" w:hAnsi="黑体" w:eastAsia="黑体" w:cs="宋体"/>
                <w:color w:val="auto"/>
                <w:kern w:val="2"/>
                <w:sz w:val="21"/>
                <w:szCs w:val="21"/>
              </w:rPr>
              <w:t>⑦</w:t>
            </w:r>
            <w:r>
              <w:rPr>
                <w:rFonts w:ascii="黑体" w:hAnsi="黑体" w:eastAsia="黑体"/>
                <w:snapToGrid w:val="0"/>
                <w:color w:val="auto"/>
                <w:spacing w:val="-6"/>
                <w:kern w:val="21"/>
                <w:sz w:val="21"/>
                <w:szCs w:val="21"/>
              </w:rPr>
              <w:fldChar w:fldCharType="end"/>
            </w:r>
          </w:p>
        </w:tc>
      </w:tr>
      <w:tr w14:paraId="6B56F0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restart"/>
            <w:noWrap w:val="0"/>
            <w:vAlign w:val="center"/>
          </w:tcPr>
          <w:p w14:paraId="24B31A9F">
            <w:pPr>
              <w:pStyle w:val="41"/>
              <w:spacing w:beforeLines="0" w:afterLines="0" w:line="240" w:lineRule="auto"/>
              <w:rPr>
                <w:rFonts w:hint="eastAsia" w:hAnsi="宋体" w:cs="宋体"/>
                <w:snapToGrid w:val="0"/>
                <w:color w:val="auto"/>
                <w:kern w:val="21"/>
                <w:sz w:val="21"/>
                <w:szCs w:val="21"/>
              </w:rPr>
            </w:pPr>
            <w:r>
              <w:rPr>
                <w:rFonts w:hint="eastAsia" w:hAnsi="宋体" w:cs="宋体"/>
                <w:snapToGrid w:val="0"/>
                <w:color w:val="auto"/>
                <w:kern w:val="21"/>
                <w:sz w:val="21"/>
                <w:szCs w:val="21"/>
              </w:rPr>
              <w:t>废气</w:t>
            </w:r>
          </w:p>
        </w:tc>
        <w:tc>
          <w:tcPr>
            <w:tcW w:w="1516" w:type="dxa"/>
            <w:noWrap w:val="0"/>
            <w:vAlign w:val="center"/>
          </w:tcPr>
          <w:p w14:paraId="0111C641">
            <w:pPr>
              <w:pStyle w:val="41"/>
              <w:spacing w:beforeLines="0" w:afterLines="0" w:line="240" w:lineRule="auto"/>
              <w:rPr>
                <w:rFonts w:hint="eastAsia" w:hAnsi="宋体" w:eastAsia="宋体" w:cs="宋体"/>
                <w:snapToGrid w:val="0"/>
                <w:color w:val="auto"/>
                <w:kern w:val="21"/>
                <w:sz w:val="21"/>
                <w:szCs w:val="21"/>
                <w:lang w:val="en-US" w:eastAsia="zh-CN"/>
              </w:rPr>
            </w:pPr>
            <w:r>
              <w:rPr>
                <w:rFonts w:hint="eastAsia" w:cs="宋体"/>
                <w:snapToGrid w:val="0"/>
                <w:color w:val="auto"/>
                <w:kern w:val="21"/>
                <w:sz w:val="21"/>
                <w:szCs w:val="21"/>
                <w:lang w:val="en-US" w:eastAsia="zh-CN"/>
              </w:rPr>
              <w:t>颗粒物</w:t>
            </w:r>
          </w:p>
        </w:tc>
        <w:tc>
          <w:tcPr>
            <w:tcW w:w="1602" w:type="dxa"/>
            <w:noWrap w:val="0"/>
            <w:vAlign w:val="center"/>
          </w:tcPr>
          <w:p w14:paraId="20200A89">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3BD4660C">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7AACD7EF">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6AD70192">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1.187</w:t>
            </w:r>
            <w:r>
              <w:rPr>
                <w:rFonts w:ascii="Times New Roman" w:hAnsi="Times New Roman"/>
                <w:snapToGrid w:val="0"/>
                <w:color w:val="auto"/>
                <w:kern w:val="21"/>
                <w:sz w:val="21"/>
                <w:szCs w:val="21"/>
                <w:highlight w:val="none"/>
              </w:rPr>
              <w:t>t/a</w:t>
            </w:r>
          </w:p>
        </w:tc>
        <w:tc>
          <w:tcPr>
            <w:tcW w:w="1594" w:type="dxa"/>
            <w:noWrap w:val="0"/>
            <w:vAlign w:val="center"/>
          </w:tcPr>
          <w:p w14:paraId="0A00331F">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2D107915">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1.187</w:t>
            </w:r>
            <w:r>
              <w:rPr>
                <w:rFonts w:ascii="Times New Roman" w:hAnsi="Times New Roman"/>
                <w:snapToGrid w:val="0"/>
                <w:color w:val="auto"/>
                <w:kern w:val="21"/>
                <w:sz w:val="21"/>
                <w:szCs w:val="21"/>
                <w:highlight w:val="none"/>
              </w:rPr>
              <w:t>t/a</w:t>
            </w:r>
          </w:p>
        </w:tc>
        <w:tc>
          <w:tcPr>
            <w:tcW w:w="1179" w:type="dxa"/>
            <w:noWrap w:val="0"/>
            <w:vAlign w:val="center"/>
          </w:tcPr>
          <w:p w14:paraId="473C6376">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+1.187</w:t>
            </w:r>
            <w:r>
              <w:rPr>
                <w:rFonts w:ascii="Times New Roman" w:hAnsi="Times New Roman"/>
                <w:snapToGrid w:val="0"/>
                <w:color w:val="auto"/>
                <w:kern w:val="21"/>
                <w:sz w:val="21"/>
                <w:szCs w:val="21"/>
                <w:highlight w:val="none"/>
              </w:rPr>
              <w:t>t/a</w:t>
            </w:r>
          </w:p>
        </w:tc>
      </w:tr>
      <w:tr w14:paraId="617186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770BF3D0">
            <w:pPr>
              <w:pStyle w:val="41"/>
              <w:spacing w:beforeLines="0" w:afterLines="0" w:line="240" w:lineRule="auto"/>
              <w:rPr>
                <w:rFonts w:hint="eastAsia" w:hAnsi="宋体" w:cs="宋体"/>
                <w:snapToGrid w:val="0"/>
                <w:color w:val="auto"/>
                <w:kern w:val="21"/>
                <w:sz w:val="21"/>
                <w:szCs w:val="21"/>
              </w:rPr>
            </w:pPr>
          </w:p>
        </w:tc>
        <w:tc>
          <w:tcPr>
            <w:tcW w:w="1516" w:type="dxa"/>
            <w:noWrap w:val="0"/>
            <w:vAlign w:val="center"/>
          </w:tcPr>
          <w:p w14:paraId="24CA698C">
            <w:pPr>
              <w:pStyle w:val="41"/>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SO</w:t>
            </w:r>
            <w:r>
              <w:rPr>
                <w:rFonts w:hint="default" w:ascii="Times New Roman" w:hAnsi="Times New Roman" w:cs="Times New Roman"/>
                <w:snapToGrid w:val="0"/>
                <w:color w:val="auto"/>
                <w:kern w:val="21"/>
                <w:sz w:val="21"/>
                <w:szCs w:val="21"/>
                <w:vertAlign w:val="subscript"/>
                <w:lang w:val="en-US" w:eastAsia="zh-CN"/>
              </w:rPr>
              <w:t>2</w:t>
            </w:r>
          </w:p>
        </w:tc>
        <w:tc>
          <w:tcPr>
            <w:tcW w:w="1602" w:type="dxa"/>
            <w:noWrap w:val="0"/>
            <w:vAlign w:val="center"/>
          </w:tcPr>
          <w:p w14:paraId="0EBF9EF5">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4FC2BEEF">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6C4DAF14">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3B296753">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0.024</w:t>
            </w:r>
            <w:r>
              <w:rPr>
                <w:rFonts w:ascii="Times New Roman" w:hAnsi="Times New Roman"/>
                <w:snapToGrid w:val="0"/>
                <w:color w:val="auto"/>
                <w:kern w:val="21"/>
                <w:sz w:val="21"/>
                <w:szCs w:val="21"/>
                <w:highlight w:val="none"/>
              </w:rPr>
              <w:t>t/a</w:t>
            </w:r>
          </w:p>
        </w:tc>
        <w:tc>
          <w:tcPr>
            <w:tcW w:w="1594" w:type="dxa"/>
            <w:noWrap w:val="0"/>
            <w:vAlign w:val="center"/>
          </w:tcPr>
          <w:p w14:paraId="3084DFD2">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03124774">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0.024</w:t>
            </w:r>
            <w:r>
              <w:rPr>
                <w:rFonts w:ascii="Times New Roman" w:hAnsi="Times New Roman"/>
                <w:snapToGrid w:val="0"/>
                <w:color w:val="auto"/>
                <w:kern w:val="21"/>
                <w:sz w:val="21"/>
                <w:szCs w:val="21"/>
                <w:highlight w:val="none"/>
              </w:rPr>
              <w:t>t/a</w:t>
            </w:r>
          </w:p>
        </w:tc>
        <w:tc>
          <w:tcPr>
            <w:tcW w:w="1179" w:type="dxa"/>
            <w:noWrap w:val="0"/>
            <w:vAlign w:val="center"/>
          </w:tcPr>
          <w:p w14:paraId="61C4896D">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+0.024</w:t>
            </w:r>
            <w:r>
              <w:rPr>
                <w:rFonts w:ascii="Times New Roman" w:hAnsi="Times New Roman"/>
                <w:snapToGrid w:val="0"/>
                <w:color w:val="auto"/>
                <w:kern w:val="21"/>
                <w:sz w:val="21"/>
                <w:szCs w:val="21"/>
                <w:highlight w:val="none"/>
              </w:rPr>
              <w:t>t/a</w:t>
            </w:r>
          </w:p>
        </w:tc>
      </w:tr>
      <w:tr w14:paraId="02C72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3A025F1B">
            <w:pPr>
              <w:pStyle w:val="41"/>
              <w:spacing w:beforeLines="0" w:afterLines="0" w:line="240" w:lineRule="auto"/>
              <w:rPr>
                <w:rFonts w:hint="eastAsia" w:hAnsi="宋体" w:cs="宋体"/>
                <w:snapToGrid w:val="0"/>
                <w:color w:val="auto"/>
                <w:kern w:val="21"/>
                <w:sz w:val="21"/>
                <w:szCs w:val="21"/>
              </w:rPr>
            </w:pPr>
          </w:p>
        </w:tc>
        <w:tc>
          <w:tcPr>
            <w:tcW w:w="1516" w:type="dxa"/>
            <w:noWrap w:val="0"/>
            <w:vAlign w:val="center"/>
          </w:tcPr>
          <w:p w14:paraId="2CAB30DF">
            <w:pPr>
              <w:pStyle w:val="41"/>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NO</w:t>
            </w:r>
            <w:r>
              <w:rPr>
                <w:rFonts w:hint="default" w:ascii="Times New Roman" w:hAnsi="Times New Roman" w:cs="Times New Roman"/>
                <w:snapToGrid w:val="0"/>
                <w:color w:val="auto"/>
                <w:kern w:val="21"/>
                <w:sz w:val="21"/>
                <w:szCs w:val="21"/>
                <w:vertAlign w:val="subscript"/>
                <w:lang w:val="en-US" w:eastAsia="zh-CN"/>
              </w:rPr>
              <w:t>X</w:t>
            </w:r>
          </w:p>
        </w:tc>
        <w:tc>
          <w:tcPr>
            <w:tcW w:w="1602" w:type="dxa"/>
            <w:noWrap w:val="0"/>
            <w:vAlign w:val="center"/>
          </w:tcPr>
          <w:p w14:paraId="670B5AD0">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53850D55">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103D0A3E">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3BD725E1">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0.139</w:t>
            </w:r>
            <w:r>
              <w:rPr>
                <w:rFonts w:ascii="Times New Roman" w:hAnsi="Times New Roman"/>
                <w:snapToGrid w:val="0"/>
                <w:color w:val="auto"/>
                <w:kern w:val="21"/>
                <w:sz w:val="21"/>
                <w:szCs w:val="21"/>
                <w:highlight w:val="none"/>
              </w:rPr>
              <w:t>t/a</w:t>
            </w:r>
          </w:p>
        </w:tc>
        <w:tc>
          <w:tcPr>
            <w:tcW w:w="1594" w:type="dxa"/>
            <w:noWrap w:val="0"/>
            <w:vAlign w:val="center"/>
          </w:tcPr>
          <w:p w14:paraId="55A7F1E3">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67877635">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0.139</w:t>
            </w:r>
            <w:r>
              <w:rPr>
                <w:rFonts w:ascii="Times New Roman" w:hAnsi="Times New Roman"/>
                <w:snapToGrid w:val="0"/>
                <w:color w:val="auto"/>
                <w:kern w:val="21"/>
                <w:sz w:val="21"/>
                <w:szCs w:val="21"/>
                <w:highlight w:val="none"/>
              </w:rPr>
              <w:t>t/a</w:t>
            </w:r>
          </w:p>
        </w:tc>
        <w:tc>
          <w:tcPr>
            <w:tcW w:w="1179" w:type="dxa"/>
            <w:noWrap w:val="0"/>
            <w:vAlign w:val="center"/>
          </w:tcPr>
          <w:p w14:paraId="778DEC0E">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+0.139</w:t>
            </w:r>
            <w:r>
              <w:rPr>
                <w:rFonts w:ascii="Times New Roman" w:hAnsi="Times New Roman"/>
                <w:snapToGrid w:val="0"/>
                <w:color w:val="auto"/>
                <w:kern w:val="21"/>
                <w:sz w:val="21"/>
                <w:szCs w:val="21"/>
                <w:highlight w:val="none"/>
              </w:rPr>
              <w:t>t/a</w:t>
            </w:r>
          </w:p>
        </w:tc>
      </w:tr>
      <w:tr w14:paraId="291E16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2199228D">
            <w:pPr>
              <w:pStyle w:val="41"/>
              <w:spacing w:beforeLines="0" w:afterLines="0" w:line="240" w:lineRule="auto"/>
              <w:rPr>
                <w:rFonts w:hint="eastAsia" w:hAnsi="宋体" w:cs="宋体"/>
                <w:snapToGrid w:val="0"/>
                <w:color w:val="auto"/>
                <w:kern w:val="21"/>
                <w:sz w:val="21"/>
                <w:szCs w:val="21"/>
              </w:rPr>
            </w:pPr>
          </w:p>
        </w:tc>
        <w:tc>
          <w:tcPr>
            <w:tcW w:w="1516" w:type="dxa"/>
            <w:noWrap w:val="0"/>
            <w:vAlign w:val="center"/>
          </w:tcPr>
          <w:p w14:paraId="265458AB">
            <w:pPr>
              <w:pStyle w:val="41"/>
              <w:spacing w:beforeLines="0" w:afterLines="0" w:line="240" w:lineRule="auto"/>
              <w:rPr>
                <w:rFonts w:hint="eastAsia" w:hAnsi="宋体" w:eastAsia="宋体" w:cs="宋体"/>
                <w:snapToGrid w:val="0"/>
                <w:color w:val="auto"/>
                <w:kern w:val="21"/>
                <w:sz w:val="21"/>
                <w:szCs w:val="21"/>
                <w:lang w:val="en-US" w:eastAsia="zh-CN"/>
              </w:rPr>
            </w:pPr>
            <w:r>
              <w:rPr>
                <w:rFonts w:hint="eastAsia" w:cs="宋体"/>
                <w:snapToGrid w:val="0"/>
                <w:color w:val="auto"/>
                <w:kern w:val="21"/>
                <w:sz w:val="21"/>
                <w:szCs w:val="21"/>
                <w:lang w:val="en-US" w:eastAsia="zh-CN"/>
              </w:rPr>
              <w:t>食堂油烟</w:t>
            </w:r>
          </w:p>
        </w:tc>
        <w:tc>
          <w:tcPr>
            <w:tcW w:w="1602" w:type="dxa"/>
            <w:noWrap w:val="0"/>
            <w:vAlign w:val="center"/>
          </w:tcPr>
          <w:p w14:paraId="479BFA5F">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3981F0E3">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429803A8">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388AF4BC">
            <w:pPr>
              <w:pStyle w:val="41"/>
              <w:spacing w:beforeLines="0" w:afterLines="0" w:line="240" w:lineRule="auto"/>
              <w:rPr>
                <w:rFonts w:hAnsi="宋体" w:cs="宋体"/>
                <w:snapToGrid w:val="0"/>
                <w:color w:val="auto"/>
                <w:kern w:val="21"/>
                <w:sz w:val="21"/>
                <w:szCs w:val="21"/>
              </w:rPr>
            </w:pPr>
            <w:r>
              <w:rPr>
                <w:rFonts w:ascii="Times New Roman" w:hAnsi="Times New Roman"/>
                <w:snapToGrid w:val="0"/>
                <w:color w:val="auto"/>
                <w:kern w:val="21"/>
                <w:sz w:val="21"/>
                <w:szCs w:val="21"/>
                <w:highlight w:val="none"/>
              </w:rPr>
              <w:t>0.0</w:t>
            </w:r>
            <w:r>
              <w:rPr>
                <w:rFonts w:hint="eastAsia" w:ascii="Times New Roman" w:hAnsi="Times New Roman"/>
                <w:snapToGrid w:val="0"/>
                <w:color w:val="auto"/>
                <w:kern w:val="21"/>
                <w:sz w:val="21"/>
                <w:szCs w:val="21"/>
                <w:highlight w:val="none"/>
                <w:lang w:val="en-US" w:eastAsia="zh-CN"/>
              </w:rPr>
              <w:t>086</w:t>
            </w:r>
            <w:r>
              <w:rPr>
                <w:rFonts w:ascii="Times New Roman" w:hAnsi="Times New Roman"/>
                <w:snapToGrid w:val="0"/>
                <w:color w:val="auto"/>
                <w:kern w:val="21"/>
                <w:sz w:val="21"/>
                <w:szCs w:val="21"/>
                <w:highlight w:val="none"/>
              </w:rPr>
              <w:t>t/a</w:t>
            </w:r>
          </w:p>
        </w:tc>
        <w:tc>
          <w:tcPr>
            <w:tcW w:w="1594" w:type="dxa"/>
            <w:noWrap w:val="0"/>
            <w:vAlign w:val="center"/>
          </w:tcPr>
          <w:p w14:paraId="64D38DC7">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47761909">
            <w:pPr>
              <w:pStyle w:val="41"/>
              <w:spacing w:beforeLines="0" w:afterLines="0" w:line="240" w:lineRule="auto"/>
              <w:rPr>
                <w:rFonts w:ascii="宋体" w:hAnsi="宋体" w:cs="宋体"/>
                <w:snapToGrid w:val="0"/>
                <w:color w:val="auto"/>
                <w:kern w:val="21"/>
                <w:sz w:val="21"/>
                <w:szCs w:val="21"/>
                <w:lang w:val="en-US" w:eastAsia="zh-CN" w:bidi="ar-SA"/>
              </w:rPr>
            </w:pPr>
            <w:r>
              <w:rPr>
                <w:rFonts w:ascii="Times New Roman" w:hAnsi="Times New Roman"/>
                <w:snapToGrid w:val="0"/>
                <w:color w:val="auto"/>
                <w:kern w:val="21"/>
                <w:sz w:val="21"/>
                <w:szCs w:val="21"/>
                <w:highlight w:val="none"/>
              </w:rPr>
              <w:t>0.0</w:t>
            </w:r>
            <w:r>
              <w:rPr>
                <w:rFonts w:hint="eastAsia" w:ascii="Times New Roman" w:hAnsi="Times New Roman"/>
                <w:snapToGrid w:val="0"/>
                <w:color w:val="auto"/>
                <w:kern w:val="21"/>
                <w:sz w:val="21"/>
                <w:szCs w:val="21"/>
                <w:highlight w:val="none"/>
                <w:lang w:val="en-US" w:eastAsia="zh-CN"/>
              </w:rPr>
              <w:t>086</w:t>
            </w:r>
            <w:r>
              <w:rPr>
                <w:rFonts w:ascii="Times New Roman" w:hAnsi="Times New Roman"/>
                <w:snapToGrid w:val="0"/>
                <w:color w:val="auto"/>
                <w:kern w:val="21"/>
                <w:sz w:val="21"/>
                <w:szCs w:val="21"/>
                <w:highlight w:val="none"/>
              </w:rPr>
              <w:t>t/a</w:t>
            </w:r>
          </w:p>
        </w:tc>
        <w:tc>
          <w:tcPr>
            <w:tcW w:w="1179" w:type="dxa"/>
            <w:noWrap w:val="0"/>
            <w:vAlign w:val="center"/>
          </w:tcPr>
          <w:p w14:paraId="31CE3461">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w:t>
            </w:r>
            <w:r>
              <w:rPr>
                <w:rFonts w:ascii="Times New Roman" w:hAnsi="Times New Roman"/>
                <w:snapToGrid w:val="0"/>
                <w:color w:val="auto"/>
                <w:kern w:val="21"/>
                <w:sz w:val="21"/>
                <w:szCs w:val="21"/>
                <w:highlight w:val="none"/>
              </w:rPr>
              <w:t>0.0</w:t>
            </w:r>
            <w:r>
              <w:rPr>
                <w:rFonts w:hint="eastAsia" w:ascii="Times New Roman" w:hAnsi="Times New Roman"/>
                <w:snapToGrid w:val="0"/>
                <w:color w:val="auto"/>
                <w:kern w:val="21"/>
                <w:sz w:val="21"/>
                <w:szCs w:val="21"/>
                <w:highlight w:val="none"/>
                <w:lang w:val="en-US" w:eastAsia="zh-CN"/>
              </w:rPr>
              <w:t>086</w:t>
            </w:r>
            <w:r>
              <w:rPr>
                <w:rFonts w:ascii="Times New Roman" w:hAnsi="Times New Roman"/>
                <w:snapToGrid w:val="0"/>
                <w:color w:val="auto"/>
                <w:kern w:val="21"/>
                <w:sz w:val="21"/>
                <w:szCs w:val="21"/>
                <w:highlight w:val="none"/>
              </w:rPr>
              <w:t>t/a</w:t>
            </w:r>
          </w:p>
        </w:tc>
      </w:tr>
      <w:tr w14:paraId="357C69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restart"/>
            <w:noWrap w:val="0"/>
            <w:vAlign w:val="center"/>
          </w:tcPr>
          <w:p w14:paraId="67337C52">
            <w:pPr>
              <w:pStyle w:val="41"/>
              <w:spacing w:beforeLines="0" w:afterLines="0" w:line="240" w:lineRule="auto"/>
              <w:rPr>
                <w:rFonts w:hint="eastAsia" w:hAnsi="宋体" w:cs="宋体"/>
                <w:snapToGrid w:val="0"/>
                <w:color w:val="auto"/>
                <w:kern w:val="21"/>
                <w:sz w:val="21"/>
                <w:szCs w:val="21"/>
              </w:rPr>
            </w:pPr>
            <w:r>
              <w:rPr>
                <w:rFonts w:hint="eastAsia" w:hAnsi="宋体" w:cs="宋体"/>
                <w:snapToGrid w:val="0"/>
                <w:color w:val="auto"/>
                <w:kern w:val="21"/>
                <w:sz w:val="21"/>
                <w:szCs w:val="21"/>
              </w:rPr>
              <w:t>废水</w:t>
            </w:r>
          </w:p>
        </w:tc>
        <w:tc>
          <w:tcPr>
            <w:tcW w:w="1516" w:type="dxa"/>
            <w:noWrap w:val="0"/>
            <w:vAlign w:val="center"/>
          </w:tcPr>
          <w:p w14:paraId="09336104">
            <w:pPr>
              <w:pStyle w:val="41"/>
              <w:spacing w:beforeLines="0" w:afterLines="0" w:line="240" w:lineRule="auto"/>
              <w:jc w:val="center"/>
              <w:rPr>
                <w:rFonts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 w:val="21"/>
                <w:szCs w:val="21"/>
                <w:highlight w:val="none"/>
              </w:rPr>
              <w:t>COD</w:t>
            </w:r>
            <w:r>
              <w:rPr>
                <w:rFonts w:ascii="Times New Roman" w:hAnsi="Times New Roman"/>
                <w:snapToGrid w:val="0"/>
                <w:color w:val="auto"/>
                <w:kern w:val="21"/>
                <w:sz w:val="21"/>
                <w:szCs w:val="21"/>
                <w:highlight w:val="none"/>
                <w:vertAlign w:val="subscript"/>
              </w:rPr>
              <w:t>Cr</w:t>
            </w:r>
          </w:p>
        </w:tc>
        <w:tc>
          <w:tcPr>
            <w:tcW w:w="1602" w:type="dxa"/>
            <w:noWrap w:val="0"/>
            <w:vAlign w:val="center"/>
          </w:tcPr>
          <w:p w14:paraId="6FBD50FC">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5935F593">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2EC6868B">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4FAE1C27">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0.461</w:t>
            </w:r>
            <w:r>
              <w:rPr>
                <w:rFonts w:ascii="Times New Roman" w:hAnsi="Times New Roman"/>
                <w:snapToGrid w:val="0"/>
                <w:color w:val="auto"/>
                <w:kern w:val="21"/>
                <w:sz w:val="21"/>
                <w:szCs w:val="21"/>
                <w:highlight w:val="none"/>
              </w:rPr>
              <w:t>t/a</w:t>
            </w:r>
          </w:p>
        </w:tc>
        <w:tc>
          <w:tcPr>
            <w:tcW w:w="1594" w:type="dxa"/>
            <w:noWrap w:val="0"/>
            <w:vAlign w:val="center"/>
          </w:tcPr>
          <w:p w14:paraId="5FEF0F77">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36185005">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0.461</w:t>
            </w:r>
            <w:r>
              <w:rPr>
                <w:rFonts w:ascii="Times New Roman" w:hAnsi="Times New Roman"/>
                <w:snapToGrid w:val="0"/>
                <w:color w:val="auto"/>
                <w:kern w:val="21"/>
                <w:sz w:val="21"/>
                <w:szCs w:val="21"/>
                <w:highlight w:val="none"/>
              </w:rPr>
              <w:t>t/a</w:t>
            </w:r>
          </w:p>
        </w:tc>
        <w:tc>
          <w:tcPr>
            <w:tcW w:w="1179" w:type="dxa"/>
            <w:noWrap w:val="0"/>
            <w:vAlign w:val="center"/>
          </w:tcPr>
          <w:p w14:paraId="6A3DBA4E">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+0.461</w:t>
            </w:r>
            <w:r>
              <w:rPr>
                <w:rFonts w:ascii="Times New Roman" w:hAnsi="Times New Roman"/>
                <w:snapToGrid w:val="0"/>
                <w:color w:val="auto"/>
                <w:kern w:val="21"/>
                <w:sz w:val="21"/>
                <w:szCs w:val="21"/>
                <w:highlight w:val="none"/>
              </w:rPr>
              <w:t>t/a</w:t>
            </w:r>
          </w:p>
        </w:tc>
      </w:tr>
      <w:tr w14:paraId="679019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63D59E39">
            <w:pPr>
              <w:pStyle w:val="41"/>
              <w:spacing w:beforeLines="0" w:afterLines="0" w:line="240" w:lineRule="auto"/>
              <w:rPr>
                <w:rFonts w:hint="eastAsia" w:hAnsi="宋体" w:cs="宋体"/>
                <w:snapToGrid w:val="0"/>
                <w:color w:val="auto"/>
                <w:kern w:val="21"/>
                <w:sz w:val="21"/>
                <w:szCs w:val="21"/>
              </w:rPr>
            </w:pPr>
          </w:p>
        </w:tc>
        <w:tc>
          <w:tcPr>
            <w:tcW w:w="1516" w:type="dxa"/>
            <w:noWrap w:val="0"/>
            <w:vAlign w:val="center"/>
          </w:tcPr>
          <w:p w14:paraId="7318BF05">
            <w:pPr>
              <w:pStyle w:val="41"/>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 w:val="21"/>
                <w:szCs w:val="21"/>
                <w:highlight w:val="none"/>
              </w:rPr>
              <w:t>BOD</w:t>
            </w:r>
            <w:r>
              <w:rPr>
                <w:rFonts w:ascii="Times New Roman" w:hAnsi="Times New Roman"/>
                <w:snapToGrid w:val="0"/>
                <w:color w:val="auto"/>
                <w:kern w:val="21"/>
                <w:sz w:val="21"/>
                <w:szCs w:val="21"/>
                <w:highlight w:val="none"/>
                <w:vertAlign w:val="subscript"/>
              </w:rPr>
              <w:t>5</w:t>
            </w:r>
          </w:p>
        </w:tc>
        <w:tc>
          <w:tcPr>
            <w:tcW w:w="1602" w:type="dxa"/>
            <w:noWrap w:val="0"/>
            <w:vAlign w:val="center"/>
          </w:tcPr>
          <w:p w14:paraId="60792B53">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5C686BAF">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4D6BAC62">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58A9785F">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0.346</w:t>
            </w:r>
            <w:r>
              <w:rPr>
                <w:rFonts w:ascii="Times New Roman" w:hAnsi="Times New Roman"/>
                <w:snapToGrid w:val="0"/>
                <w:color w:val="auto"/>
                <w:kern w:val="21"/>
                <w:sz w:val="21"/>
                <w:szCs w:val="21"/>
                <w:highlight w:val="none"/>
              </w:rPr>
              <w:t>t/a</w:t>
            </w:r>
          </w:p>
        </w:tc>
        <w:tc>
          <w:tcPr>
            <w:tcW w:w="1594" w:type="dxa"/>
            <w:noWrap w:val="0"/>
            <w:vAlign w:val="center"/>
          </w:tcPr>
          <w:p w14:paraId="219D64E5">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4144C87E">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0.346</w:t>
            </w:r>
            <w:r>
              <w:rPr>
                <w:rFonts w:ascii="Times New Roman" w:hAnsi="Times New Roman"/>
                <w:snapToGrid w:val="0"/>
                <w:color w:val="auto"/>
                <w:kern w:val="21"/>
                <w:sz w:val="21"/>
                <w:szCs w:val="21"/>
                <w:highlight w:val="none"/>
              </w:rPr>
              <w:t>t/a</w:t>
            </w:r>
          </w:p>
        </w:tc>
        <w:tc>
          <w:tcPr>
            <w:tcW w:w="1179" w:type="dxa"/>
            <w:noWrap w:val="0"/>
            <w:vAlign w:val="center"/>
          </w:tcPr>
          <w:p w14:paraId="150D27AA">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+0.346</w:t>
            </w:r>
            <w:r>
              <w:rPr>
                <w:rFonts w:ascii="Times New Roman" w:hAnsi="Times New Roman"/>
                <w:snapToGrid w:val="0"/>
                <w:color w:val="auto"/>
                <w:kern w:val="21"/>
                <w:sz w:val="21"/>
                <w:szCs w:val="21"/>
                <w:highlight w:val="none"/>
              </w:rPr>
              <w:t>t/a</w:t>
            </w:r>
          </w:p>
        </w:tc>
      </w:tr>
      <w:tr w14:paraId="3EDAFC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7839CDBB">
            <w:pPr>
              <w:pStyle w:val="41"/>
              <w:spacing w:beforeLines="0" w:afterLines="0" w:line="240" w:lineRule="auto"/>
              <w:rPr>
                <w:rFonts w:hint="eastAsia" w:hAnsi="宋体" w:cs="宋体"/>
                <w:snapToGrid w:val="0"/>
                <w:color w:val="auto"/>
                <w:kern w:val="21"/>
                <w:sz w:val="21"/>
                <w:szCs w:val="21"/>
              </w:rPr>
            </w:pPr>
          </w:p>
        </w:tc>
        <w:tc>
          <w:tcPr>
            <w:tcW w:w="1516" w:type="dxa"/>
            <w:noWrap w:val="0"/>
            <w:vAlign w:val="center"/>
          </w:tcPr>
          <w:p w14:paraId="65DC7CED">
            <w:pPr>
              <w:pStyle w:val="41"/>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 w:val="21"/>
                <w:szCs w:val="21"/>
                <w:highlight w:val="none"/>
              </w:rPr>
              <w:t>SS</w:t>
            </w:r>
          </w:p>
        </w:tc>
        <w:tc>
          <w:tcPr>
            <w:tcW w:w="1602" w:type="dxa"/>
            <w:noWrap w:val="0"/>
            <w:vAlign w:val="center"/>
          </w:tcPr>
          <w:p w14:paraId="413E1943">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44D7336B">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4BBB7635">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507CB412">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0.346</w:t>
            </w:r>
            <w:r>
              <w:rPr>
                <w:rFonts w:ascii="Times New Roman" w:hAnsi="Times New Roman"/>
                <w:snapToGrid w:val="0"/>
                <w:color w:val="auto"/>
                <w:kern w:val="21"/>
                <w:sz w:val="21"/>
                <w:szCs w:val="21"/>
                <w:highlight w:val="none"/>
              </w:rPr>
              <w:t>t/a</w:t>
            </w:r>
          </w:p>
        </w:tc>
        <w:tc>
          <w:tcPr>
            <w:tcW w:w="1594" w:type="dxa"/>
            <w:noWrap w:val="0"/>
            <w:vAlign w:val="center"/>
          </w:tcPr>
          <w:p w14:paraId="40BB6A01">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230303B6">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0.346</w:t>
            </w:r>
            <w:r>
              <w:rPr>
                <w:rFonts w:ascii="Times New Roman" w:hAnsi="Times New Roman"/>
                <w:snapToGrid w:val="0"/>
                <w:color w:val="auto"/>
                <w:kern w:val="21"/>
                <w:sz w:val="21"/>
                <w:szCs w:val="21"/>
                <w:highlight w:val="none"/>
              </w:rPr>
              <w:t>t/a</w:t>
            </w:r>
          </w:p>
        </w:tc>
        <w:tc>
          <w:tcPr>
            <w:tcW w:w="1179" w:type="dxa"/>
            <w:noWrap w:val="0"/>
            <w:vAlign w:val="center"/>
          </w:tcPr>
          <w:p w14:paraId="57CC4525">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+0.346</w:t>
            </w:r>
            <w:r>
              <w:rPr>
                <w:rFonts w:ascii="Times New Roman" w:hAnsi="Times New Roman"/>
                <w:snapToGrid w:val="0"/>
                <w:color w:val="auto"/>
                <w:kern w:val="21"/>
                <w:sz w:val="21"/>
                <w:szCs w:val="21"/>
                <w:highlight w:val="none"/>
              </w:rPr>
              <w:t>t/a</w:t>
            </w:r>
          </w:p>
        </w:tc>
      </w:tr>
      <w:tr w14:paraId="747EDF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66F57DD2">
            <w:pPr>
              <w:pStyle w:val="41"/>
              <w:spacing w:beforeLines="0" w:afterLines="0" w:line="240" w:lineRule="auto"/>
              <w:rPr>
                <w:rFonts w:hint="eastAsia" w:hAnsi="宋体" w:cs="宋体"/>
                <w:snapToGrid w:val="0"/>
                <w:color w:val="auto"/>
                <w:kern w:val="21"/>
                <w:sz w:val="21"/>
                <w:szCs w:val="21"/>
              </w:rPr>
            </w:pPr>
          </w:p>
        </w:tc>
        <w:tc>
          <w:tcPr>
            <w:tcW w:w="1516" w:type="dxa"/>
            <w:noWrap w:val="0"/>
            <w:vAlign w:val="center"/>
          </w:tcPr>
          <w:p w14:paraId="5BA8CFA1">
            <w:pPr>
              <w:pStyle w:val="41"/>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snapToGrid w:val="0"/>
                <w:color w:val="auto"/>
                <w:kern w:val="21"/>
                <w:sz w:val="21"/>
                <w:szCs w:val="21"/>
                <w:highlight w:val="none"/>
              </w:rPr>
              <w:t>NH</w:t>
            </w:r>
            <w:r>
              <w:rPr>
                <w:rFonts w:ascii="Times New Roman" w:hAnsi="Times New Roman"/>
                <w:snapToGrid w:val="0"/>
                <w:color w:val="auto"/>
                <w:kern w:val="21"/>
                <w:sz w:val="21"/>
                <w:szCs w:val="21"/>
                <w:highlight w:val="none"/>
                <w:vertAlign w:val="subscript"/>
              </w:rPr>
              <w:t>3</w:t>
            </w:r>
            <w:r>
              <w:rPr>
                <w:rFonts w:ascii="Times New Roman" w:hAnsi="Times New Roman"/>
                <w:snapToGrid w:val="0"/>
                <w:color w:val="auto"/>
                <w:kern w:val="21"/>
                <w:sz w:val="21"/>
                <w:szCs w:val="21"/>
                <w:highlight w:val="none"/>
              </w:rPr>
              <w:t>-N</w:t>
            </w:r>
          </w:p>
        </w:tc>
        <w:tc>
          <w:tcPr>
            <w:tcW w:w="1602" w:type="dxa"/>
            <w:noWrap w:val="0"/>
            <w:vAlign w:val="center"/>
          </w:tcPr>
          <w:p w14:paraId="20F86781">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46F545E4">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40421217">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56F6B389">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0.04</w:t>
            </w:r>
            <w:r>
              <w:rPr>
                <w:rFonts w:ascii="Times New Roman" w:hAnsi="Times New Roman"/>
                <w:snapToGrid w:val="0"/>
                <w:color w:val="auto"/>
                <w:kern w:val="21"/>
                <w:sz w:val="21"/>
                <w:szCs w:val="21"/>
                <w:highlight w:val="none"/>
              </w:rPr>
              <w:t>t/a</w:t>
            </w:r>
          </w:p>
        </w:tc>
        <w:tc>
          <w:tcPr>
            <w:tcW w:w="1594" w:type="dxa"/>
            <w:noWrap w:val="0"/>
            <w:vAlign w:val="center"/>
          </w:tcPr>
          <w:p w14:paraId="30A301A1">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471CACFD">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0.04</w:t>
            </w:r>
            <w:r>
              <w:rPr>
                <w:rFonts w:ascii="Times New Roman" w:hAnsi="Times New Roman"/>
                <w:snapToGrid w:val="0"/>
                <w:color w:val="auto"/>
                <w:kern w:val="21"/>
                <w:sz w:val="21"/>
                <w:szCs w:val="21"/>
                <w:highlight w:val="none"/>
              </w:rPr>
              <w:t>t/a</w:t>
            </w:r>
          </w:p>
        </w:tc>
        <w:tc>
          <w:tcPr>
            <w:tcW w:w="1179" w:type="dxa"/>
            <w:noWrap w:val="0"/>
            <w:vAlign w:val="center"/>
          </w:tcPr>
          <w:p w14:paraId="3292FF87">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+0.04</w:t>
            </w:r>
            <w:r>
              <w:rPr>
                <w:rFonts w:ascii="Times New Roman" w:hAnsi="Times New Roman"/>
                <w:snapToGrid w:val="0"/>
                <w:color w:val="auto"/>
                <w:kern w:val="21"/>
                <w:sz w:val="21"/>
                <w:szCs w:val="21"/>
                <w:highlight w:val="none"/>
              </w:rPr>
              <w:t>t/a</w:t>
            </w:r>
          </w:p>
        </w:tc>
      </w:tr>
      <w:tr w14:paraId="6B8E96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restart"/>
            <w:noWrap w:val="0"/>
            <w:vAlign w:val="center"/>
          </w:tcPr>
          <w:p w14:paraId="1C07CB25">
            <w:pPr>
              <w:pStyle w:val="41"/>
              <w:spacing w:beforeLines="0" w:afterLines="0" w:line="240" w:lineRule="auto"/>
              <w:rPr>
                <w:rFonts w:hAnsi="宋体" w:cs="宋体"/>
                <w:snapToGrid w:val="0"/>
                <w:color w:val="auto"/>
                <w:kern w:val="21"/>
                <w:sz w:val="21"/>
                <w:szCs w:val="21"/>
              </w:rPr>
            </w:pPr>
            <w:r>
              <w:rPr>
                <w:rFonts w:hint="eastAsia" w:hAnsi="宋体" w:cs="宋体"/>
                <w:snapToGrid w:val="0"/>
                <w:color w:val="auto"/>
                <w:kern w:val="21"/>
                <w:sz w:val="21"/>
                <w:szCs w:val="21"/>
              </w:rPr>
              <w:t>一般工业</w:t>
            </w:r>
          </w:p>
          <w:p w14:paraId="0A5CEF80">
            <w:pPr>
              <w:pStyle w:val="41"/>
              <w:spacing w:beforeLines="0" w:afterLines="0" w:line="240" w:lineRule="auto"/>
              <w:rPr>
                <w:rFonts w:hint="eastAsia" w:hAnsi="宋体" w:cs="宋体"/>
                <w:snapToGrid w:val="0"/>
                <w:color w:val="auto"/>
                <w:kern w:val="21"/>
                <w:sz w:val="21"/>
                <w:szCs w:val="21"/>
              </w:rPr>
            </w:pPr>
            <w:r>
              <w:rPr>
                <w:rFonts w:hint="eastAsia" w:hAnsi="宋体" w:cs="宋体"/>
                <w:snapToGrid w:val="0"/>
                <w:color w:val="auto"/>
                <w:kern w:val="21"/>
                <w:sz w:val="21"/>
                <w:szCs w:val="21"/>
              </w:rPr>
              <w:t>固体废物</w:t>
            </w:r>
          </w:p>
        </w:tc>
        <w:tc>
          <w:tcPr>
            <w:tcW w:w="1516" w:type="dxa"/>
            <w:noWrap w:val="0"/>
            <w:vAlign w:val="center"/>
          </w:tcPr>
          <w:p w14:paraId="51096411">
            <w:pPr>
              <w:pStyle w:val="41"/>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生活垃圾</w:t>
            </w:r>
          </w:p>
        </w:tc>
        <w:tc>
          <w:tcPr>
            <w:tcW w:w="1602" w:type="dxa"/>
            <w:noWrap w:val="0"/>
            <w:vAlign w:val="center"/>
          </w:tcPr>
          <w:p w14:paraId="155743E8">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40E68890">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175238BF">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3E237D69">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18</w:t>
            </w:r>
            <w:r>
              <w:rPr>
                <w:rFonts w:ascii="Times New Roman" w:hAnsi="Times New Roman"/>
                <w:snapToGrid w:val="0"/>
                <w:color w:val="auto"/>
                <w:kern w:val="21"/>
                <w:sz w:val="21"/>
                <w:szCs w:val="21"/>
                <w:highlight w:val="none"/>
              </w:rPr>
              <w:t>t/a</w:t>
            </w:r>
          </w:p>
        </w:tc>
        <w:tc>
          <w:tcPr>
            <w:tcW w:w="1594" w:type="dxa"/>
            <w:noWrap w:val="0"/>
            <w:vAlign w:val="center"/>
          </w:tcPr>
          <w:p w14:paraId="4A7D59FF">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776B2DF6">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18</w:t>
            </w:r>
            <w:r>
              <w:rPr>
                <w:rFonts w:ascii="Times New Roman" w:hAnsi="Times New Roman"/>
                <w:snapToGrid w:val="0"/>
                <w:color w:val="auto"/>
                <w:kern w:val="21"/>
                <w:sz w:val="21"/>
                <w:szCs w:val="21"/>
                <w:highlight w:val="none"/>
              </w:rPr>
              <w:t>t/a</w:t>
            </w:r>
          </w:p>
        </w:tc>
        <w:tc>
          <w:tcPr>
            <w:tcW w:w="1179" w:type="dxa"/>
            <w:noWrap w:val="0"/>
            <w:vAlign w:val="center"/>
          </w:tcPr>
          <w:p w14:paraId="02E968A3">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+18</w:t>
            </w:r>
            <w:r>
              <w:rPr>
                <w:rFonts w:ascii="Times New Roman" w:hAnsi="Times New Roman"/>
                <w:snapToGrid w:val="0"/>
                <w:color w:val="auto"/>
                <w:kern w:val="21"/>
                <w:sz w:val="21"/>
                <w:szCs w:val="21"/>
                <w:highlight w:val="none"/>
              </w:rPr>
              <w:t>t/a</w:t>
            </w:r>
          </w:p>
        </w:tc>
      </w:tr>
      <w:tr w14:paraId="615AFC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69A99F5B">
            <w:pPr>
              <w:pStyle w:val="41"/>
              <w:spacing w:beforeLines="0" w:afterLines="0" w:line="240" w:lineRule="auto"/>
              <w:rPr>
                <w:rFonts w:hAnsi="宋体" w:cs="宋体"/>
                <w:snapToGrid w:val="0"/>
                <w:color w:val="auto"/>
                <w:kern w:val="21"/>
                <w:sz w:val="21"/>
                <w:szCs w:val="21"/>
              </w:rPr>
            </w:pPr>
          </w:p>
        </w:tc>
        <w:tc>
          <w:tcPr>
            <w:tcW w:w="1516" w:type="dxa"/>
            <w:noWrap w:val="0"/>
            <w:vAlign w:val="center"/>
          </w:tcPr>
          <w:p w14:paraId="4F94E924">
            <w:pPr>
              <w:pStyle w:val="41"/>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废金属边角料</w:t>
            </w:r>
          </w:p>
        </w:tc>
        <w:tc>
          <w:tcPr>
            <w:tcW w:w="1602" w:type="dxa"/>
            <w:noWrap w:val="0"/>
            <w:vAlign w:val="center"/>
          </w:tcPr>
          <w:p w14:paraId="2726EBFC">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028E4EB4">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271D189B">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67D794BF">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108.32</w:t>
            </w:r>
            <w:r>
              <w:rPr>
                <w:rFonts w:ascii="Times New Roman" w:hAnsi="Times New Roman"/>
                <w:snapToGrid w:val="0"/>
                <w:color w:val="auto"/>
                <w:kern w:val="21"/>
                <w:sz w:val="21"/>
                <w:szCs w:val="21"/>
                <w:highlight w:val="none"/>
              </w:rPr>
              <w:t>t/a</w:t>
            </w:r>
          </w:p>
        </w:tc>
        <w:tc>
          <w:tcPr>
            <w:tcW w:w="1594" w:type="dxa"/>
            <w:noWrap w:val="0"/>
            <w:vAlign w:val="center"/>
          </w:tcPr>
          <w:p w14:paraId="4199CE83">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73B0051B">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108.32</w:t>
            </w:r>
            <w:r>
              <w:rPr>
                <w:rFonts w:ascii="Times New Roman" w:hAnsi="Times New Roman"/>
                <w:snapToGrid w:val="0"/>
                <w:color w:val="auto"/>
                <w:kern w:val="21"/>
                <w:sz w:val="21"/>
                <w:szCs w:val="21"/>
                <w:highlight w:val="none"/>
              </w:rPr>
              <w:t>t/a</w:t>
            </w:r>
          </w:p>
        </w:tc>
        <w:tc>
          <w:tcPr>
            <w:tcW w:w="1179" w:type="dxa"/>
            <w:noWrap w:val="0"/>
            <w:vAlign w:val="center"/>
          </w:tcPr>
          <w:p w14:paraId="25F88AD9">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+108.32</w:t>
            </w:r>
            <w:r>
              <w:rPr>
                <w:rFonts w:ascii="Times New Roman" w:hAnsi="Times New Roman"/>
                <w:snapToGrid w:val="0"/>
                <w:color w:val="auto"/>
                <w:kern w:val="21"/>
                <w:sz w:val="21"/>
                <w:szCs w:val="21"/>
                <w:highlight w:val="none"/>
              </w:rPr>
              <w:t>t/a</w:t>
            </w:r>
          </w:p>
        </w:tc>
      </w:tr>
      <w:tr w14:paraId="731BC3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7B7D225D">
            <w:pPr>
              <w:pStyle w:val="41"/>
              <w:spacing w:beforeLines="0" w:afterLines="0" w:line="240" w:lineRule="auto"/>
              <w:rPr>
                <w:rFonts w:hAnsi="宋体" w:cs="宋体"/>
                <w:snapToGrid w:val="0"/>
                <w:color w:val="auto"/>
                <w:kern w:val="21"/>
                <w:sz w:val="21"/>
                <w:szCs w:val="21"/>
              </w:rPr>
            </w:pPr>
          </w:p>
        </w:tc>
        <w:tc>
          <w:tcPr>
            <w:tcW w:w="1516" w:type="dxa"/>
            <w:noWrap w:val="0"/>
            <w:vAlign w:val="center"/>
          </w:tcPr>
          <w:p w14:paraId="0EA3AC2D">
            <w:pPr>
              <w:pStyle w:val="41"/>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除尘灰</w:t>
            </w:r>
          </w:p>
        </w:tc>
        <w:tc>
          <w:tcPr>
            <w:tcW w:w="1602" w:type="dxa"/>
            <w:noWrap w:val="0"/>
            <w:vAlign w:val="center"/>
          </w:tcPr>
          <w:p w14:paraId="7B8FB635">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44F7A146">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2DFE6064">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74E80C3F">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65.074</w:t>
            </w:r>
            <w:r>
              <w:rPr>
                <w:rFonts w:ascii="Times New Roman" w:hAnsi="Times New Roman"/>
                <w:snapToGrid w:val="0"/>
                <w:color w:val="auto"/>
                <w:kern w:val="21"/>
                <w:sz w:val="21"/>
                <w:szCs w:val="21"/>
                <w:highlight w:val="none"/>
              </w:rPr>
              <w:t>t/a</w:t>
            </w:r>
          </w:p>
        </w:tc>
        <w:tc>
          <w:tcPr>
            <w:tcW w:w="1594" w:type="dxa"/>
            <w:noWrap w:val="0"/>
            <w:vAlign w:val="center"/>
          </w:tcPr>
          <w:p w14:paraId="27930695">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13E4FBDF">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65.074</w:t>
            </w:r>
            <w:r>
              <w:rPr>
                <w:rFonts w:ascii="Times New Roman" w:hAnsi="Times New Roman"/>
                <w:snapToGrid w:val="0"/>
                <w:color w:val="auto"/>
                <w:kern w:val="21"/>
                <w:sz w:val="21"/>
                <w:szCs w:val="21"/>
                <w:highlight w:val="none"/>
              </w:rPr>
              <w:t>t/a</w:t>
            </w:r>
          </w:p>
        </w:tc>
        <w:tc>
          <w:tcPr>
            <w:tcW w:w="1179" w:type="dxa"/>
            <w:noWrap w:val="0"/>
            <w:vAlign w:val="center"/>
          </w:tcPr>
          <w:p w14:paraId="0D887B09">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+65.074</w:t>
            </w:r>
            <w:r>
              <w:rPr>
                <w:rFonts w:ascii="Times New Roman" w:hAnsi="Times New Roman"/>
                <w:snapToGrid w:val="0"/>
                <w:color w:val="auto"/>
                <w:kern w:val="21"/>
                <w:sz w:val="21"/>
                <w:szCs w:val="21"/>
                <w:highlight w:val="none"/>
              </w:rPr>
              <w:t>t/a</w:t>
            </w:r>
          </w:p>
        </w:tc>
      </w:tr>
      <w:tr w14:paraId="0E1D9A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0828A1E3">
            <w:pPr>
              <w:pStyle w:val="41"/>
              <w:spacing w:beforeLines="0" w:afterLines="0" w:line="240" w:lineRule="auto"/>
              <w:rPr>
                <w:rFonts w:hAnsi="宋体" w:cs="宋体"/>
                <w:snapToGrid w:val="0"/>
                <w:color w:val="auto"/>
                <w:kern w:val="21"/>
                <w:sz w:val="21"/>
                <w:szCs w:val="21"/>
              </w:rPr>
            </w:pPr>
          </w:p>
        </w:tc>
        <w:tc>
          <w:tcPr>
            <w:tcW w:w="1516" w:type="dxa"/>
            <w:noWrap w:val="0"/>
            <w:vAlign w:val="center"/>
          </w:tcPr>
          <w:p w14:paraId="6B26242F">
            <w:pPr>
              <w:pStyle w:val="41"/>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bidi="ar-SA"/>
              </w:rPr>
              <w:t>不合格品</w:t>
            </w:r>
          </w:p>
        </w:tc>
        <w:tc>
          <w:tcPr>
            <w:tcW w:w="1602" w:type="dxa"/>
            <w:noWrap w:val="0"/>
            <w:vAlign w:val="center"/>
          </w:tcPr>
          <w:p w14:paraId="6EC4C52C">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044B0F9F">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272C13BB">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05EA25AF">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58</w:t>
            </w:r>
            <w:r>
              <w:rPr>
                <w:rFonts w:ascii="Times New Roman" w:hAnsi="Times New Roman"/>
                <w:snapToGrid w:val="0"/>
                <w:color w:val="auto"/>
                <w:kern w:val="21"/>
                <w:sz w:val="21"/>
                <w:szCs w:val="21"/>
                <w:highlight w:val="none"/>
              </w:rPr>
              <w:t>t/a</w:t>
            </w:r>
          </w:p>
        </w:tc>
        <w:tc>
          <w:tcPr>
            <w:tcW w:w="1594" w:type="dxa"/>
            <w:noWrap w:val="0"/>
            <w:vAlign w:val="center"/>
          </w:tcPr>
          <w:p w14:paraId="32144DCB">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208A6095">
            <w:pPr>
              <w:pStyle w:val="41"/>
              <w:spacing w:beforeLines="0" w:afterLines="0" w:line="240" w:lineRule="auto"/>
              <w:rPr>
                <w:rFonts w:ascii="宋体" w:hAnsi="宋体" w:cs="宋体"/>
                <w:snapToGrid w:val="0"/>
                <w:color w:val="auto"/>
                <w:kern w:val="21"/>
                <w:sz w:val="21"/>
                <w:szCs w:val="21"/>
                <w:lang w:val="en-US" w:eastAsia="zh-CN" w:bidi="ar-SA"/>
              </w:rPr>
            </w:pPr>
            <w:r>
              <w:rPr>
                <w:rFonts w:hint="eastAsia" w:ascii="Times New Roman" w:hAnsi="Times New Roman"/>
                <w:snapToGrid w:val="0"/>
                <w:color w:val="auto"/>
                <w:kern w:val="21"/>
                <w:sz w:val="21"/>
                <w:szCs w:val="21"/>
                <w:highlight w:val="none"/>
                <w:lang w:val="en-US" w:eastAsia="zh-CN"/>
              </w:rPr>
              <w:t>58</w:t>
            </w:r>
            <w:r>
              <w:rPr>
                <w:rFonts w:ascii="Times New Roman" w:hAnsi="Times New Roman"/>
                <w:snapToGrid w:val="0"/>
                <w:color w:val="auto"/>
                <w:kern w:val="21"/>
                <w:sz w:val="21"/>
                <w:szCs w:val="21"/>
                <w:highlight w:val="none"/>
              </w:rPr>
              <w:t>t/a</w:t>
            </w:r>
          </w:p>
        </w:tc>
        <w:tc>
          <w:tcPr>
            <w:tcW w:w="1179" w:type="dxa"/>
            <w:noWrap w:val="0"/>
            <w:vAlign w:val="center"/>
          </w:tcPr>
          <w:p w14:paraId="1DDFD32C">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+58</w:t>
            </w:r>
            <w:r>
              <w:rPr>
                <w:rFonts w:ascii="Times New Roman" w:hAnsi="Times New Roman"/>
                <w:snapToGrid w:val="0"/>
                <w:color w:val="auto"/>
                <w:kern w:val="21"/>
                <w:sz w:val="21"/>
                <w:szCs w:val="21"/>
                <w:highlight w:val="none"/>
              </w:rPr>
              <w:t>t/a</w:t>
            </w:r>
          </w:p>
        </w:tc>
      </w:tr>
      <w:tr w14:paraId="154D77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vMerge w:val="continue"/>
            <w:noWrap w:val="0"/>
            <w:vAlign w:val="center"/>
          </w:tcPr>
          <w:p w14:paraId="02E8D11C">
            <w:pPr>
              <w:pStyle w:val="41"/>
              <w:spacing w:beforeLines="0" w:afterLines="0" w:line="240" w:lineRule="auto"/>
              <w:rPr>
                <w:rFonts w:hAnsi="宋体" w:cs="宋体"/>
                <w:snapToGrid w:val="0"/>
                <w:color w:val="auto"/>
                <w:kern w:val="21"/>
                <w:sz w:val="21"/>
                <w:szCs w:val="21"/>
              </w:rPr>
            </w:pPr>
          </w:p>
        </w:tc>
        <w:tc>
          <w:tcPr>
            <w:tcW w:w="1516" w:type="dxa"/>
            <w:noWrap w:val="0"/>
            <w:vAlign w:val="center"/>
          </w:tcPr>
          <w:p w14:paraId="7EEF9AB6">
            <w:pPr>
              <w:pStyle w:val="41"/>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cs="Times New Roman"/>
                <w:snapToGrid w:val="0"/>
                <w:color w:val="auto"/>
                <w:kern w:val="21"/>
                <w:sz w:val="21"/>
                <w:szCs w:val="21"/>
                <w:highlight w:val="none"/>
                <w:lang w:val="en-US" w:eastAsia="zh-CN" w:bidi="ar-SA"/>
              </w:rPr>
              <w:t>沉淀池沉渣</w:t>
            </w:r>
          </w:p>
        </w:tc>
        <w:tc>
          <w:tcPr>
            <w:tcW w:w="1602" w:type="dxa"/>
            <w:noWrap w:val="0"/>
            <w:vAlign w:val="center"/>
          </w:tcPr>
          <w:p w14:paraId="33AF1922">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21690858">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6D7A9459">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63A1EABB">
            <w:pPr>
              <w:pStyle w:val="41"/>
              <w:spacing w:beforeLines="0" w:afterLines="0" w:line="240" w:lineRule="auto"/>
              <w:rPr>
                <w:rFonts w:hint="default" w:ascii="Times New Roman" w:hAnsi="Times New Roman"/>
                <w:snapToGrid w:val="0"/>
                <w:color w:val="auto"/>
                <w:kern w:val="21"/>
                <w:sz w:val="21"/>
                <w:szCs w:val="21"/>
                <w:highlight w:val="none"/>
                <w:lang w:val="en-US" w:eastAsia="zh-CN"/>
              </w:rPr>
            </w:pPr>
            <w:r>
              <w:rPr>
                <w:rFonts w:hint="eastAsia" w:ascii="Times New Roman" w:hAnsi="Times New Roman"/>
                <w:snapToGrid w:val="0"/>
                <w:color w:val="auto"/>
                <w:kern w:val="21"/>
                <w:sz w:val="21"/>
                <w:szCs w:val="21"/>
                <w:highlight w:val="none"/>
                <w:lang w:val="en-US" w:eastAsia="zh-CN"/>
              </w:rPr>
              <w:t>1t/a</w:t>
            </w:r>
          </w:p>
        </w:tc>
        <w:tc>
          <w:tcPr>
            <w:tcW w:w="1594" w:type="dxa"/>
            <w:noWrap w:val="0"/>
            <w:vAlign w:val="center"/>
          </w:tcPr>
          <w:p w14:paraId="3D938478">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056AFAD9">
            <w:pPr>
              <w:pStyle w:val="41"/>
              <w:spacing w:beforeLines="0" w:afterLines="0" w:line="240" w:lineRule="auto"/>
              <w:rPr>
                <w:rFonts w:hint="default" w:ascii="Times New Roman" w:hAnsi="Times New Roman"/>
                <w:snapToGrid w:val="0"/>
                <w:color w:val="auto"/>
                <w:kern w:val="21"/>
                <w:sz w:val="21"/>
                <w:szCs w:val="21"/>
                <w:highlight w:val="none"/>
                <w:lang w:val="en-US" w:eastAsia="zh-CN"/>
              </w:rPr>
            </w:pPr>
            <w:r>
              <w:rPr>
                <w:rFonts w:hint="eastAsia" w:ascii="Times New Roman" w:hAnsi="Times New Roman"/>
                <w:snapToGrid w:val="0"/>
                <w:color w:val="auto"/>
                <w:kern w:val="21"/>
                <w:sz w:val="21"/>
                <w:szCs w:val="21"/>
                <w:highlight w:val="none"/>
                <w:lang w:val="en-US" w:eastAsia="zh-CN"/>
              </w:rPr>
              <w:t>1t/a</w:t>
            </w:r>
          </w:p>
        </w:tc>
        <w:tc>
          <w:tcPr>
            <w:tcW w:w="1179" w:type="dxa"/>
            <w:noWrap w:val="0"/>
            <w:vAlign w:val="center"/>
          </w:tcPr>
          <w:p w14:paraId="0E6F7913">
            <w:pPr>
              <w:pStyle w:val="41"/>
              <w:spacing w:beforeLines="0" w:afterLines="0" w:line="240" w:lineRule="auto"/>
              <w:rPr>
                <w:rFonts w:hint="default" w:ascii="Times New Roman" w:hAnsi="Times New Roman"/>
                <w:snapToGrid w:val="0"/>
                <w:color w:val="auto"/>
                <w:kern w:val="21"/>
                <w:sz w:val="21"/>
                <w:szCs w:val="21"/>
                <w:highlight w:val="none"/>
                <w:lang w:val="en-US" w:eastAsia="zh-CN"/>
              </w:rPr>
            </w:pPr>
            <w:r>
              <w:rPr>
                <w:rFonts w:hint="eastAsia" w:ascii="Times New Roman" w:hAnsi="Times New Roman"/>
                <w:snapToGrid w:val="0"/>
                <w:color w:val="auto"/>
                <w:kern w:val="21"/>
                <w:sz w:val="21"/>
                <w:szCs w:val="21"/>
                <w:highlight w:val="none"/>
                <w:lang w:val="en-US" w:eastAsia="zh-CN"/>
              </w:rPr>
              <w:t>+1t/a</w:t>
            </w:r>
          </w:p>
        </w:tc>
      </w:tr>
      <w:tr w14:paraId="67A873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88" w:type="dxa"/>
            <w:noWrap w:val="0"/>
            <w:vAlign w:val="center"/>
          </w:tcPr>
          <w:p w14:paraId="28F8345D">
            <w:pPr>
              <w:pStyle w:val="41"/>
              <w:spacing w:beforeLines="0" w:afterLines="0" w:line="240" w:lineRule="auto"/>
              <w:rPr>
                <w:rFonts w:hint="eastAsia" w:hAnsi="宋体" w:cs="宋体"/>
                <w:snapToGrid w:val="0"/>
                <w:color w:val="auto"/>
                <w:kern w:val="21"/>
                <w:sz w:val="21"/>
                <w:szCs w:val="21"/>
              </w:rPr>
            </w:pPr>
            <w:r>
              <w:rPr>
                <w:rFonts w:hint="eastAsia" w:hAnsi="宋体" w:cs="宋体"/>
                <w:snapToGrid w:val="0"/>
                <w:color w:val="auto"/>
                <w:kern w:val="21"/>
                <w:sz w:val="21"/>
                <w:szCs w:val="21"/>
              </w:rPr>
              <w:t>危险废物</w:t>
            </w:r>
          </w:p>
        </w:tc>
        <w:tc>
          <w:tcPr>
            <w:tcW w:w="1516" w:type="dxa"/>
            <w:noWrap w:val="0"/>
            <w:vAlign w:val="center"/>
          </w:tcPr>
          <w:p w14:paraId="609794BB">
            <w:pPr>
              <w:pStyle w:val="41"/>
              <w:spacing w:beforeLines="0" w:afterLines="0" w:line="240" w:lineRule="auto"/>
              <w:rPr>
                <w:rFonts w:hint="eastAsia" w:hAnsi="宋体" w:eastAsia="宋体" w:cs="宋体"/>
                <w:snapToGrid w:val="0"/>
                <w:color w:val="auto"/>
                <w:kern w:val="21"/>
                <w:sz w:val="21"/>
                <w:szCs w:val="21"/>
                <w:lang w:val="en-US" w:eastAsia="zh-CN"/>
              </w:rPr>
            </w:pPr>
            <w:r>
              <w:rPr>
                <w:rFonts w:hint="eastAsia" w:cs="宋体"/>
                <w:snapToGrid w:val="0"/>
                <w:color w:val="auto"/>
                <w:kern w:val="21"/>
                <w:sz w:val="21"/>
                <w:szCs w:val="21"/>
                <w:lang w:val="en-US" w:eastAsia="zh-CN"/>
              </w:rPr>
              <w:t>废机油</w:t>
            </w:r>
          </w:p>
        </w:tc>
        <w:tc>
          <w:tcPr>
            <w:tcW w:w="1602" w:type="dxa"/>
            <w:noWrap w:val="0"/>
            <w:vAlign w:val="center"/>
          </w:tcPr>
          <w:p w14:paraId="49E601B6">
            <w:pPr>
              <w:pStyle w:val="41"/>
              <w:spacing w:beforeLines="0" w:afterLines="0" w:line="240" w:lineRule="auto"/>
              <w:rPr>
                <w:rFonts w:hAnsi="宋体" w:cs="宋体"/>
                <w:snapToGrid w:val="0"/>
                <w:color w:val="auto"/>
                <w:kern w:val="21"/>
                <w:sz w:val="21"/>
                <w:szCs w:val="21"/>
              </w:rPr>
            </w:pPr>
          </w:p>
        </w:tc>
        <w:tc>
          <w:tcPr>
            <w:tcW w:w="1276" w:type="dxa"/>
            <w:noWrap w:val="0"/>
            <w:vAlign w:val="center"/>
          </w:tcPr>
          <w:p w14:paraId="7ED7C697">
            <w:pPr>
              <w:pStyle w:val="41"/>
              <w:spacing w:beforeLines="0" w:afterLines="0" w:line="240" w:lineRule="auto"/>
              <w:rPr>
                <w:rFonts w:hAnsi="宋体" w:cs="宋体"/>
                <w:snapToGrid w:val="0"/>
                <w:color w:val="auto"/>
                <w:kern w:val="21"/>
                <w:sz w:val="21"/>
                <w:szCs w:val="21"/>
              </w:rPr>
            </w:pPr>
          </w:p>
        </w:tc>
        <w:tc>
          <w:tcPr>
            <w:tcW w:w="1701" w:type="dxa"/>
            <w:noWrap w:val="0"/>
            <w:vAlign w:val="center"/>
          </w:tcPr>
          <w:p w14:paraId="6485844D">
            <w:pPr>
              <w:pStyle w:val="41"/>
              <w:spacing w:beforeLines="0" w:afterLines="0" w:line="240" w:lineRule="auto"/>
              <w:rPr>
                <w:rFonts w:hAnsi="宋体" w:cs="宋体"/>
                <w:snapToGrid w:val="0"/>
                <w:color w:val="auto"/>
                <w:kern w:val="21"/>
                <w:sz w:val="21"/>
                <w:szCs w:val="21"/>
              </w:rPr>
            </w:pPr>
          </w:p>
        </w:tc>
        <w:tc>
          <w:tcPr>
            <w:tcW w:w="1559" w:type="dxa"/>
            <w:noWrap w:val="0"/>
            <w:vAlign w:val="center"/>
          </w:tcPr>
          <w:p w14:paraId="74E9E5C2">
            <w:pPr>
              <w:pStyle w:val="41"/>
              <w:spacing w:beforeLines="0" w:afterLines="0" w:line="240" w:lineRule="auto"/>
              <w:rPr>
                <w:rFonts w:hAnsi="宋体" w:cs="宋体"/>
                <w:snapToGrid w:val="0"/>
                <w:color w:val="auto"/>
                <w:kern w:val="21"/>
                <w:sz w:val="21"/>
                <w:szCs w:val="21"/>
              </w:rPr>
            </w:pPr>
            <w:r>
              <w:rPr>
                <w:rFonts w:ascii="Times New Roman" w:hAnsi="Times New Roman"/>
                <w:snapToGrid w:val="0"/>
                <w:color w:val="auto"/>
                <w:kern w:val="21"/>
                <w:sz w:val="21"/>
                <w:szCs w:val="21"/>
                <w:highlight w:val="none"/>
              </w:rPr>
              <w:t>0.</w:t>
            </w:r>
            <w:r>
              <w:rPr>
                <w:rFonts w:hint="eastAsia" w:ascii="Times New Roman" w:hAnsi="Times New Roman"/>
                <w:snapToGrid w:val="0"/>
                <w:color w:val="auto"/>
                <w:kern w:val="21"/>
                <w:sz w:val="21"/>
                <w:szCs w:val="21"/>
                <w:highlight w:val="none"/>
                <w:lang w:val="en-US" w:eastAsia="zh-CN"/>
              </w:rPr>
              <w:t>1</w:t>
            </w:r>
            <w:r>
              <w:rPr>
                <w:rFonts w:ascii="Times New Roman" w:hAnsi="Times New Roman"/>
                <w:snapToGrid w:val="0"/>
                <w:color w:val="auto"/>
                <w:kern w:val="21"/>
                <w:sz w:val="21"/>
                <w:szCs w:val="21"/>
                <w:highlight w:val="none"/>
              </w:rPr>
              <w:t>t/a</w:t>
            </w:r>
          </w:p>
        </w:tc>
        <w:tc>
          <w:tcPr>
            <w:tcW w:w="1594" w:type="dxa"/>
            <w:noWrap w:val="0"/>
            <w:vAlign w:val="center"/>
          </w:tcPr>
          <w:p w14:paraId="7E763196">
            <w:pPr>
              <w:pStyle w:val="41"/>
              <w:spacing w:beforeLines="0" w:afterLines="0" w:line="240" w:lineRule="auto"/>
              <w:rPr>
                <w:rFonts w:hAnsi="宋体" w:cs="宋体"/>
                <w:snapToGrid w:val="0"/>
                <w:color w:val="auto"/>
                <w:kern w:val="21"/>
                <w:sz w:val="21"/>
                <w:szCs w:val="21"/>
              </w:rPr>
            </w:pPr>
          </w:p>
        </w:tc>
        <w:tc>
          <w:tcPr>
            <w:tcW w:w="1773" w:type="dxa"/>
            <w:noWrap w:val="0"/>
            <w:vAlign w:val="center"/>
          </w:tcPr>
          <w:p w14:paraId="2CB33CA2">
            <w:pPr>
              <w:pStyle w:val="41"/>
              <w:spacing w:beforeLines="0" w:afterLines="0" w:line="240" w:lineRule="auto"/>
              <w:rPr>
                <w:rFonts w:ascii="宋体" w:hAnsi="宋体" w:cs="宋体"/>
                <w:snapToGrid w:val="0"/>
                <w:color w:val="auto"/>
                <w:kern w:val="21"/>
                <w:sz w:val="21"/>
                <w:szCs w:val="21"/>
                <w:lang w:val="en-US" w:eastAsia="zh-CN" w:bidi="ar-SA"/>
              </w:rPr>
            </w:pPr>
            <w:r>
              <w:rPr>
                <w:rFonts w:ascii="Times New Roman" w:hAnsi="Times New Roman"/>
                <w:snapToGrid w:val="0"/>
                <w:color w:val="auto"/>
                <w:kern w:val="21"/>
                <w:sz w:val="21"/>
                <w:szCs w:val="21"/>
                <w:highlight w:val="none"/>
              </w:rPr>
              <w:t>0.</w:t>
            </w:r>
            <w:r>
              <w:rPr>
                <w:rFonts w:hint="eastAsia" w:ascii="Times New Roman" w:hAnsi="Times New Roman"/>
                <w:snapToGrid w:val="0"/>
                <w:color w:val="auto"/>
                <w:kern w:val="21"/>
                <w:sz w:val="21"/>
                <w:szCs w:val="21"/>
                <w:highlight w:val="none"/>
                <w:lang w:val="en-US" w:eastAsia="zh-CN"/>
              </w:rPr>
              <w:t>1</w:t>
            </w:r>
            <w:r>
              <w:rPr>
                <w:rFonts w:ascii="Times New Roman" w:hAnsi="Times New Roman"/>
                <w:snapToGrid w:val="0"/>
                <w:color w:val="auto"/>
                <w:kern w:val="21"/>
                <w:sz w:val="21"/>
                <w:szCs w:val="21"/>
                <w:highlight w:val="none"/>
              </w:rPr>
              <w:t>t/a</w:t>
            </w:r>
          </w:p>
        </w:tc>
        <w:tc>
          <w:tcPr>
            <w:tcW w:w="1179" w:type="dxa"/>
            <w:noWrap w:val="0"/>
            <w:vAlign w:val="center"/>
          </w:tcPr>
          <w:p w14:paraId="43DCE0C9">
            <w:pPr>
              <w:pStyle w:val="41"/>
              <w:spacing w:beforeLines="0" w:afterLines="0" w:line="240" w:lineRule="auto"/>
              <w:rPr>
                <w:rFonts w:hAnsi="宋体" w:cs="宋体"/>
                <w:snapToGrid w:val="0"/>
                <w:color w:val="auto"/>
                <w:kern w:val="21"/>
                <w:sz w:val="21"/>
                <w:szCs w:val="21"/>
              </w:rPr>
            </w:pPr>
            <w:r>
              <w:rPr>
                <w:rFonts w:hint="eastAsia" w:ascii="Times New Roman" w:hAnsi="Times New Roman"/>
                <w:snapToGrid w:val="0"/>
                <w:color w:val="auto"/>
                <w:kern w:val="21"/>
                <w:sz w:val="21"/>
                <w:szCs w:val="21"/>
                <w:highlight w:val="none"/>
                <w:lang w:val="en-US" w:eastAsia="zh-CN"/>
              </w:rPr>
              <w:t>+</w:t>
            </w:r>
            <w:r>
              <w:rPr>
                <w:rFonts w:ascii="Times New Roman" w:hAnsi="Times New Roman"/>
                <w:snapToGrid w:val="0"/>
                <w:color w:val="auto"/>
                <w:kern w:val="21"/>
                <w:sz w:val="21"/>
                <w:szCs w:val="21"/>
                <w:highlight w:val="none"/>
              </w:rPr>
              <w:t>0.</w:t>
            </w:r>
            <w:r>
              <w:rPr>
                <w:rFonts w:hint="eastAsia" w:ascii="Times New Roman" w:hAnsi="Times New Roman"/>
                <w:snapToGrid w:val="0"/>
                <w:color w:val="auto"/>
                <w:kern w:val="21"/>
                <w:sz w:val="21"/>
                <w:szCs w:val="21"/>
                <w:highlight w:val="none"/>
                <w:lang w:val="en-US" w:eastAsia="zh-CN"/>
              </w:rPr>
              <w:t>1</w:t>
            </w:r>
            <w:r>
              <w:rPr>
                <w:rFonts w:ascii="Times New Roman" w:hAnsi="Times New Roman"/>
                <w:snapToGrid w:val="0"/>
                <w:color w:val="auto"/>
                <w:kern w:val="21"/>
                <w:sz w:val="21"/>
                <w:szCs w:val="21"/>
                <w:highlight w:val="none"/>
              </w:rPr>
              <w:t>t/a</w:t>
            </w:r>
          </w:p>
        </w:tc>
      </w:tr>
    </w:tbl>
    <w:p w14:paraId="17147A3E">
      <w:pPr>
        <w:pStyle w:val="41"/>
        <w:spacing w:before="192" w:beforeLines="80" w:after="24" w:line="240" w:lineRule="auto"/>
        <w:jc w:val="left"/>
        <w:rPr>
          <w:rFonts w:hint="eastAsia"/>
          <w:color w:val="auto"/>
        </w:rPr>
      </w:pPr>
      <w:r>
        <w:rPr>
          <w:rFonts w:hAnsi="宋体"/>
          <w:snapToGrid w:val="0"/>
          <w:color w:val="auto"/>
          <w:kern w:val="21"/>
          <w:sz w:val="21"/>
          <w:szCs w:val="21"/>
        </w:rPr>
        <w:t>注：</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6 \* GB3 \* MERGEFORMAT </w:instrText>
      </w:r>
      <w:r>
        <w:rPr>
          <w:rFonts w:hAnsi="宋体"/>
          <w:snapToGrid w:val="0"/>
          <w:color w:val="auto"/>
          <w:spacing w:val="-16"/>
          <w:kern w:val="21"/>
          <w:sz w:val="21"/>
          <w:szCs w:val="21"/>
        </w:rPr>
        <w:fldChar w:fldCharType="separate"/>
      </w:r>
      <w:r>
        <w:rPr>
          <w:rFonts w:hint="eastAsia" w:hAnsi="宋体"/>
          <w:color w:val="auto"/>
          <w:sz w:val="21"/>
          <w:szCs w:val="21"/>
        </w:rPr>
        <w:t>⑥</w:t>
      </w:r>
      <w:r>
        <w:rPr>
          <w:rFonts w:hAnsi="宋体"/>
          <w:snapToGrid w:val="0"/>
          <w:color w:val="auto"/>
          <w:spacing w:val="-16"/>
          <w:kern w:val="21"/>
          <w:sz w:val="21"/>
          <w:szCs w:val="21"/>
        </w:rPr>
        <w:fldChar w:fldCharType="end"/>
      </w:r>
      <w:r>
        <w:rPr>
          <w:rFonts w:hAnsi="宋体"/>
          <w:snapToGrid w:val="0"/>
          <w:color w:val="auto"/>
          <w:spacing w:val="-1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1 \* GB3 \* MERGEFORMAT </w:instrText>
      </w:r>
      <w:r>
        <w:rPr>
          <w:rFonts w:hAnsi="宋体"/>
          <w:snapToGrid w:val="0"/>
          <w:color w:val="auto"/>
          <w:spacing w:val="-6"/>
          <w:kern w:val="21"/>
          <w:sz w:val="21"/>
          <w:szCs w:val="21"/>
        </w:rPr>
        <w:fldChar w:fldCharType="separate"/>
      </w:r>
      <w:r>
        <w:rPr>
          <w:rFonts w:hint="eastAsia" w:hAnsi="宋体"/>
          <w:color w:val="auto"/>
          <w:sz w:val="21"/>
          <w:szCs w:val="21"/>
        </w:rPr>
        <w:t>①</w:t>
      </w:r>
      <w:r>
        <w:rPr>
          <w:rFonts w:hAnsi="宋体"/>
          <w:snapToGrid w:val="0"/>
          <w:color w:val="auto"/>
          <w:spacing w:val="-6"/>
          <w:kern w:val="21"/>
          <w:sz w:val="21"/>
          <w:szCs w:val="21"/>
        </w:rPr>
        <w:fldChar w:fldCharType="end"/>
      </w:r>
      <w:r>
        <w:rPr>
          <w:rFonts w:hAnsi="宋体"/>
          <w:snapToGrid w:val="0"/>
          <w:color w:val="auto"/>
          <w:spacing w:val="-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3 \* GB3 \* MERGEFORMAT </w:instrText>
      </w:r>
      <w:r>
        <w:rPr>
          <w:rFonts w:hAnsi="宋体"/>
          <w:snapToGrid w:val="0"/>
          <w:color w:val="auto"/>
          <w:spacing w:val="-6"/>
          <w:kern w:val="21"/>
          <w:sz w:val="21"/>
          <w:szCs w:val="21"/>
        </w:rPr>
        <w:fldChar w:fldCharType="separate"/>
      </w:r>
      <w:r>
        <w:rPr>
          <w:rFonts w:hint="eastAsia" w:hAnsi="宋体"/>
          <w:color w:val="auto"/>
          <w:sz w:val="21"/>
          <w:szCs w:val="21"/>
        </w:rPr>
        <w:t>③</w:t>
      </w:r>
      <w:r>
        <w:rPr>
          <w:rFonts w:hAnsi="宋体"/>
          <w:snapToGrid w:val="0"/>
          <w:color w:val="auto"/>
          <w:spacing w:val="-6"/>
          <w:kern w:val="21"/>
          <w:sz w:val="21"/>
          <w:szCs w:val="21"/>
        </w:rPr>
        <w:fldChar w:fldCharType="end"/>
      </w:r>
      <w:r>
        <w:rPr>
          <w:rFonts w:hAnsi="宋体"/>
          <w:snapToGrid w:val="0"/>
          <w:color w:val="auto"/>
          <w:spacing w:val="-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4 \* GB3 \* MERGEFORMAT </w:instrText>
      </w:r>
      <w:r>
        <w:rPr>
          <w:rFonts w:hAnsi="宋体"/>
          <w:snapToGrid w:val="0"/>
          <w:color w:val="auto"/>
          <w:spacing w:val="-6"/>
          <w:kern w:val="21"/>
          <w:sz w:val="21"/>
          <w:szCs w:val="21"/>
        </w:rPr>
        <w:fldChar w:fldCharType="separate"/>
      </w:r>
      <w:r>
        <w:rPr>
          <w:rFonts w:hint="eastAsia" w:hAnsi="宋体"/>
          <w:color w:val="auto"/>
          <w:sz w:val="21"/>
          <w:szCs w:val="21"/>
        </w:rPr>
        <w:t>④</w:t>
      </w:r>
      <w:r>
        <w:rPr>
          <w:rFonts w:hAnsi="宋体"/>
          <w:snapToGrid w:val="0"/>
          <w:color w:val="auto"/>
          <w:spacing w:val="-6"/>
          <w:kern w:val="21"/>
          <w:sz w:val="21"/>
          <w:szCs w:val="21"/>
        </w:rPr>
        <w:fldChar w:fldCharType="end"/>
      </w:r>
      <w:r>
        <w:rPr>
          <w:rFonts w:hAnsi="宋体"/>
          <w:snapToGrid w:val="0"/>
          <w:color w:val="auto"/>
          <w:spacing w:val="-6"/>
          <w:kern w:val="21"/>
          <w:sz w:val="21"/>
          <w:szCs w:val="21"/>
        </w:rPr>
        <w:t>-</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5 \* GB3 \* MERGEFORMAT </w:instrText>
      </w:r>
      <w:r>
        <w:rPr>
          <w:rFonts w:hAnsi="宋体"/>
          <w:snapToGrid w:val="0"/>
          <w:color w:val="auto"/>
          <w:spacing w:val="-16"/>
          <w:kern w:val="21"/>
          <w:sz w:val="21"/>
          <w:szCs w:val="21"/>
        </w:rPr>
        <w:fldChar w:fldCharType="separate"/>
      </w:r>
      <w:r>
        <w:rPr>
          <w:rFonts w:hint="eastAsia" w:hAnsi="宋体"/>
          <w:color w:val="auto"/>
          <w:sz w:val="21"/>
          <w:szCs w:val="21"/>
        </w:rPr>
        <w:t>⑤</w:t>
      </w:r>
      <w:r>
        <w:rPr>
          <w:rFonts w:hAnsi="宋体"/>
          <w:snapToGrid w:val="0"/>
          <w:color w:val="auto"/>
          <w:spacing w:val="-16"/>
          <w:kern w:val="21"/>
          <w:sz w:val="21"/>
          <w:szCs w:val="21"/>
        </w:rPr>
        <w:fldChar w:fldCharType="end"/>
      </w:r>
      <w:r>
        <w:rPr>
          <w:rFonts w:hAnsi="宋体"/>
          <w:snapToGrid w:val="0"/>
          <w:color w:val="auto"/>
          <w:spacing w:val="-1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7 \* GB3 \* MERGEFORMAT </w:instrText>
      </w:r>
      <w:r>
        <w:rPr>
          <w:rFonts w:hAnsi="宋体"/>
          <w:snapToGrid w:val="0"/>
          <w:color w:val="auto"/>
          <w:spacing w:val="-6"/>
          <w:kern w:val="21"/>
          <w:sz w:val="21"/>
          <w:szCs w:val="21"/>
        </w:rPr>
        <w:fldChar w:fldCharType="separate"/>
      </w:r>
      <w:r>
        <w:rPr>
          <w:rFonts w:hint="eastAsia" w:hAnsi="宋体"/>
          <w:color w:val="auto"/>
          <w:sz w:val="21"/>
          <w:szCs w:val="21"/>
        </w:rPr>
        <w:t>⑦</w:t>
      </w:r>
      <w:r>
        <w:rPr>
          <w:rFonts w:hAnsi="宋体"/>
          <w:snapToGrid w:val="0"/>
          <w:color w:val="auto"/>
          <w:spacing w:val="-6"/>
          <w:kern w:val="21"/>
          <w:sz w:val="21"/>
          <w:szCs w:val="21"/>
        </w:rPr>
        <w:fldChar w:fldCharType="end"/>
      </w:r>
      <w:r>
        <w:rPr>
          <w:rFonts w:hAnsi="宋体"/>
          <w:snapToGrid w:val="0"/>
          <w:color w:val="auto"/>
          <w:spacing w:val="-6"/>
          <w:kern w:val="21"/>
          <w:sz w:val="21"/>
          <w:szCs w:val="21"/>
        </w:rPr>
        <w:t>=</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6 \* GB3 \* MERGEFORMAT </w:instrText>
      </w:r>
      <w:r>
        <w:rPr>
          <w:rFonts w:hAnsi="宋体"/>
          <w:snapToGrid w:val="0"/>
          <w:color w:val="auto"/>
          <w:spacing w:val="-16"/>
          <w:kern w:val="21"/>
          <w:sz w:val="21"/>
          <w:szCs w:val="21"/>
        </w:rPr>
        <w:fldChar w:fldCharType="separate"/>
      </w:r>
      <w:r>
        <w:rPr>
          <w:rFonts w:hint="eastAsia" w:hAnsi="宋体"/>
          <w:color w:val="auto"/>
          <w:sz w:val="21"/>
          <w:szCs w:val="21"/>
        </w:rPr>
        <w:t>⑥</w:t>
      </w:r>
      <w:r>
        <w:rPr>
          <w:rFonts w:hAnsi="宋体"/>
          <w:snapToGrid w:val="0"/>
          <w:color w:val="auto"/>
          <w:spacing w:val="-16"/>
          <w:kern w:val="21"/>
          <w:sz w:val="21"/>
          <w:szCs w:val="21"/>
        </w:rPr>
        <w:fldChar w:fldCharType="end"/>
      </w:r>
      <w:r>
        <w:rPr>
          <w:rFonts w:hAnsi="宋体"/>
          <w:snapToGrid w:val="0"/>
          <w:color w:val="auto"/>
          <w:spacing w:val="-1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1 \* GB3 \* MERGEFORMAT </w:instrText>
      </w:r>
      <w:r>
        <w:rPr>
          <w:rFonts w:hAnsi="宋体"/>
          <w:snapToGrid w:val="0"/>
          <w:color w:val="auto"/>
          <w:spacing w:val="-6"/>
          <w:kern w:val="21"/>
          <w:sz w:val="21"/>
          <w:szCs w:val="21"/>
        </w:rPr>
        <w:fldChar w:fldCharType="separate"/>
      </w:r>
      <w:r>
        <w:rPr>
          <w:rFonts w:hint="eastAsia" w:hAnsi="宋体"/>
          <w:color w:val="auto"/>
          <w:sz w:val="21"/>
          <w:szCs w:val="21"/>
        </w:rPr>
        <w:t>①</w:t>
      </w:r>
      <w:r>
        <w:rPr>
          <w:rFonts w:hAnsi="宋体"/>
          <w:snapToGrid w:val="0"/>
          <w:color w:val="auto"/>
          <w:spacing w:val="-6"/>
          <w:kern w:val="21"/>
          <w:sz w:val="21"/>
          <w:szCs w:val="21"/>
        </w:rPr>
        <w:fldChar w:fldCharType="end"/>
      </w:r>
    </w:p>
    <w:p w14:paraId="19327475">
      <w:pPr>
        <w:bidi w:val="0"/>
        <w:rPr>
          <w:color w:val="auto"/>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4"/>
        <w:tblW w:w="4990" w:type="pct"/>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autofit"/>
        <w:tblCellMar>
          <w:top w:w="0" w:type="dxa"/>
          <w:left w:w="108" w:type="dxa"/>
          <w:bottom w:w="0" w:type="dxa"/>
          <w:right w:w="108" w:type="dxa"/>
        </w:tblCellMar>
      </w:tblPr>
      <w:tblGrid>
        <w:gridCol w:w="4656"/>
        <w:gridCol w:w="4746"/>
        <w:gridCol w:w="4746"/>
      </w:tblGrid>
      <w:tr w14:paraId="416229F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1645" w:type="pct"/>
            <w:noWrap w:val="0"/>
            <w:vAlign w:val="top"/>
          </w:tcPr>
          <w:p w14:paraId="1977C262">
            <w:pPr>
              <w:ind w:left="0" w:leftChars="0" w:firstLine="0" w:firstLineChars="0"/>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drawing>
                <wp:inline distT="0" distB="0" distL="114300" distR="114300">
                  <wp:extent cx="2813050" cy="2110105"/>
                  <wp:effectExtent l="0" t="0" r="6350" b="4445"/>
                  <wp:docPr id="10" name="图片 10" descr="厂区现状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厂区现状图1"/>
                          <pic:cNvPicPr>
                            <a:picLocks noChangeAspect="1"/>
                          </pic:cNvPicPr>
                        </pic:nvPicPr>
                        <pic:blipFill>
                          <a:blip r:embed="rId40"/>
                          <a:stretch>
                            <a:fillRect/>
                          </a:stretch>
                        </pic:blipFill>
                        <pic:spPr>
                          <a:xfrm>
                            <a:off x="0" y="0"/>
                            <a:ext cx="2813050" cy="2110105"/>
                          </a:xfrm>
                          <a:prstGeom prst="rect">
                            <a:avLst/>
                          </a:prstGeom>
                        </pic:spPr>
                      </pic:pic>
                    </a:graphicData>
                  </a:graphic>
                </wp:inline>
              </w:drawing>
            </w:r>
          </w:p>
        </w:tc>
        <w:tc>
          <w:tcPr>
            <w:tcW w:w="1677" w:type="pct"/>
            <w:noWrap w:val="0"/>
            <w:vAlign w:val="top"/>
          </w:tcPr>
          <w:p w14:paraId="5A516EF6">
            <w:pPr>
              <w:ind w:left="0" w:leftChars="0" w:firstLine="0" w:firstLineChars="0"/>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drawing>
                <wp:inline distT="0" distB="0" distL="114300" distR="114300">
                  <wp:extent cx="2861310" cy="2145665"/>
                  <wp:effectExtent l="0" t="0" r="15240" b="6985"/>
                  <wp:docPr id="13" name="图片 13" descr="厂外东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厂外东南"/>
                          <pic:cNvPicPr>
                            <a:picLocks noChangeAspect="1"/>
                          </pic:cNvPicPr>
                        </pic:nvPicPr>
                        <pic:blipFill>
                          <a:blip r:embed="rId41"/>
                          <a:stretch>
                            <a:fillRect/>
                          </a:stretch>
                        </pic:blipFill>
                        <pic:spPr>
                          <a:xfrm>
                            <a:off x="0" y="0"/>
                            <a:ext cx="2861310" cy="2145665"/>
                          </a:xfrm>
                          <a:prstGeom prst="rect">
                            <a:avLst/>
                          </a:prstGeom>
                        </pic:spPr>
                      </pic:pic>
                    </a:graphicData>
                  </a:graphic>
                </wp:inline>
              </w:drawing>
            </w:r>
          </w:p>
        </w:tc>
        <w:tc>
          <w:tcPr>
            <w:tcW w:w="1677" w:type="pct"/>
            <w:noWrap w:val="0"/>
            <w:vAlign w:val="top"/>
          </w:tcPr>
          <w:p w14:paraId="6CE1BB0C">
            <w:pPr>
              <w:ind w:left="0" w:leftChars="0" w:firstLine="0" w:firstLineChars="0"/>
              <w:rPr>
                <w:rFonts w:hint="default" w:ascii="Times New Roman" w:hAnsi="Times New Roman" w:eastAsia="宋体" w:cs="Times New Roman"/>
                <w:color w:val="auto"/>
                <w:highlight w:val="none"/>
                <w:vertAlign w:val="baseline"/>
                <w:lang w:eastAsia="zh-CN"/>
              </w:rPr>
            </w:pPr>
            <w:r>
              <w:rPr>
                <w:rFonts w:hint="default" w:ascii="Times New Roman" w:hAnsi="Times New Roman" w:eastAsia="宋体" w:cs="Times New Roman"/>
                <w:color w:val="auto"/>
                <w:highlight w:val="none"/>
                <w:vertAlign w:val="baseline"/>
                <w:lang w:eastAsia="zh-CN"/>
              </w:rPr>
              <w:drawing>
                <wp:inline distT="0" distB="0" distL="114300" distR="114300">
                  <wp:extent cx="2828290" cy="1909445"/>
                  <wp:effectExtent l="0" t="0" r="10160" b="14605"/>
                  <wp:docPr id="14" name="图片 14" descr="厂外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厂外西"/>
                          <pic:cNvPicPr>
                            <a:picLocks noChangeAspect="1"/>
                          </pic:cNvPicPr>
                        </pic:nvPicPr>
                        <pic:blipFill>
                          <a:blip r:embed="rId42"/>
                          <a:stretch>
                            <a:fillRect/>
                          </a:stretch>
                        </pic:blipFill>
                        <pic:spPr>
                          <a:xfrm>
                            <a:off x="0" y="0"/>
                            <a:ext cx="2828290" cy="1909445"/>
                          </a:xfrm>
                          <a:prstGeom prst="rect">
                            <a:avLst/>
                          </a:prstGeom>
                        </pic:spPr>
                      </pic:pic>
                    </a:graphicData>
                  </a:graphic>
                </wp:inline>
              </w:drawing>
            </w:r>
          </w:p>
        </w:tc>
      </w:tr>
      <w:tr w14:paraId="0C0A7632">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1645" w:type="pct"/>
            <w:noWrap w:val="0"/>
            <w:vAlign w:val="top"/>
          </w:tcPr>
          <w:p w14:paraId="2274A138">
            <w:pPr>
              <w:spacing w:line="240" w:lineRule="auto"/>
              <w:jc w:val="center"/>
              <w:rPr>
                <w:rFonts w:hint="default" w:ascii="Times New Roman" w:hAnsi="Times New Roman" w:cs="Times New Roman"/>
                <w:color w:val="auto"/>
                <w:sz w:val="24"/>
                <w:szCs w:val="24"/>
                <w:highlight w:val="none"/>
                <w:vertAlign w:val="baseline"/>
              </w:rPr>
            </w:pPr>
            <w:r>
              <w:rPr>
                <w:rFonts w:hint="default" w:ascii="Times New Roman" w:hAnsi="Times New Roman" w:cs="Times New Roman"/>
                <w:b/>
                <w:bCs/>
                <w:color w:val="auto"/>
                <w:sz w:val="24"/>
                <w:szCs w:val="24"/>
                <w:highlight w:val="none"/>
                <w:lang w:val="en-US" w:eastAsia="zh-CN"/>
              </w:rPr>
              <w:t>项目区</w:t>
            </w:r>
          </w:p>
        </w:tc>
        <w:tc>
          <w:tcPr>
            <w:tcW w:w="1677" w:type="pct"/>
            <w:noWrap w:val="0"/>
            <w:vAlign w:val="top"/>
          </w:tcPr>
          <w:p w14:paraId="208E7192">
            <w:pPr>
              <w:spacing w:line="240" w:lineRule="auto"/>
              <w:jc w:val="center"/>
              <w:rPr>
                <w:rFonts w:hint="default" w:ascii="Times New Roman" w:hAnsi="Times New Roman" w:cs="Times New Roman"/>
                <w:color w:val="auto"/>
                <w:sz w:val="24"/>
                <w:szCs w:val="24"/>
                <w:highlight w:val="none"/>
                <w:vertAlign w:val="baseline"/>
              </w:rPr>
            </w:pPr>
            <w:r>
              <w:rPr>
                <w:rFonts w:hint="default" w:ascii="Times New Roman" w:hAnsi="Times New Roman" w:cs="Times New Roman"/>
                <w:b/>
                <w:bCs/>
                <w:color w:val="auto"/>
                <w:sz w:val="24"/>
                <w:szCs w:val="24"/>
                <w:highlight w:val="none"/>
                <w:lang w:val="en-US" w:eastAsia="zh-CN"/>
              </w:rPr>
              <w:t>项目东侧</w:t>
            </w:r>
          </w:p>
        </w:tc>
        <w:tc>
          <w:tcPr>
            <w:tcW w:w="1677" w:type="pct"/>
            <w:noWrap w:val="0"/>
            <w:vAlign w:val="top"/>
          </w:tcPr>
          <w:p w14:paraId="2473991A">
            <w:pPr>
              <w:spacing w:line="240" w:lineRule="auto"/>
              <w:jc w:val="center"/>
              <w:rPr>
                <w:rFonts w:hint="default" w:ascii="Times New Roman" w:hAnsi="Times New Roman" w:cs="Times New Roman"/>
                <w:color w:val="auto"/>
                <w:sz w:val="24"/>
                <w:szCs w:val="24"/>
                <w:highlight w:val="none"/>
                <w:vertAlign w:val="baseline"/>
              </w:rPr>
            </w:pPr>
            <w:r>
              <w:rPr>
                <w:rFonts w:hint="default" w:ascii="Times New Roman" w:hAnsi="Times New Roman" w:cs="Times New Roman"/>
                <w:b/>
                <w:bCs/>
                <w:color w:val="auto"/>
                <w:sz w:val="24"/>
                <w:szCs w:val="24"/>
                <w:highlight w:val="none"/>
                <w:lang w:val="en-US" w:eastAsia="zh-CN"/>
              </w:rPr>
              <w:t>项目西侧</w:t>
            </w:r>
          </w:p>
        </w:tc>
      </w:tr>
      <w:tr w14:paraId="51C1DE3D">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1645" w:type="pct"/>
            <w:noWrap w:val="0"/>
            <w:vAlign w:val="top"/>
          </w:tcPr>
          <w:p w14:paraId="7DA0357E">
            <w:pPr>
              <w:spacing w:line="240" w:lineRule="auto"/>
              <w:ind w:left="0" w:leftChars="0" w:firstLine="0" w:firstLineChars="0"/>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drawing>
                <wp:inline distT="0" distB="0" distL="114300" distR="114300">
                  <wp:extent cx="2800350" cy="2099945"/>
                  <wp:effectExtent l="0" t="0" r="0" b="14605"/>
                  <wp:docPr id="15" name="图片 15" descr="厂区现状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厂区现状图2"/>
                          <pic:cNvPicPr>
                            <a:picLocks noChangeAspect="1"/>
                          </pic:cNvPicPr>
                        </pic:nvPicPr>
                        <pic:blipFill>
                          <a:blip r:embed="rId43"/>
                          <a:stretch>
                            <a:fillRect/>
                          </a:stretch>
                        </pic:blipFill>
                        <pic:spPr>
                          <a:xfrm>
                            <a:off x="0" y="0"/>
                            <a:ext cx="2800350" cy="2099945"/>
                          </a:xfrm>
                          <a:prstGeom prst="rect">
                            <a:avLst/>
                          </a:prstGeom>
                        </pic:spPr>
                      </pic:pic>
                    </a:graphicData>
                  </a:graphic>
                </wp:inline>
              </w:drawing>
            </w:r>
          </w:p>
        </w:tc>
        <w:tc>
          <w:tcPr>
            <w:tcW w:w="1677" w:type="pct"/>
            <w:noWrap w:val="0"/>
            <w:vAlign w:val="top"/>
          </w:tcPr>
          <w:p w14:paraId="1F6A989B">
            <w:pPr>
              <w:spacing w:line="240" w:lineRule="auto"/>
              <w:ind w:left="0" w:leftChars="0" w:firstLine="0" w:firstLineChars="0"/>
              <w:rPr>
                <w:rFonts w:hint="default" w:ascii="Times New Roman" w:hAnsi="Times New Roman" w:eastAsia="宋体" w:cs="Times New Roman"/>
                <w:b/>
                <w:bCs/>
                <w:color w:val="auto"/>
                <w:sz w:val="24"/>
                <w:szCs w:val="24"/>
                <w:highlight w:val="none"/>
                <w:vertAlign w:val="baseline"/>
                <w:lang w:eastAsia="zh-CN"/>
              </w:rPr>
            </w:pPr>
            <w:r>
              <w:rPr>
                <w:rFonts w:hint="default" w:ascii="Times New Roman" w:hAnsi="Times New Roman" w:eastAsia="宋体" w:cs="Times New Roman"/>
                <w:b/>
                <w:bCs/>
                <w:color w:val="auto"/>
                <w:sz w:val="24"/>
                <w:szCs w:val="24"/>
                <w:highlight w:val="none"/>
                <w:vertAlign w:val="baseline"/>
                <w:lang w:eastAsia="zh-CN"/>
              </w:rPr>
              <w:drawing>
                <wp:inline distT="0" distB="0" distL="114300" distR="114300">
                  <wp:extent cx="2861310" cy="2145665"/>
                  <wp:effectExtent l="0" t="0" r="15240" b="6985"/>
                  <wp:docPr id="16" name="图片 16" descr="厂外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厂外南"/>
                          <pic:cNvPicPr>
                            <a:picLocks noChangeAspect="1"/>
                          </pic:cNvPicPr>
                        </pic:nvPicPr>
                        <pic:blipFill>
                          <a:blip r:embed="rId44"/>
                          <a:stretch>
                            <a:fillRect/>
                          </a:stretch>
                        </pic:blipFill>
                        <pic:spPr>
                          <a:xfrm>
                            <a:off x="0" y="0"/>
                            <a:ext cx="2861310" cy="2145665"/>
                          </a:xfrm>
                          <a:prstGeom prst="rect">
                            <a:avLst/>
                          </a:prstGeom>
                        </pic:spPr>
                      </pic:pic>
                    </a:graphicData>
                  </a:graphic>
                </wp:inline>
              </w:drawing>
            </w:r>
          </w:p>
        </w:tc>
        <w:tc>
          <w:tcPr>
            <w:tcW w:w="1677" w:type="pct"/>
            <w:noWrap w:val="0"/>
            <w:vAlign w:val="top"/>
          </w:tcPr>
          <w:p w14:paraId="649A72D7">
            <w:pPr>
              <w:spacing w:line="240" w:lineRule="auto"/>
              <w:ind w:left="0" w:leftChars="0" w:firstLine="0" w:firstLineChars="0"/>
              <w:rPr>
                <w:rFonts w:hint="default" w:ascii="Times New Roman" w:hAnsi="Times New Roman" w:eastAsia="宋体" w:cs="Times New Roman"/>
                <w:color w:val="auto"/>
                <w:sz w:val="24"/>
                <w:szCs w:val="24"/>
                <w:highlight w:val="none"/>
                <w:vertAlign w:val="baseline"/>
                <w:lang w:eastAsia="zh-CN"/>
              </w:rPr>
            </w:pPr>
            <w:r>
              <w:rPr>
                <w:rFonts w:hint="default" w:ascii="Times New Roman" w:hAnsi="Times New Roman" w:eastAsia="宋体" w:cs="Times New Roman"/>
                <w:color w:val="auto"/>
                <w:sz w:val="24"/>
                <w:szCs w:val="24"/>
                <w:highlight w:val="none"/>
                <w:vertAlign w:val="baseline"/>
                <w:lang w:eastAsia="zh-CN"/>
              </w:rPr>
              <w:drawing>
                <wp:inline distT="0" distB="0" distL="114300" distR="114300">
                  <wp:extent cx="2861310" cy="2145665"/>
                  <wp:effectExtent l="0" t="0" r="15240" b="6985"/>
                  <wp:docPr id="17" name="图片 17" descr="厂外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厂外北"/>
                          <pic:cNvPicPr>
                            <a:picLocks noChangeAspect="1"/>
                          </pic:cNvPicPr>
                        </pic:nvPicPr>
                        <pic:blipFill>
                          <a:blip r:embed="rId45"/>
                          <a:stretch>
                            <a:fillRect/>
                          </a:stretch>
                        </pic:blipFill>
                        <pic:spPr>
                          <a:xfrm>
                            <a:off x="0" y="0"/>
                            <a:ext cx="2861310" cy="2145665"/>
                          </a:xfrm>
                          <a:prstGeom prst="rect">
                            <a:avLst/>
                          </a:prstGeom>
                        </pic:spPr>
                      </pic:pic>
                    </a:graphicData>
                  </a:graphic>
                </wp:inline>
              </w:drawing>
            </w:r>
          </w:p>
        </w:tc>
      </w:tr>
      <w:tr w14:paraId="4E609915">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rPr>
          <w:trHeight w:val="297" w:hRule="atLeast"/>
        </w:trPr>
        <w:tc>
          <w:tcPr>
            <w:tcW w:w="1645" w:type="pct"/>
            <w:tcBorders>
              <w:bottom w:val="single" w:color="000000" w:sz="12" w:space="0"/>
            </w:tcBorders>
            <w:noWrap w:val="0"/>
            <w:vAlign w:val="top"/>
          </w:tcPr>
          <w:p w14:paraId="338E825C">
            <w:pPr>
              <w:spacing w:line="240" w:lineRule="auto"/>
              <w:jc w:val="center"/>
              <w:rPr>
                <w:rFonts w:hint="default" w:ascii="Times New Roman" w:hAnsi="Times New Roman" w:cs="Times New Roman"/>
                <w:color w:val="auto"/>
                <w:sz w:val="24"/>
                <w:szCs w:val="24"/>
                <w:highlight w:val="none"/>
                <w:vertAlign w:val="baseline"/>
              </w:rPr>
            </w:pPr>
            <w:r>
              <w:rPr>
                <w:rFonts w:hint="default" w:ascii="Times New Roman" w:hAnsi="Times New Roman" w:cs="Times New Roman"/>
                <w:b/>
                <w:bCs/>
                <w:color w:val="auto"/>
                <w:sz w:val="24"/>
                <w:szCs w:val="24"/>
                <w:highlight w:val="none"/>
                <w:lang w:val="en-US" w:eastAsia="zh-CN"/>
              </w:rPr>
              <w:t>项目区</w:t>
            </w:r>
          </w:p>
        </w:tc>
        <w:tc>
          <w:tcPr>
            <w:tcW w:w="1677" w:type="pct"/>
            <w:tcBorders>
              <w:bottom w:val="single" w:color="000000" w:sz="12" w:space="0"/>
            </w:tcBorders>
            <w:noWrap w:val="0"/>
            <w:vAlign w:val="top"/>
          </w:tcPr>
          <w:p w14:paraId="19A56B1B">
            <w:pPr>
              <w:spacing w:line="240" w:lineRule="auto"/>
              <w:jc w:val="center"/>
              <w:rPr>
                <w:rFonts w:hint="default" w:ascii="Times New Roman" w:hAnsi="Times New Roman" w:cs="Times New Roman"/>
                <w:color w:val="auto"/>
                <w:sz w:val="24"/>
                <w:szCs w:val="24"/>
                <w:highlight w:val="none"/>
                <w:vertAlign w:val="baseline"/>
              </w:rPr>
            </w:pPr>
            <w:r>
              <w:rPr>
                <w:rFonts w:hint="default" w:ascii="Times New Roman" w:hAnsi="Times New Roman" w:cs="Times New Roman"/>
                <w:b/>
                <w:bCs/>
                <w:color w:val="auto"/>
                <w:sz w:val="24"/>
                <w:szCs w:val="24"/>
                <w:highlight w:val="none"/>
                <w:lang w:val="en-US" w:eastAsia="zh-CN"/>
              </w:rPr>
              <w:t>项目南侧</w:t>
            </w:r>
          </w:p>
        </w:tc>
        <w:tc>
          <w:tcPr>
            <w:tcW w:w="1677" w:type="pct"/>
            <w:tcBorders>
              <w:bottom w:val="single" w:color="000000" w:sz="12" w:space="0"/>
            </w:tcBorders>
            <w:noWrap w:val="0"/>
            <w:vAlign w:val="top"/>
          </w:tcPr>
          <w:p w14:paraId="5C37B09C">
            <w:pPr>
              <w:spacing w:line="240" w:lineRule="auto"/>
              <w:jc w:val="center"/>
              <w:rPr>
                <w:rFonts w:hint="default" w:ascii="Times New Roman" w:hAnsi="Times New Roman" w:cs="Times New Roman"/>
                <w:color w:val="auto"/>
                <w:sz w:val="24"/>
                <w:szCs w:val="24"/>
                <w:highlight w:val="none"/>
                <w:vertAlign w:val="baseline"/>
              </w:rPr>
            </w:pPr>
            <w:r>
              <w:rPr>
                <w:rFonts w:hint="default" w:ascii="Times New Roman" w:hAnsi="Times New Roman" w:cs="Times New Roman"/>
                <w:b/>
                <w:bCs/>
                <w:color w:val="auto"/>
                <w:sz w:val="24"/>
                <w:szCs w:val="24"/>
                <w:highlight w:val="none"/>
                <w:lang w:val="en-US" w:eastAsia="zh-CN"/>
              </w:rPr>
              <w:t>项目北侧</w:t>
            </w:r>
          </w:p>
        </w:tc>
      </w:tr>
      <w:tr w14:paraId="338DFC74">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5000" w:type="pct"/>
            <w:gridSpan w:val="3"/>
            <w:tcBorders>
              <w:top w:val="single" w:color="000000" w:sz="12" w:space="0"/>
            </w:tcBorders>
            <w:noWrap w:val="0"/>
            <w:vAlign w:val="top"/>
          </w:tcPr>
          <w:p w14:paraId="05631CE7">
            <w:pPr>
              <w:jc w:val="center"/>
              <w:rPr>
                <w:rFonts w:hint="default" w:ascii="Times New Roman" w:hAnsi="Times New Roman" w:cs="Times New Roman"/>
                <w:color w:val="auto"/>
                <w:highlight w:val="none"/>
                <w:vertAlign w:val="baseline"/>
              </w:rPr>
            </w:pPr>
            <w:r>
              <w:rPr>
                <w:rFonts w:hint="default" w:ascii="Times New Roman" w:hAnsi="Times New Roman" w:cs="Times New Roman"/>
                <w:b/>
                <w:bCs/>
                <w:color w:val="auto"/>
                <w:sz w:val="30"/>
                <w:szCs w:val="30"/>
                <w:highlight w:val="none"/>
                <w:lang w:val="en-US" w:eastAsia="zh-CN"/>
              </w:rPr>
              <w:t>现场踏勘照片</w:t>
            </w:r>
          </w:p>
        </w:tc>
      </w:tr>
      <w:tr w14:paraId="4452E4B7">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CellMar>
            <w:top w:w="0" w:type="dxa"/>
            <w:left w:w="108" w:type="dxa"/>
            <w:bottom w:w="0" w:type="dxa"/>
            <w:right w:w="108" w:type="dxa"/>
          </w:tblCellMar>
        </w:tblPrEx>
        <w:tc>
          <w:tcPr>
            <w:tcW w:w="5000" w:type="pct"/>
            <w:gridSpan w:val="3"/>
            <w:tcBorders>
              <w:top w:val="single" w:color="000000" w:sz="12" w:space="0"/>
            </w:tcBorders>
            <w:noWrap w:val="0"/>
            <w:vAlign w:val="top"/>
          </w:tcPr>
          <w:p w14:paraId="589DB902">
            <w:pPr>
              <w:pStyle w:val="2"/>
              <w:spacing w:line="240" w:lineRule="auto"/>
              <w:jc w:val="center"/>
              <w:rPr>
                <w:rFonts w:hint="default"/>
                <w:color w:val="auto"/>
                <w:lang w:val="en-US" w:eastAsia="zh-CN"/>
              </w:rPr>
            </w:pPr>
            <w:r>
              <w:rPr>
                <w:color w:val="auto"/>
              </w:rPr>
              <w:drawing>
                <wp:anchor distT="0" distB="0" distL="114300" distR="114300" simplePos="0" relativeHeight="251679744" behindDoc="0" locked="0" layoutInCell="1" allowOverlap="1">
                  <wp:simplePos x="0" y="0"/>
                  <wp:positionH relativeFrom="column">
                    <wp:posOffset>8024495</wp:posOffset>
                  </wp:positionH>
                  <wp:positionV relativeFrom="paragraph">
                    <wp:posOffset>19050</wp:posOffset>
                  </wp:positionV>
                  <wp:extent cx="657225" cy="838200"/>
                  <wp:effectExtent l="0" t="0" r="9525" b="0"/>
                  <wp:wrapNone/>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46"/>
                          <a:stretch>
                            <a:fillRect/>
                          </a:stretch>
                        </pic:blipFill>
                        <pic:spPr>
                          <a:xfrm>
                            <a:off x="0" y="0"/>
                            <a:ext cx="657225" cy="83820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4377690</wp:posOffset>
                      </wp:positionH>
                      <wp:positionV relativeFrom="paragraph">
                        <wp:posOffset>1242695</wp:posOffset>
                      </wp:positionV>
                      <wp:extent cx="1083945" cy="289560"/>
                      <wp:effectExtent l="6350" t="6350" r="14605" b="980440"/>
                      <wp:wrapNone/>
                      <wp:docPr id="22" name="矩形标注 22"/>
                      <wp:cNvGraphicFramePr/>
                      <a:graphic xmlns:a="http://schemas.openxmlformats.org/drawingml/2006/main">
                        <a:graphicData uri="http://schemas.microsoft.com/office/word/2010/wordprocessingShape">
                          <wps:wsp>
                            <wps:cNvSpPr/>
                            <wps:spPr>
                              <a:xfrm>
                                <a:off x="5183505" y="3070225"/>
                                <a:ext cx="1083945" cy="289560"/>
                              </a:xfrm>
                              <a:prstGeom prst="wedgeRectCallout">
                                <a:avLst>
                                  <a:gd name="adj1" fmla="val -35377"/>
                                  <a:gd name="adj2" fmla="val 368678"/>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B8C2050">
                                  <w:pPr>
                                    <w:jc w:val="center"/>
                                    <w:rPr>
                                      <w:rFonts w:hint="default"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4.7pt;margin-top:97.85pt;height:22.8pt;width:85.35pt;z-index:251667456;v-text-anchor:middle;mso-width-relative:page;mso-height-relative:page;" filled="f" stroked="t" coordsize="21600,21600" o:gfxdata="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MR/WUTZAAAACwEAAA8AAAAAAAAAAQAg&#10;AAAAIgAAAGRycy9kb3ducmV2LnhtbFBLAQIUABQAAAAIAIdO4kDeRn4duAIAAEkFAAAOAAAAAAAA&#10;AAEAIAAAACgBAABkcnMvZTJvRG9jLnhtbFBLBQYAAAAABgAGAFkBAABSBgAAAAA=&#10;" adj="3159,90434">
                      <v:fill on="f" focussize="0,0"/>
                      <v:stroke weight="1pt" color="#000000 [3213]" miterlimit="8" joinstyle="miter"/>
                      <v:imagedata o:title=""/>
                      <o:lock v:ext="edit" aspectratio="f"/>
                      <v:textbox>
                        <w:txbxContent>
                          <w:p w14:paraId="4B8C2050">
                            <w:pPr>
                              <w:jc w:val="center"/>
                              <w:rPr>
                                <w:rFonts w:hint="default" w:eastAsia="宋体"/>
                                <w:color w:val="FF0000"/>
                                <w:lang w:val="en-US" w:eastAsia="zh-CN"/>
                              </w:rPr>
                            </w:pPr>
                            <w:r>
                              <w:rPr>
                                <w:rFonts w:hint="eastAsia"/>
                                <w:color w:val="FF0000"/>
                                <w:lang w:val="en-US" w:eastAsia="zh-CN"/>
                              </w:rPr>
                              <w:t>项目所在地</w:t>
                            </w:r>
                          </w:p>
                        </w:txbxContent>
                      </v:textbox>
                    </v:shape>
                  </w:pict>
                </mc:Fallback>
              </mc:AlternateContent>
            </w:r>
            <w:r>
              <w:rPr>
                <w:color w:val="auto"/>
              </w:rPr>
              <w:drawing>
                <wp:inline distT="0" distB="0" distL="114300" distR="114300">
                  <wp:extent cx="8361045" cy="4500880"/>
                  <wp:effectExtent l="0" t="0" r="1905" b="1397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7"/>
                          <a:stretch>
                            <a:fillRect/>
                          </a:stretch>
                        </pic:blipFill>
                        <pic:spPr>
                          <a:xfrm>
                            <a:off x="0" y="0"/>
                            <a:ext cx="8361045" cy="4500880"/>
                          </a:xfrm>
                          <a:prstGeom prst="rect">
                            <a:avLst/>
                          </a:prstGeom>
                          <a:noFill/>
                          <a:ln>
                            <a:noFill/>
                          </a:ln>
                        </pic:spPr>
                      </pic:pic>
                    </a:graphicData>
                  </a:graphic>
                </wp:inline>
              </w:drawing>
            </w:r>
          </w:p>
        </w:tc>
      </w:tr>
    </w:tbl>
    <w:p w14:paraId="60E759E2">
      <w:pPr>
        <w:jc w:val="center"/>
        <w:rPr>
          <w:rFonts w:hint="default" w:ascii="Times New Roman" w:hAnsi="Times New Roman" w:cs="Times New Roman"/>
          <w:b/>
          <w:bCs/>
          <w:color w:val="auto"/>
          <w:sz w:val="30"/>
          <w:szCs w:val="30"/>
          <w:highlight w:val="none"/>
          <w:lang w:val="en-US" w:eastAsia="zh-CN"/>
        </w:rPr>
        <w:sectPr>
          <w:pgSz w:w="16838" w:h="11906" w:orient="landscape"/>
          <w:pgMar w:top="1800" w:right="1440" w:bottom="1800" w:left="1440" w:header="851" w:footer="992" w:gutter="0"/>
          <w:cols w:space="425" w:num="1"/>
          <w:docGrid w:type="lines" w:linePitch="312" w:charSpace="0"/>
        </w:sectPr>
      </w:pPr>
      <w:r>
        <w:rPr>
          <w:rFonts w:hint="default" w:ascii="Times New Roman" w:hAnsi="Times New Roman" w:cs="Times New Roman"/>
          <w:b/>
          <w:bCs/>
          <w:color w:val="auto"/>
          <w:sz w:val="30"/>
          <w:szCs w:val="30"/>
          <w:highlight w:val="none"/>
          <w:lang w:val="en-US" w:eastAsia="zh-CN"/>
        </w:rPr>
        <w:t>附图1     项目地理位置图</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4EDBB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030" w:hRule="atLeast"/>
        </w:trPr>
        <w:tc>
          <w:tcPr>
            <w:tcW w:w="5000" w:type="pct"/>
            <w:noWrap w:val="0"/>
            <w:vAlign w:val="top"/>
          </w:tcPr>
          <w:p w14:paraId="2BF40679">
            <w:pPr>
              <w:ind w:left="0" w:leftChars="0" w:firstLine="0" w:firstLineChars="0"/>
              <w:jc w:val="center"/>
              <w:rPr>
                <w:rFonts w:hint="default" w:ascii="Times New Roman" w:hAnsi="Times New Roman" w:cs="Times New Roman"/>
                <w:b/>
                <w:bCs/>
                <w:color w:val="auto"/>
                <w:sz w:val="30"/>
                <w:szCs w:val="30"/>
                <w:highlight w:val="none"/>
                <w:vertAlign w:val="baseline"/>
                <w:lang w:val="en-US" w:eastAsia="zh-CN"/>
              </w:rPr>
            </w:pPr>
            <w:r>
              <w:rPr>
                <w:color w:val="auto"/>
              </w:rPr>
              <w:drawing>
                <wp:anchor distT="0" distB="0" distL="114300" distR="114300" simplePos="0" relativeHeight="251678720" behindDoc="0" locked="0" layoutInCell="1" allowOverlap="1">
                  <wp:simplePos x="0" y="0"/>
                  <wp:positionH relativeFrom="column">
                    <wp:posOffset>7828280</wp:posOffset>
                  </wp:positionH>
                  <wp:positionV relativeFrom="paragraph">
                    <wp:posOffset>88265</wp:posOffset>
                  </wp:positionV>
                  <wp:extent cx="657225" cy="838200"/>
                  <wp:effectExtent l="0" t="0" r="9525" b="0"/>
                  <wp:wrapNone/>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46"/>
                          <a:stretch>
                            <a:fillRect/>
                          </a:stretch>
                        </pic:blipFill>
                        <pic:spPr>
                          <a:xfrm>
                            <a:off x="0" y="0"/>
                            <a:ext cx="657225" cy="83820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6214110</wp:posOffset>
                      </wp:positionH>
                      <wp:positionV relativeFrom="paragraph">
                        <wp:posOffset>1885950</wp:posOffset>
                      </wp:positionV>
                      <wp:extent cx="1207770" cy="1736725"/>
                      <wp:effectExtent l="4445" t="4445" r="6985" b="11430"/>
                      <wp:wrapNone/>
                      <wp:docPr id="32" name="文本框 32"/>
                      <wp:cNvGraphicFramePr/>
                      <a:graphic xmlns:a="http://schemas.openxmlformats.org/drawingml/2006/main">
                        <a:graphicData uri="http://schemas.microsoft.com/office/word/2010/wordprocessingShape">
                          <wps:wsp>
                            <wps:cNvSpPr txBox="1"/>
                            <wps:spPr>
                              <a:xfrm>
                                <a:off x="0" y="0"/>
                                <a:ext cx="1207770" cy="173672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F70D4D">
                                  <w:pPr>
                                    <w:rPr>
                                      <w:rFonts w:hint="eastAsia"/>
                                      <w:b/>
                                      <w:bCs/>
                                      <w:sz w:val="36"/>
                                      <w:szCs w:val="44"/>
                                      <w:lang w:val="en-US" w:eastAsia="zh-CN"/>
                                    </w:rPr>
                                  </w:pPr>
                                  <w:r>
                                    <w:rPr>
                                      <w:rFonts w:hint="eastAsia"/>
                                      <w:b/>
                                      <w:bCs/>
                                      <w:sz w:val="36"/>
                                      <w:szCs w:val="44"/>
                                      <w:lang w:val="en-US" w:eastAsia="zh-CN"/>
                                    </w:rPr>
                                    <w:t>新疆泰佳欣机械设备制造有限公司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9.3pt;margin-top:148.5pt;height:136.75pt;width:95.1pt;z-index:251670528;mso-width-relative:page;mso-height-relative:page;" filled="f" stroked="t" coordsize="21600,21600" o:gfxdata="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eabR63AAA&#10;AAwBAAAPAAAAAAAAAAEAIAAAACIAAABkcnMvZG93bnJldi54bWxQSwECFAAUAAAACACHTuJABxBl&#10;7FMCAACRBAAADgAAAAAAAAABACAAAAArAQAAZHJzL2Uyb0RvYy54bWxQSwUGAAAAAAYABgBZAQAA&#10;8AUAAAAA&#10;">
                      <v:fill on="f" focussize="0,0"/>
                      <v:stroke weight="0.5pt" color="#000000 [3204]" joinstyle="round"/>
                      <v:imagedata o:title=""/>
                      <o:lock v:ext="edit" aspectratio="f"/>
                      <v:textbox>
                        <w:txbxContent>
                          <w:p w14:paraId="2FF70D4D">
                            <w:pPr>
                              <w:rPr>
                                <w:rFonts w:hint="eastAsia"/>
                                <w:b/>
                                <w:bCs/>
                                <w:sz w:val="36"/>
                                <w:szCs w:val="44"/>
                                <w:lang w:val="en-US" w:eastAsia="zh-CN"/>
                              </w:rPr>
                            </w:pPr>
                            <w:r>
                              <w:rPr>
                                <w:rFonts w:hint="eastAsia"/>
                                <w:b/>
                                <w:bCs/>
                                <w:sz w:val="36"/>
                                <w:szCs w:val="44"/>
                                <w:lang w:val="en-US" w:eastAsia="zh-CN"/>
                              </w:rPr>
                              <w:t>新疆泰佳欣机械设备制造有限公司</w:t>
                            </w:r>
                          </w:p>
                        </w:txbxContent>
                      </v:textbox>
                    </v:shape>
                  </w:pict>
                </mc:Fallback>
              </mc:AlternateContent>
            </w: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2582545</wp:posOffset>
                      </wp:positionH>
                      <wp:positionV relativeFrom="paragraph">
                        <wp:posOffset>1313815</wp:posOffset>
                      </wp:positionV>
                      <wp:extent cx="2753360" cy="2069465"/>
                      <wp:effectExtent l="6350" t="6350" r="21590" b="19685"/>
                      <wp:wrapNone/>
                      <wp:docPr id="29" name="矩形 29"/>
                      <wp:cNvGraphicFramePr/>
                      <a:graphic xmlns:a="http://schemas.openxmlformats.org/drawingml/2006/main">
                        <a:graphicData uri="http://schemas.microsoft.com/office/word/2010/wordprocessingShape">
                          <wps:wsp>
                            <wps:cNvSpPr/>
                            <wps:spPr>
                              <a:xfrm>
                                <a:off x="5073015" y="2827655"/>
                                <a:ext cx="2753360" cy="2069465"/>
                              </a:xfrm>
                              <a:prstGeom prst="rect">
                                <a:avLst/>
                              </a:prstGeom>
                              <a:noFill/>
                            </wps:spPr>
                            <wps:style>
                              <a:lnRef idx="3">
                                <a:schemeClr val="accent1"/>
                              </a:lnRef>
                              <a:fillRef idx="0">
                                <a:srgbClr val="FFFFFF"/>
                              </a:fillRef>
                              <a:effectRef idx="0">
                                <a:srgbClr val="FFFFFF"/>
                              </a:effectRef>
                              <a:fontRef idx="minor">
                                <a:schemeClr val="tx1"/>
                              </a:fontRef>
                            </wps:style>
                            <wps:txbx>
                              <w:txbxContent>
                                <w:p w14:paraId="13DEB89A">
                                  <w:pPr>
                                    <w:jc w:val="center"/>
                                    <w:rPr>
                                      <w:rFonts w:hint="eastAsia" w:eastAsia="宋体"/>
                                      <w:b/>
                                      <w:bCs/>
                                      <w:color w:val="FF0000"/>
                                      <w:sz w:val="60"/>
                                      <w:szCs w:val="96"/>
                                      <w:lang w:val="en-US" w:eastAsia="zh-CN"/>
                                    </w:rPr>
                                  </w:pPr>
                                  <w:r>
                                    <w:rPr>
                                      <w:rFonts w:hint="eastAsia"/>
                                      <w:b/>
                                      <w:bCs/>
                                      <w:color w:val="FF0000"/>
                                      <w:sz w:val="60"/>
                                      <w:szCs w:val="96"/>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3.35pt;margin-top:103.45pt;height:162.95pt;width:216.8pt;z-index:251668480;v-text-anchor:middle;mso-width-relative:page;mso-height-relative:page;" filled="f" stroked="t" coordsize="21600,21600" o:gfxdata="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XsP+BdkAAAAL&#10;AQAADwAAAAAAAAABACAAAAAiAAAAZHJzL2Rvd25yZXYueG1sUEsBAhQAFAAAAAgAh07iQMv9g1rG&#10;AgAAhAUAAA4AAAAAAAAAAQAgAAAAKAEAAGRycy9lMm9Eb2MueG1sUEsFBgAAAAAGAAYAWQEAAGAG&#10;AAAAAA==&#10;">
                      <v:fill on="f" focussize="0,0"/>
                      <v:stroke weight="1pt" color="#000000" miterlimit="8" joinstyle="miter"/>
                      <v:imagedata o:title=""/>
                      <o:lock v:ext="edit" aspectratio="f"/>
                      <v:textbox>
                        <w:txbxContent>
                          <w:p w14:paraId="13DEB89A">
                            <w:pPr>
                              <w:jc w:val="center"/>
                              <w:rPr>
                                <w:rFonts w:hint="eastAsia" w:eastAsia="宋体"/>
                                <w:b/>
                                <w:bCs/>
                                <w:color w:val="FF0000"/>
                                <w:sz w:val="60"/>
                                <w:szCs w:val="96"/>
                                <w:lang w:val="en-US" w:eastAsia="zh-CN"/>
                              </w:rPr>
                            </w:pPr>
                            <w:r>
                              <w:rPr>
                                <w:rFonts w:hint="eastAsia"/>
                                <w:b/>
                                <w:bCs/>
                                <w:color w:val="FF0000"/>
                                <w:sz w:val="60"/>
                                <w:szCs w:val="96"/>
                                <w:lang w:val="en-US" w:eastAsia="zh-CN"/>
                              </w:rPr>
                              <w:t>项目所在地</w:t>
                            </w:r>
                          </w:p>
                        </w:txbxContent>
                      </v:textbox>
                    </v:rect>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2784475</wp:posOffset>
                      </wp:positionH>
                      <wp:positionV relativeFrom="paragraph">
                        <wp:posOffset>3756025</wp:posOffset>
                      </wp:positionV>
                      <wp:extent cx="1951990" cy="889000"/>
                      <wp:effectExtent l="4445" t="5080" r="5715" b="20320"/>
                      <wp:wrapNone/>
                      <wp:docPr id="34" name="文本框 34"/>
                      <wp:cNvGraphicFramePr/>
                      <a:graphic xmlns:a="http://schemas.openxmlformats.org/drawingml/2006/main">
                        <a:graphicData uri="http://schemas.microsoft.com/office/word/2010/wordprocessingShape">
                          <wps:wsp>
                            <wps:cNvSpPr txBox="1"/>
                            <wps:spPr>
                              <a:xfrm>
                                <a:off x="0" y="0"/>
                                <a:ext cx="1951990" cy="88900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7EB179">
                                  <w:pPr>
                                    <w:jc w:val="center"/>
                                    <w:rPr>
                                      <w:rFonts w:hint="default" w:eastAsia="宋体"/>
                                      <w:b/>
                                      <w:bCs/>
                                      <w:sz w:val="60"/>
                                      <w:szCs w:val="96"/>
                                      <w:lang w:val="en-US" w:eastAsia="zh-CN"/>
                                    </w:rPr>
                                  </w:pPr>
                                  <w:r>
                                    <w:rPr>
                                      <w:rFonts w:hint="eastAsia"/>
                                      <w:b/>
                                      <w:bCs/>
                                      <w:sz w:val="60"/>
                                      <w:szCs w:val="96"/>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25pt;margin-top:295.75pt;height:70pt;width:153.7pt;z-index:251672576;mso-width-relative:page;mso-height-relative:page;" filled="f" stroked="t" coordsize="21600,21600" o:gfxdata="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QfY4BtsAAAAL&#10;AQAADwAAAAAAAAABACAAAAAiAAAAZHJzL2Rvd25yZXYueG1sUEsBAhQAFAAAAAgAh07iQCZYIutS&#10;AgAAkAQAAA4AAAAAAAAAAQAgAAAAKgEAAGRycy9lMm9Eb2MueG1sUEsFBgAAAAAGAAYAWQEAAO4F&#10;AAAAAA==&#10;">
                      <v:fill on="f" focussize="0,0"/>
                      <v:stroke weight="0.5pt" color="#000000 [3204]" joinstyle="round"/>
                      <v:imagedata o:title=""/>
                      <o:lock v:ext="edit" aspectratio="f"/>
                      <v:textbox>
                        <w:txbxContent>
                          <w:p w14:paraId="2A7EB179">
                            <w:pPr>
                              <w:jc w:val="center"/>
                              <w:rPr>
                                <w:rFonts w:hint="default" w:eastAsia="宋体"/>
                                <w:b/>
                                <w:bCs/>
                                <w:sz w:val="60"/>
                                <w:szCs w:val="96"/>
                                <w:lang w:val="en-US" w:eastAsia="zh-CN"/>
                              </w:rPr>
                            </w:pPr>
                            <w:r>
                              <w:rPr>
                                <w:rFonts w:hint="eastAsia"/>
                                <w:b/>
                                <w:bCs/>
                                <w:sz w:val="60"/>
                                <w:szCs w:val="96"/>
                                <w:lang w:val="en-US" w:eastAsia="zh-CN"/>
                              </w:rPr>
                              <w:t>空地</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751205</wp:posOffset>
                      </wp:positionH>
                      <wp:positionV relativeFrom="paragraph">
                        <wp:posOffset>888365</wp:posOffset>
                      </wp:positionV>
                      <wp:extent cx="723265" cy="1595755"/>
                      <wp:effectExtent l="4445" t="4445" r="15240" b="19050"/>
                      <wp:wrapNone/>
                      <wp:docPr id="31" name="文本框 31"/>
                      <wp:cNvGraphicFramePr/>
                      <a:graphic xmlns:a="http://schemas.openxmlformats.org/drawingml/2006/main">
                        <a:graphicData uri="http://schemas.microsoft.com/office/word/2010/wordprocessingShape">
                          <wps:wsp>
                            <wps:cNvSpPr txBox="1"/>
                            <wps:spPr>
                              <a:xfrm>
                                <a:off x="4389120" y="2192655"/>
                                <a:ext cx="723265" cy="159575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370F1C7">
                                  <w:pPr>
                                    <w:spacing w:line="360" w:lineRule="auto"/>
                                    <w:rPr>
                                      <w:rFonts w:hint="default" w:eastAsia="宋体"/>
                                      <w:b/>
                                      <w:bCs/>
                                      <w:sz w:val="72"/>
                                      <w:szCs w:val="112"/>
                                      <w:lang w:val="en-US" w:eastAsia="zh-CN"/>
                                    </w:rPr>
                                  </w:pPr>
                                  <w:r>
                                    <w:rPr>
                                      <w:rFonts w:hint="eastAsia"/>
                                      <w:b/>
                                      <w:bCs/>
                                      <w:sz w:val="72"/>
                                      <w:szCs w:val="112"/>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15pt;margin-top:69.95pt;height:125.65pt;width:56.95pt;z-index:251669504;mso-width-relative:page;mso-height-relative:page;" filled="f" stroked="t" coordsize="21600,21600" o:gfxdata="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P8MgtsAAAALAQAADwAAAAAAAAABACAAAAAiAAAAZHJzL2Rvd25yZXYueG1sUEsBAhQAFAAA&#10;AAgAh07iQLO2opReAgAAnAQAAA4AAAAAAAAAAQAgAAAAKgEAAGRycy9lMm9Eb2MueG1sUEsFBgAA&#10;AAAGAAYAWQEAAPoFAAAAAA==&#10;">
                      <v:fill on="f" focussize="0,0"/>
                      <v:stroke weight="0.5pt" color="#000000 [3204]" joinstyle="round"/>
                      <v:imagedata o:title=""/>
                      <o:lock v:ext="edit" aspectratio="f"/>
                      <v:textbox>
                        <w:txbxContent>
                          <w:p w14:paraId="7370F1C7">
                            <w:pPr>
                              <w:spacing w:line="360" w:lineRule="auto"/>
                              <w:rPr>
                                <w:rFonts w:hint="default" w:eastAsia="宋体"/>
                                <w:b/>
                                <w:bCs/>
                                <w:sz w:val="72"/>
                                <w:szCs w:val="112"/>
                                <w:lang w:val="en-US" w:eastAsia="zh-CN"/>
                              </w:rPr>
                            </w:pPr>
                            <w:r>
                              <w:rPr>
                                <w:rFonts w:hint="eastAsia"/>
                                <w:b/>
                                <w:bCs/>
                                <w:sz w:val="72"/>
                                <w:szCs w:val="112"/>
                                <w:lang w:val="en-US" w:eastAsia="zh-CN"/>
                              </w:rPr>
                              <w:t>空地</w:t>
                            </w:r>
                          </w:p>
                        </w:txbxContent>
                      </v:textbox>
                    </v:shape>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3622040</wp:posOffset>
                      </wp:positionH>
                      <wp:positionV relativeFrom="paragraph">
                        <wp:posOffset>460375</wp:posOffset>
                      </wp:positionV>
                      <wp:extent cx="868045" cy="488315"/>
                      <wp:effectExtent l="5080" t="4445" r="22225" b="21590"/>
                      <wp:wrapNone/>
                      <wp:docPr id="33" name="文本框 33"/>
                      <wp:cNvGraphicFramePr/>
                      <a:graphic xmlns:a="http://schemas.openxmlformats.org/drawingml/2006/main">
                        <a:graphicData uri="http://schemas.microsoft.com/office/word/2010/wordprocessingShape">
                          <wps:wsp>
                            <wps:cNvSpPr txBox="1"/>
                            <wps:spPr>
                              <a:xfrm>
                                <a:off x="0" y="0"/>
                                <a:ext cx="868045" cy="488315"/>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A53369">
                                  <w:pPr>
                                    <w:jc w:val="center"/>
                                    <w:rPr>
                                      <w:rFonts w:hint="default" w:eastAsia="宋体"/>
                                      <w:b/>
                                      <w:bCs/>
                                      <w:sz w:val="36"/>
                                      <w:szCs w:val="44"/>
                                      <w:lang w:val="en-US" w:eastAsia="zh-CN"/>
                                    </w:rPr>
                                  </w:pPr>
                                  <w:r>
                                    <w:rPr>
                                      <w:rFonts w:hint="eastAsia"/>
                                      <w:b/>
                                      <w:bCs/>
                                      <w:sz w:val="36"/>
                                      <w:szCs w:val="44"/>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2pt;margin-top:36.25pt;height:38.45pt;width:68.35pt;z-index:251671552;mso-width-relative:page;mso-height-relative:page;" filled="f" stroked="t" coordsize="21600,21600" o:gfxdata="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iD2bI2gAAAAoB&#10;AAAPAAAAAAAAAAEAIAAAACIAAABkcnMvZG93bnJldi54bWxQSwECFAAUAAAACACHTuJAPB3umVIC&#10;AACPBAAADgAAAAAAAAABACAAAAApAQAAZHJzL2Uyb0RvYy54bWxQSwUGAAAAAAYABgBZAQAA7QUA&#10;AAAA&#10;">
                      <v:fill on="f" focussize="0,0"/>
                      <v:stroke weight="0.5pt" color="#000000 [3204]" joinstyle="round"/>
                      <v:imagedata o:title=""/>
                      <o:lock v:ext="edit" aspectratio="f"/>
                      <v:textbox>
                        <w:txbxContent>
                          <w:p w14:paraId="45A53369">
                            <w:pPr>
                              <w:jc w:val="center"/>
                              <w:rPr>
                                <w:rFonts w:hint="default" w:eastAsia="宋体"/>
                                <w:b/>
                                <w:bCs/>
                                <w:sz w:val="36"/>
                                <w:szCs w:val="44"/>
                                <w:lang w:val="en-US" w:eastAsia="zh-CN"/>
                              </w:rPr>
                            </w:pPr>
                            <w:r>
                              <w:rPr>
                                <w:rFonts w:hint="eastAsia"/>
                                <w:b/>
                                <w:bCs/>
                                <w:sz w:val="36"/>
                                <w:szCs w:val="44"/>
                                <w:lang w:val="en-US" w:eastAsia="zh-CN"/>
                              </w:rPr>
                              <w:t>空地</w:t>
                            </w:r>
                          </w:p>
                        </w:txbxContent>
                      </v:textbox>
                    </v:shape>
                  </w:pict>
                </mc:Fallback>
              </mc:AlternateContent>
            </w:r>
            <w:r>
              <w:rPr>
                <w:color w:val="auto"/>
              </w:rPr>
              <w:drawing>
                <wp:inline distT="0" distB="0" distL="114300" distR="114300">
                  <wp:extent cx="8672830" cy="4668520"/>
                  <wp:effectExtent l="0" t="0" r="13970" b="1778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48"/>
                          <a:stretch>
                            <a:fillRect/>
                          </a:stretch>
                        </pic:blipFill>
                        <pic:spPr>
                          <a:xfrm>
                            <a:off x="0" y="0"/>
                            <a:ext cx="8672830" cy="4668520"/>
                          </a:xfrm>
                          <a:prstGeom prst="rect">
                            <a:avLst/>
                          </a:prstGeom>
                          <a:noFill/>
                          <a:ln>
                            <a:noFill/>
                          </a:ln>
                        </pic:spPr>
                      </pic:pic>
                    </a:graphicData>
                  </a:graphic>
                </wp:inline>
              </w:drawing>
            </w:r>
            <w:r>
              <w:rPr>
                <w:rFonts w:hint="default" w:ascii="Times New Roman" w:hAnsi="Times New Roman" w:cs="Times New Roman"/>
                <w:color w:val="auto"/>
                <w:highlight w:val="none"/>
              </w:rPr>
              <w:br w:type="page"/>
            </w:r>
          </w:p>
        </w:tc>
      </w:tr>
    </w:tbl>
    <w:p w14:paraId="0F8E9269">
      <w:pPr>
        <w:jc w:val="center"/>
        <w:rPr>
          <w:rFonts w:hint="default" w:ascii="Times New Roman" w:hAnsi="Times New Roman" w:cs="Times New Roman"/>
          <w:b/>
          <w:bCs/>
          <w:color w:val="auto"/>
          <w:sz w:val="30"/>
          <w:szCs w:val="30"/>
          <w:highlight w:val="none"/>
          <w:lang w:val="en-US" w:eastAsia="zh-CN"/>
        </w:rPr>
      </w:pPr>
      <w:r>
        <w:rPr>
          <w:rFonts w:hint="default" w:ascii="Times New Roman" w:hAnsi="Times New Roman" w:cs="Times New Roman"/>
          <w:b/>
          <w:bCs/>
          <w:color w:val="auto"/>
          <w:sz w:val="30"/>
          <w:szCs w:val="30"/>
          <w:highlight w:val="none"/>
          <w:lang w:val="en-US" w:eastAsia="zh-CN"/>
        </w:rPr>
        <w:t>附图2    项目周边关系图</w:t>
      </w:r>
    </w:p>
    <w:p w14:paraId="12F1A15D">
      <w:pPr>
        <w:pStyle w:val="2"/>
        <w:rPr>
          <w:rFonts w:hint="default"/>
          <w:color w:val="auto"/>
          <w:lang w:val="en-US" w:eastAsia="zh-CN"/>
        </w:rPr>
        <w:sectPr>
          <w:pgSz w:w="16838" w:h="11906" w:orient="landscape"/>
          <w:pgMar w:top="1800" w:right="1440" w:bottom="1800" w:left="1440" w:header="851" w:footer="992" w:gutter="0"/>
          <w:cols w:space="425" w:num="1"/>
          <w:docGrid w:type="lines" w:linePitch="312" w:charSpace="0"/>
        </w:sectPr>
      </w:pP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1E645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noWrap w:val="0"/>
            <w:vAlign w:val="center"/>
          </w:tcPr>
          <w:p w14:paraId="3E131996">
            <w:pPr>
              <w:pStyle w:val="59"/>
              <w:ind w:left="0" w:leftChars="0" w:firstLine="0" w:firstLineChars="0"/>
              <w:jc w:val="center"/>
              <w:rPr>
                <w:rFonts w:hint="default" w:ascii="Times New Roman" w:hAnsi="Times New Roman" w:cs="Times New Roman"/>
                <w:b/>
                <w:bCs/>
                <w:color w:val="auto"/>
                <w:sz w:val="30"/>
                <w:szCs w:val="30"/>
                <w:highlight w:val="none"/>
                <w:vertAlign w:val="baseline"/>
                <w:lang w:val="en-US" w:eastAsia="zh-CN"/>
              </w:rPr>
            </w:pPr>
            <w:r>
              <w:rPr>
                <w:color w:val="auto"/>
              </w:rPr>
              <w:drawing>
                <wp:anchor distT="0" distB="0" distL="114300" distR="114300" simplePos="0" relativeHeight="251677696" behindDoc="0" locked="0" layoutInCell="1" allowOverlap="1">
                  <wp:simplePos x="0" y="0"/>
                  <wp:positionH relativeFrom="column">
                    <wp:posOffset>8108950</wp:posOffset>
                  </wp:positionH>
                  <wp:positionV relativeFrom="paragraph">
                    <wp:posOffset>76200</wp:posOffset>
                  </wp:positionV>
                  <wp:extent cx="657225" cy="838200"/>
                  <wp:effectExtent l="0" t="0" r="9525" b="0"/>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46"/>
                          <a:stretch>
                            <a:fillRect/>
                          </a:stretch>
                        </pic:blipFill>
                        <pic:spPr>
                          <a:xfrm>
                            <a:off x="0" y="0"/>
                            <a:ext cx="657225" cy="838200"/>
                          </a:xfrm>
                          <a:prstGeom prst="rect">
                            <a:avLst/>
                          </a:prstGeom>
                          <a:noFill/>
                          <a:ln>
                            <a:noFill/>
                          </a:ln>
                        </pic:spPr>
                      </pic:pic>
                    </a:graphicData>
                  </a:graphic>
                </wp:anchor>
              </w:drawing>
            </w:r>
            <w:r>
              <w:rPr>
                <w:color w:val="auto"/>
              </w:rPr>
              <w:drawing>
                <wp:inline distT="0" distB="0" distL="114300" distR="114300">
                  <wp:extent cx="6793865" cy="4224020"/>
                  <wp:effectExtent l="0" t="0" r="6985" b="508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49"/>
                          <a:stretch>
                            <a:fillRect/>
                          </a:stretch>
                        </pic:blipFill>
                        <pic:spPr>
                          <a:xfrm>
                            <a:off x="0" y="0"/>
                            <a:ext cx="6793865" cy="4224020"/>
                          </a:xfrm>
                          <a:prstGeom prst="rect">
                            <a:avLst/>
                          </a:prstGeom>
                          <a:noFill/>
                          <a:ln>
                            <a:noFill/>
                          </a:ln>
                        </pic:spPr>
                      </pic:pic>
                    </a:graphicData>
                  </a:graphic>
                </wp:inline>
              </w:drawing>
            </w:r>
          </w:p>
        </w:tc>
      </w:tr>
    </w:tbl>
    <w:p w14:paraId="184AB5A1">
      <w:pPr>
        <w:pStyle w:val="10"/>
        <w:ind w:left="0" w:leftChars="0" w:firstLine="0" w:firstLineChars="0"/>
        <w:jc w:val="center"/>
        <w:rPr>
          <w:rFonts w:hint="default" w:ascii="Times New Roman" w:hAnsi="Times New Roman" w:cs="Times New Roman"/>
          <w:b/>
          <w:bCs/>
          <w:color w:val="auto"/>
          <w:sz w:val="30"/>
          <w:szCs w:val="30"/>
          <w:highlight w:val="none"/>
          <w:lang w:val="en-US" w:eastAsia="zh-CN"/>
        </w:rPr>
      </w:pPr>
      <w:r>
        <w:rPr>
          <w:rFonts w:hint="default" w:ascii="Times New Roman" w:hAnsi="Times New Roman" w:cs="Times New Roman"/>
          <w:b/>
          <w:bCs/>
          <w:color w:val="auto"/>
          <w:sz w:val="30"/>
          <w:szCs w:val="30"/>
          <w:highlight w:val="none"/>
          <w:lang w:val="en-US" w:eastAsia="zh-CN"/>
        </w:rPr>
        <w:t>附图3     项目平面布置图</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26029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center"/>
          </w:tcPr>
          <w:p w14:paraId="685C33CB">
            <w:pPr>
              <w:pStyle w:val="59"/>
              <w:ind w:left="0" w:leftChars="0" w:firstLine="0" w:firstLineChars="0"/>
              <w:jc w:val="center"/>
              <w:rPr>
                <w:rFonts w:hint="default" w:ascii="Times New Roman" w:hAnsi="Times New Roman" w:cs="Times New Roman"/>
                <w:b/>
                <w:bCs/>
                <w:color w:val="auto"/>
                <w:sz w:val="30"/>
                <w:szCs w:val="30"/>
                <w:highlight w:val="none"/>
                <w:vertAlign w:val="baseline"/>
                <w:lang w:val="en-US" w:eastAsia="zh-CN"/>
              </w:rPr>
            </w:pPr>
            <w:r>
              <w:rPr>
                <w:color w:val="auto"/>
              </w:rPr>
              <w:drawing>
                <wp:inline distT="0" distB="0" distL="114300" distR="114300">
                  <wp:extent cx="7150735" cy="4540885"/>
                  <wp:effectExtent l="0" t="0" r="12065" b="1206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50"/>
                          <a:stretch>
                            <a:fillRect/>
                          </a:stretch>
                        </pic:blipFill>
                        <pic:spPr>
                          <a:xfrm>
                            <a:off x="0" y="0"/>
                            <a:ext cx="7150735" cy="4540885"/>
                          </a:xfrm>
                          <a:prstGeom prst="rect">
                            <a:avLst/>
                          </a:prstGeom>
                          <a:noFill/>
                          <a:ln>
                            <a:noFill/>
                          </a:ln>
                        </pic:spPr>
                      </pic:pic>
                    </a:graphicData>
                  </a:graphic>
                </wp:inline>
              </w:drawing>
            </w:r>
            <w:r>
              <w:rPr>
                <w:color w:val="auto"/>
              </w:rPr>
              <w:drawing>
                <wp:anchor distT="0" distB="0" distL="114300" distR="114300" simplePos="0" relativeHeight="251680768" behindDoc="0" locked="0" layoutInCell="1" allowOverlap="1">
                  <wp:simplePos x="0" y="0"/>
                  <wp:positionH relativeFrom="column">
                    <wp:posOffset>8108950</wp:posOffset>
                  </wp:positionH>
                  <wp:positionV relativeFrom="paragraph">
                    <wp:posOffset>76200</wp:posOffset>
                  </wp:positionV>
                  <wp:extent cx="657225" cy="838200"/>
                  <wp:effectExtent l="0" t="0" r="9525" b="0"/>
                  <wp:wrapNone/>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46"/>
                          <a:stretch>
                            <a:fillRect/>
                          </a:stretch>
                        </pic:blipFill>
                        <pic:spPr>
                          <a:xfrm>
                            <a:off x="0" y="0"/>
                            <a:ext cx="657225" cy="838200"/>
                          </a:xfrm>
                          <a:prstGeom prst="rect">
                            <a:avLst/>
                          </a:prstGeom>
                          <a:noFill/>
                          <a:ln>
                            <a:noFill/>
                          </a:ln>
                        </pic:spPr>
                      </pic:pic>
                    </a:graphicData>
                  </a:graphic>
                </wp:anchor>
              </w:drawing>
            </w:r>
          </w:p>
        </w:tc>
      </w:tr>
    </w:tbl>
    <w:p w14:paraId="4396365F">
      <w:pPr>
        <w:pStyle w:val="10"/>
        <w:ind w:left="0" w:leftChars="0" w:firstLine="0" w:firstLineChars="0"/>
        <w:jc w:val="center"/>
        <w:rPr>
          <w:rFonts w:hint="default" w:ascii="Times New Roman" w:hAnsi="Times New Roman" w:cs="Times New Roman"/>
          <w:b/>
          <w:bCs/>
          <w:color w:val="auto"/>
          <w:sz w:val="30"/>
          <w:szCs w:val="30"/>
          <w:highlight w:val="none"/>
          <w:lang w:val="en-US" w:eastAsia="zh-CN"/>
        </w:rPr>
        <w:sectPr>
          <w:pgSz w:w="16838" w:h="11906" w:orient="landscape"/>
          <w:pgMar w:top="1800" w:right="1440" w:bottom="1800" w:left="1440" w:header="851" w:footer="992" w:gutter="0"/>
          <w:cols w:space="425" w:num="1"/>
          <w:docGrid w:type="lines" w:linePitch="312" w:charSpace="0"/>
        </w:sectPr>
      </w:pPr>
      <w:r>
        <w:rPr>
          <w:rFonts w:hint="default" w:ascii="Times New Roman" w:hAnsi="Times New Roman" w:cs="Times New Roman"/>
          <w:b/>
          <w:bCs/>
          <w:color w:val="auto"/>
          <w:sz w:val="30"/>
          <w:szCs w:val="30"/>
          <w:highlight w:val="none"/>
          <w:lang w:val="en-US" w:eastAsia="zh-CN"/>
        </w:rPr>
        <w:t>附图</w:t>
      </w:r>
      <w:r>
        <w:rPr>
          <w:rFonts w:hint="eastAsia" w:cs="Times New Roman"/>
          <w:b/>
          <w:bCs/>
          <w:color w:val="auto"/>
          <w:sz w:val="30"/>
          <w:szCs w:val="30"/>
          <w:highlight w:val="none"/>
          <w:lang w:val="en-US" w:eastAsia="zh-CN"/>
        </w:rPr>
        <w:t>4</w:t>
      </w:r>
      <w:r>
        <w:rPr>
          <w:rFonts w:hint="default" w:ascii="Times New Roman" w:hAnsi="Times New Roman" w:cs="Times New Roman"/>
          <w:b/>
          <w:bCs/>
          <w:color w:val="auto"/>
          <w:sz w:val="30"/>
          <w:szCs w:val="30"/>
          <w:highlight w:val="none"/>
          <w:lang w:val="en-US" w:eastAsia="zh-CN"/>
        </w:rPr>
        <w:t xml:space="preserve">     </w:t>
      </w:r>
      <w:r>
        <w:rPr>
          <w:rFonts w:hint="eastAsia" w:cs="Times New Roman"/>
          <w:b/>
          <w:bCs/>
          <w:color w:val="auto"/>
          <w:sz w:val="30"/>
          <w:szCs w:val="30"/>
          <w:highlight w:val="none"/>
          <w:lang w:val="en-US" w:eastAsia="zh-CN"/>
        </w:rPr>
        <w:t>分区防渗</w:t>
      </w:r>
      <w:r>
        <w:rPr>
          <w:rFonts w:hint="default" w:ascii="Times New Roman" w:hAnsi="Times New Roman" w:cs="Times New Roman"/>
          <w:b/>
          <w:bCs/>
          <w:color w:val="auto"/>
          <w:sz w:val="30"/>
          <w:szCs w:val="30"/>
          <w:highlight w:val="none"/>
          <w:lang w:val="en-US" w:eastAsia="zh-CN"/>
        </w:rPr>
        <w:t>图</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74BC9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6" w:hRule="atLeast"/>
        </w:trPr>
        <w:tc>
          <w:tcPr>
            <w:tcW w:w="14174" w:type="dxa"/>
            <w:noWrap w:val="0"/>
            <w:vAlign w:val="top"/>
          </w:tcPr>
          <w:p w14:paraId="734052EE">
            <w:pPr>
              <w:pStyle w:val="2"/>
              <w:spacing w:line="360" w:lineRule="auto"/>
              <w:jc w:val="center"/>
              <w:rPr>
                <w:rFonts w:hint="eastAsia" w:eastAsia="宋体"/>
                <w:color w:val="auto"/>
                <w:lang w:val="en-US" w:eastAsia="zh-CN"/>
              </w:rPr>
            </w:pP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5090160</wp:posOffset>
                      </wp:positionH>
                      <wp:positionV relativeFrom="paragraph">
                        <wp:posOffset>1336675</wp:posOffset>
                      </wp:positionV>
                      <wp:extent cx="1685290" cy="397510"/>
                      <wp:effectExtent l="859790" t="12700" r="26670" b="904240"/>
                      <wp:wrapNone/>
                      <wp:docPr id="48" name="圆角矩形标注 48"/>
                      <wp:cNvGraphicFramePr/>
                      <a:graphic xmlns:a="http://schemas.openxmlformats.org/drawingml/2006/main">
                        <a:graphicData uri="http://schemas.microsoft.com/office/word/2010/wordprocessingShape">
                          <wps:wsp>
                            <wps:cNvSpPr/>
                            <wps:spPr>
                              <a:xfrm>
                                <a:off x="0" y="0"/>
                                <a:ext cx="1685290" cy="397510"/>
                              </a:xfrm>
                              <a:prstGeom prst="wedgeRoundRectCallout">
                                <a:avLst>
                                  <a:gd name="adj1" fmla="val -100263"/>
                                  <a:gd name="adj2" fmla="val 272843"/>
                                  <a:gd name="adj3" fmla="val 16667"/>
                                </a:avLst>
                              </a:prstGeom>
                              <a:solidFill>
                                <a:srgbClr val="FFFFFF"/>
                              </a:solidFill>
                              <a:ln w="25400" cap="flat" cmpd="sng" algn="ctr">
                                <a:solidFill>
                                  <a:srgbClr val="FF0000"/>
                                </a:solidFill>
                                <a:prstDash val="solid"/>
                              </a:ln>
                              <a:effectLst/>
                            </wps:spPr>
                            <wps:txbx>
                              <w:txbxContent>
                                <w:p w14:paraId="3C9600F2">
                                  <w:pPr>
                                    <w:jc w:val="center"/>
                                    <w:rPr>
                                      <w:rFonts w:hint="eastAsia" w:eastAsia="宋体"/>
                                      <w:b/>
                                      <w:bCs/>
                                      <w:color w:val="000000"/>
                                      <w:sz w:val="24"/>
                                      <w:szCs w:val="32"/>
                                      <w:lang w:val="en-US" w:eastAsia="zh-CN"/>
                                    </w:rPr>
                                  </w:pPr>
                                  <w:r>
                                    <w:rPr>
                                      <w:rFonts w:hint="eastAsia"/>
                                      <w:b/>
                                      <w:bCs/>
                                      <w:color w:val="000000"/>
                                      <w:sz w:val="24"/>
                                      <w:szCs w:val="32"/>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62" type="#_x0000_t62" style="position:absolute;left:0pt;margin-left:400.8pt;margin-top:105.25pt;height:31.3pt;width:132.7pt;z-index:251673600;v-text-anchor:middle;mso-width-relative:page;mso-height-relative:page;" fillcolor="#FFFFFF" filled="t" stroked="t" coordsize="21600,21600" o:gfxdata="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JUeBw1wAAAAwB&#10;AAAPAAAAAAAAAAEAIAAAACIAAABkcnMvZG93bnJldi54bWxQSwECFAAUAAAACACHTuJA1sCWX8cC&#10;AACZBQAADgAAAAAAAAABACAAAAAmAQAAZHJzL2Uyb0RvYy54bWxQSwUGAAAAAAYABgBZAQAAXwYA&#10;AAAA&#10;" adj="-10857,69734,14400">
                      <v:fill on="t" focussize="0,0"/>
                      <v:stroke weight="2pt" color="#FF0000" joinstyle="round"/>
                      <v:imagedata o:title=""/>
                      <o:lock v:ext="edit" aspectratio="f"/>
                      <v:textbox>
                        <w:txbxContent>
                          <w:p w14:paraId="3C9600F2">
                            <w:pPr>
                              <w:jc w:val="center"/>
                              <w:rPr>
                                <w:rFonts w:hint="eastAsia" w:eastAsia="宋体"/>
                                <w:b/>
                                <w:bCs/>
                                <w:color w:val="000000"/>
                                <w:sz w:val="24"/>
                                <w:szCs w:val="32"/>
                                <w:lang w:val="en-US" w:eastAsia="zh-CN"/>
                              </w:rPr>
                            </w:pPr>
                            <w:r>
                              <w:rPr>
                                <w:rFonts w:hint="eastAsia"/>
                                <w:b/>
                                <w:bCs/>
                                <w:color w:val="000000"/>
                                <w:sz w:val="24"/>
                                <w:szCs w:val="32"/>
                                <w:lang w:val="en-US" w:eastAsia="zh-CN"/>
                              </w:rPr>
                              <w:t>项目所在地</w:t>
                            </w:r>
                          </w:p>
                        </w:txbxContent>
                      </v:textbox>
                    </v:shape>
                  </w:pict>
                </mc:Fallback>
              </mc:AlternateContent>
            </w:r>
            <w:r>
              <w:rPr>
                <w:rFonts w:hint="eastAsia" w:cstheme="minorBidi"/>
                <w:color w:val="auto"/>
                <w:kern w:val="2"/>
                <w:sz w:val="21"/>
                <w:szCs w:val="24"/>
                <w:vertAlign w:val="baseline"/>
                <w:lang w:val="en-US" w:eastAsia="zh-CN" w:bidi="ar-SA"/>
              </w:rPr>
              <w:drawing>
                <wp:inline distT="0" distB="0" distL="114300" distR="114300">
                  <wp:extent cx="7320280" cy="4159885"/>
                  <wp:effectExtent l="0" t="0" r="13970" b="12065"/>
                  <wp:docPr id="43" name="图片 4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片4"/>
                          <pic:cNvPicPr>
                            <a:picLocks noChangeAspect="1"/>
                          </pic:cNvPicPr>
                        </pic:nvPicPr>
                        <pic:blipFill>
                          <a:blip r:embed="rId51"/>
                          <a:stretch>
                            <a:fillRect/>
                          </a:stretch>
                        </pic:blipFill>
                        <pic:spPr>
                          <a:xfrm>
                            <a:off x="0" y="0"/>
                            <a:ext cx="7320280" cy="4159885"/>
                          </a:xfrm>
                          <a:prstGeom prst="rect">
                            <a:avLst/>
                          </a:prstGeom>
                        </pic:spPr>
                      </pic:pic>
                    </a:graphicData>
                  </a:graphic>
                </wp:inline>
              </w:drawing>
            </w:r>
          </w:p>
          <w:p w14:paraId="754D5C86">
            <w:pPr>
              <w:pStyle w:val="2"/>
              <w:spacing w:line="360" w:lineRule="auto"/>
              <w:jc w:val="center"/>
              <w:rPr>
                <w:color w:val="auto"/>
              </w:rPr>
            </w:pPr>
          </w:p>
          <w:p w14:paraId="12F76EAD">
            <w:pPr>
              <w:tabs>
                <w:tab w:val="left" w:pos="4691"/>
              </w:tabs>
              <w:bidi w:val="0"/>
              <w:jc w:val="left"/>
              <w:rPr>
                <w:rFonts w:hint="eastAsia"/>
                <w:color w:val="auto"/>
                <w:lang w:val="en-US" w:eastAsia="zh-CN"/>
              </w:rPr>
            </w:pPr>
          </w:p>
        </w:tc>
      </w:tr>
    </w:tbl>
    <w:p w14:paraId="25059DCC">
      <w:pPr>
        <w:jc w:val="center"/>
        <w:rPr>
          <w:rFonts w:hint="default" w:ascii="Times New Roman" w:hAnsi="Times New Roman" w:cs="Times New Roman"/>
          <w:b/>
          <w:bCs w:val="0"/>
          <w:color w:val="auto"/>
          <w:sz w:val="30"/>
          <w:szCs w:val="30"/>
          <w:highlight w:val="none"/>
        </w:rPr>
      </w:pPr>
      <w:r>
        <w:rPr>
          <w:rFonts w:hint="default" w:ascii="Times New Roman" w:hAnsi="Times New Roman" w:cs="Times New Roman"/>
          <w:b/>
          <w:bCs w:val="0"/>
          <w:color w:val="auto"/>
          <w:sz w:val="30"/>
          <w:szCs w:val="30"/>
          <w:highlight w:val="none"/>
          <w:lang w:val="en-US" w:eastAsia="zh-CN"/>
        </w:rPr>
        <w:t>附图</w:t>
      </w:r>
      <w:r>
        <w:rPr>
          <w:rFonts w:hint="eastAsia" w:cs="Times New Roman"/>
          <w:b/>
          <w:bCs w:val="0"/>
          <w:color w:val="auto"/>
          <w:sz w:val="30"/>
          <w:szCs w:val="30"/>
          <w:highlight w:val="none"/>
          <w:lang w:val="en-US" w:eastAsia="zh-CN"/>
        </w:rPr>
        <w:t>5</w:t>
      </w:r>
      <w:r>
        <w:rPr>
          <w:rFonts w:hint="default" w:ascii="Times New Roman" w:hAnsi="Times New Roman" w:cs="Times New Roman"/>
          <w:b/>
          <w:bCs w:val="0"/>
          <w:color w:val="auto"/>
          <w:sz w:val="30"/>
          <w:szCs w:val="30"/>
          <w:highlight w:val="none"/>
          <w:lang w:val="en-US" w:eastAsia="zh-CN"/>
        </w:rPr>
        <w:t xml:space="preserve">    </w:t>
      </w:r>
      <w:r>
        <w:rPr>
          <w:rFonts w:hint="default" w:ascii="Times New Roman" w:hAnsi="Times New Roman" w:cs="Times New Roman"/>
          <w:b/>
          <w:bCs w:val="0"/>
          <w:color w:val="auto"/>
          <w:sz w:val="30"/>
          <w:szCs w:val="30"/>
          <w:highlight w:val="none"/>
        </w:rPr>
        <w:t>项目环境管控单元图</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14:paraId="1CD93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0" w:type="pct"/>
            <w:noWrap w:val="0"/>
            <w:vAlign w:val="top"/>
          </w:tcPr>
          <w:p w14:paraId="4F938E58">
            <w:pPr>
              <w:pStyle w:val="2"/>
              <w:spacing w:line="360" w:lineRule="auto"/>
              <w:jc w:val="center"/>
              <w:rPr>
                <w:rFonts w:hint="eastAsia" w:eastAsia="宋体"/>
                <w:color w:val="auto"/>
                <w:lang w:val="en-US" w:eastAsia="zh-CN"/>
              </w:rPr>
            </w:pP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5455285</wp:posOffset>
                      </wp:positionH>
                      <wp:positionV relativeFrom="paragraph">
                        <wp:posOffset>623570</wp:posOffset>
                      </wp:positionV>
                      <wp:extent cx="1685290" cy="397510"/>
                      <wp:effectExtent l="859790" t="12700" r="26670" b="904240"/>
                      <wp:wrapNone/>
                      <wp:docPr id="27" name="圆角矩形标注 27"/>
                      <wp:cNvGraphicFramePr/>
                      <a:graphic xmlns:a="http://schemas.openxmlformats.org/drawingml/2006/main">
                        <a:graphicData uri="http://schemas.microsoft.com/office/word/2010/wordprocessingShape">
                          <wps:wsp>
                            <wps:cNvSpPr/>
                            <wps:spPr>
                              <a:xfrm>
                                <a:off x="0" y="0"/>
                                <a:ext cx="1685290" cy="397510"/>
                              </a:xfrm>
                              <a:prstGeom prst="wedgeRoundRectCallout">
                                <a:avLst>
                                  <a:gd name="adj1" fmla="val -100263"/>
                                  <a:gd name="adj2" fmla="val 272843"/>
                                  <a:gd name="adj3" fmla="val 16667"/>
                                </a:avLst>
                              </a:prstGeom>
                              <a:solidFill>
                                <a:srgbClr val="FFFFFF"/>
                              </a:solidFill>
                              <a:ln w="25400" cap="flat" cmpd="sng" algn="ctr">
                                <a:solidFill>
                                  <a:srgbClr val="FF0000"/>
                                </a:solidFill>
                                <a:prstDash val="solid"/>
                              </a:ln>
                              <a:effectLst/>
                            </wps:spPr>
                            <wps:txbx>
                              <w:txbxContent>
                                <w:p w14:paraId="56AB47A8">
                                  <w:pPr>
                                    <w:jc w:val="center"/>
                                    <w:rPr>
                                      <w:rFonts w:hint="eastAsia" w:eastAsia="宋体"/>
                                      <w:b/>
                                      <w:bCs/>
                                      <w:color w:val="000000"/>
                                      <w:sz w:val="24"/>
                                      <w:szCs w:val="32"/>
                                      <w:lang w:val="en-US" w:eastAsia="zh-CN"/>
                                    </w:rPr>
                                  </w:pPr>
                                  <w:r>
                                    <w:rPr>
                                      <w:rFonts w:hint="eastAsia"/>
                                      <w:b/>
                                      <w:bCs/>
                                      <w:color w:val="000000"/>
                                      <w:sz w:val="24"/>
                                      <w:szCs w:val="32"/>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62" type="#_x0000_t62" style="position:absolute;left:0pt;margin-left:429.55pt;margin-top:49.1pt;height:31.3pt;width:132.7pt;z-index:251674624;v-text-anchor:middle;mso-width-relative:page;mso-height-relative:page;" fillcolor="#FFFFFF" filled="t" stroked="t" coordsize="21600,21600" o:gfxdata="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BGWQPj1wAAAAsB&#10;AAAPAAAAAAAAAAEAIAAAACIAAABkcnMvZG93bnJldi54bWxQSwECFAAUAAAACACHTuJA/P3znscC&#10;AACZBQAADgAAAAAAAAABACAAAAAmAQAAZHJzL2Uyb0RvYy54bWxQSwUGAAAAAAYABgBZAQAAXwYA&#10;AAAA&#10;" adj="-10857,69734,14400">
                      <v:fill on="t" focussize="0,0"/>
                      <v:stroke weight="2pt" color="#FF0000" joinstyle="round"/>
                      <v:imagedata o:title=""/>
                      <o:lock v:ext="edit" aspectratio="f"/>
                      <v:textbox>
                        <w:txbxContent>
                          <w:p w14:paraId="56AB47A8">
                            <w:pPr>
                              <w:jc w:val="center"/>
                              <w:rPr>
                                <w:rFonts w:hint="eastAsia" w:eastAsia="宋体"/>
                                <w:b/>
                                <w:bCs/>
                                <w:color w:val="000000"/>
                                <w:sz w:val="24"/>
                                <w:szCs w:val="32"/>
                                <w:lang w:val="en-US" w:eastAsia="zh-CN"/>
                              </w:rPr>
                            </w:pPr>
                            <w:r>
                              <w:rPr>
                                <w:rFonts w:hint="eastAsia"/>
                                <w:b/>
                                <w:bCs/>
                                <w:color w:val="000000"/>
                                <w:sz w:val="24"/>
                                <w:szCs w:val="32"/>
                                <w:lang w:val="en-US" w:eastAsia="zh-CN"/>
                              </w:rPr>
                              <w:t>项目所在地</w:t>
                            </w:r>
                          </w:p>
                        </w:txbxContent>
                      </v:textbox>
                    </v:shape>
                  </w:pict>
                </mc:Fallback>
              </mc:AlternateContent>
            </w:r>
            <w:r>
              <w:rPr>
                <w:color w:val="auto"/>
              </w:rPr>
              <w:drawing>
                <wp:inline distT="0" distB="0" distL="114300" distR="114300">
                  <wp:extent cx="8851265" cy="4250055"/>
                  <wp:effectExtent l="0" t="0" r="6985" b="1714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52"/>
                          <a:stretch>
                            <a:fillRect/>
                          </a:stretch>
                        </pic:blipFill>
                        <pic:spPr>
                          <a:xfrm>
                            <a:off x="0" y="0"/>
                            <a:ext cx="8851265" cy="4250055"/>
                          </a:xfrm>
                          <a:prstGeom prst="rect">
                            <a:avLst/>
                          </a:prstGeom>
                          <a:noFill/>
                          <a:ln>
                            <a:noFill/>
                          </a:ln>
                        </pic:spPr>
                      </pic:pic>
                    </a:graphicData>
                  </a:graphic>
                </wp:inline>
              </w:drawing>
            </w:r>
            <w:r>
              <w:rPr>
                <w:color w:val="auto"/>
              </w:rPr>
              <w:drawing>
                <wp:anchor distT="0" distB="0" distL="114300" distR="114300" simplePos="0" relativeHeight="251676672" behindDoc="0" locked="0" layoutInCell="1" allowOverlap="1">
                  <wp:simplePos x="0" y="0"/>
                  <wp:positionH relativeFrom="column">
                    <wp:posOffset>8041640</wp:posOffset>
                  </wp:positionH>
                  <wp:positionV relativeFrom="paragraph">
                    <wp:posOffset>76200</wp:posOffset>
                  </wp:positionV>
                  <wp:extent cx="657225" cy="838200"/>
                  <wp:effectExtent l="0" t="0" r="9525" b="0"/>
                  <wp:wrapNone/>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46"/>
                          <a:stretch>
                            <a:fillRect/>
                          </a:stretch>
                        </pic:blipFill>
                        <pic:spPr>
                          <a:xfrm>
                            <a:off x="0" y="0"/>
                            <a:ext cx="657225" cy="838200"/>
                          </a:xfrm>
                          <a:prstGeom prst="rect">
                            <a:avLst/>
                          </a:prstGeom>
                          <a:noFill/>
                          <a:ln>
                            <a:noFill/>
                          </a:ln>
                        </pic:spPr>
                      </pic:pic>
                    </a:graphicData>
                  </a:graphic>
                </wp:anchor>
              </w:drawing>
            </w:r>
          </w:p>
        </w:tc>
      </w:tr>
    </w:tbl>
    <w:p w14:paraId="7CC159B9">
      <w:pPr>
        <w:jc w:val="center"/>
        <w:rPr>
          <w:rFonts w:hint="default" w:ascii="Times New Roman" w:hAnsi="Times New Roman" w:eastAsia="宋体" w:cs="Times New Roman"/>
          <w:b/>
          <w:bCs w:val="0"/>
          <w:color w:val="auto"/>
          <w:sz w:val="30"/>
          <w:szCs w:val="30"/>
          <w:highlight w:val="none"/>
          <w:lang w:val="en-US" w:eastAsia="zh-CN"/>
        </w:rPr>
      </w:pPr>
      <w:r>
        <w:rPr>
          <w:rFonts w:hint="default" w:ascii="Times New Roman" w:hAnsi="Times New Roman" w:cs="Times New Roman"/>
          <w:b/>
          <w:bCs w:val="0"/>
          <w:color w:val="auto"/>
          <w:sz w:val="30"/>
          <w:szCs w:val="30"/>
          <w:highlight w:val="none"/>
          <w:lang w:val="en-US" w:eastAsia="zh-CN"/>
        </w:rPr>
        <w:t>附图</w:t>
      </w:r>
      <w:r>
        <w:rPr>
          <w:rFonts w:hint="eastAsia" w:cs="Times New Roman"/>
          <w:b/>
          <w:bCs w:val="0"/>
          <w:color w:val="auto"/>
          <w:sz w:val="30"/>
          <w:szCs w:val="30"/>
          <w:highlight w:val="none"/>
          <w:lang w:val="en-US" w:eastAsia="zh-CN"/>
        </w:rPr>
        <w:t>6</w:t>
      </w:r>
      <w:r>
        <w:rPr>
          <w:rFonts w:hint="default" w:ascii="Times New Roman" w:hAnsi="Times New Roman" w:cs="Times New Roman"/>
          <w:b/>
          <w:bCs w:val="0"/>
          <w:color w:val="auto"/>
          <w:sz w:val="30"/>
          <w:szCs w:val="30"/>
          <w:highlight w:val="none"/>
          <w:lang w:val="en-US" w:eastAsia="zh-CN"/>
        </w:rPr>
        <w:t xml:space="preserve">    </w:t>
      </w:r>
      <w:r>
        <w:rPr>
          <w:rFonts w:hint="default" w:ascii="Times New Roman" w:hAnsi="Times New Roman" w:cs="Times New Roman"/>
          <w:b/>
          <w:bCs w:val="0"/>
          <w:color w:val="auto"/>
          <w:sz w:val="30"/>
          <w:szCs w:val="30"/>
          <w:highlight w:val="none"/>
        </w:rPr>
        <w:t>项目</w:t>
      </w:r>
      <w:r>
        <w:rPr>
          <w:rFonts w:hint="eastAsia" w:cs="Times New Roman"/>
          <w:b/>
          <w:bCs w:val="0"/>
          <w:color w:val="auto"/>
          <w:sz w:val="30"/>
          <w:szCs w:val="30"/>
          <w:highlight w:val="none"/>
          <w:lang w:val="en-US" w:eastAsia="zh-CN"/>
        </w:rPr>
        <w:t>与TSP检测点位距离</w:t>
      </w:r>
    </w:p>
    <w:p w14:paraId="3A25CE60">
      <w:pPr>
        <w:pStyle w:val="2"/>
        <w:rPr>
          <w:rFonts w:hint="default"/>
          <w:color w:val="auto"/>
          <w:lang w:val="en-US" w:eastAsia="zh-CN"/>
        </w:rPr>
      </w:pPr>
    </w:p>
    <w:p w14:paraId="287A2DA9">
      <w:pPr>
        <w:rPr>
          <w:color w:val="auto"/>
        </w:rPr>
        <w:sectPr>
          <w:pgSz w:w="16838" w:h="11906" w:orient="landscape"/>
          <w:pgMar w:top="1800" w:right="1440" w:bottom="1800" w:left="1440" w:header="851" w:footer="992" w:gutter="0"/>
          <w:cols w:space="425" w:num="1"/>
          <w:docGrid w:type="lines" w:linePitch="312" w:charSpace="0"/>
        </w:sectPr>
      </w:pP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6EC64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noWrap w:val="0"/>
            <w:vAlign w:val="top"/>
          </w:tcPr>
          <w:p w14:paraId="2DF1AA36">
            <w:pPr>
              <w:pStyle w:val="2"/>
              <w:spacing w:line="360" w:lineRule="auto"/>
              <w:jc w:val="center"/>
              <w:rPr>
                <w:rFonts w:hint="eastAsia" w:eastAsia="宋体"/>
                <w:color w:val="auto"/>
                <w:lang w:val="en-US" w:eastAsia="zh-CN"/>
              </w:rPr>
            </w:pP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3726815</wp:posOffset>
                      </wp:positionH>
                      <wp:positionV relativeFrom="paragraph">
                        <wp:posOffset>3709035</wp:posOffset>
                      </wp:positionV>
                      <wp:extent cx="1685290" cy="397510"/>
                      <wp:effectExtent l="859790" t="12700" r="26670" b="904240"/>
                      <wp:wrapNone/>
                      <wp:docPr id="35" name="圆角矩形标注 35"/>
                      <wp:cNvGraphicFramePr/>
                      <a:graphic xmlns:a="http://schemas.openxmlformats.org/drawingml/2006/main">
                        <a:graphicData uri="http://schemas.microsoft.com/office/word/2010/wordprocessingShape">
                          <wps:wsp>
                            <wps:cNvSpPr/>
                            <wps:spPr>
                              <a:xfrm>
                                <a:off x="0" y="0"/>
                                <a:ext cx="1685290" cy="397510"/>
                              </a:xfrm>
                              <a:prstGeom prst="wedgeRoundRectCallout">
                                <a:avLst>
                                  <a:gd name="adj1" fmla="val -100263"/>
                                  <a:gd name="adj2" fmla="val 272843"/>
                                  <a:gd name="adj3" fmla="val 16667"/>
                                </a:avLst>
                              </a:prstGeom>
                              <a:solidFill>
                                <a:srgbClr val="FFFFFF"/>
                              </a:solidFill>
                              <a:ln w="25400" cap="flat" cmpd="sng" algn="ctr">
                                <a:solidFill>
                                  <a:srgbClr val="FF0000"/>
                                </a:solidFill>
                                <a:prstDash val="solid"/>
                              </a:ln>
                              <a:effectLst/>
                            </wps:spPr>
                            <wps:txbx>
                              <w:txbxContent>
                                <w:p w14:paraId="6DB5DC56">
                                  <w:pPr>
                                    <w:jc w:val="center"/>
                                    <w:rPr>
                                      <w:rFonts w:hint="eastAsia" w:eastAsia="宋体"/>
                                      <w:b/>
                                      <w:bCs/>
                                      <w:color w:val="000000"/>
                                      <w:sz w:val="24"/>
                                      <w:szCs w:val="32"/>
                                      <w:lang w:val="en-US" w:eastAsia="zh-CN"/>
                                    </w:rPr>
                                  </w:pPr>
                                  <w:r>
                                    <w:rPr>
                                      <w:rFonts w:hint="eastAsia"/>
                                      <w:b/>
                                      <w:bCs/>
                                      <w:color w:val="000000"/>
                                      <w:sz w:val="24"/>
                                      <w:szCs w:val="32"/>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upright="0" compatLnSpc="1">
                              <a:noAutofit/>
                            </wps:bodyPr>
                          </wps:wsp>
                        </a:graphicData>
                      </a:graphic>
                    </wp:anchor>
                  </w:drawing>
                </mc:Choice>
                <mc:Fallback>
                  <w:pict>
                    <v:shape id="_x0000_s1026" o:spid="_x0000_s1026" o:spt="62" type="#_x0000_t62" style="position:absolute;left:0pt;margin-left:293.45pt;margin-top:292.05pt;height:31.3pt;width:132.7pt;z-index:251675648;v-text-anchor:middle;mso-width-relative:page;mso-height-relative:page;" fillcolor="#FFFFFF" filled="t" stroked="t" coordsize="21600,21600" o:gfxdata="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J/KabtgAAAAL&#10;AQAADwAAAAAAAAABACAAAAAiAAAAZHJzL2Rvd25yZXYueG1sUEsBAhQAFAAAAAgAh07iQEdZIl/H&#10;AgAAmQUAAA4AAAAAAAAAAQAgAAAAJwEAAGRycy9lMm9Eb2MueG1sUEsFBgAAAAAGAAYAWQEAAGAG&#10;AAAAAA==&#10;" adj="-10857,69734,14400">
                      <v:fill on="t" focussize="0,0"/>
                      <v:stroke weight="2pt" color="#FF0000" joinstyle="round"/>
                      <v:imagedata o:title=""/>
                      <o:lock v:ext="edit" aspectratio="f"/>
                      <v:textbox>
                        <w:txbxContent>
                          <w:p w14:paraId="6DB5DC56">
                            <w:pPr>
                              <w:jc w:val="center"/>
                              <w:rPr>
                                <w:rFonts w:hint="eastAsia" w:eastAsia="宋体"/>
                                <w:b/>
                                <w:bCs/>
                                <w:color w:val="000000"/>
                                <w:sz w:val="24"/>
                                <w:szCs w:val="32"/>
                                <w:lang w:val="en-US" w:eastAsia="zh-CN"/>
                              </w:rPr>
                            </w:pPr>
                            <w:r>
                              <w:rPr>
                                <w:rFonts w:hint="eastAsia"/>
                                <w:b/>
                                <w:bCs/>
                                <w:color w:val="000000"/>
                                <w:sz w:val="24"/>
                                <w:szCs w:val="32"/>
                                <w:lang w:val="en-US" w:eastAsia="zh-CN"/>
                              </w:rPr>
                              <w:t>项目所在地</w:t>
                            </w:r>
                          </w:p>
                        </w:txbxContent>
                      </v:textbox>
                    </v:shape>
                  </w:pict>
                </mc:Fallback>
              </mc:AlternateContent>
            </w:r>
            <w:r>
              <w:rPr>
                <w:color w:val="auto"/>
              </w:rPr>
              <w:drawing>
                <wp:inline distT="0" distB="0" distL="114300" distR="114300">
                  <wp:extent cx="5274310" cy="7081520"/>
                  <wp:effectExtent l="0" t="0" r="2540" b="508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53"/>
                          <a:stretch>
                            <a:fillRect/>
                          </a:stretch>
                        </pic:blipFill>
                        <pic:spPr>
                          <a:xfrm>
                            <a:off x="0" y="0"/>
                            <a:ext cx="5274310" cy="7081520"/>
                          </a:xfrm>
                          <a:prstGeom prst="rect">
                            <a:avLst/>
                          </a:prstGeom>
                          <a:noFill/>
                          <a:ln>
                            <a:noFill/>
                          </a:ln>
                        </pic:spPr>
                      </pic:pic>
                    </a:graphicData>
                  </a:graphic>
                </wp:inline>
              </w:drawing>
            </w:r>
          </w:p>
        </w:tc>
      </w:tr>
    </w:tbl>
    <w:p w14:paraId="5FA54254">
      <w:pPr>
        <w:jc w:val="center"/>
        <w:rPr>
          <w:rFonts w:hint="eastAsia" w:cs="Times New Roman"/>
          <w:b/>
          <w:bCs w:val="0"/>
          <w:color w:val="auto"/>
          <w:sz w:val="30"/>
          <w:szCs w:val="30"/>
          <w:highlight w:val="none"/>
          <w:lang w:val="en-US" w:eastAsia="zh-CN"/>
        </w:rPr>
        <w:sectPr>
          <w:pgSz w:w="11906" w:h="16838"/>
          <w:pgMar w:top="1440" w:right="1800" w:bottom="1440" w:left="1800" w:header="851" w:footer="992" w:gutter="0"/>
          <w:cols w:space="425" w:num="1"/>
          <w:docGrid w:type="lines" w:linePitch="312" w:charSpace="0"/>
        </w:sectPr>
      </w:pPr>
      <w:r>
        <w:rPr>
          <w:rFonts w:hint="default" w:ascii="Times New Roman" w:hAnsi="Times New Roman" w:cs="Times New Roman"/>
          <w:b/>
          <w:bCs w:val="0"/>
          <w:color w:val="auto"/>
          <w:sz w:val="30"/>
          <w:szCs w:val="30"/>
          <w:highlight w:val="none"/>
          <w:lang w:val="en-US" w:eastAsia="zh-CN"/>
        </w:rPr>
        <w:t>附图</w:t>
      </w:r>
      <w:r>
        <w:rPr>
          <w:rFonts w:hint="eastAsia" w:cs="Times New Roman"/>
          <w:b/>
          <w:bCs w:val="0"/>
          <w:color w:val="auto"/>
          <w:sz w:val="30"/>
          <w:szCs w:val="30"/>
          <w:highlight w:val="none"/>
          <w:lang w:val="en-US" w:eastAsia="zh-CN"/>
        </w:rPr>
        <w:t>7</w:t>
      </w:r>
      <w:r>
        <w:rPr>
          <w:rFonts w:hint="default" w:ascii="Times New Roman" w:hAnsi="Times New Roman" w:cs="Times New Roman"/>
          <w:b/>
          <w:bCs w:val="0"/>
          <w:color w:val="auto"/>
          <w:sz w:val="30"/>
          <w:szCs w:val="30"/>
          <w:highlight w:val="none"/>
          <w:lang w:val="en-US" w:eastAsia="zh-CN"/>
        </w:rPr>
        <w:t xml:space="preserve">    </w:t>
      </w:r>
      <w:r>
        <w:rPr>
          <w:rFonts w:hint="eastAsia" w:cs="Times New Roman"/>
          <w:b/>
          <w:bCs w:val="0"/>
          <w:color w:val="auto"/>
          <w:sz w:val="30"/>
          <w:szCs w:val="30"/>
          <w:highlight w:val="none"/>
          <w:lang w:val="en-US" w:eastAsia="zh-CN"/>
        </w:rPr>
        <w:t>总体规划图</w:t>
      </w:r>
    </w:p>
    <w:p w14:paraId="2EA27B78">
      <w:pPr>
        <w:pStyle w:val="2"/>
        <w:jc w:val="center"/>
        <w:rPr>
          <w:rFonts w:hint="default"/>
          <w:color w:val="auto"/>
          <w:lang w:val="en-US" w:eastAsia="zh-CN"/>
        </w:rPr>
      </w:pPr>
      <w:r>
        <w:rPr>
          <w:color w:val="auto"/>
        </w:rPr>
        <w:drawing>
          <wp:anchor distT="0" distB="0" distL="114300" distR="114300" simplePos="0" relativeHeight="251682816" behindDoc="0" locked="0" layoutInCell="1" allowOverlap="1">
            <wp:simplePos x="0" y="0"/>
            <wp:positionH relativeFrom="column">
              <wp:posOffset>7898765</wp:posOffset>
            </wp:positionH>
            <wp:positionV relativeFrom="paragraph">
              <wp:posOffset>161925</wp:posOffset>
            </wp:positionV>
            <wp:extent cx="657225" cy="838200"/>
            <wp:effectExtent l="0" t="0" r="9525" b="0"/>
            <wp:wrapNone/>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46"/>
                    <a:stretch>
                      <a:fillRect/>
                    </a:stretch>
                  </pic:blipFill>
                  <pic:spPr>
                    <a:xfrm>
                      <a:off x="0" y="0"/>
                      <a:ext cx="657225" cy="83820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5659755</wp:posOffset>
                </wp:positionH>
                <wp:positionV relativeFrom="paragraph">
                  <wp:posOffset>734695</wp:posOffset>
                </wp:positionV>
                <wp:extent cx="1412240" cy="468630"/>
                <wp:effectExtent l="6350" t="6350" r="10160" b="1601470"/>
                <wp:wrapNone/>
                <wp:docPr id="38" name="矩形标注 38"/>
                <wp:cNvGraphicFramePr/>
                <a:graphic xmlns:a="http://schemas.openxmlformats.org/drawingml/2006/main">
                  <a:graphicData uri="http://schemas.microsoft.com/office/word/2010/wordprocessingShape">
                    <wps:wsp>
                      <wps:cNvSpPr/>
                      <wps:spPr>
                        <a:xfrm>
                          <a:off x="6954520" y="3512185"/>
                          <a:ext cx="1412240" cy="468630"/>
                        </a:xfrm>
                        <a:prstGeom prst="wedgeRectCallout">
                          <a:avLst>
                            <a:gd name="adj1" fmla="val 0"/>
                            <a:gd name="adj2" fmla="val 378571"/>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D9E5E34">
                            <w:pPr>
                              <w:jc w:val="center"/>
                              <w:rPr>
                                <w:rFonts w:hint="eastAsia" w:eastAsia="宋体"/>
                                <w:color w:val="0000FF"/>
                                <w:sz w:val="36"/>
                                <w:szCs w:val="44"/>
                                <w:lang w:val="en-US" w:eastAsia="zh-CN"/>
                              </w:rPr>
                            </w:pPr>
                            <w:r>
                              <w:rPr>
                                <w:rFonts w:hint="eastAsia"/>
                                <w:color w:val="0000FF"/>
                                <w:sz w:val="36"/>
                                <w:szCs w:val="44"/>
                                <w:lang w:val="en-US" w:eastAsia="zh-CN"/>
                              </w:rPr>
                              <w:t>项目区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45.65pt;margin-top:57.85pt;height:36.9pt;width:111.2pt;z-index:251681792;v-text-anchor:middle;mso-width-relative:page;mso-height-relative:page;" filled="f" stroked="t" coordsize="21600,21600" o:gfxdata="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zUUrjXAAAADAEAAA8AAAAAAAAAAQAgAAAAIgAAAGRycy9k&#10;b3ducmV2LnhtbFBLAQIUABQAAAAIAIdO4kBvueLvrgIAAEQFAAAOAAAAAAAAAAEAIAAAACYBAABk&#10;cnMvZTJvRG9jLnhtbFBLBQYAAAAABgAGAFkBAABGBgAAAAA=&#10;" adj="10800,92571">
                <v:fill on="f" focussize="0,0"/>
                <v:stroke weight="1pt" color="#000000 [3213]" miterlimit="8" joinstyle="miter"/>
                <v:imagedata o:title=""/>
                <o:lock v:ext="edit" aspectratio="f"/>
                <v:textbox>
                  <w:txbxContent>
                    <w:p w14:paraId="1D9E5E34">
                      <w:pPr>
                        <w:jc w:val="center"/>
                        <w:rPr>
                          <w:rFonts w:hint="eastAsia" w:eastAsia="宋体"/>
                          <w:color w:val="0000FF"/>
                          <w:sz w:val="36"/>
                          <w:szCs w:val="44"/>
                          <w:lang w:val="en-US" w:eastAsia="zh-CN"/>
                        </w:rPr>
                      </w:pPr>
                      <w:r>
                        <w:rPr>
                          <w:rFonts w:hint="eastAsia"/>
                          <w:color w:val="0000FF"/>
                          <w:sz w:val="36"/>
                          <w:szCs w:val="44"/>
                          <w:lang w:val="en-US" w:eastAsia="zh-CN"/>
                        </w:rPr>
                        <w:t>项目区</w:t>
                      </w:r>
                    </w:p>
                  </w:txbxContent>
                </v:textbox>
              </v:shape>
            </w:pict>
          </mc:Fallback>
        </mc:AlternateContent>
      </w:r>
      <w:r>
        <w:rPr>
          <w:rFonts w:hint="default"/>
          <w:b/>
          <w:bCs/>
          <w:color w:val="auto"/>
          <w:lang w:val="en-US" w:eastAsia="zh-CN"/>
        </w:rPr>
        <w:drawing>
          <wp:inline distT="0" distB="0" distL="114300" distR="114300">
            <wp:extent cx="6496050" cy="4598035"/>
            <wp:effectExtent l="0" t="0" r="0" b="12065"/>
            <wp:docPr id="39" name="图片 39" descr="6c23a174e3fe440f4b00d2a8b02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6c23a174e3fe440f4b00d2a8b027838"/>
                    <pic:cNvPicPr>
                      <a:picLocks noChangeAspect="1"/>
                    </pic:cNvPicPr>
                  </pic:nvPicPr>
                  <pic:blipFill>
                    <a:blip r:embed="rId54"/>
                    <a:stretch>
                      <a:fillRect/>
                    </a:stretch>
                  </pic:blipFill>
                  <pic:spPr>
                    <a:xfrm>
                      <a:off x="0" y="0"/>
                      <a:ext cx="6496050" cy="4598035"/>
                    </a:xfrm>
                    <a:prstGeom prst="rect">
                      <a:avLst/>
                    </a:prstGeom>
                  </pic:spPr>
                </pic:pic>
              </a:graphicData>
            </a:graphic>
          </wp:inline>
        </w:drawing>
      </w:r>
    </w:p>
    <w:p w14:paraId="38149700">
      <w:pPr>
        <w:jc w:val="center"/>
        <w:rPr>
          <w:rFonts w:hint="eastAsia" w:cs="Times New Roman"/>
          <w:b/>
          <w:bCs w:val="0"/>
          <w:color w:val="auto"/>
          <w:sz w:val="30"/>
          <w:szCs w:val="30"/>
          <w:highlight w:val="none"/>
          <w:lang w:val="en-US" w:eastAsia="zh-CN"/>
        </w:rPr>
        <w:sectPr>
          <w:pgSz w:w="16838" w:h="11906" w:orient="landscape"/>
          <w:pgMar w:top="1800" w:right="1440" w:bottom="1800" w:left="1440" w:header="851" w:footer="992" w:gutter="0"/>
          <w:cols w:space="425" w:num="1"/>
          <w:docGrid w:type="lines" w:linePitch="312" w:charSpace="0"/>
        </w:sectPr>
      </w:pPr>
      <w:r>
        <w:rPr>
          <w:rFonts w:hint="eastAsia" w:cs="Times New Roman"/>
          <w:b/>
          <w:bCs w:val="0"/>
          <w:color w:val="auto"/>
          <w:sz w:val="30"/>
          <w:szCs w:val="30"/>
          <w:highlight w:val="none"/>
          <w:lang w:val="en-US" w:eastAsia="zh-CN"/>
        </w:rPr>
        <w:t>附图8   项目同防同治区图</w:t>
      </w:r>
    </w:p>
    <w:p w14:paraId="44033038">
      <w:pPr>
        <w:rPr>
          <w:rFonts w:hint="default" w:ascii="Times New Roman" w:hAnsi="Times New Roman" w:eastAsia="宋体" w:cs="Times New Roman"/>
          <w:b/>
          <w:bCs/>
          <w:color w:val="auto"/>
          <w:sz w:val="28"/>
          <w:szCs w:val="28"/>
          <w:lang w:val="en-US" w:eastAsia="zh-CN"/>
        </w:rPr>
      </w:pPr>
      <w:r>
        <w:rPr>
          <w:rFonts w:hint="default" w:ascii="Times New Roman" w:hAnsi="Times New Roman" w:cs="Times New Roman"/>
          <w:b/>
          <w:bCs/>
          <w:color w:val="auto"/>
          <w:sz w:val="28"/>
          <w:szCs w:val="28"/>
          <w:lang w:eastAsia="zh-CN"/>
        </w:rPr>
        <w:t>附件</w:t>
      </w:r>
      <w:r>
        <w:rPr>
          <w:rFonts w:hint="eastAsia" w:ascii="Times New Roman" w:hAnsi="Times New Roman" w:cs="Times New Roman"/>
          <w:b/>
          <w:bCs/>
          <w:color w:val="auto"/>
          <w:sz w:val="28"/>
          <w:szCs w:val="28"/>
          <w:lang w:val="en-US" w:eastAsia="zh-CN"/>
        </w:rPr>
        <w:t>1</w:t>
      </w:r>
      <w:r>
        <w:rPr>
          <w:rFonts w:hint="default"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委托书</w:t>
      </w:r>
    </w:p>
    <w:p w14:paraId="6161318E">
      <w:pPr>
        <w:rPr>
          <w:rFonts w:hint="default" w:ascii="Times New Roman" w:hAnsi="Times New Roman" w:cs="Times New Roman"/>
          <w:b/>
          <w:bCs/>
          <w:color w:val="auto"/>
          <w:sz w:val="28"/>
          <w:szCs w:val="28"/>
          <w:lang w:eastAsia="zh-CN"/>
        </w:rPr>
      </w:pPr>
    </w:p>
    <w:p w14:paraId="29366966">
      <w:pPr>
        <w:pStyle w:val="2"/>
        <w:rPr>
          <w:rFonts w:hint="default"/>
          <w:color w:val="auto"/>
          <w:lang w:eastAsia="zh-CN"/>
        </w:rPr>
        <w:sectPr>
          <w:pgSz w:w="11906" w:h="16838"/>
          <w:pgMar w:top="1440" w:right="1800" w:bottom="1440" w:left="1800" w:header="851" w:footer="992" w:gutter="0"/>
          <w:cols w:space="425" w:num="1"/>
          <w:docGrid w:type="lines" w:linePitch="312" w:charSpace="0"/>
        </w:sectPr>
      </w:pPr>
      <w:r>
        <w:rPr>
          <w:rFonts w:hint="default"/>
          <w:color w:val="auto"/>
          <w:lang w:eastAsia="zh-CN"/>
        </w:rPr>
        <w:drawing>
          <wp:inline distT="0" distB="0" distL="114300" distR="114300">
            <wp:extent cx="5265420" cy="7543800"/>
            <wp:effectExtent l="0" t="0" r="11430" b="0"/>
            <wp:docPr id="40" name="图片 40" descr="c96c951929ea8057a604e67b113af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96c951929ea8057a604e67b113af4f"/>
                    <pic:cNvPicPr>
                      <a:picLocks noChangeAspect="1"/>
                    </pic:cNvPicPr>
                  </pic:nvPicPr>
                  <pic:blipFill>
                    <a:blip r:embed="rId55"/>
                    <a:stretch>
                      <a:fillRect/>
                    </a:stretch>
                  </pic:blipFill>
                  <pic:spPr>
                    <a:xfrm>
                      <a:off x="0" y="0"/>
                      <a:ext cx="5265420" cy="7543800"/>
                    </a:xfrm>
                    <a:prstGeom prst="rect">
                      <a:avLst/>
                    </a:prstGeom>
                  </pic:spPr>
                </pic:pic>
              </a:graphicData>
            </a:graphic>
          </wp:inline>
        </w:drawing>
      </w:r>
    </w:p>
    <w:p w14:paraId="6668E266">
      <w:pPr>
        <w:rPr>
          <w:rFonts w:hint="default" w:ascii="Times New Roman" w:hAnsi="Times New Roman" w:eastAsia="宋体" w:cs="Times New Roman"/>
          <w:b/>
          <w:bCs/>
          <w:color w:val="auto"/>
          <w:sz w:val="28"/>
          <w:szCs w:val="28"/>
          <w:lang w:val="en-US" w:eastAsia="zh-CN"/>
        </w:rPr>
      </w:pPr>
      <w:r>
        <w:rPr>
          <w:rFonts w:hint="default" w:ascii="Times New Roman" w:hAnsi="Times New Roman" w:cs="Times New Roman"/>
          <w:b/>
          <w:bCs/>
          <w:color w:val="auto"/>
          <w:sz w:val="28"/>
          <w:szCs w:val="28"/>
          <w:lang w:eastAsia="zh-CN"/>
        </w:rPr>
        <w:t>附件</w:t>
      </w:r>
      <w:r>
        <w:rPr>
          <w:rFonts w:hint="eastAsia" w:ascii="Times New Roman" w:hAnsi="Times New Roman" w:cs="Times New Roman"/>
          <w:b/>
          <w:bCs/>
          <w:color w:val="auto"/>
          <w:sz w:val="28"/>
          <w:szCs w:val="28"/>
          <w:lang w:val="en-US" w:eastAsia="zh-CN"/>
        </w:rPr>
        <w:t>2</w:t>
      </w:r>
      <w:r>
        <w:rPr>
          <w:rFonts w:hint="default"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项目登记备案证</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0C88E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6BA71B2B">
            <w:pPr>
              <w:rPr>
                <w:rFonts w:hint="eastAsia" w:eastAsiaTheme="minorEastAsia"/>
                <w:color w:val="auto"/>
                <w:vertAlign w:val="baseline"/>
                <w:lang w:eastAsia="zh-CN"/>
              </w:rPr>
            </w:pPr>
            <w:r>
              <w:rPr>
                <w:rFonts w:hint="eastAsia" w:eastAsiaTheme="minorEastAsia"/>
                <w:color w:val="auto"/>
                <w:vertAlign w:val="baseline"/>
                <w:lang w:eastAsia="zh-CN"/>
              </w:rPr>
              <w:drawing>
                <wp:inline distT="0" distB="0" distL="114300" distR="114300">
                  <wp:extent cx="5290820" cy="7532370"/>
                  <wp:effectExtent l="0" t="0" r="5080" b="11430"/>
                  <wp:docPr id="41" name="图片 41" descr="项目备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项目备案证"/>
                          <pic:cNvPicPr>
                            <a:picLocks noChangeAspect="1"/>
                          </pic:cNvPicPr>
                        </pic:nvPicPr>
                        <pic:blipFill>
                          <a:blip r:embed="rId56"/>
                          <a:stretch>
                            <a:fillRect/>
                          </a:stretch>
                        </pic:blipFill>
                        <pic:spPr>
                          <a:xfrm>
                            <a:off x="0" y="0"/>
                            <a:ext cx="5290820" cy="7532370"/>
                          </a:xfrm>
                          <a:prstGeom prst="rect">
                            <a:avLst/>
                          </a:prstGeom>
                        </pic:spPr>
                      </pic:pic>
                    </a:graphicData>
                  </a:graphic>
                </wp:inline>
              </w:drawing>
            </w:r>
          </w:p>
        </w:tc>
      </w:tr>
    </w:tbl>
    <w:p w14:paraId="42DD5ABC">
      <w:pPr>
        <w:rPr>
          <w:color w:val="auto"/>
        </w:rPr>
        <w:sectPr>
          <w:pgSz w:w="11906" w:h="16838"/>
          <w:pgMar w:top="1440" w:right="1800" w:bottom="1440" w:left="1800" w:header="851" w:footer="992" w:gutter="0"/>
          <w:cols w:space="425" w:num="1"/>
          <w:docGrid w:type="lines" w:linePitch="312" w:charSpace="0"/>
        </w:sectPr>
      </w:pPr>
    </w:p>
    <w:p w14:paraId="27546CD2">
      <w:pPr>
        <w:rPr>
          <w:rFonts w:hint="default" w:ascii="Times New Roman" w:hAnsi="Times New Roman" w:eastAsia="宋体" w:cs="Times New Roman"/>
          <w:b/>
          <w:bCs/>
          <w:color w:val="auto"/>
          <w:sz w:val="28"/>
          <w:szCs w:val="28"/>
          <w:lang w:val="en-US" w:eastAsia="zh-CN"/>
        </w:rPr>
      </w:pPr>
      <w:r>
        <w:rPr>
          <w:rFonts w:hint="default" w:ascii="Times New Roman" w:hAnsi="Times New Roman" w:cs="Times New Roman"/>
          <w:b/>
          <w:bCs/>
          <w:color w:val="auto"/>
          <w:sz w:val="28"/>
          <w:szCs w:val="28"/>
          <w:lang w:eastAsia="zh-CN"/>
        </w:rPr>
        <w:t>附件</w:t>
      </w:r>
      <w:r>
        <w:rPr>
          <w:rFonts w:hint="eastAsia" w:ascii="Times New Roman" w:hAnsi="Times New Roman" w:cs="Times New Roman"/>
          <w:b/>
          <w:bCs/>
          <w:color w:val="auto"/>
          <w:sz w:val="28"/>
          <w:szCs w:val="28"/>
          <w:lang w:val="en-US" w:eastAsia="zh-CN"/>
        </w:rPr>
        <w:t>3</w:t>
      </w:r>
      <w:r>
        <w:rPr>
          <w:rFonts w:hint="default"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营业执照</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1B50C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64C615F9">
            <w:pPr>
              <w:rPr>
                <w:rFonts w:hint="eastAsia" w:eastAsiaTheme="minorEastAsia"/>
                <w:color w:val="auto"/>
                <w:vertAlign w:val="baseline"/>
                <w:lang w:eastAsia="zh-CN"/>
              </w:rPr>
            </w:pPr>
            <w:r>
              <w:rPr>
                <w:color w:val="auto"/>
              </w:rPr>
              <w:drawing>
                <wp:inline distT="0" distB="0" distL="114300" distR="114300">
                  <wp:extent cx="5270500" cy="7143750"/>
                  <wp:effectExtent l="0" t="0" r="6350" b="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57"/>
                          <a:stretch>
                            <a:fillRect/>
                          </a:stretch>
                        </pic:blipFill>
                        <pic:spPr>
                          <a:xfrm>
                            <a:off x="0" y="0"/>
                            <a:ext cx="5270500" cy="7143750"/>
                          </a:xfrm>
                          <a:prstGeom prst="rect">
                            <a:avLst/>
                          </a:prstGeom>
                          <a:noFill/>
                          <a:ln>
                            <a:noFill/>
                          </a:ln>
                        </pic:spPr>
                      </pic:pic>
                    </a:graphicData>
                  </a:graphic>
                </wp:inline>
              </w:drawing>
            </w:r>
          </w:p>
        </w:tc>
      </w:tr>
    </w:tbl>
    <w:p w14:paraId="10F06622">
      <w:pPr>
        <w:pStyle w:val="2"/>
        <w:rPr>
          <w:color w:val="auto"/>
        </w:rPr>
        <w:sectPr>
          <w:pgSz w:w="11906" w:h="16838"/>
          <w:pgMar w:top="1440" w:right="1800" w:bottom="1440" w:left="1800" w:header="851" w:footer="992" w:gutter="0"/>
          <w:cols w:space="425" w:num="1"/>
          <w:docGrid w:type="lines" w:linePitch="312" w:charSpace="0"/>
        </w:sectPr>
      </w:pPr>
    </w:p>
    <w:p w14:paraId="1F50341D">
      <w:pPr>
        <w:widowControl/>
        <w:spacing w:line="240" w:lineRule="auto"/>
        <w:ind w:firstLine="0" w:firstLineChars="0"/>
        <w:jc w:val="both"/>
        <w:rPr>
          <w:rFonts w:hint="default" w:ascii="Times New Roman" w:hAnsi="Times New Roman" w:cs="Times New Roman"/>
          <w:b/>
          <w:bCs/>
          <w:color w:val="auto"/>
          <w:kern w:val="0"/>
          <w:sz w:val="28"/>
          <w:szCs w:val="28"/>
          <w:highlight w:val="none"/>
          <w:lang w:val="en-US" w:eastAsia="zh-CN"/>
        </w:rPr>
      </w:pPr>
      <w:r>
        <w:rPr>
          <w:rFonts w:hint="default" w:ascii="Times New Roman" w:hAnsi="Times New Roman" w:cs="Times New Roman"/>
          <w:b/>
          <w:bCs/>
          <w:color w:val="auto"/>
          <w:kern w:val="0"/>
          <w:sz w:val="28"/>
          <w:szCs w:val="28"/>
          <w:highlight w:val="none"/>
          <w:lang w:val="en-US" w:eastAsia="zh-CN"/>
        </w:rPr>
        <w:t>附件</w:t>
      </w:r>
      <w:r>
        <w:rPr>
          <w:rFonts w:hint="eastAsia" w:ascii="Times New Roman" w:hAnsi="Times New Roman" w:cs="Times New Roman"/>
          <w:b/>
          <w:bCs/>
          <w:color w:val="auto"/>
          <w:kern w:val="0"/>
          <w:sz w:val="28"/>
          <w:szCs w:val="28"/>
          <w:highlight w:val="none"/>
          <w:lang w:val="en-US" w:eastAsia="zh-CN"/>
        </w:rPr>
        <w:t>4</w:t>
      </w:r>
      <w:r>
        <w:rPr>
          <w:rFonts w:hint="default" w:ascii="Times New Roman" w:hAnsi="Times New Roman" w:cs="Times New Roman"/>
          <w:b/>
          <w:bCs/>
          <w:color w:val="auto"/>
          <w:kern w:val="0"/>
          <w:sz w:val="28"/>
          <w:szCs w:val="28"/>
          <w:highlight w:val="none"/>
          <w:lang w:val="en-US" w:eastAsia="zh-CN"/>
        </w:rPr>
        <w:t>：</w:t>
      </w:r>
      <w:r>
        <w:rPr>
          <w:rFonts w:hint="eastAsia" w:cs="Times New Roman"/>
          <w:b/>
          <w:bCs/>
          <w:color w:val="auto"/>
          <w:kern w:val="0"/>
          <w:sz w:val="28"/>
          <w:szCs w:val="28"/>
          <w:highlight w:val="none"/>
          <w:lang w:val="en-US" w:eastAsia="zh-CN"/>
        </w:rPr>
        <w:t>土地手续</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6065C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58" w:hRule="atLeast"/>
          <w:jc w:val="center"/>
        </w:trPr>
        <w:tc>
          <w:tcPr>
            <w:tcW w:w="5000" w:type="pct"/>
            <w:noWrap w:val="0"/>
            <w:vAlign w:val="top"/>
          </w:tcPr>
          <w:p w14:paraId="3DDFB5D8">
            <w:pPr>
              <w:widowControl/>
              <w:spacing w:line="240" w:lineRule="auto"/>
              <w:ind w:firstLine="0" w:firstLineChars="0"/>
              <w:jc w:val="center"/>
              <w:rPr>
                <w:color w:val="auto"/>
              </w:rPr>
            </w:pPr>
          </w:p>
          <w:p w14:paraId="0B49D067">
            <w:pPr>
              <w:pStyle w:val="2"/>
              <w:jc w:val="center"/>
              <w:rPr>
                <w:color w:val="auto"/>
              </w:rPr>
            </w:pPr>
            <w:r>
              <w:rPr>
                <w:color w:val="auto"/>
              </w:rPr>
              <w:drawing>
                <wp:inline distT="0" distB="0" distL="114300" distR="114300">
                  <wp:extent cx="5029200" cy="7160260"/>
                  <wp:effectExtent l="0" t="0" r="0" b="254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8"/>
                          <a:stretch>
                            <a:fillRect/>
                          </a:stretch>
                        </pic:blipFill>
                        <pic:spPr>
                          <a:xfrm>
                            <a:off x="0" y="0"/>
                            <a:ext cx="5029200" cy="7160260"/>
                          </a:xfrm>
                          <a:prstGeom prst="rect">
                            <a:avLst/>
                          </a:prstGeom>
                          <a:noFill/>
                          <a:ln>
                            <a:noFill/>
                          </a:ln>
                        </pic:spPr>
                      </pic:pic>
                    </a:graphicData>
                  </a:graphic>
                </wp:inline>
              </w:drawing>
            </w:r>
          </w:p>
          <w:p w14:paraId="27EA5022">
            <w:pPr>
              <w:pStyle w:val="2"/>
              <w:jc w:val="center"/>
              <w:rPr>
                <w:color w:val="auto"/>
              </w:rPr>
            </w:pPr>
          </w:p>
          <w:p w14:paraId="22A44F04">
            <w:pPr>
              <w:pStyle w:val="2"/>
              <w:jc w:val="center"/>
              <w:rPr>
                <w:color w:val="auto"/>
              </w:rPr>
            </w:pPr>
          </w:p>
          <w:p w14:paraId="26E4DF32">
            <w:pPr>
              <w:pStyle w:val="2"/>
              <w:ind w:left="0" w:leftChars="0" w:firstLine="0" w:firstLineChars="0"/>
              <w:jc w:val="left"/>
              <w:rPr>
                <w:color w:val="auto"/>
              </w:rPr>
            </w:pPr>
            <w:r>
              <w:rPr>
                <w:color w:val="auto"/>
              </w:rPr>
              <w:drawing>
                <wp:inline distT="0" distB="0" distL="114300" distR="114300">
                  <wp:extent cx="5274310" cy="7454900"/>
                  <wp:effectExtent l="0" t="0" r="2540" b="12700"/>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59"/>
                          <a:stretch>
                            <a:fillRect/>
                          </a:stretch>
                        </pic:blipFill>
                        <pic:spPr>
                          <a:xfrm>
                            <a:off x="0" y="0"/>
                            <a:ext cx="5274310" cy="7454900"/>
                          </a:xfrm>
                          <a:prstGeom prst="rect">
                            <a:avLst/>
                          </a:prstGeom>
                          <a:noFill/>
                          <a:ln>
                            <a:noFill/>
                          </a:ln>
                        </pic:spPr>
                      </pic:pic>
                    </a:graphicData>
                  </a:graphic>
                </wp:inline>
              </w:drawing>
            </w:r>
            <w:r>
              <w:rPr>
                <w:color w:val="auto"/>
              </w:rPr>
              <w:drawing>
                <wp:inline distT="0" distB="0" distL="114300" distR="114300">
                  <wp:extent cx="5270500" cy="7433310"/>
                  <wp:effectExtent l="0" t="0" r="6350" b="1524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60"/>
                          <a:stretch>
                            <a:fillRect/>
                          </a:stretch>
                        </pic:blipFill>
                        <pic:spPr>
                          <a:xfrm>
                            <a:off x="0" y="0"/>
                            <a:ext cx="5270500" cy="7433310"/>
                          </a:xfrm>
                          <a:prstGeom prst="rect">
                            <a:avLst/>
                          </a:prstGeom>
                          <a:noFill/>
                          <a:ln>
                            <a:noFill/>
                          </a:ln>
                        </pic:spPr>
                      </pic:pic>
                    </a:graphicData>
                  </a:graphic>
                </wp:inline>
              </w:drawing>
            </w:r>
            <w:r>
              <w:rPr>
                <w:color w:val="auto"/>
              </w:rPr>
              <w:drawing>
                <wp:inline distT="0" distB="0" distL="114300" distR="114300">
                  <wp:extent cx="5269230" cy="7461885"/>
                  <wp:effectExtent l="0" t="0" r="7620" b="571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61"/>
                          <a:stretch>
                            <a:fillRect/>
                          </a:stretch>
                        </pic:blipFill>
                        <pic:spPr>
                          <a:xfrm>
                            <a:off x="0" y="0"/>
                            <a:ext cx="5269230" cy="7461885"/>
                          </a:xfrm>
                          <a:prstGeom prst="rect">
                            <a:avLst/>
                          </a:prstGeom>
                          <a:noFill/>
                          <a:ln>
                            <a:noFill/>
                          </a:ln>
                        </pic:spPr>
                      </pic:pic>
                    </a:graphicData>
                  </a:graphic>
                </wp:inline>
              </w:drawing>
            </w:r>
            <w:r>
              <w:rPr>
                <w:color w:val="auto"/>
              </w:rPr>
              <w:drawing>
                <wp:inline distT="0" distB="0" distL="114300" distR="114300">
                  <wp:extent cx="5271135" cy="7424420"/>
                  <wp:effectExtent l="0" t="0" r="5715" b="5080"/>
                  <wp:docPr id="4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
                          <pic:cNvPicPr>
                            <a:picLocks noChangeAspect="1"/>
                          </pic:cNvPicPr>
                        </pic:nvPicPr>
                        <pic:blipFill>
                          <a:blip r:embed="rId62"/>
                          <a:stretch>
                            <a:fillRect/>
                          </a:stretch>
                        </pic:blipFill>
                        <pic:spPr>
                          <a:xfrm>
                            <a:off x="0" y="0"/>
                            <a:ext cx="5271135" cy="7424420"/>
                          </a:xfrm>
                          <a:prstGeom prst="rect">
                            <a:avLst/>
                          </a:prstGeom>
                          <a:noFill/>
                          <a:ln>
                            <a:noFill/>
                          </a:ln>
                        </pic:spPr>
                      </pic:pic>
                    </a:graphicData>
                  </a:graphic>
                </wp:inline>
              </w:drawing>
            </w:r>
          </w:p>
        </w:tc>
      </w:tr>
    </w:tbl>
    <w:p w14:paraId="14BFB7FD">
      <w:pPr>
        <w:rPr>
          <w:color w:val="auto"/>
        </w:rPr>
        <w:sectPr>
          <w:pgSz w:w="11906" w:h="16838"/>
          <w:pgMar w:top="1440" w:right="1800" w:bottom="1440" w:left="1800" w:header="851" w:footer="992" w:gutter="0"/>
          <w:cols w:space="425" w:num="1"/>
          <w:docGrid w:type="lines" w:linePitch="312" w:charSpace="0"/>
        </w:sectPr>
      </w:pPr>
    </w:p>
    <w:p w14:paraId="1A9342C2">
      <w:pPr>
        <w:rPr>
          <w:rFonts w:hint="default" w:ascii="Times New Roman" w:hAnsi="Times New Roman" w:eastAsia="宋体" w:cs="Times New Roman"/>
          <w:b/>
          <w:bCs/>
          <w:color w:val="auto"/>
          <w:sz w:val="28"/>
          <w:szCs w:val="28"/>
          <w:lang w:val="en-US" w:eastAsia="zh-CN"/>
        </w:rPr>
      </w:pPr>
      <w:r>
        <w:rPr>
          <w:rFonts w:hint="default" w:ascii="Times New Roman" w:hAnsi="Times New Roman" w:cs="Times New Roman"/>
          <w:b/>
          <w:bCs/>
          <w:color w:val="auto"/>
          <w:sz w:val="28"/>
          <w:szCs w:val="28"/>
          <w:lang w:eastAsia="zh-CN"/>
        </w:rPr>
        <w:t>附件</w:t>
      </w:r>
      <w:r>
        <w:rPr>
          <w:rFonts w:hint="eastAsia" w:ascii="Times New Roman" w:hAnsi="Times New Roman" w:cs="Times New Roman"/>
          <w:b/>
          <w:bCs/>
          <w:color w:val="auto"/>
          <w:sz w:val="28"/>
          <w:szCs w:val="28"/>
          <w:lang w:val="en-US" w:eastAsia="zh-CN"/>
        </w:rPr>
        <w:t>5</w:t>
      </w:r>
      <w:r>
        <w:rPr>
          <w:rFonts w:hint="default"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土地规划证</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12"/>
      </w:tblGrid>
      <w:tr w14:paraId="45F94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912" w:type="dxa"/>
          </w:tcPr>
          <w:p w14:paraId="3C1C972D">
            <w:pPr>
              <w:jc w:val="center"/>
              <w:rPr>
                <w:rFonts w:hint="eastAsia" w:eastAsiaTheme="minorEastAsia"/>
                <w:color w:val="auto"/>
                <w:vertAlign w:val="baseline"/>
                <w:lang w:eastAsia="zh-CN"/>
              </w:rPr>
            </w:pPr>
            <w:r>
              <w:rPr>
                <w:rFonts w:hint="eastAsia" w:eastAsiaTheme="minorEastAsia"/>
                <w:color w:val="auto"/>
                <w:vertAlign w:val="baseline"/>
                <w:lang w:eastAsia="zh-CN"/>
              </w:rPr>
              <w:drawing>
                <wp:inline distT="0" distB="0" distL="114300" distR="114300">
                  <wp:extent cx="6569710" cy="4686300"/>
                  <wp:effectExtent l="0" t="0" r="2540" b="0"/>
                  <wp:docPr id="50" name="图片 50" descr="bc656ea5fda4163728ef23f449d0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bc656ea5fda4163728ef23f449d005f"/>
                          <pic:cNvPicPr>
                            <a:picLocks noChangeAspect="1"/>
                          </pic:cNvPicPr>
                        </pic:nvPicPr>
                        <pic:blipFill>
                          <a:blip r:embed="rId63"/>
                          <a:stretch>
                            <a:fillRect/>
                          </a:stretch>
                        </pic:blipFill>
                        <pic:spPr>
                          <a:xfrm>
                            <a:off x="0" y="0"/>
                            <a:ext cx="6569710" cy="4686300"/>
                          </a:xfrm>
                          <a:prstGeom prst="rect">
                            <a:avLst/>
                          </a:prstGeom>
                        </pic:spPr>
                      </pic:pic>
                    </a:graphicData>
                  </a:graphic>
                </wp:inline>
              </w:drawing>
            </w:r>
          </w:p>
        </w:tc>
      </w:tr>
    </w:tbl>
    <w:p w14:paraId="47E32A7A">
      <w:pPr>
        <w:pStyle w:val="2"/>
        <w:rPr>
          <w:color w:val="auto"/>
        </w:rPr>
        <w:sectPr>
          <w:pgSz w:w="16838" w:h="11906" w:orient="landscape"/>
          <w:pgMar w:top="1800" w:right="1440" w:bottom="1800" w:left="1440" w:header="851" w:footer="992" w:gutter="0"/>
          <w:cols w:space="425" w:num="1"/>
          <w:docGrid w:type="lines" w:linePitch="312" w:charSpace="0"/>
        </w:sectPr>
      </w:pPr>
    </w:p>
    <w:p w14:paraId="060FDC12">
      <w:pPr>
        <w:widowControl/>
        <w:spacing w:line="240" w:lineRule="auto"/>
        <w:ind w:firstLine="0" w:firstLineChars="0"/>
        <w:jc w:val="both"/>
        <w:rPr>
          <w:rFonts w:hint="default" w:ascii="Times New Roman" w:hAnsi="Times New Roman" w:cs="Times New Roman"/>
          <w:b/>
          <w:bCs/>
          <w:color w:val="auto"/>
          <w:kern w:val="0"/>
          <w:sz w:val="28"/>
          <w:szCs w:val="28"/>
          <w:highlight w:val="none"/>
          <w:lang w:val="en-US" w:eastAsia="zh-CN"/>
        </w:rPr>
      </w:pPr>
      <w:r>
        <w:rPr>
          <w:rFonts w:hint="default" w:ascii="Times New Roman" w:hAnsi="Times New Roman" w:cs="Times New Roman"/>
          <w:b/>
          <w:bCs/>
          <w:color w:val="auto"/>
          <w:kern w:val="0"/>
          <w:sz w:val="28"/>
          <w:szCs w:val="28"/>
          <w:highlight w:val="none"/>
          <w:lang w:val="en-US" w:eastAsia="zh-CN"/>
        </w:rPr>
        <w:t>附件</w:t>
      </w:r>
      <w:r>
        <w:rPr>
          <w:rFonts w:hint="eastAsia" w:ascii="Times New Roman" w:hAnsi="Times New Roman" w:cs="Times New Roman"/>
          <w:b/>
          <w:bCs/>
          <w:color w:val="auto"/>
          <w:kern w:val="0"/>
          <w:sz w:val="28"/>
          <w:szCs w:val="28"/>
          <w:highlight w:val="none"/>
          <w:lang w:val="en-US" w:eastAsia="zh-CN"/>
        </w:rPr>
        <w:t>6</w:t>
      </w:r>
      <w:r>
        <w:rPr>
          <w:rFonts w:hint="default" w:ascii="Times New Roman" w:hAnsi="Times New Roman" w:cs="Times New Roman"/>
          <w:b/>
          <w:bCs/>
          <w:color w:val="auto"/>
          <w:kern w:val="0"/>
          <w:sz w:val="28"/>
          <w:szCs w:val="28"/>
          <w:highlight w:val="none"/>
          <w:lang w:val="en-US" w:eastAsia="zh-CN"/>
        </w:rPr>
        <w:t>：</w:t>
      </w:r>
      <w:r>
        <w:rPr>
          <w:rFonts w:hint="eastAsia" w:cs="Times New Roman"/>
          <w:b/>
          <w:bCs/>
          <w:color w:val="auto"/>
          <w:kern w:val="0"/>
          <w:sz w:val="28"/>
          <w:szCs w:val="28"/>
          <w:highlight w:val="none"/>
          <w:lang w:val="en-US" w:eastAsia="zh-CN"/>
        </w:rPr>
        <w:t>TSP检测报告</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70BBF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58" w:hRule="atLeast"/>
          <w:jc w:val="center"/>
        </w:trPr>
        <w:tc>
          <w:tcPr>
            <w:tcW w:w="5000" w:type="pct"/>
            <w:noWrap w:val="0"/>
            <w:vAlign w:val="top"/>
          </w:tcPr>
          <w:p w14:paraId="13E77D1F">
            <w:pPr>
              <w:widowControl/>
              <w:spacing w:line="240" w:lineRule="auto"/>
              <w:ind w:firstLine="0" w:firstLineChars="0"/>
              <w:jc w:val="center"/>
              <w:rPr>
                <w:color w:val="auto"/>
              </w:rPr>
            </w:pPr>
          </w:p>
          <w:p w14:paraId="0A00D264">
            <w:pPr>
              <w:pStyle w:val="2"/>
              <w:jc w:val="center"/>
              <w:rPr>
                <w:color w:val="auto"/>
              </w:rPr>
            </w:pPr>
            <w:r>
              <w:rPr>
                <w:color w:val="auto"/>
              </w:rPr>
              <w:drawing>
                <wp:inline distT="0" distB="0" distL="114300" distR="114300">
                  <wp:extent cx="5067300" cy="7143750"/>
                  <wp:effectExtent l="0" t="0" r="0" b="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64"/>
                          <a:stretch>
                            <a:fillRect/>
                          </a:stretch>
                        </pic:blipFill>
                        <pic:spPr>
                          <a:xfrm>
                            <a:off x="0" y="0"/>
                            <a:ext cx="5067300" cy="7143750"/>
                          </a:xfrm>
                          <a:prstGeom prst="rect">
                            <a:avLst/>
                          </a:prstGeom>
                          <a:noFill/>
                          <a:ln>
                            <a:noFill/>
                          </a:ln>
                        </pic:spPr>
                      </pic:pic>
                    </a:graphicData>
                  </a:graphic>
                </wp:inline>
              </w:drawing>
            </w:r>
            <w:r>
              <w:rPr>
                <w:color w:val="auto"/>
              </w:rPr>
              <w:drawing>
                <wp:inline distT="0" distB="0" distL="114300" distR="114300">
                  <wp:extent cx="5067300" cy="7143750"/>
                  <wp:effectExtent l="0" t="0" r="0" b="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65"/>
                          <a:stretch>
                            <a:fillRect/>
                          </a:stretch>
                        </pic:blipFill>
                        <pic:spPr>
                          <a:xfrm>
                            <a:off x="0" y="0"/>
                            <a:ext cx="5067300" cy="7143750"/>
                          </a:xfrm>
                          <a:prstGeom prst="rect">
                            <a:avLst/>
                          </a:prstGeom>
                          <a:noFill/>
                          <a:ln>
                            <a:noFill/>
                          </a:ln>
                        </pic:spPr>
                      </pic:pic>
                    </a:graphicData>
                  </a:graphic>
                </wp:inline>
              </w:drawing>
            </w:r>
            <w:r>
              <w:rPr>
                <w:color w:val="auto"/>
              </w:rPr>
              <w:drawing>
                <wp:inline distT="0" distB="0" distL="114300" distR="114300">
                  <wp:extent cx="5067300" cy="7153275"/>
                  <wp:effectExtent l="0" t="0" r="0" b="9525"/>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66"/>
                          <a:stretch>
                            <a:fillRect/>
                          </a:stretch>
                        </pic:blipFill>
                        <pic:spPr>
                          <a:xfrm>
                            <a:off x="0" y="0"/>
                            <a:ext cx="5067300" cy="7153275"/>
                          </a:xfrm>
                          <a:prstGeom prst="rect">
                            <a:avLst/>
                          </a:prstGeom>
                          <a:noFill/>
                          <a:ln>
                            <a:noFill/>
                          </a:ln>
                        </pic:spPr>
                      </pic:pic>
                    </a:graphicData>
                  </a:graphic>
                </wp:inline>
              </w:drawing>
            </w:r>
            <w:r>
              <w:rPr>
                <w:color w:val="auto"/>
              </w:rPr>
              <w:drawing>
                <wp:inline distT="0" distB="0" distL="114300" distR="114300">
                  <wp:extent cx="5048250" cy="7143750"/>
                  <wp:effectExtent l="0" t="0" r="0" b="0"/>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67"/>
                          <a:stretch>
                            <a:fillRect/>
                          </a:stretch>
                        </pic:blipFill>
                        <pic:spPr>
                          <a:xfrm>
                            <a:off x="0" y="0"/>
                            <a:ext cx="5048250" cy="7143750"/>
                          </a:xfrm>
                          <a:prstGeom prst="rect">
                            <a:avLst/>
                          </a:prstGeom>
                          <a:noFill/>
                          <a:ln>
                            <a:noFill/>
                          </a:ln>
                        </pic:spPr>
                      </pic:pic>
                    </a:graphicData>
                  </a:graphic>
                </wp:inline>
              </w:drawing>
            </w:r>
          </w:p>
          <w:p w14:paraId="785BEAAC">
            <w:pPr>
              <w:pStyle w:val="2"/>
              <w:jc w:val="center"/>
              <w:rPr>
                <w:color w:val="auto"/>
              </w:rPr>
            </w:pPr>
          </w:p>
          <w:p w14:paraId="6B5E5402">
            <w:pPr>
              <w:pStyle w:val="2"/>
              <w:jc w:val="center"/>
              <w:rPr>
                <w:color w:val="auto"/>
              </w:rPr>
            </w:pPr>
          </w:p>
          <w:p w14:paraId="2DFDCE9D">
            <w:pPr>
              <w:pStyle w:val="2"/>
              <w:ind w:left="0" w:leftChars="0" w:firstLine="0" w:firstLineChars="0"/>
              <w:jc w:val="left"/>
              <w:rPr>
                <w:color w:val="auto"/>
              </w:rPr>
            </w:pPr>
          </w:p>
        </w:tc>
      </w:tr>
    </w:tbl>
    <w:p w14:paraId="4BADD0B6">
      <w:pPr>
        <w:pStyle w:val="2"/>
        <w:ind w:left="0" w:leftChars="0" w:firstLine="0" w:firstLineChars="0"/>
        <w:rPr>
          <w:color w:val="auto"/>
        </w:rPr>
        <w:sectPr>
          <w:pgSz w:w="11906" w:h="16838"/>
          <w:pgMar w:top="1440" w:right="1800" w:bottom="1440" w:left="1800" w:header="851" w:footer="992" w:gutter="0"/>
          <w:cols w:space="425" w:num="1"/>
          <w:docGrid w:type="lines" w:linePitch="312" w:charSpace="0"/>
        </w:sectPr>
      </w:pPr>
    </w:p>
    <w:p w14:paraId="17CDE20E">
      <w:pPr>
        <w:rPr>
          <w:rFonts w:hint="eastAsia"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eastAsia="zh-CN"/>
        </w:rPr>
        <w:t>附件</w:t>
      </w:r>
      <w:r>
        <w:rPr>
          <w:rFonts w:hint="eastAsia" w:ascii="Times New Roman" w:hAnsi="Times New Roman" w:cs="Times New Roman"/>
          <w:b/>
          <w:bCs/>
          <w:color w:val="auto"/>
          <w:sz w:val="28"/>
          <w:szCs w:val="28"/>
          <w:lang w:val="en-US" w:eastAsia="zh-CN"/>
        </w:rPr>
        <w:t>7</w:t>
      </w:r>
      <w:r>
        <w:rPr>
          <w:rFonts w:hint="default"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涂料检验报告</w:t>
      </w:r>
    </w:p>
    <w:p w14:paraId="2C363129">
      <w:pPr>
        <w:pStyle w:val="2"/>
        <w:rPr>
          <w:color w:val="auto"/>
        </w:rPr>
      </w:pPr>
    </w:p>
    <w:p w14:paraId="05749F51">
      <w:pPr>
        <w:pStyle w:val="2"/>
        <w:rPr>
          <w:color w:val="auto"/>
        </w:rPr>
        <w:sectPr>
          <w:pgSz w:w="11906" w:h="16838"/>
          <w:pgMar w:top="1440" w:right="1800" w:bottom="1440" w:left="1800" w:header="851" w:footer="992" w:gutter="0"/>
          <w:cols w:space="425" w:num="1"/>
          <w:docGrid w:type="lines" w:linePitch="312" w:charSpace="0"/>
        </w:sectPr>
      </w:pPr>
      <w:r>
        <w:rPr>
          <w:color w:val="auto"/>
        </w:rPr>
        <w:drawing>
          <wp:inline distT="0" distB="0" distL="114300" distR="114300">
            <wp:extent cx="5273675" cy="7431405"/>
            <wp:effectExtent l="0" t="0" r="3175" b="17145"/>
            <wp:docPr id="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
                    <pic:cNvPicPr>
                      <a:picLocks noChangeAspect="1"/>
                    </pic:cNvPicPr>
                  </pic:nvPicPr>
                  <pic:blipFill>
                    <a:blip r:embed="rId68"/>
                    <a:stretch>
                      <a:fillRect/>
                    </a:stretch>
                  </pic:blipFill>
                  <pic:spPr>
                    <a:xfrm>
                      <a:off x="0" y="0"/>
                      <a:ext cx="5273675" cy="7431405"/>
                    </a:xfrm>
                    <a:prstGeom prst="rect">
                      <a:avLst/>
                    </a:prstGeom>
                    <a:noFill/>
                    <a:ln>
                      <a:noFill/>
                    </a:ln>
                  </pic:spPr>
                </pic:pic>
              </a:graphicData>
            </a:graphic>
          </wp:inline>
        </w:drawing>
      </w:r>
    </w:p>
    <w:p w14:paraId="54F758A9">
      <w:pPr>
        <w:pStyle w:val="2"/>
        <w:rPr>
          <w:rFonts w:hint="default"/>
          <w:color w:val="auto"/>
          <w:lang w:val="en-US" w:eastAsia="zh-CN"/>
        </w:rPr>
        <w:sectPr>
          <w:pgSz w:w="11906" w:h="16838"/>
          <w:pgMar w:top="1440" w:right="1800" w:bottom="1440" w:left="1800" w:header="851" w:footer="992" w:gutter="0"/>
          <w:cols w:space="425" w:num="1"/>
          <w:docGrid w:type="lines" w:linePitch="312" w:charSpace="0"/>
        </w:sectPr>
      </w:pPr>
      <w:r>
        <w:rPr>
          <w:color w:val="auto"/>
        </w:rPr>
        <w:drawing>
          <wp:inline distT="0" distB="0" distL="114300" distR="114300">
            <wp:extent cx="5273675" cy="7422515"/>
            <wp:effectExtent l="0" t="0" r="3175" b="6985"/>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69"/>
                    <a:stretch>
                      <a:fillRect/>
                    </a:stretch>
                  </pic:blipFill>
                  <pic:spPr>
                    <a:xfrm>
                      <a:off x="0" y="0"/>
                      <a:ext cx="5273675" cy="7422515"/>
                    </a:xfrm>
                    <a:prstGeom prst="rect">
                      <a:avLst/>
                    </a:prstGeom>
                    <a:noFill/>
                    <a:ln>
                      <a:noFill/>
                    </a:ln>
                  </pic:spPr>
                </pic:pic>
              </a:graphicData>
            </a:graphic>
          </wp:inline>
        </w:drawing>
      </w:r>
    </w:p>
    <w:p w14:paraId="7DE6F763">
      <w:pPr>
        <w:pStyle w:val="2"/>
        <w:rPr>
          <w:color w:val="auto"/>
        </w:rPr>
        <w:sectPr>
          <w:pgSz w:w="11906" w:h="16838"/>
          <w:pgMar w:top="1440" w:right="1800" w:bottom="1440" w:left="1800" w:header="851" w:footer="992" w:gutter="0"/>
          <w:cols w:space="425" w:num="1"/>
          <w:docGrid w:type="lines" w:linePitch="312" w:charSpace="0"/>
        </w:sectPr>
      </w:pPr>
      <w:r>
        <w:rPr>
          <w:color w:val="auto"/>
        </w:rPr>
        <w:drawing>
          <wp:inline distT="0" distB="0" distL="114300" distR="114300">
            <wp:extent cx="5269230" cy="7399655"/>
            <wp:effectExtent l="0" t="0" r="7620" b="10795"/>
            <wp:docPr id="5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8"/>
                    <pic:cNvPicPr>
                      <a:picLocks noChangeAspect="1"/>
                    </pic:cNvPicPr>
                  </pic:nvPicPr>
                  <pic:blipFill>
                    <a:blip r:embed="rId70"/>
                    <a:stretch>
                      <a:fillRect/>
                    </a:stretch>
                  </pic:blipFill>
                  <pic:spPr>
                    <a:xfrm>
                      <a:off x="0" y="0"/>
                      <a:ext cx="5269230" cy="7399655"/>
                    </a:xfrm>
                    <a:prstGeom prst="rect">
                      <a:avLst/>
                    </a:prstGeom>
                    <a:noFill/>
                    <a:ln>
                      <a:noFill/>
                    </a:ln>
                  </pic:spPr>
                </pic:pic>
              </a:graphicData>
            </a:graphic>
          </wp:inline>
        </w:drawing>
      </w:r>
    </w:p>
    <w:p w14:paraId="5E90F587">
      <w:pPr>
        <w:pStyle w:val="2"/>
        <w:rPr>
          <w:rFonts w:hint="default"/>
          <w:color w:val="auto"/>
          <w:lang w:val="en-US" w:eastAsia="zh-CN"/>
        </w:rPr>
        <w:sectPr>
          <w:pgSz w:w="11906" w:h="16838"/>
          <w:pgMar w:top="1440" w:right="1800" w:bottom="1440" w:left="1800" w:header="851" w:footer="992" w:gutter="0"/>
          <w:cols w:space="425" w:num="1"/>
          <w:docGrid w:type="lines" w:linePitch="312" w:charSpace="0"/>
        </w:sectPr>
      </w:pPr>
      <w:r>
        <w:rPr>
          <w:color w:val="auto"/>
        </w:rPr>
        <w:drawing>
          <wp:inline distT="0" distB="0" distL="114300" distR="114300">
            <wp:extent cx="5272405" cy="7332345"/>
            <wp:effectExtent l="0" t="0" r="4445" b="1905"/>
            <wp:docPr id="5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9"/>
                    <pic:cNvPicPr>
                      <a:picLocks noChangeAspect="1"/>
                    </pic:cNvPicPr>
                  </pic:nvPicPr>
                  <pic:blipFill>
                    <a:blip r:embed="rId71"/>
                    <a:stretch>
                      <a:fillRect/>
                    </a:stretch>
                  </pic:blipFill>
                  <pic:spPr>
                    <a:xfrm>
                      <a:off x="0" y="0"/>
                      <a:ext cx="5272405" cy="7332345"/>
                    </a:xfrm>
                    <a:prstGeom prst="rect">
                      <a:avLst/>
                    </a:prstGeom>
                    <a:noFill/>
                    <a:ln>
                      <a:noFill/>
                    </a:ln>
                  </pic:spPr>
                </pic:pic>
              </a:graphicData>
            </a:graphic>
          </wp:inline>
        </w:drawing>
      </w:r>
    </w:p>
    <w:p w14:paraId="14D5522B">
      <w:pPr>
        <w:pStyle w:val="2"/>
        <w:rPr>
          <w:color w:val="auto"/>
        </w:rPr>
        <w:sectPr>
          <w:pgSz w:w="11906" w:h="16838"/>
          <w:pgMar w:top="1440" w:right="1800" w:bottom="1440" w:left="1800" w:header="851" w:footer="992" w:gutter="0"/>
          <w:cols w:space="425" w:num="1"/>
          <w:docGrid w:type="lines" w:linePitch="312" w:charSpace="0"/>
        </w:sectPr>
      </w:pPr>
      <w:r>
        <w:rPr>
          <w:color w:val="auto"/>
        </w:rPr>
        <w:drawing>
          <wp:inline distT="0" distB="0" distL="114300" distR="114300">
            <wp:extent cx="5271135" cy="7298690"/>
            <wp:effectExtent l="0" t="0" r="5715" b="16510"/>
            <wp:docPr id="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pic:cNvPicPr>
                      <a:picLocks noChangeAspect="1"/>
                    </pic:cNvPicPr>
                  </pic:nvPicPr>
                  <pic:blipFill>
                    <a:blip r:embed="rId72"/>
                    <a:stretch>
                      <a:fillRect/>
                    </a:stretch>
                  </pic:blipFill>
                  <pic:spPr>
                    <a:xfrm>
                      <a:off x="0" y="0"/>
                      <a:ext cx="5271135" cy="7298690"/>
                    </a:xfrm>
                    <a:prstGeom prst="rect">
                      <a:avLst/>
                    </a:prstGeom>
                    <a:noFill/>
                    <a:ln>
                      <a:noFill/>
                    </a:ln>
                  </pic:spPr>
                </pic:pic>
              </a:graphicData>
            </a:graphic>
          </wp:inline>
        </w:drawing>
      </w:r>
    </w:p>
    <w:p w14:paraId="41FD540C">
      <w:pPr>
        <w:pStyle w:val="2"/>
        <w:rPr>
          <w:rFonts w:hint="default"/>
          <w:color w:val="auto"/>
          <w:lang w:val="en-US" w:eastAsia="zh-CN"/>
        </w:rPr>
        <w:sectPr>
          <w:pgSz w:w="11906" w:h="16838"/>
          <w:pgMar w:top="1440" w:right="1800" w:bottom="1440" w:left="1800" w:header="851" w:footer="992" w:gutter="0"/>
          <w:cols w:space="425" w:num="1"/>
          <w:docGrid w:type="lines" w:linePitch="312" w:charSpace="0"/>
        </w:sectPr>
      </w:pPr>
      <w:r>
        <w:rPr>
          <w:color w:val="auto"/>
        </w:rPr>
        <w:drawing>
          <wp:inline distT="0" distB="0" distL="114300" distR="114300">
            <wp:extent cx="5274310" cy="7304405"/>
            <wp:effectExtent l="0" t="0" r="2540" b="1079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73"/>
                    <a:stretch>
                      <a:fillRect/>
                    </a:stretch>
                  </pic:blipFill>
                  <pic:spPr>
                    <a:xfrm>
                      <a:off x="0" y="0"/>
                      <a:ext cx="5274310" cy="7304405"/>
                    </a:xfrm>
                    <a:prstGeom prst="rect">
                      <a:avLst/>
                    </a:prstGeom>
                    <a:noFill/>
                    <a:ln>
                      <a:noFill/>
                    </a:ln>
                  </pic:spPr>
                </pic:pic>
              </a:graphicData>
            </a:graphic>
          </wp:inline>
        </w:drawing>
      </w:r>
    </w:p>
    <w:p w14:paraId="3D90C126">
      <w:pPr>
        <w:rPr>
          <w:rFonts w:hint="eastAsia"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eastAsia="zh-CN"/>
        </w:rPr>
        <w:t>附件</w:t>
      </w:r>
      <w:r>
        <w:rPr>
          <w:rFonts w:hint="eastAsia" w:ascii="Times New Roman" w:hAnsi="Times New Roman" w:cs="Times New Roman"/>
          <w:b/>
          <w:bCs/>
          <w:color w:val="auto"/>
          <w:sz w:val="28"/>
          <w:szCs w:val="28"/>
          <w:lang w:val="en-US" w:eastAsia="zh-CN"/>
        </w:rPr>
        <w:t>8</w:t>
      </w:r>
      <w:r>
        <w:rPr>
          <w:rFonts w:hint="default" w:ascii="Times New Roman" w:hAnsi="Times New Roman" w:cs="Times New Roman"/>
          <w:b/>
          <w:bCs/>
          <w:color w:val="auto"/>
          <w:sz w:val="28"/>
          <w:szCs w:val="28"/>
          <w:lang w:eastAsia="zh-CN"/>
        </w:rPr>
        <w:t>：</w:t>
      </w:r>
      <w:r>
        <w:rPr>
          <w:rFonts w:hint="eastAsia" w:ascii="Times New Roman" w:hAnsi="Times New Roman" w:cs="Times New Roman"/>
          <w:b/>
          <w:bCs/>
          <w:color w:val="auto"/>
          <w:sz w:val="28"/>
          <w:szCs w:val="28"/>
          <w:lang w:val="en-US" w:eastAsia="zh-CN"/>
        </w:rPr>
        <w:t>园区管委会项目用地说明</w:t>
      </w:r>
    </w:p>
    <w:p w14:paraId="246FCCF6">
      <w:pPr>
        <w:pStyle w:val="2"/>
        <w:rPr>
          <w:rFonts w:hint="default"/>
          <w:color w:val="auto"/>
          <w:lang w:val="en-US" w:eastAsia="zh-CN"/>
        </w:rPr>
      </w:pPr>
      <w:r>
        <w:rPr>
          <w:color w:val="auto"/>
        </w:rPr>
        <w:drawing>
          <wp:inline distT="0" distB="0" distL="114300" distR="114300">
            <wp:extent cx="5273040" cy="7285990"/>
            <wp:effectExtent l="0" t="0" r="3810" b="1016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74"/>
                    <a:stretch>
                      <a:fillRect/>
                    </a:stretch>
                  </pic:blipFill>
                  <pic:spPr>
                    <a:xfrm>
                      <a:off x="0" y="0"/>
                      <a:ext cx="5273040" cy="7285990"/>
                    </a:xfrm>
                    <a:prstGeom prst="rect">
                      <a:avLst/>
                    </a:prstGeom>
                    <a:noFill/>
                    <a:ln>
                      <a:noFill/>
                    </a:ln>
                  </pic:spPr>
                </pic:pic>
              </a:graphicData>
            </a:graphic>
          </wp:inline>
        </w:drawing>
      </w:r>
      <w:r>
        <w:rPr>
          <w:color w:val="auto"/>
        </w:rPr>
        <w:drawing>
          <wp:inline distT="0" distB="0" distL="114300" distR="114300">
            <wp:extent cx="5273040" cy="7227570"/>
            <wp:effectExtent l="0" t="0" r="3810" b="1143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75"/>
                    <a:stretch>
                      <a:fillRect/>
                    </a:stretch>
                  </pic:blipFill>
                  <pic:spPr>
                    <a:xfrm>
                      <a:off x="0" y="0"/>
                      <a:ext cx="5273040" cy="7227570"/>
                    </a:xfrm>
                    <a:prstGeom prst="rect">
                      <a:avLst/>
                    </a:prstGeom>
                    <a:noFill/>
                    <a:ln>
                      <a:noFill/>
                    </a:ln>
                  </pic:spPr>
                </pic:pic>
              </a:graphicData>
            </a:graphic>
          </wp:inline>
        </w:drawing>
      </w:r>
      <w:r>
        <w:rPr>
          <w:color w:val="auto"/>
        </w:rPr>
        <w:drawing>
          <wp:inline distT="0" distB="0" distL="114300" distR="114300">
            <wp:extent cx="5273040" cy="7251065"/>
            <wp:effectExtent l="0" t="0" r="3810" b="698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76"/>
                    <a:stretch>
                      <a:fillRect/>
                    </a:stretch>
                  </pic:blipFill>
                  <pic:spPr>
                    <a:xfrm>
                      <a:off x="0" y="0"/>
                      <a:ext cx="5273040" cy="7251065"/>
                    </a:xfrm>
                    <a:prstGeom prst="rect">
                      <a:avLst/>
                    </a:prstGeom>
                    <a:noFill/>
                    <a:ln>
                      <a:noFill/>
                    </a:ln>
                  </pic:spPr>
                </pic:pic>
              </a:graphicData>
            </a:graphic>
          </wp:inline>
        </w:drawing>
      </w:r>
      <w:r>
        <w:rPr>
          <w:color w:val="auto"/>
        </w:rPr>
        <w:drawing>
          <wp:inline distT="0" distB="0" distL="114300" distR="114300">
            <wp:extent cx="5269865" cy="7287260"/>
            <wp:effectExtent l="0" t="0" r="6985" b="889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8"/>
                    <pic:cNvPicPr>
                      <a:picLocks noChangeAspect="1"/>
                    </pic:cNvPicPr>
                  </pic:nvPicPr>
                  <pic:blipFill>
                    <a:blip r:embed="rId77"/>
                    <a:stretch>
                      <a:fillRect/>
                    </a:stretch>
                  </pic:blipFill>
                  <pic:spPr>
                    <a:xfrm>
                      <a:off x="0" y="0"/>
                      <a:ext cx="5269865" cy="7287260"/>
                    </a:xfrm>
                    <a:prstGeom prst="rect">
                      <a:avLst/>
                    </a:prstGeom>
                    <a:noFill/>
                    <a:ln>
                      <a:noFill/>
                    </a:ln>
                  </pic:spPr>
                </pic:pic>
              </a:graphicData>
            </a:graphic>
          </wp:inline>
        </w:drawing>
      </w:r>
      <w:r>
        <w:rPr>
          <w:color w:val="auto"/>
        </w:rPr>
        <w:drawing>
          <wp:inline distT="0" distB="0" distL="114300" distR="114300">
            <wp:extent cx="5272405" cy="7266305"/>
            <wp:effectExtent l="0" t="0" r="4445" b="10795"/>
            <wp:docPr id="6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9"/>
                    <pic:cNvPicPr>
                      <a:picLocks noChangeAspect="1"/>
                    </pic:cNvPicPr>
                  </pic:nvPicPr>
                  <pic:blipFill>
                    <a:blip r:embed="rId78"/>
                    <a:stretch>
                      <a:fillRect/>
                    </a:stretch>
                  </pic:blipFill>
                  <pic:spPr>
                    <a:xfrm>
                      <a:off x="0" y="0"/>
                      <a:ext cx="5272405" cy="7266305"/>
                    </a:xfrm>
                    <a:prstGeom prst="rect">
                      <a:avLst/>
                    </a:prstGeom>
                    <a:noFill/>
                    <a:ln>
                      <a:noFill/>
                    </a:ln>
                  </pic:spPr>
                </pic:pic>
              </a:graphicData>
            </a:graphic>
          </wp:inline>
        </w:drawing>
      </w:r>
      <w:r>
        <w:rPr>
          <w:color w:val="auto"/>
        </w:rPr>
        <w:drawing>
          <wp:inline distT="0" distB="0" distL="114300" distR="114300">
            <wp:extent cx="5269865" cy="7224395"/>
            <wp:effectExtent l="0" t="0" r="6985" b="14605"/>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
                    <pic:cNvPicPr>
                      <a:picLocks noChangeAspect="1"/>
                    </pic:cNvPicPr>
                  </pic:nvPicPr>
                  <pic:blipFill>
                    <a:blip r:embed="rId79"/>
                    <a:stretch>
                      <a:fillRect/>
                    </a:stretch>
                  </pic:blipFill>
                  <pic:spPr>
                    <a:xfrm>
                      <a:off x="0" y="0"/>
                      <a:ext cx="5269865" cy="7224395"/>
                    </a:xfrm>
                    <a:prstGeom prst="rect">
                      <a:avLst/>
                    </a:prstGeom>
                    <a:noFill/>
                    <a:ln>
                      <a:noFill/>
                    </a:ln>
                  </pic:spPr>
                </pic:pic>
              </a:graphicData>
            </a:graphic>
          </wp:inline>
        </w:drawing>
      </w:r>
      <w:r>
        <w:rPr>
          <w:color w:val="auto"/>
        </w:rPr>
        <w:drawing>
          <wp:inline distT="0" distB="0" distL="114300" distR="114300">
            <wp:extent cx="5269865" cy="7200265"/>
            <wp:effectExtent l="0" t="0" r="6985" b="635"/>
            <wp:docPr id="6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1"/>
                    <pic:cNvPicPr>
                      <a:picLocks noChangeAspect="1"/>
                    </pic:cNvPicPr>
                  </pic:nvPicPr>
                  <pic:blipFill>
                    <a:blip r:embed="rId80"/>
                    <a:stretch>
                      <a:fillRect/>
                    </a:stretch>
                  </pic:blipFill>
                  <pic:spPr>
                    <a:xfrm>
                      <a:off x="0" y="0"/>
                      <a:ext cx="5269865" cy="7200265"/>
                    </a:xfrm>
                    <a:prstGeom prst="rect">
                      <a:avLst/>
                    </a:prstGeom>
                    <a:noFill/>
                    <a:ln>
                      <a:noFill/>
                    </a:ln>
                  </pic:spPr>
                </pic:pic>
              </a:graphicData>
            </a:graphic>
          </wp:inline>
        </w:drawing>
      </w:r>
      <w:r>
        <w:rPr>
          <w:color w:val="auto"/>
        </w:rPr>
        <w:drawing>
          <wp:inline distT="0" distB="0" distL="114300" distR="114300">
            <wp:extent cx="5269865" cy="7235190"/>
            <wp:effectExtent l="0" t="0" r="6985" b="3810"/>
            <wp:docPr id="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2"/>
                    <pic:cNvPicPr>
                      <a:picLocks noChangeAspect="1"/>
                    </pic:cNvPicPr>
                  </pic:nvPicPr>
                  <pic:blipFill>
                    <a:blip r:embed="rId81"/>
                    <a:stretch>
                      <a:fillRect/>
                    </a:stretch>
                  </pic:blipFill>
                  <pic:spPr>
                    <a:xfrm>
                      <a:off x="0" y="0"/>
                      <a:ext cx="5269865" cy="7235190"/>
                    </a:xfrm>
                    <a:prstGeom prst="rect">
                      <a:avLst/>
                    </a:prstGeom>
                    <a:noFill/>
                    <a:ln>
                      <a:noFill/>
                    </a:ln>
                  </pic:spPr>
                </pic:pic>
              </a:graphicData>
            </a:graphic>
          </wp:inline>
        </w:drawing>
      </w:r>
    </w:p>
    <w:p w14:paraId="091B6C82">
      <w:pPr>
        <w:pStyle w:val="2"/>
        <w:ind w:left="0" w:leftChars="0" w:firstLine="0" w:firstLineChars="0"/>
        <w:rPr>
          <w:color w:val="auto"/>
        </w:rPr>
      </w:pPr>
    </w:p>
    <w:p w14:paraId="29F78547">
      <w:pPr>
        <w:pStyle w:val="2"/>
        <w:rPr>
          <w:rFonts w:hint="default"/>
          <w:color w:val="auto"/>
          <w:lang w:val="en-US" w:eastAsia="zh-CN"/>
        </w:rPr>
        <w:sectPr>
          <w:pgSz w:w="11906" w:h="16838"/>
          <w:pgMar w:top="1440" w:right="1800" w:bottom="1440" w:left="1800" w:header="851" w:footer="992" w:gutter="0"/>
          <w:cols w:space="425" w:num="1"/>
          <w:docGrid w:type="lines" w:linePitch="312" w:charSpace="0"/>
        </w:sectPr>
      </w:pPr>
    </w:p>
    <w:p w14:paraId="0DA968BC">
      <w:pPr>
        <w:rPr>
          <w:rFonts w:hint="eastAsia" w:ascii="Times New Roman" w:hAnsi="Times New Roman" w:cs="Times New Roman"/>
          <w:b/>
          <w:bCs/>
          <w:color w:val="auto"/>
          <w:sz w:val="28"/>
          <w:szCs w:val="28"/>
          <w:lang w:val="en-US" w:eastAsia="zh-CN"/>
        </w:rPr>
      </w:pPr>
      <w:r>
        <w:rPr>
          <w:rFonts w:hint="eastAsia" w:ascii="Times New Roman" w:hAnsi="Times New Roman" w:cs="Times New Roman"/>
          <w:b/>
          <w:bCs/>
          <w:color w:val="auto"/>
          <w:sz w:val="28"/>
          <w:szCs w:val="28"/>
          <w:lang w:val="en-US" w:eastAsia="zh-CN"/>
        </w:rPr>
        <w:t>附件9情况说明</w:t>
      </w:r>
    </w:p>
    <w:p w14:paraId="4F711656">
      <w:pPr>
        <w:rPr>
          <w:color w:val="auto"/>
        </w:rPr>
      </w:pPr>
      <w:r>
        <w:rPr>
          <w:color w:val="auto"/>
        </w:rPr>
        <w:drawing>
          <wp:inline distT="0" distB="0" distL="114300" distR="114300">
            <wp:extent cx="5271770" cy="7313930"/>
            <wp:effectExtent l="0" t="0" r="5080" b="127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2"/>
                    <a:stretch>
                      <a:fillRect/>
                    </a:stretch>
                  </pic:blipFill>
                  <pic:spPr>
                    <a:xfrm>
                      <a:off x="0" y="0"/>
                      <a:ext cx="5271770" cy="7313930"/>
                    </a:xfrm>
                    <a:prstGeom prst="rect">
                      <a:avLst/>
                    </a:prstGeom>
                    <a:noFill/>
                    <a:ln>
                      <a:noFill/>
                    </a:ln>
                  </pic:spPr>
                </pic:pic>
              </a:graphicData>
            </a:graphic>
          </wp:inline>
        </w:drawing>
      </w:r>
    </w:p>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95D42F71-A86F-4098-859C-A53B22482A38}"/>
  </w:font>
  <w:font w:name="黑体">
    <w:panose1 w:val="02010609060101010101"/>
    <w:charset w:val="86"/>
    <w:family w:val="auto"/>
    <w:pitch w:val="default"/>
    <w:sig w:usb0="800002BF" w:usb1="38CF7CFA" w:usb2="00000016" w:usb3="00000000" w:csb0="00040001" w:csb1="00000000"/>
    <w:embedRegular r:id="rId2" w:fontKey="{EFA59A4E-F893-46B9-BFC8-A688D50C44F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3" w:fontKey="{087A5E66-4C8F-46A1-ACB4-02AF59E8D7C5}"/>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embedRegular r:id="rId4" w:fontKey="{68860C69-ADE6-4E5B-A96A-E70F3032273D}"/>
  </w:font>
  <w:font w:name="方正小标宋_GBK">
    <w:panose1 w:val="02000000000000000000"/>
    <w:charset w:val="86"/>
    <w:family w:val="script"/>
    <w:pitch w:val="default"/>
    <w:sig w:usb0="A00002BF" w:usb1="38CF7CFA" w:usb2="00082016" w:usb3="00000000" w:csb0="00040001" w:csb1="00000000"/>
    <w:embedRegular r:id="rId5" w:fontKey="{B8872333-7417-4BAD-AA72-141BA3640BE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12CDFA">
    <w:pPr>
      <w:pStyle w:val="17"/>
      <w:tabs>
        <w:tab w:val="left" w:pos="5733"/>
        <w:tab w:val="clear" w:pos="4153"/>
      </w:tabs>
      <w:ind w:right="360" w:firstLine="360"/>
    </w:pP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A6522">
    <w:pPr>
      <w:pStyle w:val="17"/>
      <w:tabs>
        <w:tab w:val="left" w:pos="5733"/>
        <w:tab w:val="clear" w:pos="4153"/>
      </w:tabs>
      <w:ind w:right="360" w:firstLine="360"/>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387407">
                          <w:pPr>
                            <w:pStyle w:val="17"/>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FSExU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FSExUzAgAAYwQAAA4AAAAAAAAAAQAgAAAAHwEAAGRycy9lMm9Eb2MueG1sUEsF&#10;BgAAAAAGAAYAWQEAAMQFAAAAAA==&#10;">
              <v:fill on="f" focussize="0,0"/>
              <v:stroke on="f" weight="0.5pt"/>
              <v:imagedata o:title=""/>
              <o:lock v:ext="edit" aspectratio="f"/>
              <v:textbox inset="0mm,0mm,0mm,0mm" style="mso-fit-shape-to-text:t;">
                <w:txbxContent>
                  <w:p w14:paraId="5A387407">
                    <w:pPr>
                      <w:pStyle w:val="17"/>
                    </w:pPr>
                    <w:r>
                      <w:fldChar w:fldCharType="begin"/>
                    </w:r>
                    <w:r>
                      <w:instrText xml:space="preserve"> PAGE  \* MERGEFORMAT </w:instrText>
                    </w:r>
                    <w:r>
                      <w:fldChar w:fldCharType="separate"/>
                    </w:r>
                    <w:r>
                      <w:t>4</w:t>
                    </w:r>
                    <w:r>
                      <w:fldChar w:fldCharType="end"/>
                    </w:r>
                  </w:p>
                </w:txbxContent>
              </v:textbox>
            </v:shape>
          </w:pict>
        </mc:Fallback>
      </mc:AlternateContent>
    </w:r>
    <w:r>
      <w:rPr>
        <w:rFonts w:hint="eastAsia"/>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4B8167">
    <w:pPr>
      <w:spacing w:line="176" w:lineRule="auto"/>
      <w:ind w:left="4222"/>
      <w:rPr>
        <w:rFonts w:ascii="Times New Roman" w:hAnsi="Times New Roman" w:eastAsia="Times New Roman" w:cs="Times New Roman"/>
        <w:sz w:val="18"/>
        <w:szCs w:val="18"/>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720E3E">
                          <w:pPr>
                            <w:pStyle w:val="17"/>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p w14:paraId="1B720E3E">
                    <w:pPr>
                      <w:pStyle w:val="17"/>
                    </w:pPr>
                    <w:r>
                      <w:fldChar w:fldCharType="begin"/>
                    </w:r>
                    <w:r>
                      <w:instrText xml:space="preserve"> PAGE  \* MERGEFORMAT </w:instrText>
                    </w:r>
                    <w:r>
                      <w:fldChar w:fldCharType="separate"/>
                    </w:r>
                    <w:r>
                      <w:t>20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2DED11">
    <w:pPr>
      <w:pStyle w:val="17"/>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14BFF9">
    <w:pPr>
      <w:pStyle w:val="17"/>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83504C"/>
    <w:multiLevelType w:val="singleLevel"/>
    <w:tmpl w:val="8283504C"/>
    <w:lvl w:ilvl="0" w:tentative="0">
      <w:start w:val="1"/>
      <w:numFmt w:val="decimal"/>
      <w:pStyle w:val="12"/>
      <w:lvlText w:val="%1."/>
      <w:lvlJc w:val="left"/>
      <w:pPr>
        <w:tabs>
          <w:tab w:val="left" w:pos="2040"/>
        </w:tabs>
        <w:ind w:left="2040" w:hanging="360"/>
      </w:pPr>
    </w:lvl>
  </w:abstractNum>
  <w:abstractNum w:abstractNumId="1">
    <w:nsid w:val="8ADB5201"/>
    <w:multiLevelType w:val="singleLevel"/>
    <w:tmpl w:val="8ADB5201"/>
    <w:lvl w:ilvl="0" w:tentative="0">
      <w:start w:val="1"/>
      <w:numFmt w:val="bullet"/>
      <w:pStyle w:val="13"/>
      <w:lvlText w:val=""/>
      <w:lvlJc w:val="left"/>
      <w:pPr>
        <w:tabs>
          <w:tab w:val="left" w:pos="2040"/>
        </w:tabs>
        <w:ind w:left="2040" w:hanging="360"/>
      </w:pPr>
      <w:rPr>
        <w:rFonts w:hint="default" w:ascii="Wingdings" w:hAnsi="Wingdings"/>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g4MTVjZDI3OWE3NDIyOWZjZmZkNzM3YmQyYWMwNTkifQ=="/>
  </w:docVars>
  <w:rsids>
    <w:rsidRoot w:val="4F130F73"/>
    <w:rsid w:val="00413B56"/>
    <w:rsid w:val="007B0487"/>
    <w:rsid w:val="00941F00"/>
    <w:rsid w:val="01864471"/>
    <w:rsid w:val="01B173F5"/>
    <w:rsid w:val="02172A90"/>
    <w:rsid w:val="02A961D7"/>
    <w:rsid w:val="057D03E2"/>
    <w:rsid w:val="05CB1F78"/>
    <w:rsid w:val="060534C2"/>
    <w:rsid w:val="06641B57"/>
    <w:rsid w:val="07580B27"/>
    <w:rsid w:val="09F61D50"/>
    <w:rsid w:val="0A4B022D"/>
    <w:rsid w:val="0DB8556E"/>
    <w:rsid w:val="11EE0A26"/>
    <w:rsid w:val="12F24D30"/>
    <w:rsid w:val="134323A2"/>
    <w:rsid w:val="14B704CA"/>
    <w:rsid w:val="17536B08"/>
    <w:rsid w:val="18AA1163"/>
    <w:rsid w:val="1B216501"/>
    <w:rsid w:val="1B326162"/>
    <w:rsid w:val="1CD95B9B"/>
    <w:rsid w:val="1E741853"/>
    <w:rsid w:val="1F2A43FF"/>
    <w:rsid w:val="1FE57F94"/>
    <w:rsid w:val="204D3EA8"/>
    <w:rsid w:val="20D764A4"/>
    <w:rsid w:val="21CE499A"/>
    <w:rsid w:val="229007A7"/>
    <w:rsid w:val="22F331FA"/>
    <w:rsid w:val="23322120"/>
    <w:rsid w:val="24335B43"/>
    <w:rsid w:val="2597754E"/>
    <w:rsid w:val="28285193"/>
    <w:rsid w:val="285A01FE"/>
    <w:rsid w:val="292A336C"/>
    <w:rsid w:val="2AFB47E6"/>
    <w:rsid w:val="2BC01AFE"/>
    <w:rsid w:val="2BE74614"/>
    <w:rsid w:val="2DB80F46"/>
    <w:rsid w:val="2E475FF1"/>
    <w:rsid w:val="2F5E2914"/>
    <w:rsid w:val="2FFF3951"/>
    <w:rsid w:val="31011BFA"/>
    <w:rsid w:val="312039B1"/>
    <w:rsid w:val="36317AE8"/>
    <w:rsid w:val="36E42408"/>
    <w:rsid w:val="37F31E5D"/>
    <w:rsid w:val="3D3549F3"/>
    <w:rsid w:val="3D3C7A1A"/>
    <w:rsid w:val="3D4155A7"/>
    <w:rsid w:val="3F020E1D"/>
    <w:rsid w:val="3F673267"/>
    <w:rsid w:val="3FDA217A"/>
    <w:rsid w:val="403B7108"/>
    <w:rsid w:val="40C53B15"/>
    <w:rsid w:val="422F5BB9"/>
    <w:rsid w:val="42B559FF"/>
    <w:rsid w:val="42EB5C94"/>
    <w:rsid w:val="461401D0"/>
    <w:rsid w:val="48D507A7"/>
    <w:rsid w:val="49445CDC"/>
    <w:rsid w:val="49465C71"/>
    <w:rsid w:val="4A915383"/>
    <w:rsid w:val="4BE52053"/>
    <w:rsid w:val="4C596AA0"/>
    <w:rsid w:val="4C746529"/>
    <w:rsid w:val="4C992C10"/>
    <w:rsid w:val="4D9C5C44"/>
    <w:rsid w:val="4DFF20BC"/>
    <w:rsid w:val="4F130F73"/>
    <w:rsid w:val="4F342A81"/>
    <w:rsid w:val="4F8D77AB"/>
    <w:rsid w:val="500C4DA6"/>
    <w:rsid w:val="50A24859"/>
    <w:rsid w:val="52C261CA"/>
    <w:rsid w:val="54634CB5"/>
    <w:rsid w:val="56125DFD"/>
    <w:rsid w:val="5630485E"/>
    <w:rsid w:val="56F978F7"/>
    <w:rsid w:val="57287119"/>
    <w:rsid w:val="5848317D"/>
    <w:rsid w:val="58532973"/>
    <w:rsid w:val="58AE6B29"/>
    <w:rsid w:val="5A9E127C"/>
    <w:rsid w:val="5B9958D3"/>
    <w:rsid w:val="5C3D14D6"/>
    <w:rsid w:val="5CCD4ADC"/>
    <w:rsid w:val="5DDD2A7F"/>
    <w:rsid w:val="5E67753F"/>
    <w:rsid w:val="60636240"/>
    <w:rsid w:val="60A47E60"/>
    <w:rsid w:val="62662C76"/>
    <w:rsid w:val="629A6AE6"/>
    <w:rsid w:val="66EB0EA0"/>
    <w:rsid w:val="68BA0154"/>
    <w:rsid w:val="6B5F343C"/>
    <w:rsid w:val="6DFD65E5"/>
    <w:rsid w:val="72E9115F"/>
    <w:rsid w:val="72F66A4A"/>
    <w:rsid w:val="74FB4D58"/>
    <w:rsid w:val="76D31811"/>
    <w:rsid w:val="77290C66"/>
    <w:rsid w:val="790D4FD3"/>
    <w:rsid w:val="79A90D10"/>
    <w:rsid w:val="7E7E3231"/>
    <w:rsid w:val="7E972481"/>
    <w:rsid w:val="7EE477AF"/>
    <w:rsid w:val="7F0569E9"/>
    <w:rsid w:val="7FA83A5A"/>
    <w:rsid w:val="7FF133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qFormat="1"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semiHidden/>
    <w:unhideWhenUsed/>
    <w:qFormat/>
    <w:uiPriority w:val="0"/>
    <w:pPr>
      <w:keepNext/>
      <w:keepLines/>
      <w:widowControl/>
      <w:tabs>
        <w:tab w:val="left" w:pos="377"/>
      </w:tabs>
      <w:spacing w:before="50" w:beforeLines="50" w:line="360" w:lineRule="auto"/>
      <w:outlineLvl w:val="1"/>
    </w:pPr>
    <w:rPr>
      <w:rFonts w:ascii="黑体" w:hAnsi="黑体" w:eastAsia="黑体" w:cs="Times New Roman"/>
      <w:bCs/>
      <w:color w:val="000000"/>
      <w:sz w:val="24"/>
      <w:szCs w:val="18"/>
    </w:rPr>
  </w:style>
  <w:style w:type="paragraph" w:styleId="8">
    <w:name w:val="heading 3"/>
    <w:basedOn w:val="1"/>
    <w:next w:val="1"/>
    <w:unhideWhenUsed/>
    <w:qFormat/>
    <w:uiPriority w:val="0"/>
    <w:pPr>
      <w:keepNext/>
      <w:keepLines/>
      <w:spacing w:line="360" w:lineRule="auto"/>
      <w:jc w:val="left"/>
      <w:outlineLvl w:val="2"/>
    </w:p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customStyle="1" w:styleId="2">
    <w:name w:val="样式 正文缩进正文缩进2正文缩进 Char Char正文缩进 Char Char Char Char正文缩进 Char ..."/>
    <w:basedOn w:val="3"/>
    <w:qFormat/>
    <w:uiPriority w:val="0"/>
    <w:pPr>
      <w:spacing w:line="360" w:lineRule="auto"/>
      <w:ind w:firstLine="200"/>
    </w:pPr>
    <w:rPr>
      <w:rFonts w:cs="宋体"/>
      <w:sz w:val="24"/>
    </w:rPr>
  </w:style>
  <w:style w:type="paragraph" w:styleId="3">
    <w:name w:val="Normal Indent"/>
    <w:basedOn w:val="1"/>
    <w:next w:val="4"/>
    <w:qFormat/>
    <w:uiPriority w:val="0"/>
    <w:pPr>
      <w:ind w:firstLine="420" w:firstLineChars="200"/>
    </w:pPr>
    <w:rPr>
      <w:rFonts w:ascii="Calibri" w:hAnsi="Calibri"/>
    </w:rPr>
  </w:style>
  <w:style w:type="paragraph" w:styleId="4">
    <w:name w:val="Body Text First Indent 2"/>
    <w:basedOn w:val="5"/>
    <w:next w:val="1"/>
    <w:qFormat/>
    <w:uiPriority w:val="0"/>
    <w:pPr>
      <w:ind w:firstLine="420" w:firstLineChars="200"/>
    </w:pPr>
    <w:rPr>
      <w:kern w:val="2"/>
      <w:sz w:val="21"/>
      <w:szCs w:val="24"/>
    </w:rPr>
  </w:style>
  <w:style w:type="paragraph" w:styleId="5">
    <w:name w:val="Body Text Indent"/>
    <w:basedOn w:val="1"/>
    <w:next w:val="4"/>
    <w:qFormat/>
    <w:uiPriority w:val="0"/>
    <w:pPr>
      <w:spacing w:after="120"/>
      <w:ind w:left="420" w:leftChars="200"/>
    </w:pPr>
    <w:rPr>
      <w:kern w:val="0"/>
      <w:sz w:val="24"/>
      <w:szCs w:val="20"/>
    </w:rPr>
  </w:style>
  <w:style w:type="paragraph" w:styleId="9">
    <w:name w:val="annotation text"/>
    <w:basedOn w:val="1"/>
    <w:qFormat/>
    <w:uiPriority w:val="0"/>
    <w:pPr>
      <w:jc w:val="left"/>
    </w:pPr>
  </w:style>
  <w:style w:type="paragraph" w:styleId="10">
    <w:name w:val="Body Text"/>
    <w:basedOn w:val="1"/>
    <w:next w:val="1"/>
    <w:qFormat/>
    <w:uiPriority w:val="1"/>
    <w:rPr>
      <w:rFonts w:ascii="宋体" w:hAnsi="宋体" w:cs="宋体"/>
      <w:sz w:val="24"/>
      <w:lang w:val="zh-CN" w:bidi="zh-CN"/>
    </w:rPr>
  </w:style>
  <w:style w:type="paragraph" w:styleId="11">
    <w:name w:val="Plain Text"/>
    <w:basedOn w:val="1"/>
    <w:next w:val="12"/>
    <w:qFormat/>
    <w:uiPriority w:val="99"/>
    <w:rPr>
      <w:rFonts w:ascii="宋体" w:hAnsi="Courier New" w:eastAsia="仿宋_GB2312"/>
      <w:sz w:val="28"/>
    </w:rPr>
  </w:style>
  <w:style w:type="paragraph" w:styleId="12">
    <w:name w:val="List Number 5"/>
    <w:basedOn w:val="1"/>
    <w:qFormat/>
    <w:uiPriority w:val="0"/>
    <w:pPr>
      <w:numPr>
        <w:ilvl w:val="0"/>
        <w:numId w:val="1"/>
      </w:numPr>
    </w:pPr>
  </w:style>
  <w:style w:type="paragraph" w:styleId="13">
    <w:name w:val="List Bullet 5"/>
    <w:basedOn w:val="1"/>
    <w:qFormat/>
    <w:uiPriority w:val="0"/>
    <w:pPr>
      <w:numPr>
        <w:ilvl w:val="0"/>
        <w:numId w:val="2"/>
      </w:numPr>
    </w:pPr>
  </w:style>
  <w:style w:type="paragraph" w:styleId="14">
    <w:name w:val="Body Text Indent 2"/>
    <w:basedOn w:val="1"/>
    <w:next w:val="15"/>
    <w:qFormat/>
    <w:uiPriority w:val="0"/>
    <w:pPr>
      <w:adjustRightInd w:val="0"/>
      <w:snapToGrid w:val="0"/>
      <w:spacing w:line="300" w:lineRule="auto"/>
      <w:ind w:firstLine="555"/>
    </w:pPr>
    <w:rPr>
      <w:rFonts w:eastAsia="仿宋_GB2312"/>
      <w:sz w:val="28"/>
    </w:rPr>
  </w:style>
  <w:style w:type="paragraph" w:customStyle="1" w:styleId="15">
    <w:name w:val="表格文字"/>
    <w:basedOn w:val="1"/>
    <w:qFormat/>
    <w:uiPriority w:val="0"/>
    <w:pPr>
      <w:spacing w:line="300" w:lineRule="exact"/>
      <w:jc w:val="center"/>
    </w:pPr>
    <w:rPr>
      <w:rFonts w:ascii="宋体"/>
      <w:kern w:val="0"/>
      <w:szCs w:val="32"/>
    </w:rPr>
  </w:style>
  <w:style w:type="paragraph" w:styleId="16">
    <w:name w:val="Balloon Text"/>
    <w:basedOn w:val="1"/>
    <w:semiHidden/>
    <w:qFormat/>
    <w:uiPriority w:val="0"/>
    <w:rPr>
      <w:kern w:val="0"/>
      <w:sz w:val="18"/>
      <w:szCs w:val="20"/>
    </w:rPr>
  </w:style>
  <w:style w:type="paragraph" w:styleId="17">
    <w:name w:val="footer"/>
    <w:basedOn w:val="1"/>
    <w:qFormat/>
    <w:uiPriority w:val="99"/>
    <w:pPr>
      <w:tabs>
        <w:tab w:val="center" w:pos="4153"/>
        <w:tab w:val="right" w:pos="8306"/>
      </w:tabs>
      <w:snapToGrid w:val="0"/>
      <w:jc w:val="left"/>
    </w:pPr>
    <w:rPr>
      <w:kern w:val="0"/>
      <w:sz w:val="18"/>
      <w:szCs w:val="20"/>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toc 2"/>
    <w:basedOn w:val="1"/>
    <w:next w:val="1"/>
    <w:qFormat/>
    <w:uiPriority w:val="0"/>
    <w:pPr>
      <w:ind w:left="420" w:leftChars="200"/>
    </w:pPr>
  </w:style>
  <w:style w:type="paragraph" w:styleId="20">
    <w:name w:val="Body Text 2"/>
    <w:basedOn w:val="1"/>
    <w:unhideWhenUsed/>
    <w:qFormat/>
    <w:uiPriority w:val="99"/>
    <w:pPr>
      <w:spacing w:line="360" w:lineRule="auto"/>
      <w:ind w:firstLine="602" w:firstLineChars="200"/>
      <w:jc w:val="left"/>
    </w:pPr>
    <w:rPr>
      <w:sz w:val="24"/>
    </w:rPr>
  </w:style>
  <w:style w:type="paragraph" w:styleId="21">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2">
    <w:name w:val="Body Text First Indent"/>
    <w:basedOn w:val="10"/>
    <w:next w:val="1"/>
    <w:qFormat/>
    <w:uiPriority w:val="0"/>
    <w:pPr>
      <w:adjustRightInd w:val="0"/>
      <w:spacing w:line="360" w:lineRule="auto"/>
      <w:ind w:firstLine="454"/>
      <w:textAlignment w:val="baseline"/>
    </w:pPr>
    <w:rPr>
      <w:kern w:val="0"/>
      <w:sz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qFormat/>
    <w:uiPriority w:val="0"/>
  </w:style>
  <w:style w:type="character" w:styleId="27">
    <w:name w:val="annotation reference"/>
    <w:basedOn w:val="25"/>
    <w:qFormat/>
    <w:uiPriority w:val="0"/>
    <w:rPr>
      <w:sz w:val="21"/>
      <w:szCs w:val="21"/>
    </w:rPr>
  </w:style>
  <w:style w:type="paragraph" w:customStyle="1" w:styleId="28">
    <w:name w:val="表格格式"/>
    <w:basedOn w:val="1"/>
    <w:next w:val="1"/>
    <w:qFormat/>
    <w:uiPriority w:val="0"/>
    <w:pPr>
      <w:jc w:val="center"/>
    </w:pPr>
  </w:style>
  <w:style w:type="paragraph" w:customStyle="1" w:styleId="29">
    <w:name w:val="Table Paragraph"/>
    <w:basedOn w:val="1"/>
    <w:qFormat/>
    <w:uiPriority w:val="1"/>
    <w:rPr>
      <w:rFonts w:ascii="宋体" w:hAnsi="宋体" w:cs="宋体"/>
      <w:lang w:val="zh-CN" w:bidi="zh-CN"/>
    </w:rPr>
  </w:style>
  <w:style w:type="paragraph" w:customStyle="1" w:styleId="30">
    <w:name w:val="表头"/>
    <w:basedOn w:val="3"/>
    <w:next w:val="1"/>
    <w:qFormat/>
    <w:uiPriority w:val="0"/>
    <w:pPr>
      <w:jc w:val="center"/>
    </w:pPr>
    <w:rPr>
      <w:rFonts w:hint="eastAsia"/>
      <w:b/>
      <w:bCs/>
      <w:szCs w:val="21"/>
    </w:rPr>
  </w:style>
  <w:style w:type="paragraph" w:customStyle="1" w:styleId="31">
    <w:name w:val="表格内容1"/>
    <w:basedOn w:val="1"/>
    <w:qFormat/>
    <w:uiPriority w:val="0"/>
    <w:pPr>
      <w:widowControl/>
      <w:jc w:val="center"/>
    </w:pPr>
    <w:rPr>
      <w:kern w:val="0"/>
      <w:szCs w:val="21"/>
      <w:lang w:eastAsia="en-US" w:bidi="en-US"/>
    </w:rPr>
  </w:style>
  <w:style w:type="paragraph" w:customStyle="1" w:styleId="32">
    <w:name w:val="正文新"/>
    <w:basedOn w:val="1"/>
    <w:qFormat/>
    <w:uiPriority w:val="0"/>
    <w:pPr>
      <w:spacing w:line="460" w:lineRule="exact"/>
      <w:ind w:firstLine="480" w:firstLineChars="200"/>
    </w:pPr>
    <w:rPr>
      <w:sz w:val="24"/>
    </w:rPr>
  </w:style>
  <w:style w:type="paragraph" w:customStyle="1" w:styleId="33">
    <w:name w:val="报告表正文"/>
    <w:basedOn w:val="34"/>
    <w:qFormat/>
    <w:uiPriority w:val="0"/>
    <w:pPr>
      <w:adjustRightInd w:val="0"/>
      <w:spacing w:line="360" w:lineRule="auto"/>
      <w:ind w:left="0" w:leftChars="0" w:right="0" w:firstLine="482"/>
      <w:jc w:val="both"/>
      <w:textAlignment w:val="baseline"/>
    </w:pPr>
    <w:rPr>
      <w:rFonts w:ascii="Times New Roman" w:hAnsi="Times New Roman" w:eastAsia="宋体"/>
      <w:kern w:val="0"/>
    </w:rPr>
  </w:style>
  <w:style w:type="paragraph" w:customStyle="1" w:styleId="34">
    <w:name w:val="报告正文"/>
    <w:basedOn w:val="35"/>
    <w:qFormat/>
    <w:uiPriority w:val="0"/>
    <w:pPr>
      <w:widowControl w:val="0"/>
      <w:snapToGrid w:val="0"/>
      <w:spacing w:line="360" w:lineRule="auto"/>
      <w:ind w:firstLine="200" w:firstLineChars="200"/>
    </w:pPr>
    <w:rPr>
      <w:rFonts w:ascii="Times New Roman" w:hAnsi="Times New Roman" w:cs="Times New Roman"/>
      <w:snapToGrid w:val="0"/>
      <w:sz w:val="24"/>
      <w:szCs w:val="28"/>
    </w:rPr>
  </w:style>
  <w:style w:type="paragraph" w:customStyle="1" w:styleId="35">
    <w:name w:val="p17"/>
    <w:basedOn w:val="1"/>
    <w:qFormat/>
    <w:uiPriority w:val="0"/>
    <w:pPr>
      <w:widowControl/>
    </w:pPr>
    <w:rPr>
      <w:rFonts w:ascii="宋体" w:hAnsi="宋体" w:cs="宋体"/>
      <w:kern w:val="0"/>
      <w:szCs w:val="21"/>
    </w:rPr>
  </w:style>
  <w:style w:type="paragraph" w:customStyle="1" w:styleId="36">
    <w:name w:val="Table Text"/>
    <w:basedOn w:val="1"/>
    <w:semiHidden/>
    <w:qFormat/>
    <w:uiPriority w:val="0"/>
    <w:rPr>
      <w:rFonts w:ascii="宋体" w:hAnsi="宋体" w:eastAsia="宋体" w:cs="宋体"/>
      <w:sz w:val="24"/>
      <w:szCs w:val="24"/>
      <w:lang w:val="en-US" w:eastAsia="en-US" w:bidi="ar-SA"/>
    </w:rPr>
  </w:style>
  <w:style w:type="table" w:customStyle="1" w:styleId="37">
    <w:name w:val="Table Normal"/>
    <w:semiHidden/>
    <w:unhideWhenUsed/>
    <w:qFormat/>
    <w:uiPriority w:val="0"/>
    <w:tblPr>
      <w:tblCellMar>
        <w:top w:w="0" w:type="dxa"/>
        <w:left w:w="0" w:type="dxa"/>
        <w:bottom w:w="0" w:type="dxa"/>
        <w:right w:w="0" w:type="dxa"/>
      </w:tblCellMar>
    </w:tblPr>
  </w:style>
  <w:style w:type="paragraph" w:customStyle="1" w:styleId="38">
    <w:name w:val="表头字体"/>
    <w:basedOn w:val="1"/>
    <w:qFormat/>
    <w:uiPriority w:val="0"/>
    <w:pPr>
      <w:spacing w:line="360" w:lineRule="auto"/>
      <w:jc w:val="center"/>
    </w:pPr>
  </w:style>
  <w:style w:type="paragraph" w:customStyle="1" w:styleId="39">
    <w:name w:val="表格内容"/>
    <w:next w:val="40"/>
    <w:qFormat/>
    <w:uiPriority w:val="0"/>
    <w:pPr>
      <w:jc w:val="center"/>
    </w:pPr>
    <w:rPr>
      <w:rFonts w:ascii="Times New Roman" w:hAnsi="Times New Roman" w:eastAsia="宋体" w:cs="Times New Roman"/>
      <w:kern w:val="2"/>
      <w:sz w:val="21"/>
      <w:szCs w:val="24"/>
      <w:lang w:val="zh-TW" w:eastAsia="zh-TW" w:bidi="ar-SA"/>
    </w:rPr>
  </w:style>
  <w:style w:type="paragraph" w:customStyle="1" w:styleId="40">
    <w:name w:val="文本正文"/>
    <w:basedOn w:val="1"/>
    <w:qFormat/>
    <w:uiPriority w:val="0"/>
    <w:pPr>
      <w:ind w:firstLine="480"/>
    </w:pPr>
  </w:style>
  <w:style w:type="paragraph" w:customStyle="1" w:styleId="41">
    <w:name w:val="表格"/>
    <w:basedOn w:val="21"/>
    <w:next w:val="1"/>
    <w:qFormat/>
    <w:uiPriority w:val="0"/>
    <w:pPr>
      <w:adjustRightInd w:val="0"/>
      <w:snapToGrid w:val="0"/>
      <w:spacing w:beforeLines="10" w:afterLines="10" w:line="259" w:lineRule="auto"/>
      <w:jc w:val="center"/>
    </w:pPr>
    <w:rPr>
      <w:rFonts w:ascii="宋体"/>
      <w:kern w:val="0"/>
      <w:szCs w:val="20"/>
    </w:rPr>
  </w:style>
  <w:style w:type="paragraph" w:customStyle="1" w:styleId="42">
    <w:name w:val="环评正文"/>
    <w:qFormat/>
    <w:uiPriority w:val="0"/>
    <w:rPr>
      <w:rFonts w:ascii="Times New Roman" w:hAnsi="Times New Roman" w:eastAsia="宋体" w:cs="Times New Roman"/>
      <w:sz w:val="24"/>
      <w:lang w:val="en-US" w:eastAsia="zh-CN" w:bidi="ar-SA"/>
    </w:rPr>
  </w:style>
  <w:style w:type="paragraph" w:customStyle="1" w:styleId="43">
    <w:name w:val="样式 正文首行缩进 + 首行缩进:  2 字符1"/>
    <w:basedOn w:val="22"/>
    <w:qFormat/>
    <w:uiPriority w:val="0"/>
    <w:pPr>
      <w:spacing w:after="0" w:line="360" w:lineRule="auto"/>
      <w:ind w:firstLine="480" w:firstLineChars="200"/>
    </w:pPr>
    <w:rPr>
      <w:sz w:val="24"/>
    </w:rPr>
  </w:style>
  <w:style w:type="paragraph" w:customStyle="1" w:styleId="44">
    <w:name w:val="表头-ly"/>
    <w:basedOn w:val="21"/>
    <w:qFormat/>
    <w:uiPriority w:val="0"/>
    <w:pPr>
      <w:widowControl w:val="0"/>
      <w:autoSpaceDE w:val="0"/>
      <w:spacing w:before="0" w:beforeAutospacing="0" w:after="0" w:afterAutospacing="0"/>
      <w:ind w:firstLine="200" w:firstLineChars="200"/>
      <w:jc w:val="both"/>
    </w:pPr>
    <w:rPr>
      <w:rFonts w:ascii="黑体" w:hAnsi="黑体" w:eastAsia="黑体"/>
      <w:bCs/>
      <w:kern w:val="2"/>
      <w:sz w:val="21"/>
      <w:szCs w:val="24"/>
    </w:rPr>
  </w:style>
  <w:style w:type="paragraph" w:customStyle="1" w:styleId="45">
    <w:name w:val="Default"/>
    <w:basedOn w:val="46"/>
    <w:next w:val="1"/>
    <w:qFormat/>
    <w:uiPriority w:val="0"/>
    <w:pPr>
      <w:tabs>
        <w:tab w:val="left" w:pos="1845"/>
      </w:tabs>
      <w:autoSpaceDE w:val="0"/>
      <w:autoSpaceDN w:val="0"/>
    </w:pPr>
    <w:rPr>
      <w:rFonts w:ascii="宋体" w:cs="宋体"/>
      <w:sz w:val="24"/>
    </w:rPr>
  </w:style>
  <w:style w:type="paragraph" w:customStyle="1" w:styleId="46">
    <w:name w:val="1 表头"/>
    <w:basedOn w:val="1"/>
    <w:qFormat/>
    <w:uiPriority w:val="0"/>
    <w:pPr>
      <w:adjustRightInd w:val="0"/>
      <w:snapToGrid w:val="0"/>
      <w:jc w:val="center"/>
    </w:pPr>
    <w:rPr>
      <w:b/>
      <w:color w:val="000000"/>
      <w:szCs w:val="21"/>
    </w:rPr>
  </w:style>
  <w:style w:type="paragraph" w:customStyle="1" w:styleId="47">
    <w:name w:val="Char Char Char Char Char Char Char Char Char1 Char Char Char Char"/>
    <w:basedOn w:val="1"/>
    <w:semiHidden/>
    <w:qFormat/>
    <w:uiPriority w:val="0"/>
    <w:pPr>
      <w:ind w:firstLine="200" w:firstLineChars="200"/>
    </w:pPr>
    <w:rPr>
      <w:rFonts w:ascii="宋体" w:hAnsi="宋体" w:cs="宋体"/>
      <w:sz w:val="24"/>
      <w:szCs w:val="26"/>
    </w:rPr>
  </w:style>
  <w:style w:type="character" w:customStyle="1" w:styleId="48">
    <w:name w:val="textbig1"/>
    <w:basedOn w:val="25"/>
    <w:qFormat/>
    <w:uiPriority w:val="0"/>
    <w:rPr>
      <w:sz w:val="18"/>
      <w:szCs w:val="18"/>
    </w:rPr>
  </w:style>
  <w:style w:type="paragraph" w:customStyle="1" w:styleId="49">
    <w:name w:val="缩进"/>
    <w:basedOn w:val="1"/>
    <w:qFormat/>
    <w:uiPriority w:val="0"/>
    <w:pPr>
      <w:spacing w:line="360" w:lineRule="auto"/>
      <w:ind w:firstLine="200" w:firstLineChars="200"/>
    </w:pPr>
    <w:rPr>
      <w:sz w:val="24"/>
    </w:rPr>
  </w:style>
  <w:style w:type="paragraph" w:customStyle="1" w:styleId="50">
    <w:name w:val="表格内"/>
    <w:basedOn w:val="1"/>
    <w:qFormat/>
    <w:uiPriority w:val="0"/>
    <w:pPr>
      <w:spacing w:line="360" w:lineRule="exact"/>
      <w:jc w:val="center"/>
    </w:pPr>
    <w:rPr>
      <w:snapToGrid w:val="0"/>
      <w:szCs w:val="21"/>
    </w:rPr>
  </w:style>
  <w:style w:type="paragraph" w:customStyle="1" w:styleId="51">
    <w:name w:val="表格标题"/>
    <w:basedOn w:val="30"/>
    <w:qFormat/>
    <w:uiPriority w:val="0"/>
    <w:rPr>
      <w:rFonts w:hint="default"/>
    </w:rPr>
  </w:style>
  <w:style w:type="paragraph" w:customStyle="1" w:styleId="52">
    <w:name w:val="表格正文"/>
    <w:basedOn w:val="51"/>
    <w:qFormat/>
    <w:uiPriority w:val="0"/>
    <w:pPr>
      <w:wordWrap w:val="0"/>
    </w:pPr>
    <w:rPr>
      <w:b w:val="0"/>
    </w:rPr>
  </w:style>
  <w:style w:type="paragraph" w:customStyle="1" w:styleId="53">
    <w:name w:val="Z正文"/>
    <w:basedOn w:val="1"/>
    <w:next w:val="1"/>
    <w:semiHidden/>
    <w:qFormat/>
    <w:uiPriority w:val="0"/>
    <w:rPr>
      <w:rFonts w:ascii="Calibri" w:hAnsi="Calibri"/>
      <w:szCs w:val="22"/>
    </w:rPr>
  </w:style>
  <w:style w:type="paragraph" w:customStyle="1" w:styleId="54">
    <w:name w:val="MEL正文*"/>
    <w:basedOn w:val="1"/>
    <w:qFormat/>
    <w:uiPriority w:val="0"/>
    <w:pPr>
      <w:spacing w:line="500" w:lineRule="exact"/>
      <w:ind w:firstLine="200" w:firstLineChars="200"/>
    </w:pPr>
    <w:rPr>
      <w:rFonts w:ascii="宋体" w:hAnsi="宋体"/>
      <w:kern w:val="0"/>
      <w:sz w:val="24"/>
    </w:rPr>
  </w:style>
  <w:style w:type="paragraph" w:customStyle="1" w:styleId="55">
    <w:name w:val="表内文字"/>
    <w:basedOn w:val="1"/>
    <w:qFormat/>
    <w:uiPriority w:val="0"/>
    <w:pPr>
      <w:widowControl/>
      <w:overflowPunct w:val="0"/>
      <w:autoSpaceDE w:val="0"/>
      <w:autoSpaceDN w:val="0"/>
      <w:adjustRightInd w:val="0"/>
      <w:spacing w:line="300" w:lineRule="exact"/>
      <w:jc w:val="center"/>
    </w:pPr>
    <w:rPr>
      <w:rFonts w:ascii="宋体" w:hAnsi="楷体_GB2312" w:cs="楷体_GB2312"/>
      <w:kern w:val="0"/>
      <w:szCs w:val="22"/>
    </w:rPr>
  </w:style>
  <w:style w:type="paragraph" w:customStyle="1" w:styleId="56">
    <w:name w:val="农贸市场表格表头"/>
    <w:basedOn w:val="1"/>
    <w:qFormat/>
    <w:uiPriority w:val="0"/>
    <w:pPr>
      <w:keepNext w:val="0"/>
      <w:keepLines w:val="0"/>
      <w:widowControl w:val="0"/>
      <w:suppressLineNumbers w:val="0"/>
      <w:spacing w:before="0" w:beforeAutospacing="0" w:after="0" w:afterAutospacing="0"/>
      <w:ind w:left="0" w:right="0"/>
      <w:jc w:val="center"/>
    </w:pPr>
    <w:rPr>
      <w:rFonts w:hint="eastAsia" w:ascii="仿宋_GB2312" w:hAnsi="宋体" w:eastAsia="仿宋_GB2312" w:cs="仿宋_GB2312"/>
      <w:b/>
      <w:kern w:val="2"/>
      <w:sz w:val="21"/>
      <w:szCs w:val="21"/>
      <w:lang w:val="en-US" w:eastAsia="zh-CN" w:bidi="ar"/>
    </w:rPr>
  </w:style>
  <w:style w:type="paragraph" w:customStyle="1" w:styleId="57">
    <w:name w:val="正文-1"/>
    <w:qFormat/>
    <w:uiPriority w:val="0"/>
    <w:pPr>
      <w:spacing w:line="480" w:lineRule="exact"/>
      <w:ind w:firstLine="200" w:firstLineChars="200"/>
      <w:jc w:val="both"/>
    </w:pPr>
    <w:rPr>
      <w:rFonts w:ascii="宋体" w:hAnsi="宋体" w:eastAsia="宋体" w:cs="宋体"/>
      <w:kern w:val="2"/>
      <w:sz w:val="24"/>
      <w:lang w:val="en-US" w:eastAsia="zh-CN" w:bidi="ar-SA"/>
    </w:rPr>
  </w:style>
  <w:style w:type="paragraph" w:customStyle="1" w:styleId="58">
    <w:name w:val="表格内容5.21"/>
    <w:basedOn w:val="1"/>
    <w:qFormat/>
    <w:uiPriority w:val="0"/>
    <w:pPr>
      <w:widowControl/>
      <w:jc w:val="center"/>
    </w:pPr>
    <w:rPr>
      <w:szCs w:val="21"/>
    </w:rPr>
  </w:style>
  <w:style w:type="paragraph" w:customStyle="1" w:styleId="59">
    <w:name w:val="Body Text 21"/>
    <w:basedOn w:val="1"/>
    <w:qFormat/>
    <w:uiPriority w:val="0"/>
    <w:pPr>
      <w:spacing w:after="120" w:line="480" w:lineRule="auto"/>
    </w:p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theme" Target="theme/theme1.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5.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jpe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footer" Target="footer4.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jpe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footer" Target="footer3.xml"/><Relationship Id="rId49" Type="http://schemas.openxmlformats.org/officeDocument/2006/relationships/image" Target="media/image31.pn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footer" Target="footer2.xml"/><Relationship Id="rId39" Type="http://schemas.openxmlformats.org/officeDocument/2006/relationships/image" Target="media/image21.png"/><Relationship Id="rId38" Type="http://schemas.openxmlformats.org/officeDocument/2006/relationships/image" Target="media/image20.png"/><Relationship Id="rId37" Type="http://schemas.openxmlformats.org/officeDocument/2006/relationships/image" Target="media/image19.pn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wmf"/><Relationship Id="rId31" Type="http://schemas.openxmlformats.org/officeDocument/2006/relationships/oleObject" Target="embeddings/oleObject10.bin"/><Relationship Id="rId30" Type="http://schemas.openxmlformats.org/officeDocument/2006/relationships/image" Target="media/image13.wmf"/><Relationship Id="rId3" Type="http://schemas.openxmlformats.org/officeDocument/2006/relationships/footer" Target="footer1.xml"/><Relationship Id="rId29" Type="http://schemas.openxmlformats.org/officeDocument/2006/relationships/oleObject" Target="embeddings/oleObject9.bin"/><Relationship Id="rId28" Type="http://schemas.openxmlformats.org/officeDocument/2006/relationships/image" Target="media/image12.wmf"/><Relationship Id="rId27" Type="http://schemas.openxmlformats.org/officeDocument/2006/relationships/oleObject" Target="embeddings/oleObject8.bin"/><Relationship Id="rId26" Type="http://schemas.openxmlformats.org/officeDocument/2006/relationships/image" Target="media/image11.wmf"/><Relationship Id="rId25" Type="http://schemas.openxmlformats.org/officeDocument/2006/relationships/oleObject" Target="embeddings/oleObject7.bin"/><Relationship Id="rId24" Type="http://schemas.openxmlformats.org/officeDocument/2006/relationships/image" Target="media/image10.wmf"/><Relationship Id="rId23" Type="http://schemas.openxmlformats.org/officeDocument/2006/relationships/oleObject" Target="embeddings/oleObject6.bin"/><Relationship Id="rId22" Type="http://schemas.openxmlformats.org/officeDocument/2006/relationships/image" Target="media/image9.wmf"/><Relationship Id="rId21" Type="http://schemas.openxmlformats.org/officeDocument/2006/relationships/oleObject" Target="embeddings/oleObject5.bin"/><Relationship Id="rId20" Type="http://schemas.openxmlformats.org/officeDocument/2006/relationships/image" Target="media/image8.w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7.wmf"/><Relationship Id="rId17" Type="http://schemas.openxmlformats.org/officeDocument/2006/relationships/oleObject" Target="embeddings/oleObject3.bin"/><Relationship Id="rId16" Type="http://schemas.openxmlformats.org/officeDocument/2006/relationships/image" Target="media/image6.wmf"/><Relationship Id="rId15" Type="http://schemas.openxmlformats.org/officeDocument/2006/relationships/oleObject" Target="embeddings/oleObject2.bin"/><Relationship Id="rId14" Type="http://schemas.openxmlformats.org/officeDocument/2006/relationships/image" Target="media/image5.wmf"/><Relationship Id="rId13" Type="http://schemas.openxmlformats.org/officeDocument/2006/relationships/oleObject" Target="embeddings/oleObject1.bin"/><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"/>
    </extobj>
    <extobj name="ECB019B1-382A-4266-B25C-5B523AA43C14-2">
      <extobjdata type="ECB019B1-382A-4266-B25C-5B523AA43C14" data="ewoJIkZpbGVJZCIgOiAiMzQ3ODc0NzgyMDgzIiwKCSJHcm91cElkIiA6ICIzOTA4NTIzNTUiLAoJIkltYWdlIiA6ICJpVkJPUncwS0dnb0FBQUFOU1VoRVVnQUFCTG9BQUFMN0NBWUFBQUQ2VE95VEFBQUFBWE5TUjBJQXJzNGM2UUFBSUFCSlJFRlVlSnpzM1htY2plWC94L0gzZmVhTW1XRnNJZHVVUFltWUlWSW9RcElvcEIyRm1nb1ZFdTFKc3BRMlkwM0lsbVQ1VWhRVjJiTU9ZemZaSmN0WVo4eDY1dHkvUDZaei8rWTRzeG5Eekp4ZXo4ZmorL2gyN25PZmU2N0JkZTdyL2x6WDUzTkp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OaXEvaCtTMkpuMTFzZ2hkZ0FBQUFCSlJVNUVya0pnZ2c9PSIsCgkiVGhlbWUiIDogIiIsCgkiVHlwZSIgOiAiZmxvdy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116</Pages>
  <Words>13945</Words>
  <Characters>15509</Characters>
  <Lines>0</Lines>
  <Paragraphs>0</Paragraphs>
  <TotalTime>4</TotalTime>
  <ScaleCrop>false</ScaleCrop>
  <LinksUpToDate>false</LinksUpToDate>
  <CharactersWithSpaces>15552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2024-10-22T02:51:00Z</dcterms:created>
  <dc:creator>Blame.</dc:creator>
  <cp:lastModifiedBy>小麦啾</cp:lastModifiedBy>
  <dcterms:modified xsi:type="dcterms:W3CDTF">2025-05-15T11:32:06Z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643E89EDFFE14F6080406EF0CDEA6540_13</vt:lpwstr>
  </property>
  <property fmtid="{D5CDD505-2E9C-101B-9397-08002B2CF9AE}" pid="4" name="KSOTemplateDocerSaveRecord">
    <vt:lpwstr>eyJoZGlkIjoiMzcxN2Q5OGY0MzIxMzQ2YTVkNjkyNjY4OTc0MzQwMDIiLCJ1c2VySWQiOiIzMjQ5NjUzODcifQ==</vt:lpwstr>
  </property>
</Properties>
</file>