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99F4">
      <w:pPr>
        <w:rPr>
          <w:rFonts w:eastAsia="仿宋_GB2312"/>
          <w:color w:val="auto"/>
          <w:sz w:val="36"/>
          <w:szCs w:val="36"/>
          <w:highlight w:val="none"/>
        </w:rPr>
      </w:pPr>
    </w:p>
    <w:p w14:paraId="5DC85597">
      <w:pPr>
        <w:pStyle w:val="9"/>
      </w:pPr>
      <w:bookmarkStart w:id="3" w:name="_GoBack"/>
      <w:bookmarkEnd w:id="3"/>
    </w:p>
    <w:p w14:paraId="1F3D83D0">
      <w:pPr>
        <w:rPr>
          <w:rFonts w:eastAsia="仿宋_GB2312"/>
          <w:color w:val="auto"/>
          <w:sz w:val="36"/>
          <w:szCs w:val="36"/>
          <w:highlight w:val="none"/>
        </w:rPr>
      </w:pPr>
    </w:p>
    <w:p w14:paraId="3210D13F">
      <w:pPr>
        <w:tabs>
          <w:tab w:val="left" w:pos="6650"/>
        </w:tabs>
        <w:rPr>
          <w:rFonts w:eastAsia="仿宋_GB2312"/>
          <w:color w:val="auto"/>
          <w:sz w:val="36"/>
          <w:szCs w:val="36"/>
          <w:highlight w:val="none"/>
        </w:rPr>
      </w:pPr>
      <w:r>
        <w:rPr>
          <w:rFonts w:hint="eastAsia" w:eastAsia="仿宋_GB2312"/>
          <w:color w:val="auto"/>
          <w:sz w:val="36"/>
          <w:szCs w:val="36"/>
          <w:highlight w:val="none"/>
        </w:rPr>
        <w:tab/>
      </w:r>
    </w:p>
    <w:p w14:paraId="0F5B20D8">
      <w:pPr>
        <w:adjustRightInd w:val="0"/>
        <w:snapToGrid w:val="0"/>
        <w:jc w:val="center"/>
        <w:outlineLvl w:val="0"/>
        <w:rPr>
          <w:rFonts w:eastAsia="方正小标宋_GBK"/>
          <w:bCs/>
          <w:color w:val="auto"/>
          <w:sz w:val="72"/>
          <w:szCs w:val="72"/>
          <w:highlight w:val="none"/>
        </w:rPr>
      </w:pPr>
      <w:r>
        <w:rPr>
          <w:rFonts w:eastAsia="方正小标宋_GBK"/>
          <w:bCs/>
          <w:color w:val="auto"/>
          <w:sz w:val="72"/>
          <w:szCs w:val="72"/>
          <w:highlight w:val="none"/>
        </w:rPr>
        <w:t>建设项目环境影响报告表</w:t>
      </w:r>
    </w:p>
    <w:p w14:paraId="13C24645">
      <w:pPr>
        <w:adjustRightInd w:val="0"/>
        <w:snapToGrid w:val="0"/>
        <w:spacing w:before="192" w:beforeLines="80"/>
        <w:jc w:val="center"/>
        <w:rPr>
          <w:rFonts w:eastAsia="楷体_GB2312"/>
          <w:bCs/>
          <w:color w:val="auto"/>
          <w:sz w:val="48"/>
          <w:szCs w:val="48"/>
          <w:highlight w:val="none"/>
        </w:rPr>
      </w:pPr>
      <w:r>
        <w:rPr>
          <w:rFonts w:eastAsia="楷体_GB2312"/>
          <w:bCs/>
          <w:color w:val="auto"/>
          <w:sz w:val="48"/>
          <w:szCs w:val="48"/>
          <w:highlight w:val="none"/>
        </w:rPr>
        <w:t>（污染影响类）</w:t>
      </w:r>
    </w:p>
    <w:p w14:paraId="636C2130">
      <w:pPr>
        <w:adjustRightInd w:val="0"/>
        <w:snapToGrid w:val="0"/>
        <w:spacing w:line="288" w:lineRule="auto"/>
        <w:jc w:val="center"/>
        <w:outlineLvl w:val="0"/>
        <w:rPr>
          <w:rFonts w:hint="default" w:eastAsia="华文仿宋"/>
          <w:color w:val="auto"/>
          <w:kern w:val="44"/>
          <w:sz w:val="44"/>
          <w:szCs w:val="44"/>
          <w:highlight w:val="none"/>
          <w:lang w:val="en-US" w:eastAsia="zh-CN"/>
        </w:rPr>
      </w:pPr>
    </w:p>
    <w:p w14:paraId="75C15216">
      <w:pPr>
        <w:jc w:val="center"/>
        <w:rPr>
          <w:rFonts w:eastAsia="仿宋"/>
          <w:color w:val="auto"/>
          <w:sz w:val="52"/>
          <w:szCs w:val="52"/>
          <w:highlight w:val="none"/>
        </w:rPr>
      </w:pPr>
    </w:p>
    <w:p w14:paraId="7199B44F">
      <w:pPr>
        <w:ind w:firstLine="1040"/>
        <w:rPr>
          <w:rFonts w:eastAsia="仿宋"/>
          <w:color w:val="auto"/>
          <w:sz w:val="44"/>
          <w:szCs w:val="44"/>
          <w:highlight w:val="none"/>
        </w:rPr>
      </w:pPr>
    </w:p>
    <w:p w14:paraId="5579BB6E">
      <w:pPr>
        <w:ind w:firstLine="1040"/>
        <w:rPr>
          <w:rFonts w:eastAsia="仿宋"/>
          <w:color w:val="auto"/>
          <w:sz w:val="44"/>
          <w:szCs w:val="44"/>
          <w:highlight w:val="none"/>
        </w:rPr>
      </w:pPr>
    </w:p>
    <w:p w14:paraId="05876B1D">
      <w:pPr>
        <w:ind w:firstLine="1040"/>
        <w:rPr>
          <w:rFonts w:eastAsia="仿宋"/>
          <w:color w:val="auto"/>
          <w:sz w:val="44"/>
          <w:szCs w:val="44"/>
          <w:highlight w:val="none"/>
        </w:rPr>
      </w:pPr>
    </w:p>
    <w:p w14:paraId="2F143E5F">
      <w:pPr>
        <w:ind w:firstLine="1040"/>
        <w:rPr>
          <w:rFonts w:eastAsia="仿宋"/>
          <w:color w:val="auto"/>
          <w:sz w:val="44"/>
          <w:szCs w:val="44"/>
          <w:highlight w:val="none"/>
        </w:rPr>
      </w:pPr>
    </w:p>
    <w:p w14:paraId="76581C7A">
      <w:pPr>
        <w:adjustRightInd w:val="0"/>
        <w:snapToGrid w:val="0"/>
        <w:spacing w:line="288" w:lineRule="auto"/>
        <w:ind w:firstLine="360" w:firstLineChars="100"/>
        <w:rPr>
          <w:rFonts w:eastAsia="仿宋_GB2312"/>
          <w:color w:val="auto"/>
          <w:sz w:val="36"/>
          <w:szCs w:val="36"/>
          <w:highlight w:val="none"/>
          <w:u w:val="single"/>
        </w:rPr>
      </w:pPr>
      <w:r>
        <w:rPr>
          <w:rFonts w:eastAsia="仿宋_GB2312"/>
          <w:color w:val="auto"/>
          <w:sz w:val="36"/>
          <w:szCs w:val="36"/>
          <w:highlight w:val="none"/>
        </w:rPr>
        <w:t>项目名称：</w:t>
      </w:r>
      <w:r>
        <w:rPr>
          <w:rFonts w:hint="eastAsia" w:eastAsia="仿宋_GB2312"/>
          <w:color w:val="auto"/>
          <w:sz w:val="36"/>
          <w:szCs w:val="36"/>
          <w:highlight w:val="none"/>
          <w:u w:val="single"/>
        </w:rPr>
        <w:t xml:space="preserve"> </w:t>
      </w:r>
      <w:r>
        <w:rPr>
          <w:rFonts w:hint="eastAsia" w:ascii="仿宋" w:hAnsi="仿宋" w:eastAsia="仿宋" w:cs="仿宋"/>
          <w:spacing w:val="8"/>
          <w:sz w:val="35"/>
          <w:szCs w:val="35"/>
          <w:u w:val="single" w:color="auto"/>
          <w:lang w:val="en-US" w:eastAsia="zh-CN"/>
        </w:rPr>
        <w:t>木垒县12.55万克拉人造金刚石项目</w:t>
      </w:r>
      <w:r>
        <w:rPr>
          <w:rFonts w:hint="eastAsia" w:eastAsia="仿宋_GB2312"/>
          <w:color w:val="auto"/>
          <w:sz w:val="36"/>
          <w:szCs w:val="36"/>
          <w:highlight w:val="none"/>
          <w:u w:val="single"/>
        </w:rPr>
        <w:t xml:space="preserve">      </w:t>
      </w:r>
      <w:r>
        <w:rPr>
          <w:rFonts w:hint="eastAsia" w:eastAsia="仿宋_GB2312"/>
          <w:color w:val="auto"/>
          <w:sz w:val="36"/>
          <w:szCs w:val="36"/>
          <w:highlight w:val="none"/>
          <w:u w:val="single"/>
          <w:lang w:val="en-US" w:eastAsia="zh-CN"/>
        </w:rPr>
        <w:t xml:space="preserve">  </w:t>
      </w:r>
      <w:r>
        <w:rPr>
          <w:rFonts w:hint="eastAsia" w:eastAsia="仿宋_GB2312"/>
          <w:color w:val="auto"/>
          <w:sz w:val="36"/>
          <w:szCs w:val="36"/>
          <w:highlight w:val="none"/>
          <w:u w:val="single"/>
        </w:rPr>
        <w:t xml:space="preserve">     </w:t>
      </w:r>
    </w:p>
    <w:p w14:paraId="3B4C92B8">
      <w:pPr>
        <w:adjustRightInd w:val="0"/>
        <w:snapToGrid w:val="0"/>
        <w:spacing w:line="288" w:lineRule="auto"/>
        <w:ind w:firstLine="360" w:firstLineChars="100"/>
        <w:rPr>
          <w:rFonts w:eastAsia="仿宋_GB2312"/>
          <w:color w:val="auto"/>
          <w:sz w:val="36"/>
          <w:szCs w:val="36"/>
          <w:highlight w:val="none"/>
          <w:u w:val="single"/>
        </w:rPr>
      </w:pPr>
      <w:r>
        <w:rPr>
          <w:rFonts w:eastAsia="仿宋_GB2312"/>
          <w:color w:val="auto"/>
          <w:sz w:val="36"/>
          <w:szCs w:val="36"/>
          <w:highlight w:val="none"/>
        </w:rPr>
        <w:t>建设单位（盖章）：</w:t>
      </w:r>
      <w:r>
        <w:rPr>
          <w:rFonts w:hint="eastAsia" w:ascii="仿宋" w:hAnsi="仿宋" w:eastAsia="仿宋" w:cs="仿宋"/>
          <w:sz w:val="35"/>
          <w:szCs w:val="35"/>
          <w:u w:val="single"/>
          <w:lang w:val="en-US" w:eastAsia="zh-CN"/>
        </w:rPr>
        <w:t>新疆臻星新材料科技有限公司</w:t>
      </w:r>
      <w:r>
        <w:rPr>
          <w:rFonts w:hint="eastAsia" w:eastAsia="仿宋_GB2312"/>
          <w:color w:val="auto"/>
          <w:sz w:val="36"/>
          <w:szCs w:val="36"/>
          <w:highlight w:val="none"/>
          <w:u w:val="single"/>
        </w:rPr>
        <w:t xml:space="preserve">                  </w:t>
      </w:r>
    </w:p>
    <w:p w14:paraId="3A149F7B">
      <w:pPr>
        <w:adjustRightInd w:val="0"/>
        <w:snapToGrid w:val="0"/>
        <w:spacing w:line="288" w:lineRule="auto"/>
        <w:ind w:firstLine="360" w:firstLineChars="100"/>
        <w:rPr>
          <w:rFonts w:eastAsia="仿宋_GB2312"/>
          <w:color w:val="auto"/>
          <w:sz w:val="36"/>
          <w:szCs w:val="36"/>
          <w:highlight w:val="none"/>
          <w:u w:val="single"/>
        </w:rPr>
      </w:pPr>
      <w:r>
        <w:rPr>
          <w:rFonts w:eastAsia="仿宋_GB2312"/>
          <w:color w:val="auto"/>
          <w:sz w:val="36"/>
          <w:szCs w:val="36"/>
          <w:highlight w:val="none"/>
        </w:rPr>
        <w:t>编制日期：</w:t>
      </w:r>
      <w:r>
        <w:rPr>
          <w:rFonts w:eastAsia="仿宋_GB2312"/>
          <w:color w:val="auto"/>
          <w:sz w:val="36"/>
          <w:szCs w:val="36"/>
          <w:highlight w:val="none"/>
          <w:u w:val="single"/>
        </w:rPr>
        <w:t xml:space="preserve">    </w:t>
      </w:r>
      <w:r>
        <w:rPr>
          <w:rFonts w:hint="eastAsia" w:eastAsia="仿宋_GB2312"/>
          <w:color w:val="auto"/>
          <w:sz w:val="36"/>
          <w:szCs w:val="36"/>
          <w:highlight w:val="none"/>
          <w:u w:val="single"/>
          <w:lang w:val="en-US" w:eastAsia="zh-CN"/>
        </w:rPr>
        <w:t xml:space="preserve">    </w:t>
      </w:r>
      <w:r>
        <w:rPr>
          <w:rFonts w:eastAsia="仿宋_GB2312"/>
          <w:color w:val="auto"/>
          <w:sz w:val="36"/>
          <w:szCs w:val="36"/>
          <w:highlight w:val="none"/>
          <w:u w:val="single"/>
        </w:rPr>
        <w:t xml:space="preserve">  </w:t>
      </w:r>
      <w:r>
        <w:rPr>
          <w:rFonts w:hint="eastAsia" w:eastAsia="仿宋_GB2312"/>
          <w:color w:val="auto"/>
          <w:sz w:val="36"/>
          <w:szCs w:val="36"/>
          <w:highlight w:val="none"/>
          <w:u w:val="single"/>
        </w:rPr>
        <w:t>二〇二</w:t>
      </w:r>
      <w:r>
        <w:rPr>
          <w:rFonts w:hint="eastAsia" w:eastAsia="仿宋_GB2312"/>
          <w:color w:val="auto"/>
          <w:sz w:val="36"/>
          <w:szCs w:val="36"/>
          <w:highlight w:val="none"/>
          <w:u w:val="single"/>
          <w:lang w:val="en-US" w:eastAsia="zh-CN"/>
        </w:rPr>
        <w:t>五</w:t>
      </w:r>
      <w:r>
        <w:rPr>
          <w:rFonts w:eastAsia="仿宋_GB2312"/>
          <w:color w:val="auto"/>
          <w:sz w:val="36"/>
          <w:szCs w:val="36"/>
          <w:highlight w:val="none"/>
          <w:u w:val="single"/>
        </w:rPr>
        <w:t>年</w:t>
      </w:r>
      <w:r>
        <w:rPr>
          <w:rFonts w:hint="eastAsia" w:eastAsia="仿宋_GB2312"/>
          <w:color w:val="auto"/>
          <w:sz w:val="36"/>
          <w:szCs w:val="36"/>
          <w:highlight w:val="none"/>
          <w:u w:val="single"/>
          <w:lang w:val="en-US" w:eastAsia="zh-CN"/>
        </w:rPr>
        <w:t>四</w:t>
      </w:r>
      <w:r>
        <w:rPr>
          <w:rFonts w:eastAsia="仿宋_GB2312"/>
          <w:color w:val="auto"/>
          <w:sz w:val="36"/>
          <w:szCs w:val="36"/>
          <w:highlight w:val="none"/>
          <w:u w:val="single"/>
        </w:rPr>
        <w:t xml:space="preserve">月           </w:t>
      </w:r>
      <w:r>
        <w:rPr>
          <w:rFonts w:hint="eastAsia" w:eastAsia="仿宋_GB2312"/>
          <w:color w:val="auto"/>
          <w:sz w:val="36"/>
          <w:szCs w:val="36"/>
          <w:highlight w:val="none"/>
          <w:u w:val="single"/>
        </w:rPr>
        <w:t xml:space="preserve">  </w:t>
      </w:r>
      <w:r>
        <w:rPr>
          <w:rFonts w:eastAsia="仿宋_GB2312"/>
          <w:color w:val="auto"/>
          <w:sz w:val="36"/>
          <w:szCs w:val="36"/>
          <w:highlight w:val="none"/>
          <w:u w:val="single"/>
        </w:rPr>
        <w:t xml:space="preserve"> </w:t>
      </w:r>
    </w:p>
    <w:p w14:paraId="79D214D5">
      <w:pPr>
        <w:adjustRightInd w:val="0"/>
        <w:snapToGrid w:val="0"/>
        <w:spacing w:line="288" w:lineRule="auto"/>
        <w:ind w:firstLine="1040"/>
        <w:rPr>
          <w:rFonts w:eastAsia="仿宋_GB2312"/>
          <w:color w:val="auto"/>
          <w:sz w:val="36"/>
          <w:szCs w:val="36"/>
          <w:highlight w:val="none"/>
          <w:u w:val="single"/>
        </w:rPr>
      </w:pPr>
      <w:bookmarkStart w:id="0" w:name="_Hlk57884087"/>
    </w:p>
    <w:p w14:paraId="288EBDE6">
      <w:pPr>
        <w:adjustRightInd w:val="0"/>
        <w:snapToGrid w:val="0"/>
        <w:spacing w:line="288" w:lineRule="auto"/>
        <w:ind w:firstLine="1040"/>
        <w:rPr>
          <w:rFonts w:eastAsia="仿宋_GB2312"/>
          <w:color w:val="auto"/>
          <w:sz w:val="36"/>
          <w:szCs w:val="36"/>
          <w:highlight w:val="none"/>
        </w:rPr>
      </w:pPr>
    </w:p>
    <w:p w14:paraId="25C67BF3">
      <w:pPr>
        <w:adjustRightInd w:val="0"/>
        <w:snapToGrid w:val="0"/>
        <w:spacing w:line="288" w:lineRule="auto"/>
        <w:ind w:firstLine="1040"/>
        <w:rPr>
          <w:rFonts w:eastAsia="仿宋_GB2312"/>
          <w:color w:val="auto"/>
          <w:sz w:val="36"/>
          <w:szCs w:val="36"/>
          <w:highlight w:val="none"/>
        </w:rPr>
      </w:pPr>
    </w:p>
    <w:p w14:paraId="1DDDB171">
      <w:pPr>
        <w:adjustRightInd w:val="0"/>
        <w:snapToGrid w:val="0"/>
        <w:spacing w:line="288" w:lineRule="auto"/>
        <w:ind w:firstLine="1040"/>
        <w:rPr>
          <w:rFonts w:eastAsia="仿宋_GB2312"/>
          <w:color w:val="auto"/>
          <w:sz w:val="36"/>
          <w:szCs w:val="36"/>
          <w:highlight w:val="none"/>
        </w:rPr>
      </w:pPr>
    </w:p>
    <w:p w14:paraId="6EBEBCBD">
      <w:pPr>
        <w:adjustRightInd w:val="0"/>
        <w:snapToGrid w:val="0"/>
        <w:spacing w:line="288" w:lineRule="auto"/>
        <w:ind w:firstLine="1040"/>
        <w:rPr>
          <w:rFonts w:eastAsia="仿宋_GB2312"/>
          <w:color w:val="auto"/>
          <w:sz w:val="36"/>
          <w:szCs w:val="36"/>
          <w:highlight w:val="none"/>
        </w:rPr>
      </w:pPr>
    </w:p>
    <w:bookmarkEnd w:id="0"/>
    <w:p w14:paraId="1DD11280">
      <w:pPr>
        <w:adjustRightInd w:val="0"/>
        <w:snapToGrid w:val="0"/>
        <w:spacing w:line="288" w:lineRule="auto"/>
        <w:jc w:val="center"/>
        <w:rPr>
          <w:rFonts w:eastAsia="楷体_GB2312"/>
          <w:color w:val="auto"/>
          <w:sz w:val="36"/>
          <w:szCs w:val="36"/>
          <w:highlight w:val="none"/>
        </w:rPr>
      </w:pPr>
      <w:r>
        <w:rPr>
          <w:rFonts w:eastAsia="楷体_GB2312"/>
          <w:color w:val="auto"/>
          <w:sz w:val="36"/>
          <w:szCs w:val="36"/>
          <w:highlight w:val="none"/>
        </w:rPr>
        <w:t>中华人民共和国生态环境部制</w:t>
      </w:r>
    </w:p>
    <w:p w14:paraId="10E13FDC">
      <w:pPr>
        <w:adjustRightInd w:val="0"/>
        <w:snapToGrid w:val="0"/>
        <w:spacing w:line="288" w:lineRule="auto"/>
        <w:ind w:firstLine="1040"/>
        <w:rPr>
          <w:rFonts w:eastAsia="仿宋_GB2312"/>
          <w:color w:val="auto"/>
          <w:sz w:val="36"/>
          <w:szCs w:val="36"/>
          <w:highlight w:val="none"/>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5A0DE0FD">
      <w:pPr>
        <w:pStyle w:val="26"/>
        <w:jc w:val="center"/>
        <w:outlineLvl w:val="0"/>
        <w:rPr>
          <w:rFonts w:ascii="黑体" w:hAnsi="黑体" w:eastAsia="黑体"/>
          <w:snapToGrid w:val="0"/>
          <w:color w:val="auto"/>
          <w:sz w:val="30"/>
          <w:szCs w:val="30"/>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2B76128">
      <w:pPr>
        <w:pStyle w:val="26"/>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一、建设项目基本情况</w:t>
      </w:r>
    </w:p>
    <w:tbl>
      <w:tblPr>
        <w:tblStyle w:val="29"/>
        <w:tblW w:w="88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40"/>
        <w:gridCol w:w="3020"/>
        <w:gridCol w:w="1877"/>
        <w:gridCol w:w="2948"/>
      </w:tblGrid>
      <w:tr w14:paraId="2CA30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01" w:hRule="atLeast"/>
          <w:jc w:val="center"/>
        </w:trPr>
        <w:tc>
          <w:tcPr>
            <w:tcW w:w="1040" w:type="dxa"/>
            <w:tcMar>
              <w:top w:w="16" w:type="dxa"/>
              <w:left w:w="16" w:type="dxa"/>
              <w:right w:w="16" w:type="dxa"/>
            </w:tcMar>
            <w:vAlign w:val="center"/>
          </w:tcPr>
          <w:p w14:paraId="64930B3B">
            <w:pPr>
              <w:adjustRightInd w:val="0"/>
              <w:snapToGrid w:val="0"/>
              <w:jc w:val="center"/>
              <w:rPr>
                <w:color w:val="auto"/>
                <w:sz w:val="24"/>
                <w:highlight w:val="none"/>
              </w:rPr>
            </w:pPr>
            <w:r>
              <w:rPr>
                <w:color w:val="auto"/>
                <w:sz w:val="24"/>
                <w:highlight w:val="none"/>
              </w:rPr>
              <w:t>建设项目名称</w:t>
            </w:r>
          </w:p>
        </w:tc>
        <w:tc>
          <w:tcPr>
            <w:tcW w:w="7845" w:type="dxa"/>
            <w:gridSpan w:val="3"/>
            <w:vAlign w:val="center"/>
          </w:tcPr>
          <w:p w14:paraId="0B881FEF">
            <w:pPr>
              <w:adjustRightInd w:val="0"/>
              <w:snapToGrid w:val="0"/>
              <w:jc w:val="center"/>
              <w:rPr>
                <w:rFonts w:hint="eastAsia" w:eastAsia="宋体"/>
                <w:color w:val="auto"/>
                <w:sz w:val="24"/>
                <w:highlight w:val="none"/>
                <w:lang w:eastAsia="zh-CN"/>
              </w:rPr>
            </w:pPr>
            <w:r>
              <w:rPr>
                <w:rFonts w:hint="eastAsia" w:eastAsia="宋体"/>
                <w:color w:val="auto"/>
                <w:sz w:val="24"/>
                <w:highlight w:val="none"/>
                <w:lang w:eastAsia="zh-CN"/>
              </w:rPr>
              <w:t>木垒县12.55万克拉人造金刚石项目</w:t>
            </w:r>
          </w:p>
        </w:tc>
      </w:tr>
      <w:tr w14:paraId="77F547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1040" w:type="dxa"/>
            <w:tcMar>
              <w:top w:w="16" w:type="dxa"/>
              <w:left w:w="16" w:type="dxa"/>
              <w:right w:w="16" w:type="dxa"/>
            </w:tcMar>
            <w:vAlign w:val="center"/>
          </w:tcPr>
          <w:p w14:paraId="63C99AFA">
            <w:pPr>
              <w:adjustRightInd w:val="0"/>
              <w:snapToGrid w:val="0"/>
              <w:jc w:val="center"/>
              <w:rPr>
                <w:color w:val="auto"/>
                <w:sz w:val="24"/>
                <w:highlight w:val="none"/>
              </w:rPr>
            </w:pPr>
            <w:r>
              <w:rPr>
                <w:color w:val="auto"/>
                <w:sz w:val="24"/>
                <w:highlight w:val="none"/>
              </w:rPr>
              <w:t>项目代码</w:t>
            </w:r>
          </w:p>
        </w:tc>
        <w:tc>
          <w:tcPr>
            <w:tcW w:w="7845" w:type="dxa"/>
            <w:gridSpan w:val="3"/>
            <w:vAlign w:val="center"/>
          </w:tcPr>
          <w:p w14:paraId="7C3EC5ED">
            <w:pPr>
              <w:adjustRightInd w:val="0"/>
              <w:snapToGrid w:val="0"/>
              <w:jc w:val="center"/>
              <w:rPr>
                <w:color w:val="auto"/>
                <w:sz w:val="24"/>
                <w:highlight w:val="none"/>
              </w:rPr>
            </w:pPr>
            <w:r>
              <w:rPr>
                <w:rFonts w:hint="eastAsia"/>
                <w:color w:val="auto"/>
                <w:sz w:val="24"/>
                <w:highlight w:val="none"/>
                <w:lang w:val="en-US" w:eastAsia="zh-CN"/>
              </w:rPr>
              <w:t>2502-652328-04-01-787945</w:t>
            </w:r>
          </w:p>
        </w:tc>
      </w:tr>
      <w:tr w14:paraId="4BEF7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1040" w:type="dxa"/>
            <w:tcMar>
              <w:top w:w="16" w:type="dxa"/>
              <w:left w:w="16" w:type="dxa"/>
              <w:right w:w="16" w:type="dxa"/>
            </w:tcMar>
            <w:vAlign w:val="center"/>
          </w:tcPr>
          <w:p w14:paraId="0DC06B97">
            <w:pPr>
              <w:adjustRightInd w:val="0"/>
              <w:snapToGrid w:val="0"/>
              <w:jc w:val="center"/>
              <w:rPr>
                <w:color w:val="auto"/>
                <w:sz w:val="24"/>
                <w:highlight w:val="none"/>
              </w:rPr>
            </w:pPr>
            <w:r>
              <w:rPr>
                <w:color w:val="auto"/>
                <w:sz w:val="24"/>
                <w:highlight w:val="none"/>
              </w:rPr>
              <w:t>建设单位联系人</w:t>
            </w:r>
          </w:p>
        </w:tc>
        <w:tc>
          <w:tcPr>
            <w:tcW w:w="3020" w:type="dxa"/>
            <w:vAlign w:val="center"/>
          </w:tcPr>
          <w:p w14:paraId="4C5D94F2">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1877" w:type="dxa"/>
            <w:vAlign w:val="center"/>
          </w:tcPr>
          <w:p w14:paraId="60F87298">
            <w:pPr>
              <w:adjustRightInd w:val="0"/>
              <w:snapToGrid w:val="0"/>
              <w:jc w:val="center"/>
              <w:rPr>
                <w:color w:val="auto"/>
                <w:sz w:val="24"/>
                <w:highlight w:val="none"/>
              </w:rPr>
            </w:pPr>
            <w:r>
              <w:rPr>
                <w:color w:val="auto"/>
                <w:sz w:val="24"/>
                <w:highlight w:val="none"/>
              </w:rPr>
              <w:t>联系方式</w:t>
            </w:r>
          </w:p>
        </w:tc>
        <w:tc>
          <w:tcPr>
            <w:tcW w:w="2948" w:type="dxa"/>
            <w:vAlign w:val="center"/>
          </w:tcPr>
          <w:p w14:paraId="5973358A">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w:t>
            </w:r>
          </w:p>
        </w:tc>
      </w:tr>
      <w:tr w14:paraId="099DA4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040" w:type="dxa"/>
            <w:tcMar>
              <w:top w:w="16" w:type="dxa"/>
              <w:left w:w="16" w:type="dxa"/>
              <w:right w:w="16" w:type="dxa"/>
            </w:tcMar>
            <w:vAlign w:val="center"/>
          </w:tcPr>
          <w:p w14:paraId="3C416C93">
            <w:pPr>
              <w:adjustRightInd w:val="0"/>
              <w:snapToGrid w:val="0"/>
              <w:jc w:val="center"/>
              <w:rPr>
                <w:color w:val="auto"/>
                <w:sz w:val="24"/>
                <w:highlight w:val="none"/>
              </w:rPr>
            </w:pPr>
            <w:r>
              <w:rPr>
                <w:color w:val="auto"/>
                <w:sz w:val="24"/>
                <w:highlight w:val="none"/>
              </w:rPr>
              <w:t>建设地点</w:t>
            </w:r>
          </w:p>
        </w:tc>
        <w:tc>
          <w:tcPr>
            <w:tcW w:w="7845" w:type="dxa"/>
            <w:gridSpan w:val="3"/>
            <w:vAlign w:val="center"/>
          </w:tcPr>
          <w:p w14:paraId="1C1FD8DB">
            <w:pPr>
              <w:jc w:val="center"/>
              <w:rPr>
                <w:rFonts w:hint="default" w:eastAsia="宋体"/>
                <w:color w:val="auto"/>
                <w:sz w:val="24"/>
                <w:highlight w:val="none"/>
                <w:lang w:val="en-US" w:eastAsia="zh-CN"/>
              </w:rPr>
            </w:pPr>
            <w:r>
              <w:rPr>
                <w:color w:val="auto"/>
                <w:sz w:val="24"/>
                <w:highlight w:val="none"/>
                <w:u w:val="single"/>
              </w:rPr>
              <w:t>新疆维吾尔自治区</w:t>
            </w:r>
            <w:r>
              <w:rPr>
                <w:rFonts w:hint="eastAsia"/>
                <w:color w:val="auto"/>
                <w:sz w:val="24"/>
                <w:highlight w:val="none"/>
                <w:u w:val="single"/>
                <w:lang w:val="en-US" w:eastAsia="zh-CN"/>
              </w:rPr>
              <w:t>昌吉回族自治州木垒县民生工业园</w:t>
            </w:r>
          </w:p>
        </w:tc>
      </w:tr>
      <w:tr w14:paraId="528FF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52" w:hRule="atLeast"/>
          <w:jc w:val="center"/>
        </w:trPr>
        <w:tc>
          <w:tcPr>
            <w:tcW w:w="1040" w:type="dxa"/>
            <w:tcMar>
              <w:top w:w="16" w:type="dxa"/>
              <w:left w:w="16" w:type="dxa"/>
              <w:right w:w="16" w:type="dxa"/>
            </w:tcMar>
            <w:vAlign w:val="center"/>
          </w:tcPr>
          <w:p w14:paraId="692F892B">
            <w:pPr>
              <w:adjustRightInd w:val="0"/>
              <w:snapToGrid w:val="0"/>
              <w:jc w:val="center"/>
              <w:rPr>
                <w:color w:val="auto"/>
                <w:sz w:val="24"/>
                <w:highlight w:val="none"/>
              </w:rPr>
            </w:pPr>
            <w:r>
              <w:rPr>
                <w:color w:val="auto"/>
                <w:sz w:val="24"/>
                <w:highlight w:val="none"/>
              </w:rPr>
              <w:t>地理坐标</w:t>
            </w:r>
          </w:p>
        </w:tc>
        <w:tc>
          <w:tcPr>
            <w:tcW w:w="7845" w:type="dxa"/>
            <w:gridSpan w:val="3"/>
            <w:vAlign w:val="center"/>
          </w:tcPr>
          <w:p w14:paraId="0443D650">
            <w:pPr>
              <w:jc w:val="center"/>
              <w:rPr>
                <w:color w:val="auto"/>
                <w:sz w:val="24"/>
                <w:highlight w:val="none"/>
              </w:rPr>
            </w:pPr>
            <w:r>
              <w:rPr>
                <w:color w:val="auto"/>
                <w:sz w:val="24"/>
                <w:highlight w:val="none"/>
              </w:rPr>
              <w:t>（</w:t>
            </w:r>
            <w:r>
              <w:rPr>
                <w:rFonts w:hint="eastAsia"/>
                <w:color w:val="auto"/>
                <w:sz w:val="24"/>
                <w:highlight w:val="none"/>
                <w:u w:val="single"/>
                <w:lang w:val="en-US" w:eastAsia="zh-CN"/>
              </w:rPr>
              <w:t>90</w:t>
            </w:r>
            <w:r>
              <w:rPr>
                <w:color w:val="auto"/>
                <w:sz w:val="24"/>
                <w:highlight w:val="none"/>
              </w:rPr>
              <w:t>度</w:t>
            </w:r>
            <w:r>
              <w:rPr>
                <w:rFonts w:hint="eastAsia"/>
                <w:color w:val="auto"/>
                <w:sz w:val="24"/>
                <w:highlight w:val="none"/>
                <w:u w:val="single"/>
                <w:lang w:val="en-US" w:eastAsia="zh-CN"/>
              </w:rPr>
              <w:t>21</w:t>
            </w:r>
            <w:r>
              <w:rPr>
                <w:color w:val="auto"/>
                <w:sz w:val="24"/>
                <w:highlight w:val="none"/>
              </w:rPr>
              <w:t>分</w:t>
            </w:r>
            <w:r>
              <w:rPr>
                <w:rFonts w:hint="eastAsia"/>
                <w:color w:val="auto"/>
                <w:sz w:val="24"/>
                <w:highlight w:val="none"/>
                <w:u w:val="single"/>
                <w:lang w:val="en-US" w:eastAsia="zh-CN"/>
              </w:rPr>
              <w:t>56.400</w:t>
            </w:r>
            <w:r>
              <w:rPr>
                <w:color w:val="auto"/>
                <w:sz w:val="24"/>
                <w:highlight w:val="none"/>
              </w:rPr>
              <w:t>秒，</w:t>
            </w:r>
            <w:r>
              <w:rPr>
                <w:color w:val="auto"/>
                <w:sz w:val="24"/>
                <w:highlight w:val="none"/>
                <w:u w:val="single"/>
              </w:rPr>
              <w:t>4</w:t>
            </w:r>
            <w:r>
              <w:rPr>
                <w:rFonts w:hint="eastAsia"/>
                <w:color w:val="auto"/>
                <w:sz w:val="24"/>
                <w:highlight w:val="none"/>
                <w:u w:val="single"/>
                <w:lang w:val="en-US" w:eastAsia="zh-CN"/>
              </w:rPr>
              <w:t>3</w:t>
            </w:r>
            <w:r>
              <w:rPr>
                <w:color w:val="auto"/>
                <w:sz w:val="24"/>
                <w:highlight w:val="none"/>
              </w:rPr>
              <w:t>度</w:t>
            </w:r>
            <w:r>
              <w:rPr>
                <w:rFonts w:hint="eastAsia"/>
                <w:color w:val="auto"/>
                <w:sz w:val="24"/>
                <w:highlight w:val="none"/>
                <w:u w:val="single"/>
                <w:lang w:val="en-US" w:eastAsia="zh-CN"/>
              </w:rPr>
              <w:t>57</w:t>
            </w:r>
            <w:r>
              <w:rPr>
                <w:color w:val="auto"/>
                <w:sz w:val="24"/>
                <w:highlight w:val="none"/>
              </w:rPr>
              <w:t>分</w:t>
            </w:r>
            <w:r>
              <w:rPr>
                <w:rFonts w:hint="eastAsia"/>
                <w:color w:val="auto"/>
                <w:sz w:val="24"/>
                <w:highlight w:val="none"/>
                <w:u w:val="single"/>
                <w:lang w:val="en-US" w:eastAsia="zh-CN"/>
              </w:rPr>
              <w:t>38.056</w:t>
            </w:r>
            <w:r>
              <w:rPr>
                <w:color w:val="auto"/>
                <w:sz w:val="24"/>
                <w:highlight w:val="none"/>
              </w:rPr>
              <w:t>秒）</w:t>
            </w:r>
          </w:p>
        </w:tc>
      </w:tr>
      <w:tr w14:paraId="4CA77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09" w:hRule="atLeast"/>
          <w:jc w:val="center"/>
        </w:trPr>
        <w:tc>
          <w:tcPr>
            <w:tcW w:w="1040" w:type="dxa"/>
            <w:tcMar>
              <w:top w:w="16" w:type="dxa"/>
              <w:left w:w="16" w:type="dxa"/>
              <w:right w:w="16" w:type="dxa"/>
            </w:tcMar>
            <w:vAlign w:val="center"/>
          </w:tcPr>
          <w:p w14:paraId="02895C05">
            <w:pPr>
              <w:adjustRightInd w:val="0"/>
              <w:snapToGrid w:val="0"/>
              <w:jc w:val="center"/>
              <w:rPr>
                <w:color w:val="auto"/>
                <w:sz w:val="24"/>
                <w:highlight w:val="none"/>
              </w:rPr>
            </w:pPr>
            <w:r>
              <w:rPr>
                <w:color w:val="auto"/>
                <w:sz w:val="24"/>
                <w:highlight w:val="none"/>
              </w:rPr>
              <w:t>国民经济</w:t>
            </w:r>
          </w:p>
          <w:p w14:paraId="10CB30B9">
            <w:pPr>
              <w:adjustRightInd w:val="0"/>
              <w:snapToGrid w:val="0"/>
              <w:jc w:val="center"/>
              <w:rPr>
                <w:color w:val="auto"/>
                <w:sz w:val="24"/>
                <w:highlight w:val="none"/>
              </w:rPr>
            </w:pPr>
            <w:r>
              <w:rPr>
                <w:color w:val="auto"/>
                <w:sz w:val="24"/>
                <w:highlight w:val="none"/>
              </w:rPr>
              <w:t>行业类别</w:t>
            </w:r>
          </w:p>
        </w:tc>
        <w:tc>
          <w:tcPr>
            <w:tcW w:w="3020" w:type="dxa"/>
            <w:vAlign w:val="center"/>
          </w:tcPr>
          <w:p w14:paraId="539A36BA">
            <w:pPr>
              <w:adjustRightInd w:val="0"/>
              <w:snapToGrid w:val="0"/>
              <w:jc w:val="center"/>
              <w:rPr>
                <w:color w:val="auto"/>
                <w:sz w:val="24"/>
                <w:highlight w:val="none"/>
              </w:rPr>
            </w:pPr>
            <w:r>
              <w:rPr>
                <w:color w:val="auto"/>
                <w:sz w:val="24"/>
                <w:highlight w:val="none"/>
              </w:rPr>
              <w:t>C3099其他非金属矿物制品制造</w:t>
            </w:r>
          </w:p>
        </w:tc>
        <w:tc>
          <w:tcPr>
            <w:tcW w:w="1877" w:type="dxa"/>
            <w:vAlign w:val="center"/>
          </w:tcPr>
          <w:p w14:paraId="51E0C0DB">
            <w:pPr>
              <w:adjustRightInd w:val="0"/>
              <w:snapToGrid w:val="0"/>
              <w:jc w:val="center"/>
              <w:rPr>
                <w:color w:val="auto"/>
                <w:sz w:val="24"/>
                <w:highlight w:val="none"/>
              </w:rPr>
            </w:pPr>
            <w:r>
              <w:rPr>
                <w:color w:val="auto"/>
                <w:sz w:val="24"/>
                <w:highlight w:val="none"/>
              </w:rPr>
              <w:t>建设项目</w:t>
            </w:r>
          </w:p>
          <w:p w14:paraId="5AAEA087">
            <w:pPr>
              <w:adjustRightInd w:val="0"/>
              <w:snapToGrid w:val="0"/>
              <w:jc w:val="center"/>
              <w:rPr>
                <w:color w:val="auto"/>
                <w:sz w:val="24"/>
                <w:highlight w:val="none"/>
              </w:rPr>
            </w:pPr>
            <w:r>
              <w:rPr>
                <w:color w:val="auto"/>
                <w:sz w:val="24"/>
                <w:highlight w:val="none"/>
              </w:rPr>
              <w:t>行业类别</w:t>
            </w:r>
          </w:p>
        </w:tc>
        <w:tc>
          <w:tcPr>
            <w:tcW w:w="2948" w:type="dxa"/>
            <w:vAlign w:val="center"/>
          </w:tcPr>
          <w:p w14:paraId="40C0B593">
            <w:pPr>
              <w:adjustRightInd w:val="0"/>
              <w:snapToGrid w:val="0"/>
              <w:jc w:val="center"/>
              <w:rPr>
                <w:color w:val="auto"/>
                <w:sz w:val="24"/>
                <w:highlight w:val="none"/>
              </w:rPr>
            </w:pPr>
            <w:r>
              <w:rPr>
                <w:rFonts w:hint="eastAsia"/>
                <w:color w:val="auto"/>
                <w:sz w:val="24"/>
                <w:highlight w:val="none"/>
              </w:rPr>
              <w:t>二十七、非金属矿物制品业30，60、石墨及其他非金属矿物制品制造309，其他</w:t>
            </w:r>
          </w:p>
        </w:tc>
      </w:tr>
      <w:tr w14:paraId="577B0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67" w:hRule="atLeast"/>
          <w:jc w:val="center"/>
        </w:trPr>
        <w:tc>
          <w:tcPr>
            <w:tcW w:w="1040" w:type="dxa"/>
            <w:tcMar>
              <w:top w:w="16" w:type="dxa"/>
              <w:left w:w="16" w:type="dxa"/>
              <w:right w:w="16" w:type="dxa"/>
            </w:tcMar>
            <w:vAlign w:val="center"/>
          </w:tcPr>
          <w:p w14:paraId="0575D309">
            <w:pPr>
              <w:adjustRightInd w:val="0"/>
              <w:snapToGrid w:val="0"/>
              <w:jc w:val="center"/>
              <w:rPr>
                <w:color w:val="auto"/>
                <w:sz w:val="24"/>
                <w:highlight w:val="none"/>
              </w:rPr>
            </w:pPr>
            <w:r>
              <w:rPr>
                <w:color w:val="auto"/>
                <w:sz w:val="24"/>
                <w:highlight w:val="none"/>
              </w:rPr>
              <w:t>建设性质</w:t>
            </w:r>
          </w:p>
        </w:tc>
        <w:tc>
          <w:tcPr>
            <w:tcW w:w="3020" w:type="dxa"/>
            <w:vAlign w:val="center"/>
          </w:tcPr>
          <w:p w14:paraId="014E2331">
            <w:pPr>
              <w:jc w:val="left"/>
              <w:rPr>
                <w:color w:val="auto"/>
                <w:sz w:val="24"/>
                <w:highlight w:val="none"/>
              </w:rPr>
            </w:pPr>
            <w:r>
              <w:rPr>
                <w:color w:val="auto"/>
                <w:sz w:val="24"/>
                <w:highlight w:val="none"/>
              </w:rPr>
              <w:t>☑新建（迁建）</w:t>
            </w:r>
          </w:p>
          <w:p w14:paraId="15939BA2">
            <w:pPr>
              <w:jc w:val="left"/>
              <w:rPr>
                <w:color w:val="auto"/>
                <w:sz w:val="24"/>
                <w:highlight w:val="none"/>
              </w:rPr>
            </w:pPr>
            <w:r>
              <w:rPr>
                <w:color w:val="auto"/>
                <w:sz w:val="24"/>
                <w:highlight w:val="none"/>
              </w:rPr>
              <w:t>□改建</w:t>
            </w:r>
          </w:p>
          <w:p w14:paraId="47328D31">
            <w:pPr>
              <w:jc w:val="left"/>
              <w:rPr>
                <w:color w:val="auto"/>
                <w:sz w:val="24"/>
                <w:highlight w:val="none"/>
              </w:rPr>
            </w:pPr>
            <w:r>
              <w:rPr>
                <w:color w:val="auto"/>
                <w:sz w:val="24"/>
                <w:highlight w:val="none"/>
              </w:rPr>
              <w:t>□扩建</w:t>
            </w:r>
          </w:p>
          <w:p w14:paraId="0EC5F767">
            <w:pPr>
              <w:jc w:val="left"/>
              <w:rPr>
                <w:color w:val="auto"/>
                <w:sz w:val="24"/>
                <w:highlight w:val="none"/>
              </w:rPr>
            </w:pPr>
            <w:r>
              <w:rPr>
                <w:color w:val="auto"/>
                <w:sz w:val="24"/>
                <w:highlight w:val="none"/>
              </w:rPr>
              <w:t>□技术改造</w:t>
            </w:r>
          </w:p>
        </w:tc>
        <w:tc>
          <w:tcPr>
            <w:tcW w:w="1877" w:type="dxa"/>
            <w:vAlign w:val="center"/>
          </w:tcPr>
          <w:p w14:paraId="4CF3E093">
            <w:pPr>
              <w:adjustRightInd w:val="0"/>
              <w:snapToGrid w:val="0"/>
              <w:jc w:val="center"/>
              <w:rPr>
                <w:color w:val="auto"/>
                <w:sz w:val="24"/>
                <w:highlight w:val="none"/>
              </w:rPr>
            </w:pPr>
            <w:r>
              <w:rPr>
                <w:color w:val="auto"/>
                <w:sz w:val="24"/>
                <w:highlight w:val="none"/>
              </w:rPr>
              <w:t>建设项目</w:t>
            </w:r>
          </w:p>
          <w:p w14:paraId="2873BAEE">
            <w:pPr>
              <w:adjustRightInd w:val="0"/>
              <w:snapToGrid w:val="0"/>
              <w:jc w:val="center"/>
              <w:rPr>
                <w:color w:val="auto"/>
                <w:sz w:val="24"/>
                <w:highlight w:val="none"/>
              </w:rPr>
            </w:pPr>
            <w:r>
              <w:rPr>
                <w:color w:val="auto"/>
                <w:sz w:val="24"/>
                <w:highlight w:val="none"/>
              </w:rPr>
              <w:t>申报情形</w:t>
            </w:r>
          </w:p>
        </w:tc>
        <w:tc>
          <w:tcPr>
            <w:tcW w:w="2948" w:type="dxa"/>
            <w:vAlign w:val="center"/>
          </w:tcPr>
          <w:p w14:paraId="6CF40AF8">
            <w:pPr>
              <w:jc w:val="left"/>
              <w:rPr>
                <w:color w:val="auto"/>
                <w:sz w:val="24"/>
                <w:highlight w:val="none"/>
              </w:rPr>
            </w:pPr>
            <w:r>
              <w:rPr>
                <w:color w:val="auto"/>
                <w:sz w:val="24"/>
                <w:highlight w:val="none"/>
              </w:rPr>
              <w:t>☑首次申报项目</w:t>
            </w:r>
          </w:p>
          <w:p w14:paraId="21BD22B5">
            <w:pPr>
              <w:jc w:val="left"/>
              <w:rPr>
                <w:color w:val="auto"/>
                <w:sz w:val="24"/>
                <w:highlight w:val="none"/>
              </w:rPr>
            </w:pPr>
            <w:r>
              <w:rPr>
                <w:color w:val="auto"/>
                <w:sz w:val="24"/>
                <w:highlight w:val="none"/>
              </w:rPr>
              <w:t>□不予批准后再次申报项目</w:t>
            </w:r>
          </w:p>
          <w:p w14:paraId="3A57D2F0">
            <w:pPr>
              <w:jc w:val="left"/>
              <w:rPr>
                <w:color w:val="auto"/>
                <w:sz w:val="24"/>
                <w:highlight w:val="none"/>
              </w:rPr>
            </w:pPr>
            <w:r>
              <w:rPr>
                <w:color w:val="auto"/>
                <w:sz w:val="24"/>
                <w:highlight w:val="none"/>
              </w:rPr>
              <w:t>□超五年重新审核项目</w:t>
            </w:r>
          </w:p>
          <w:p w14:paraId="2D5EFC6C">
            <w:pPr>
              <w:jc w:val="left"/>
              <w:rPr>
                <w:color w:val="auto"/>
                <w:sz w:val="24"/>
                <w:highlight w:val="none"/>
              </w:rPr>
            </w:pPr>
            <w:r>
              <w:rPr>
                <w:color w:val="auto"/>
                <w:sz w:val="24"/>
                <w:highlight w:val="none"/>
              </w:rPr>
              <w:t>□重大变动重新报批项目</w:t>
            </w:r>
          </w:p>
        </w:tc>
      </w:tr>
      <w:tr w14:paraId="16DA3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14" w:hRule="atLeast"/>
          <w:jc w:val="center"/>
        </w:trPr>
        <w:tc>
          <w:tcPr>
            <w:tcW w:w="1040" w:type="dxa"/>
            <w:tcMar>
              <w:top w:w="16" w:type="dxa"/>
              <w:left w:w="16" w:type="dxa"/>
              <w:right w:w="16" w:type="dxa"/>
            </w:tcMar>
            <w:vAlign w:val="center"/>
          </w:tcPr>
          <w:p w14:paraId="413BF375">
            <w:pPr>
              <w:adjustRightInd w:val="0"/>
              <w:snapToGrid w:val="0"/>
              <w:jc w:val="center"/>
              <w:rPr>
                <w:color w:val="auto"/>
                <w:sz w:val="24"/>
                <w:highlight w:val="none"/>
              </w:rPr>
            </w:pPr>
            <w:r>
              <w:rPr>
                <w:color w:val="auto"/>
                <w:sz w:val="24"/>
                <w:highlight w:val="none"/>
              </w:rPr>
              <w:t>项目审批（核准/</w:t>
            </w:r>
          </w:p>
          <w:p w14:paraId="3D245CC0">
            <w:pPr>
              <w:adjustRightInd w:val="0"/>
              <w:snapToGrid w:val="0"/>
              <w:jc w:val="center"/>
              <w:rPr>
                <w:color w:val="auto"/>
                <w:sz w:val="24"/>
                <w:highlight w:val="none"/>
              </w:rPr>
            </w:pPr>
            <w:r>
              <w:rPr>
                <w:color w:val="auto"/>
                <w:sz w:val="24"/>
                <w:highlight w:val="none"/>
              </w:rPr>
              <w:t>备案）部门（选填）</w:t>
            </w:r>
          </w:p>
        </w:tc>
        <w:tc>
          <w:tcPr>
            <w:tcW w:w="3020" w:type="dxa"/>
            <w:vAlign w:val="center"/>
          </w:tcPr>
          <w:p w14:paraId="28F6B501">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木垒哈萨克自治县发展和改革委员会</w:t>
            </w:r>
          </w:p>
        </w:tc>
        <w:tc>
          <w:tcPr>
            <w:tcW w:w="1877" w:type="dxa"/>
            <w:vAlign w:val="center"/>
          </w:tcPr>
          <w:p w14:paraId="2FB4A97A">
            <w:pPr>
              <w:adjustRightInd w:val="0"/>
              <w:snapToGrid w:val="0"/>
              <w:jc w:val="center"/>
              <w:rPr>
                <w:color w:val="auto"/>
                <w:sz w:val="24"/>
                <w:highlight w:val="none"/>
              </w:rPr>
            </w:pPr>
            <w:r>
              <w:rPr>
                <w:color w:val="auto"/>
                <w:sz w:val="24"/>
                <w:highlight w:val="none"/>
              </w:rPr>
              <w:t>项目审批（核准/</w:t>
            </w:r>
          </w:p>
          <w:p w14:paraId="34961900">
            <w:pPr>
              <w:adjustRightInd w:val="0"/>
              <w:snapToGrid w:val="0"/>
              <w:jc w:val="center"/>
              <w:rPr>
                <w:color w:val="auto"/>
                <w:sz w:val="24"/>
                <w:highlight w:val="none"/>
              </w:rPr>
            </w:pPr>
            <w:r>
              <w:rPr>
                <w:color w:val="auto"/>
                <w:sz w:val="24"/>
                <w:highlight w:val="none"/>
              </w:rPr>
              <w:t>备案）文号（选填）</w:t>
            </w:r>
          </w:p>
        </w:tc>
        <w:tc>
          <w:tcPr>
            <w:tcW w:w="2948" w:type="dxa"/>
            <w:vAlign w:val="center"/>
          </w:tcPr>
          <w:p w14:paraId="3A104928">
            <w:pPr>
              <w:adjustRightInd w:val="0"/>
              <w:snapToGrid w:val="0"/>
              <w:jc w:val="center"/>
              <w:rPr>
                <w:rFonts w:hint="default"/>
                <w:color w:val="auto"/>
                <w:sz w:val="24"/>
                <w:highlight w:val="none"/>
                <w:lang w:val="en-US"/>
              </w:rPr>
            </w:pPr>
            <w:r>
              <w:rPr>
                <w:rFonts w:hint="default"/>
                <w:color w:val="auto"/>
                <w:sz w:val="24"/>
                <w:highlight w:val="none"/>
                <w:lang w:val="en-US"/>
              </w:rPr>
              <w:t>2502071971652300000048</w:t>
            </w:r>
          </w:p>
        </w:tc>
      </w:tr>
      <w:tr w14:paraId="2846D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1040" w:type="dxa"/>
            <w:tcMar>
              <w:top w:w="16" w:type="dxa"/>
              <w:left w:w="16" w:type="dxa"/>
              <w:right w:w="16" w:type="dxa"/>
            </w:tcMar>
            <w:vAlign w:val="center"/>
          </w:tcPr>
          <w:p w14:paraId="1FACCAC2">
            <w:pPr>
              <w:adjustRightInd w:val="0"/>
              <w:snapToGrid w:val="0"/>
              <w:jc w:val="center"/>
              <w:rPr>
                <w:color w:val="auto"/>
                <w:sz w:val="24"/>
                <w:highlight w:val="none"/>
              </w:rPr>
            </w:pPr>
            <w:r>
              <w:rPr>
                <w:color w:val="auto"/>
                <w:sz w:val="24"/>
                <w:highlight w:val="none"/>
              </w:rPr>
              <w:t>总投资（万元）</w:t>
            </w:r>
          </w:p>
        </w:tc>
        <w:tc>
          <w:tcPr>
            <w:tcW w:w="3020" w:type="dxa"/>
            <w:vAlign w:val="center"/>
          </w:tcPr>
          <w:p w14:paraId="7C7E1BBC">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47081.38</w:t>
            </w:r>
          </w:p>
        </w:tc>
        <w:tc>
          <w:tcPr>
            <w:tcW w:w="1877" w:type="dxa"/>
            <w:tcMar>
              <w:top w:w="16" w:type="dxa"/>
              <w:left w:w="16" w:type="dxa"/>
              <w:right w:w="16" w:type="dxa"/>
            </w:tcMar>
            <w:vAlign w:val="center"/>
          </w:tcPr>
          <w:p w14:paraId="2DE77E38">
            <w:pPr>
              <w:adjustRightInd w:val="0"/>
              <w:snapToGrid w:val="0"/>
              <w:jc w:val="center"/>
              <w:rPr>
                <w:color w:val="auto"/>
                <w:sz w:val="24"/>
                <w:highlight w:val="none"/>
              </w:rPr>
            </w:pPr>
            <w:r>
              <w:rPr>
                <w:color w:val="auto"/>
                <w:sz w:val="24"/>
                <w:highlight w:val="none"/>
              </w:rPr>
              <w:t>环保投资（万元）</w:t>
            </w:r>
          </w:p>
        </w:tc>
        <w:tc>
          <w:tcPr>
            <w:tcW w:w="2948" w:type="dxa"/>
            <w:vAlign w:val="center"/>
          </w:tcPr>
          <w:p w14:paraId="170B9CFF">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186</w:t>
            </w:r>
          </w:p>
        </w:tc>
      </w:tr>
      <w:tr w14:paraId="12DB1D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1040" w:type="dxa"/>
            <w:tcMar>
              <w:top w:w="16" w:type="dxa"/>
              <w:left w:w="16" w:type="dxa"/>
              <w:right w:w="16" w:type="dxa"/>
            </w:tcMar>
            <w:vAlign w:val="center"/>
          </w:tcPr>
          <w:p w14:paraId="1452AFA7">
            <w:pPr>
              <w:adjustRightInd w:val="0"/>
              <w:snapToGrid w:val="0"/>
              <w:jc w:val="center"/>
              <w:rPr>
                <w:color w:val="auto"/>
                <w:spacing w:val="-6"/>
                <w:sz w:val="24"/>
                <w:highlight w:val="none"/>
              </w:rPr>
            </w:pPr>
            <w:r>
              <w:rPr>
                <w:color w:val="auto"/>
                <w:spacing w:val="-6"/>
                <w:sz w:val="24"/>
                <w:highlight w:val="none"/>
              </w:rPr>
              <w:t>环保投资占比（%）</w:t>
            </w:r>
          </w:p>
        </w:tc>
        <w:tc>
          <w:tcPr>
            <w:tcW w:w="3020" w:type="dxa"/>
            <w:vAlign w:val="center"/>
          </w:tcPr>
          <w:p w14:paraId="6D101C76">
            <w:pPr>
              <w:adjustRightInd w:val="0"/>
              <w:snapToGrid w:val="0"/>
              <w:jc w:val="center"/>
              <w:rPr>
                <w:rFonts w:hint="eastAsia" w:eastAsia="宋体"/>
                <w:color w:val="auto"/>
                <w:spacing w:val="-6"/>
                <w:sz w:val="24"/>
                <w:highlight w:val="none"/>
                <w:lang w:val="en-US" w:eastAsia="zh-CN"/>
              </w:rPr>
            </w:pPr>
            <w:r>
              <w:rPr>
                <w:rFonts w:hint="eastAsia"/>
                <w:color w:val="auto"/>
                <w:sz w:val="24"/>
                <w:highlight w:val="none"/>
              </w:rPr>
              <w:t>0.</w:t>
            </w:r>
            <w:r>
              <w:rPr>
                <w:rFonts w:hint="eastAsia"/>
                <w:color w:val="auto"/>
                <w:sz w:val="24"/>
                <w:highlight w:val="none"/>
                <w:lang w:val="en-US" w:eastAsia="zh-CN"/>
              </w:rPr>
              <w:t>4</w:t>
            </w:r>
          </w:p>
        </w:tc>
        <w:tc>
          <w:tcPr>
            <w:tcW w:w="1877" w:type="dxa"/>
            <w:tcMar>
              <w:top w:w="16" w:type="dxa"/>
              <w:left w:w="16" w:type="dxa"/>
              <w:right w:w="16" w:type="dxa"/>
            </w:tcMar>
            <w:vAlign w:val="center"/>
          </w:tcPr>
          <w:p w14:paraId="47D78ED7">
            <w:pPr>
              <w:adjustRightInd w:val="0"/>
              <w:snapToGrid w:val="0"/>
              <w:jc w:val="center"/>
              <w:rPr>
                <w:color w:val="auto"/>
                <w:sz w:val="24"/>
                <w:highlight w:val="none"/>
              </w:rPr>
            </w:pPr>
            <w:r>
              <w:rPr>
                <w:color w:val="auto"/>
                <w:sz w:val="24"/>
                <w:highlight w:val="none"/>
              </w:rPr>
              <w:t>施工工期</w:t>
            </w:r>
          </w:p>
        </w:tc>
        <w:tc>
          <w:tcPr>
            <w:tcW w:w="2948" w:type="dxa"/>
            <w:vAlign w:val="center"/>
          </w:tcPr>
          <w:p w14:paraId="36306A96">
            <w:pPr>
              <w:adjustRightInd w:val="0"/>
              <w:snapToGrid w:val="0"/>
              <w:jc w:val="center"/>
              <w:rPr>
                <w:color w:val="auto"/>
                <w:sz w:val="24"/>
                <w:highlight w:val="none"/>
              </w:rPr>
            </w:pPr>
            <w:r>
              <w:rPr>
                <w:rFonts w:hint="eastAsia"/>
                <w:color w:val="auto"/>
                <w:sz w:val="24"/>
                <w:highlight w:val="none"/>
                <w:lang w:val="en-US" w:eastAsia="zh-CN"/>
              </w:rPr>
              <w:t>9</w:t>
            </w:r>
            <w:r>
              <w:rPr>
                <w:color w:val="auto"/>
                <w:sz w:val="24"/>
                <w:highlight w:val="none"/>
              </w:rPr>
              <w:t>月</w:t>
            </w:r>
          </w:p>
        </w:tc>
      </w:tr>
      <w:tr w14:paraId="0435D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03" w:hRule="atLeast"/>
          <w:jc w:val="center"/>
        </w:trPr>
        <w:tc>
          <w:tcPr>
            <w:tcW w:w="1040" w:type="dxa"/>
            <w:tcMar>
              <w:top w:w="16" w:type="dxa"/>
              <w:left w:w="16" w:type="dxa"/>
              <w:right w:w="16" w:type="dxa"/>
            </w:tcMar>
            <w:vAlign w:val="center"/>
          </w:tcPr>
          <w:p w14:paraId="13867F6A">
            <w:pPr>
              <w:adjustRightInd w:val="0"/>
              <w:snapToGrid w:val="0"/>
              <w:jc w:val="center"/>
              <w:rPr>
                <w:color w:val="auto"/>
                <w:sz w:val="24"/>
                <w:highlight w:val="none"/>
              </w:rPr>
            </w:pPr>
            <w:r>
              <w:rPr>
                <w:color w:val="auto"/>
                <w:sz w:val="24"/>
                <w:highlight w:val="none"/>
              </w:rPr>
              <w:t>是否开工建设</w:t>
            </w:r>
          </w:p>
        </w:tc>
        <w:tc>
          <w:tcPr>
            <w:tcW w:w="3020" w:type="dxa"/>
            <w:vAlign w:val="center"/>
          </w:tcPr>
          <w:p w14:paraId="67C4F5D4">
            <w:pPr>
              <w:adjustRightInd w:val="0"/>
              <w:snapToGrid w:val="0"/>
              <w:rPr>
                <w:color w:val="auto"/>
                <w:sz w:val="24"/>
                <w:highlight w:val="none"/>
              </w:rPr>
            </w:pPr>
            <w:r>
              <w:rPr>
                <w:rFonts w:hint="eastAsia"/>
                <w:color w:val="auto"/>
                <w:sz w:val="24"/>
                <w:highlight w:val="none"/>
                <w:lang w:eastAsia="zh-CN"/>
              </w:rPr>
              <w:t>□</w:t>
            </w:r>
            <w:r>
              <w:rPr>
                <w:color w:val="auto"/>
                <w:sz w:val="24"/>
                <w:highlight w:val="none"/>
              </w:rPr>
              <w:t>否</w:t>
            </w:r>
          </w:p>
          <w:p w14:paraId="4A46088E">
            <w:pPr>
              <w:adjustRightInd w:val="0"/>
              <w:snapToGrid w:val="0"/>
              <w:rPr>
                <w:rFonts w:hint="eastAsia" w:eastAsia="宋体"/>
                <w:color w:val="auto"/>
                <w:sz w:val="24"/>
                <w:highlight w:val="none"/>
                <w:lang w:eastAsia="zh-CN"/>
              </w:rPr>
            </w:pPr>
            <w:r>
              <w:rPr>
                <w:rFonts w:hint="eastAsia"/>
                <w:color w:val="auto"/>
                <w:sz w:val="24"/>
                <w:highlight w:val="none"/>
                <w:lang w:eastAsia="zh-CN"/>
              </w:rPr>
              <w:t>☑</w:t>
            </w:r>
            <w:r>
              <w:rPr>
                <w:color w:val="auto"/>
                <w:sz w:val="24"/>
                <w:highlight w:val="none"/>
              </w:rPr>
              <w:t>是：</w:t>
            </w:r>
            <w:r>
              <w:rPr>
                <w:rFonts w:hint="eastAsia"/>
                <w:color w:val="auto"/>
                <w:sz w:val="24"/>
                <w:highlight w:val="none"/>
                <w:u w:val="single"/>
                <w:lang w:val="en-US" w:eastAsia="zh-CN"/>
              </w:rPr>
              <w:t>项目</w:t>
            </w:r>
            <w:r>
              <w:rPr>
                <w:rFonts w:hint="default"/>
                <w:color w:val="auto"/>
                <w:sz w:val="24"/>
                <w:highlight w:val="none"/>
                <w:u w:val="single"/>
                <w:lang w:eastAsia="zh-CN"/>
              </w:rPr>
              <w:t>2025年</w:t>
            </w:r>
            <w:r>
              <w:rPr>
                <w:rFonts w:hint="eastAsia"/>
                <w:color w:val="auto"/>
                <w:sz w:val="24"/>
                <w:highlight w:val="none"/>
                <w:u w:val="single"/>
                <w:lang w:val="en-US" w:eastAsia="zh-CN"/>
              </w:rPr>
              <w:t>4</w:t>
            </w:r>
            <w:r>
              <w:rPr>
                <w:rFonts w:hint="default"/>
                <w:color w:val="auto"/>
                <w:sz w:val="24"/>
                <w:highlight w:val="none"/>
                <w:u w:val="single"/>
                <w:lang w:eastAsia="zh-CN"/>
              </w:rPr>
              <w:t>月</w:t>
            </w:r>
            <w:r>
              <w:rPr>
                <w:rFonts w:hint="eastAsia"/>
                <w:color w:val="auto"/>
                <w:sz w:val="24"/>
                <w:highlight w:val="none"/>
                <w:u w:val="single"/>
                <w:lang w:val="en-US" w:eastAsia="zh-CN"/>
              </w:rPr>
              <w:t>9日奠基开工建设，目前已挖掘部分地基，主体建筑及厂房未建设</w:t>
            </w:r>
            <w:r>
              <w:rPr>
                <w:rFonts w:hint="default"/>
                <w:color w:val="auto"/>
                <w:sz w:val="24"/>
                <w:highlight w:val="none"/>
                <w:u w:val="single"/>
                <w:lang w:eastAsia="zh-CN"/>
              </w:rPr>
              <w:t>，2025年4月</w:t>
            </w:r>
            <w:r>
              <w:rPr>
                <w:rFonts w:hint="eastAsia"/>
                <w:color w:val="auto"/>
                <w:sz w:val="24"/>
                <w:highlight w:val="none"/>
                <w:u w:val="single"/>
                <w:lang w:val="en-US" w:eastAsia="zh-CN"/>
              </w:rPr>
              <w:t>29</w:t>
            </w:r>
            <w:r>
              <w:rPr>
                <w:rFonts w:hint="default"/>
                <w:color w:val="auto"/>
                <w:sz w:val="24"/>
                <w:highlight w:val="none"/>
                <w:u w:val="single"/>
                <w:lang w:eastAsia="zh-CN"/>
              </w:rPr>
              <w:t>日昌吉州生态环境局</w:t>
            </w:r>
            <w:r>
              <w:rPr>
                <w:rFonts w:hint="eastAsia"/>
                <w:color w:val="auto"/>
                <w:sz w:val="24"/>
                <w:highlight w:val="none"/>
                <w:u w:val="single"/>
                <w:lang w:val="en-US" w:eastAsia="zh-CN"/>
              </w:rPr>
              <w:t>木垒</w:t>
            </w:r>
            <w:r>
              <w:rPr>
                <w:rFonts w:hint="default"/>
                <w:color w:val="auto"/>
                <w:sz w:val="24"/>
                <w:highlight w:val="none"/>
                <w:u w:val="single"/>
                <w:lang w:eastAsia="zh-CN"/>
              </w:rPr>
              <w:t>县分局向企业下达</w:t>
            </w:r>
            <w:r>
              <w:rPr>
                <w:rFonts w:hint="eastAsia"/>
                <w:color w:val="auto"/>
                <w:sz w:val="24"/>
                <w:highlight w:val="none"/>
                <w:u w:val="single"/>
                <w:lang w:val="en-US" w:eastAsia="zh-CN"/>
              </w:rPr>
              <w:t>责令改正违法行为决定书</w:t>
            </w:r>
            <w:r>
              <w:rPr>
                <w:rFonts w:hint="default"/>
                <w:color w:val="auto"/>
                <w:sz w:val="24"/>
                <w:highlight w:val="none"/>
                <w:u w:val="single"/>
                <w:lang w:eastAsia="zh-CN"/>
              </w:rPr>
              <w:t>，</w:t>
            </w:r>
            <w:r>
              <w:rPr>
                <w:rFonts w:hint="eastAsia"/>
                <w:color w:val="auto"/>
                <w:sz w:val="24"/>
                <w:highlight w:val="none"/>
                <w:u w:val="single"/>
                <w:lang w:val="en-US" w:eastAsia="zh-CN"/>
              </w:rPr>
              <w:t>对该企业不予立案，根据相关法律法规补办相关环保手续</w:t>
            </w:r>
            <w:r>
              <w:rPr>
                <w:rFonts w:hint="default"/>
                <w:color w:val="auto"/>
                <w:sz w:val="24"/>
                <w:highlight w:val="none"/>
                <w:u w:val="single"/>
                <w:lang w:eastAsia="zh-CN"/>
              </w:rPr>
              <w:t>。</w:t>
            </w:r>
          </w:p>
        </w:tc>
        <w:tc>
          <w:tcPr>
            <w:tcW w:w="1877" w:type="dxa"/>
            <w:tcMar>
              <w:top w:w="16" w:type="dxa"/>
              <w:left w:w="16" w:type="dxa"/>
              <w:right w:w="16" w:type="dxa"/>
            </w:tcMar>
            <w:vAlign w:val="center"/>
          </w:tcPr>
          <w:p w14:paraId="34E22C42">
            <w:pPr>
              <w:adjustRightInd w:val="0"/>
              <w:snapToGrid w:val="0"/>
              <w:jc w:val="center"/>
              <w:rPr>
                <w:color w:val="auto"/>
                <w:spacing w:val="-6"/>
                <w:sz w:val="24"/>
                <w:highlight w:val="none"/>
              </w:rPr>
            </w:pPr>
            <w:r>
              <w:rPr>
                <w:color w:val="auto"/>
                <w:spacing w:val="-6"/>
                <w:sz w:val="24"/>
                <w:highlight w:val="none"/>
              </w:rPr>
              <w:t>用地（用海）</w:t>
            </w:r>
          </w:p>
          <w:p w14:paraId="3E9FDC92">
            <w:pPr>
              <w:adjustRightInd w:val="0"/>
              <w:snapToGrid w:val="0"/>
              <w:jc w:val="center"/>
              <w:rPr>
                <w:color w:val="auto"/>
                <w:sz w:val="24"/>
                <w:highlight w:val="none"/>
              </w:rPr>
            </w:pPr>
            <w:r>
              <w:rPr>
                <w:color w:val="auto"/>
                <w:spacing w:val="-6"/>
                <w:sz w:val="24"/>
                <w:highlight w:val="none"/>
              </w:rPr>
              <w:t>面积（m</w:t>
            </w:r>
            <w:r>
              <w:rPr>
                <w:color w:val="auto"/>
                <w:spacing w:val="-6"/>
                <w:sz w:val="24"/>
                <w:highlight w:val="none"/>
                <w:vertAlign w:val="superscript"/>
              </w:rPr>
              <w:t>2</w:t>
            </w:r>
            <w:r>
              <w:rPr>
                <w:color w:val="auto"/>
                <w:spacing w:val="-6"/>
                <w:sz w:val="24"/>
                <w:highlight w:val="none"/>
              </w:rPr>
              <w:t>）</w:t>
            </w:r>
          </w:p>
        </w:tc>
        <w:tc>
          <w:tcPr>
            <w:tcW w:w="2948" w:type="dxa"/>
            <w:vAlign w:val="center"/>
          </w:tcPr>
          <w:p w14:paraId="2BB8C3F2">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40006</w:t>
            </w:r>
          </w:p>
        </w:tc>
      </w:tr>
      <w:tr w14:paraId="74CD3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40" w:type="dxa"/>
            <w:vAlign w:val="center"/>
          </w:tcPr>
          <w:p w14:paraId="3B3CD256">
            <w:pPr>
              <w:autoSpaceDE w:val="0"/>
              <w:autoSpaceDN w:val="0"/>
              <w:adjustRightInd w:val="0"/>
              <w:snapToGrid w:val="0"/>
              <w:jc w:val="center"/>
              <w:rPr>
                <w:color w:val="auto"/>
                <w:kern w:val="0"/>
                <w:sz w:val="24"/>
                <w:highlight w:val="none"/>
              </w:rPr>
            </w:pPr>
            <w:r>
              <w:rPr>
                <w:color w:val="auto"/>
                <w:kern w:val="0"/>
                <w:sz w:val="24"/>
                <w:highlight w:val="none"/>
              </w:rPr>
              <w:t>专项评价设置情况</w:t>
            </w:r>
          </w:p>
        </w:tc>
        <w:tc>
          <w:tcPr>
            <w:tcW w:w="7845" w:type="dxa"/>
            <w:gridSpan w:val="3"/>
            <w:vAlign w:val="center"/>
          </w:tcPr>
          <w:p w14:paraId="5D95C5FE">
            <w:pPr>
              <w:autoSpaceDE w:val="0"/>
              <w:autoSpaceDN w:val="0"/>
              <w:adjustRightInd w:val="0"/>
              <w:snapToGrid w:val="0"/>
              <w:jc w:val="center"/>
              <w:rPr>
                <w:color w:val="auto"/>
                <w:kern w:val="0"/>
                <w:sz w:val="24"/>
                <w:highlight w:val="none"/>
              </w:rPr>
            </w:pPr>
            <w:r>
              <w:rPr>
                <w:color w:val="auto"/>
                <w:kern w:val="0"/>
                <w:sz w:val="24"/>
                <w:highlight w:val="none"/>
              </w:rPr>
              <w:t>无</w:t>
            </w:r>
          </w:p>
        </w:tc>
      </w:tr>
      <w:tr w14:paraId="1A2BD6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040" w:type="dxa"/>
            <w:vAlign w:val="center"/>
          </w:tcPr>
          <w:p w14:paraId="1302C0A5">
            <w:pPr>
              <w:autoSpaceDE w:val="0"/>
              <w:autoSpaceDN w:val="0"/>
              <w:adjustRightInd w:val="0"/>
              <w:snapToGrid w:val="0"/>
              <w:jc w:val="center"/>
              <w:rPr>
                <w:color w:val="auto"/>
                <w:kern w:val="0"/>
                <w:sz w:val="24"/>
                <w:highlight w:val="none"/>
              </w:rPr>
            </w:pPr>
            <w:r>
              <w:rPr>
                <w:color w:val="auto"/>
                <w:sz w:val="24"/>
                <w:highlight w:val="none"/>
              </w:rPr>
              <w:t>规划情况</w:t>
            </w:r>
          </w:p>
        </w:tc>
        <w:tc>
          <w:tcPr>
            <w:tcW w:w="7845" w:type="dxa"/>
            <w:gridSpan w:val="3"/>
            <w:vAlign w:val="center"/>
          </w:tcPr>
          <w:p w14:paraId="7FE75E24">
            <w:pPr>
              <w:widowControl/>
              <w:spacing w:line="360" w:lineRule="auto"/>
              <w:rPr>
                <w:color w:val="auto"/>
                <w:sz w:val="24"/>
                <w:highlight w:val="none"/>
              </w:rPr>
            </w:pPr>
            <w:r>
              <w:rPr>
                <w:b/>
                <w:bCs/>
                <w:color w:val="auto"/>
                <w:sz w:val="24"/>
                <w:highlight w:val="none"/>
              </w:rPr>
              <w:t>规划文件</w:t>
            </w:r>
            <w:r>
              <w:rPr>
                <w:color w:val="auto"/>
                <w:sz w:val="24"/>
                <w:highlight w:val="none"/>
              </w:rPr>
              <w:t>：《木垒县民生工业园区总体规划(2014-2030年)》</w:t>
            </w:r>
          </w:p>
          <w:p w14:paraId="14766B86">
            <w:pPr>
              <w:widowControl/>
              <w:spacing w:line="360" w:lineRule="auto"/>
              <w:rPr>
                <w:color w:val="auto"/>
                <w:sz w:val="24"/>
                <w:highlight w:val="none"/>
              </w:rPr>
            </w:pPr>
            <w:r>
              <w:rPr>
                <w:b/>
                <w:bCs/>
                <w:color w:val="auto"/>
                <w:sz w:val="24"/>
                <w:highlight w:val="none"/>
              </w:rPr>
              <w:t>规划审批情况及审批单位</w:t>
            </w:r>
            <w:r>
              <w:rPr>
                <w:color w:val="auto"/>
                <w:sz w:val="24"/>
                <w:highlight w:val="none"/>
              </w:rPr>
              <w:t>：昌吉回族自治州城乡规划委员会办公室</w:t>
            </w:r>
          </w:p>
          <w:p w14:paraId="52990B6F">
            <w:pPr>
              <w:widowControl/>
              <w:spacing w:line="360" w:lineRule="auto"/>
              <w:rPr>
                <w:color w:val="auto"/>
                <w:sz w:val="24"/>
                <w:highlight w:val="none"/>
              </w:rPr>
            </w:pPr>
            <w:r>
              <w:rPr>
                <w:b/>
                <w:bCs/>
                <w:color w:val="auto"/>
                <w:sz w:val="24"/>
                <w:highlight w:val="none"/>
              </w:rPr>
              <w:t>审查文件名称及文号</w:t>
            </w:r>
            <w:r>
              <w:rPr>
                <w:color w:val="auto"/>
                <w:sz w:val="24"/>
                <w:highlight w:val="none"/>
              </w:rPr>
              <w:t>：《昌吉回族自治州城乡规划委员会2015年第八次会议纪要》（昌州规委[2015]8号）</w:t>
            </w:r>
          </w:p>
        </w:tc>
      </w:tr>
      <w:tr w14:paraId="23E7A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40" w:type="dxa"/>
            <w:vAlign w:val="center"/>
          </w:tcPr>
          <w:p w14:paraId="13B0A72D">
            <w:pPr>
              <w:adjustRightInd w:val="0"/>
              <w:snapToGrid w:val="0"/>
              <w:jc w:val="center"/>
              <w:rPr>
                <w:color w:val="auto"/>
                <w:kern w:val="0"/>
                <w:sz w:val="24"/>
                <w:highlight w:val="none"/>
              </w:rPr>
            </w:pPr>
            <w:r>
              <w:rPr>
                <w:color w:val="auto"/>
                <w:sz w:val="24"/>
                <w:highlight w:val="none"/>
              </w:rPr>
              <w:t>规划环境影响评价情况</w:t>
            </w:r>
          </w:p>
        </w:tc>
        <w:tc>
          <w:tcPr>
            <w:tcW w:w="7845" w:type="dxa"/>
            <w:gridSpan w:val="3"/>
            <w:vAlign w:val="center"/>
          </w:tcPr>
          <w:p w14:paraId="72B63755">
            <w:pPr>
              <w:widowControl/>
              <w:spacing w:line="520" w:lineRule="exact"/>
              <w:jc w:val="left"/>
              <w:rPr>
                <w:color w:val="auto"/>
                <w:sz w:val="24"/>
                <w:highlight w:val="none"/>
              </w:rPr>
            </w:pPr>
            <w:r>
              <w:rPr>
                <w:b/>
                <w:bCs/>
                <w:color w:val="auto"/>
                <w:sz w:val="24"/>
                <w:highlight w:val="none"/>
              </w:rPr>
              <w:t>规划环境影响评价名称</w:t>
            </w:r>
            <w:r>
              <w:rPr>
                <w:color w:val="auto"/>
                <w:sz w:val="24"/>
                <w:highlight w:val="none"/>
              </w:rPr>
              <w:t>：《新疆木垒民生工业园区总体规划(2014-2030年)环境影响报告书》</w:t>
            </w:r>
          </w:p>
          <w:p w14:paraId="1AB24FF5">
            <w:pPr>
              <w:widowControl/>
              <w:spacing w:line="520" w:lineRule="exact"/>
              <w:jc w:val="left"/>
              <w:rPr>
                <w:color w:val="auto"/>
                <w:sz w:val="24"/>
                <w:highlight w:val="none"/>
              </w:rPr>
            </w:pPr>
            <w:r>
              <w:rPr>
                <w:b/>
                <w:bCs/>
                <w:color w:val="auto"/>
                <w:sz w:val="24"/>
                <w:highlight w:val="none"/>
              </w:rPr>
              <w:t>规划环评审批情况及审批单位</w:t>
            </w:r>
            <w:r>
              <w:rPr>
                <w:color w:val="auto"/>
                <w:sz w:val="24"/>
                <w:highlight w:val="none"/>
              </w:rPr>
              <w:t>：新疆维吾尔自治区环境保护厅于2017年7月批准了《新疆木垒民生工业园区总体规划(2014-2030年)环境影响报告书》</w:t>
            </w:r>
          </w:p>
          <w:p w14:paraId="266FCFFD">
            <w:pPr>
              <w:widowControl/>
              <w:spacing w:line="520" w:lineRule="exact"/>
              <w:jc w:val="left"/>
              <w:rPr>
                <w:color w:val="auto"/>
                <w:sz w:val="24"/>
                <w:highlight w:val="none"/>
              </w:rPr>
            </w:pPr>
            <w:r>
              <w:rPr>
                <w:b/>
                <w:bCs/>
                <w:color w:val="auto"/>
                <w:sz w:val="24"/>
                <w:highlight w:val="none"/>
              </w:rPr>
              <w:t>审查文件名称及文号</w:t>
            </w:r>
            <w:r>
              <w:rPr>
                <w:color w:val="auto"/>
                <w:sz w:val="24"/>
                <w:highlight w:val="none"/>
              </w:rPr>
              <w:t>：关于新疆木垒民生工业园区总体规划(2014-2030年)环境影响报告书的审查意见（新环函[2017]1169号）</w:t>
            </w:r>
          </w:p>
        </w:tc>
      </w:tr>
      <w:tr w14:paraId="63AB6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040" w:type="dxa"/>
            <w:vAlign w:val="center"/>
          </w:tcPr>
          <w:p w14:paraId="155174DD">
            <w:pPr>
              <w:adjustRightInd w:val="0"/>
              <w:snapToGrid w:val="0"/>
              <w:jc w:val="center"/>
              <w:rPr>
                <w:color w:val="auto"/>
                <w:sz w:val="24"/>
                <w:highlight w:val="none"/>
              </w:rPr>
            </w:pPr>
            <w:r>
              <w:rPr>
                <w:color w:val="auto"/>
                <w:sz w:val="24"/>
                <w:highlight w:val="none"/>
              </w:rPr>
              <w:t>规划及规划环境影响评价符合性分析</w:t>
            </w:r>
          </w:p>
        </w:tc>
        <w:tc>
          <w:tcPr>
            <w:tcW w:w="7845" w:type="dxa"/>
            <w:gridSpan w:val="3"/>
            <w:vAlign w:val="center"/>
          </w:tcPr>
          <w:p w14:paraId="7BD7C5B1">
            <w:pPr>
              <w:pStyle w:val="42"/>
              <w:numPr>
                <w:ilvl w:val="0"/>
                <w:numId w:val="0"/>
              </w:numPr>
              <w:ind w:firstLine="482" w:firstLineChars="200"/>
              <w:rPr>
                <w:rFonts w:hint="eastAsia"/>
                <w:b/>
                <w:bCs/>
                <w:color w:val="auto"/>
                <w:highlight w:val="none"/>
              </w:rPr>
            </w:pPr>
            <w:r>
              <w:rPr>
                <w:rFonts w:hint="eastAsia" w:ascii="Times New Roman" w:hAnsi="Times New Roman" w:eastAsia="宋体" w:cs="Times New Roman"/>
                <w:b/>
                <w:bCs/>
                <w:color w:val="auto"/>
                <w:kern w:val="2"/>
                <w:sz w:val="24"/>
                <w:szCs w:val="24"/>
                <w:lang w:val="en-US" w:eastAsia="zh-CN" w:bidi="ar-SA"/>
              </w:rPr>
              <w:t>1、</w:t>
            </w:r>
            <w:r>
              <w:rPr>
                <w:rFonts w:hint="eastAsia"/>
                <w:b/>
                <w:bCs/>
                <w:color w:val="auto"/>
                <w:highlight w:val="none"/>
              </w:rPr>
              <w:t>与《木垒县民生工业园区总体规划(2014-2030年)》及审查意见的符合性</w:t>
            </w:r>
          </w:p>
          <w:p w14:paraId="3B63D08A">
            <w:pPr>
              <w:pStyle w:val="42"/>
              <w:numPr>
                <w:ilvl w:val="0"/>
                <w:numId w:val="0"/>
              </w:numPr>
              <w:ind w:firstLine="480" w:firstLineChars="200"/>
              <w:rPr>
                <w:rFonts w:hint="eastAsia"/>
                <w:b w:val="0"/>
                <w:bCs w:val="0"/>
                <w:color w:val="auto"/>
                <w:highlight w:val="none"/>
              </w:rPr>
            </w:pPr>
            <w:r>
              <w:rPr>
                <w:rFonts w:hint="eastAsia"/>
                <w:b w:val="0"/>
                <w:bCs w:val="0"/>
                <w:color w:val="auto"/>
                <w:highlight w:val="none"/>
              </w:rPr>
              <w:t>（1）规划的符合性分析</w:t>
            </w:r>
          </w:p>
          <w:p w14:paraId="7EB66054">
            <w:pPr>
              <w:pStyle w:val="42"/>
              <w:numPr>
                <w:ilvl w:val="0"/>
                <w:numId w:val="0"/>
              </w:numPr>
              <w:ind w:firstLine="480" w:firstLineChars="200"/>
              <w:rPr>
                <w:rFonts w:hint="eastAsia"/>
                <w:b w:val="0"/>
                <w:bCs w:val="0"/>
                <w:color w:val="auto"/>
                <w:highlight w:val="none"/>
              </w:rPr>
            </w:pPr>
            <w:r>
              <w:rPr>
                <w:rFonts w:hint="eastAsia"/>
                <w:b w:val="0"/>
                <w:bCs w:val="0"/>
                <w:color w:val="auto"/>
                <w:highlight w:val="none"/>
              </w:rPr>
              <w:t>根据《木垒县民生工业园区总体规划(2014-2030年)》，木垒民生工业园区(四区)新型产业及轻工业区位于县城北侧，南邻奇木高速，X192两侧。规划建设用地面积约为458.40公顷，规划控制用地范围472.64公顷。四区：规划结构与功能布局规划四区结合现状地形与项目用地分布情况，合理利用资源，将四区确定为“一轴一心，一组团”。一轴为主要空间联系轴。X192作为园区的主要对外道路。产业用地沿道路两侧展开布置。“一心”为公共服务配套中心。规划在X192西侧布置，“一组团”为专用设备制造、机械制造产业组团。主要以开发新型产业及轻工业产品加工制造为主。</w:t>
            </w:r>
            <w:r>
              <w:rPr>
                <w:rFonts w:hint="eastAsia" w:ascii="宋体" w:hAnsi="宋体"/>
                <w:color w:val="auto"/>
                <w:sz w:val="24"/>
              </w:rPr>
              <w:t>在入驻企业挑选上必须有严格的门槛标准，对入驻企业必须达到</w:t>
            </w:r>
            <w:r>
              <w:rPr>
                <w:rFonts w:ascii="宋体" w:hAnsi="宋体"/>
                <w:color w:val="auto"/>
                <w:sz w:val="24"/>
              </w:rPr>
              <w:t>清洁、环保生产要求</w:t>
            </w:r>
            <w:r>
              <w:rPr>
                <w:rFonts w:hint="eastAsia" w:ascii="宋体" w:hAnsi="宋体"/>
                <w:color w:val="auto"/>
                <w:sz w:val="24"/>
              </w:rPr>
              <w:t>，对污染大、能耗高的企业坚决不招。轻工业主要以无污染或轻度污染加工、制造工业用地，产业主要以食品工业、纺织工业、家电工业、日用化工、文教艺术体育用品工业等。</w:t>
            </w:r>
          </w:p>
          <w:p w14:paraId="72AACAEC">
            <w:pPr>
              <w:pStyle w:val="42"/>
              <w:numPr>
                <w:ilvl w:val="0"/>
                <w:numId w:val="0"/>
              </w:numPr>
              <w:ind w:firstLine="480" w:firstLineChars="200"/>
              <w:rPr>
                <w:rFonts w:hint="eastAsia"/>
                <w:b w:val="0"/>
                <w:bCs w:val="0"/>
                <w:color w:val="auto"/>
                <w:highlight w:val="none"/>
              </w:rPr>
            </w:pPr>
            <w:r>
              <w:rPr>
                <w:rFonts w:hint="eastAsia"/>
                <w:b w:val="0"/>
                <w:bCs w:val="0"/>
                <w:color w:val="auto"/>
                <w:highlight w:val="none"/>
              </w:rPr>
              <w:t>本项目厂址位于木垒民生工业园区(四区)新型产业及轻工业区，</w:t>
            </w:r>
            <w:r>
              <w:rPr>
                <w:rFonts w:hint="eastAsia"/>
                <w:b w:val="0"/>
                <w:bCs w:val="0"/>
                <w:color w:val="auto"/>
                <w:highlight w:val="none"/>
                <w:lang w:val="en-US" w:eastAsia="zh-CN"/>
              </w:rPr>
              <w:t>项目区</w:t>
            </w:r>
            <w:r>
              <w:rPr>
                <w:rFonts w:hint="eastAsia"/>
                <w:b w:val="0"/>
                <w:bCs w:val="0"/>
                <w:color w:val="auto"/>
                <w:highlight w:val="none"/>
              </w:rPr>
              <w:t>南侧</w:t>
            </w:r>
            <w:r>
              <w:rPr>
                <w:rFonts w:hint="eastAsia"/>
                <w:b w:val="0"/>
                <w:bCs w:val="0"/>
                <w:color w:val="auto"/>
                <w:highlight w:val="none"/>
                <w:lang w:val="en-US" w:eastAsia="zh-CN"/>
              </w:rPr>
              <w:t>为湖南安装新疆宁迪动力锂电池项目</w:t>
            </w:r>
            <w:r>
              <w:rPr>
                <w:rFonts w:hint="eastAsia"/>
                <w:b w:val="0"/>
                <w:bCs w:val="0"/>
                <w:color w:val="auto"/>
                <w:highlight w:val="none"/>
              </w:rPr>
              <w:t>，</w:t>
            </w:r>
            <w:r>
              <w:rPr>
                <w:rFonts w:hint="eastAsia"/>
                <w:b w:val="0"/>
                <w:bCs w:val="0"/>
                <w:color w:val="auto"/>
                <w:highlight w:val="none"/>
                <w:lang w:val="en-US" w:eastAsia="zh-CN"/>
              </w:rPr>
              <w:t>西侧为昌吉顺惠信息科技服务有限公司智算中心项目，</w:t>
            </w:r>
            <w:r>
              <w:rPr>
                <w:rFonts w:hint="eastAsia"/>
                <w:b w:val="0"/>
                <w:bCs w:val="0"/>
                <w:color w:val="auto"/>
                <w:highlight w:val="none"/>
              </w:rPr>
              <w:t>北侧为</w:t>
            </w:r>
            <w:r>
              <w:rPr>
                <w:rFonts w:hint="eastAsia"/>
                <w:b w:val="0"/>
                <w:bCs w:val="0"/>
                <w:color w:val="auto"/>
                <w:highlight w:val="none"/>
                <w:lang w:val="en-US" w:eastAsia="zh-CN"/>
              </w:rPr>
              <w:t>空地，</w:t>
            </w:r>
            <w:r>
              <w:rPr>
                <w:rFonts w:hint="eastAsia"/>
                <w:b w:val="0"/>
                <w:bCs w:val="0"/>
                <w:color w:val="auto"/>
                <w:highlight w:val="none"/>
              </w:rPr>
              <w:t>东侧</w:t>
            </w:r>
            <w:r>
              <w:rPr>
                <w:rFonts w:hint="eastAsia"/>
                <w:b w:val="0"/>
                <w:bCs w:val="0"/>
                <w:color w:val="auto"/>
                <w:highlight w:val="none"/>
                <w:lang w:val="en-US" w:eastAsia="zh-CN"/>
              </w:rPr>
              <w:t>为昌吉州泰胜风能风电设备有限公司，东侧偏南为新能源智能制造研发基地项目</w:t>
            </w:r>
            <w:r>
              <w:rPr>
                <w:rFonts w:hint="eastAsia"/>
                <w:b w:val="0"/>
                <w:bCs w:val="0"/>
                <w:color w:val="auto"/>
                <w:highlight w:val="none"/>
              </w:rPr>
              <w:t>。项目产品为</w:t>
            </w:r>
            <w:r>
              <w:rPr>
                <w:rFonts w:hint="eastAsia"/>
                <w:b w:val="0"/>
                <w:bCs w:val="0"/>
                <w:color w:val="auto"/>
                <w:highlight w:val="none"/>
                <w:lang w:val="en-US" w:eastAsia="zh-CN"/>
              </w:rPr>
              <w:t>人造金刚石</w:t>
            </w:r>
            <w:r>
              <w:rPr>
                <w:rFonts w:hint="eastAsia"/>
                <w:b w:val="0"/>
                <w:bCs w:val="0"/>
                <w:color w:val="auto"/>
                <w:highlight w:val="none"/>
              </w:rPr>
              <w:t>，属于</w:t>
            </w:r>
            <w:r>
              <w:rPr>
                <w:rFonts w:hint="eastAsia"/>
                <w:color w:val="auto"/>
                <w:sz w:val="24"/>
                <w:highlight w:val="none"/>
              </w:rPr>
              <w:t>非金属矿物制品业</w:t>
            </w:r>
            <w:r>
              <w:rPr>
                <w:rFonts w:hint="eastAsia"/>
                <w:b w:val="0"/>
                <w:bCs w:val="0"/>
                <w:color w:val="auto"/>
                <w:highlight w:val="none"/>
              </w:rPr>
              <w:t>；厂址位于无污染</w:t>
            </w:r>
            <w:r>
              <w:rPr>
                <w:rFonts w:hint="eastAsia"/>
                <w:b w:val="0"/>
                <w:bCs w:val="0"/>
                <w:color w:val="auto"/>
                <w:highlight w:val="none"/>
                <w:lang w:val="en-US" w:eastAsia="zh-CN"/>
              </w:rPr>
              <w:t>或轻度污染</w:t>
            </w:r>
            <w:r>
              <w:rPr>
                <w:rFonts w:hint="eastAsia"/>
                <w:b w:val="0"/>
                <w:bCs w:val="0"/>
                <w:color w:val="auto"/>
                <w:highlight w:val="none"/>
              </w:rPr>
              <w:t>加工、制造工业用地，</w:t>
            </w:r>
            <w:r>
              <w:rPr>
                <w:rFonts w:hint="eastAsia"/>
                <w:b w:val="0"/>
                <w:bCs w:val="0"/>
                <w:color w:val="auto"/>
                <w:highlight w:val="none"/>
                <w:lang w:val="en-US" w:eastAsia="zh-CN"/>
              </w:rPr>
              <w:t>本项目产生主要污染物为颗粒物，且产生量极少，</w:t>
            </w:r>
            <w:r>
              <w:rPr>
                <w:rFonts w:hint="eastAsia"/>
                <w:b w:val="0"/>
                <w:bCs w:val="0"/>
                <w:color w:val="auto"/>
                <w:highlight w:val="none"/>
              </w:rPr>
              <w:t>不违背木垒县民生工业园区布局规划</w:t>
            </w:r>
            <w:r>
              <w:rPr>
                <w:rFonts w:hint="eastAsia"/>
                <w:b w:val="0"/>
                <w:bCs w:val="0"/>
                <w:color w:val="auto"/>
                <w:highlight w:val="none"/>
                <w:lang w:eastAsia="zh-CN"/>
              </w:rPr>
              <w:t>，</w:t>
            </w:r>
            <w:r>
              <w:rPr>
                <w:rFonts w:hint="eastAsia"/>
                <w:b w:val="0"/>
                <w:bCs w:val="0"/>
                <w:color w:val="auto"/>
                <w:highlight w:val="none"/>
                <w:lang w:val="en-US" w:eastAsia="zh-CN"/>
              </w:rPr>
              <w:t>不会对周围企业造成影响</w:t>
            </w:r>
            <w:r>
              <w:rPr>
                <w:rFonts w:hint="eastAsia"/>
                <w:b w:val="0"/>
                <w:bCs w:val="0"/>
                <w:color w:val="auto"/>
                <w:highlight w:val="none"/>
              </w:rPr>
              <w:t>。本项目厂址用地性质属于木垒县民生工业园区规划的工业用地，符合木垒县民生工业园区的用地规划。</w:t>
            </w:r>
          </w:p>
          <w:p w14:paraId="181FCDCF">
            <w:pPr>
              <w:pStyle w:val="42"/>
              <w:numPr>
                <w:ilvl w:val="0"/>
                <w:numId w:val="0"/>
              </w:numPr>
              <w:ind w:firstLine="480" w:firstLineChars="200"/>
              <w:rPr>
                <w:rFonts w:hint="eastAsia"/>
                <w:b w:val="0"/>
                <w:bCs w:val="0"/>
                <w:color w:val="auto"/>
                <w:highlight w:val="none"/>
              </w:rPr>
            </w:pPr>
            <w:r>
              <w:rPr>
                <w:rFonts w:hint="eastAsia" w:ascii="Times New Roman" w:hAnsi="Times New Roman" w:eastAsia="宋体" w:cs="Times New Roman"/>
                <w:b w:val="0"/>
                <w:bCs w:val="0"/>
                <w:color w:val="auto"/>
                <w:kern w:val="2"/>
                <w:sz w:val="24"/>
                <w:szCs w:val="24"/>
                <w:lang w:val="en-US" w:eastAsia="zh-CN" w:bidi="ar-SA"/>
              </w:rPr>
              <w:t>（2）</w:t>
            </w:r>
            <w:r>
              <w:rPr>
                <w:rFonts w:hint="eastAsia"/>
                <w:b w:val="0"/>
                <w:bCs w:val="0"/>
                <w:color w:val="auto"/>
                <w:highlight w:val="none"/>
              </w:rPr>
              <w:t>规划审查意见的符合性分析</w:t>
            </w:r>
          </w:p>
          <w:p w14:paraId="36F1E409">
            <w:pPr>
              <w:pStyle w:val="42"/>
              <w:numPr>
                <w:ilvl w:val="0"/>
                <w:numId w:val="0"/>
              </w:numPr>
              <w:ind w:firstLine="480" w:firstLineChars="200"/>
              <w:rPr>
                <w:rFonts w:hint="eastAsia"/>
                <w:b w:val="0"/>
                <w:bCs w:val="0"/>
                <w:color w:val="auto"/>
                <w:highlight w:val="none"/>
              </w:rPr>
            </w:pPr>
            <w:r>
              <w:rPr>
                <w:rFonts w:hint="eastAsia"/>
                <w:b w:val="0"/>
                <w:bCs w:val="0"/>
                <w:color w:val="auto"/>
                <w:highlight w:val="none"/>
              </w:rPr>
              <w:t>《昌吉回族自治州城乡规划委员会2015年第八次会议纪要》要求，木垒县民生工业园区总体规划(2014-2030年)：应结合资源优势，谋划工业园区建设，切实发挥改善民生作用；园区布局尽可能集中紧凑，减少基础设施投入和运营成本；园区规划应深入考虑产业节水。本项目厂址位于木垒民生工业园区(四区)新型产业及轻工业区，供暖、供水、供电由园区供应，污水排入园区污水处理站处理，充分使用了园区的基础设施，与规划审查意见相符。</w:t>
            </w:r>
          </w:p>
          <w:p w14:paraId="440A46FC">
            <w:pPr>
              <w:pStyle w:val="42"/>
              <w:numPr>
                <w:ilvl w:val="0"/>
                <w:numId w:val="0"/>
              </w:numPr>
              <w:ind w:firstLine="482" w:firstLineChars="200"/>
              <w:rPr>
                <w:rFonts w:hint="eastAsia"/>
                <w:b/>
                <w:bCs/>
                <w:color w:val="auto"/>
                <w:highlight w:val="none"/>
              </w:rPr>
            </w:pPr>
            <w:r>
              <w:rPr>
                <w:rFonts w:hint="eastAsia"/>
                <w:b/>
                <w:bCs/>
                <w:color w:val="auto"/>
                <w:highlight w:val="none"/>
              </w:rPr>
              <w:t>2、与《新疆木垒民生工业园区总体规划(2014-2030年)环境影响报告书》及审查意见的符合性</w:t>
            </w:r>
          </w:p>
          <w:p w14:paraId="42F05C17">
            <w:pPr>
              <w:pStyle w:val="42"/>
              <w:numPr>
                <w:ilvl w:val="0"/>
                <w:numId w:val="0"/>
              </w:numPr>
              <w:ind w:firstLine="480" w:firstLineChars="200"/>
              <w:rPr>
                <w:rFonts w:hint="default" w:ascii="Times New Roman" w:hAnsi="Times New Roman" w:cs="Times New Roman"/>
                <w:b w:val="0"/>
                <w:bCs w:val="0"/>
                <w:color w:val="auto"/>
                <w:highlight w:val="none"/>
              </w:rPr>
            </w:pPr>
            <w:r>
              <w:rPr>
                <w:rFonts w:hint="eastAsia"/>
                <w:b w:val="0"/>
                <w:bCs w:val="0"/>
                <w:color w:val="auto"/>
                <w:highlight w:val="none"/>
              </w:rPr>
              <w:t>（1）规划环评的符合性分析新疆木垒民生工业园区位于新疆木垒县，共分为四个区，分别为农副产品加工及民族特色旅游产业区、农畜产品及食品加工区、矿产资源综合利用加工及物流园区、新型产业及轻工业区。新型产业及轻工业区属于县城边缘型工业园，以风光电清洁能源制造业及轻工业制造为主导，具有一定污染性。空间模式为纯产业区模式，在用地结构上考虑产业用地比例为主。生活服务用地为辅，并且可共享城镇的公共服务设施和基础设施，与主城区的空间交易成本较低。新型产业及轻工业区可以利用木垒及周边地区的光伏、风电项目，建设开发新型产业及轻工业产品加工制造。本项目厂址位于木垒民生工业园区(四区)新型产业及轻工业区，项目产品为</w:t>
            </w:r>
            <w:r>
              <w:rPr>
                <w:rFonts w:hint="eastAsia"/>
                <w:b w:val="0"/>
                <w:bCs w:val="0"/>
                <w:color w:val="auto"/>
                <w:highlight w:val="none"/>
                <w:lang w:val="en-US" w:eastAsia="zh-CN"/>
              </w:rPr>
              <w:t>人造金刚石</w:t>
            </w:r>
            <w:r>
              <w:rPr>
                <w:rFonts w:hint="eastAsia"/>
                <w:b w:val="0"/>
                <w:bCs w:val="0"/>
                <w:color w:val="auto"/>
                <w:highlight w:val="none"/>
              </w:rPr>
              <w:t>，</w:t>
            </w:r>
            <w:r>
              <w:rPr>
                <w:rFonts w:hint="eastAsia" w:ascii="宋体" w:hAnsi="宋体" w:eastAsia="宋体"/>
                <w:color w:val="auto"/>
                <w:sz w:val="24"/>
                <w:lang w:val="en-US" w:eastAsia="zh-CN"/>
              </w:rPr>
              <w:t>属于《战略性新兴产业重点产品和服务指导</w:t>
            </w:r>
            <w:r>
              <w:rPr>
                <w:rFonts w:hint="default" w:ascii="Times New Roman" w:hAnsi="Times New Roman" w:eastAsia="宋体" w:cs="Times New Roman"/>
                <w:color w:val="auto"/>
                <w:sz w:val="24"/>
                <w:lang w:val="en-US" w:eastAsia="zh-CN"/>
              </w:rPr>
              <w:t>目录（2016版）》中的3</w:t>
            </w:r>
            <w:r>
              <w:rPr>
                <w:rFonts w:hint="default" w:ascii="Times New Roman" w:hAnsi="Times New Roman" w:eastAsia="宋体" w:cs="Times New Roman"/>
                <w:color w:val="auto"/>
                <w:sz w:val="24"/>
                <w:szCs w:val="24"/>
              </w:rPr>
              <w:t>新材料产业</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3.1新型功能材料产业</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3.1.4 高纯元素及化合物</w:t>
            </w:r>
            <w:r>
              <w:rPr>
                <w:rFonts w:hint="default" w:ascii="Times New Roman" w:hAnsi="Times New Roman" w:cs="Times New Roman"/>
                <w:color w:val="auto"/>
                <w:sz w:val="24"/>
                <w:szCs w:val="24"/>
                <w:lang w:val="en-US" w:eastAsia="zh-CN"/>
              </w:rPr>
              <w:t>中的人造金刚石</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定位为新型产业</w:t>
            </w:r>
            <w:r>
              <w:rPr>
                <w:rFonts w:hint="default" w:ascii="Times New Roman" w:hAnsi="Times New Roman" w:cs="Times New Roman"/>
                <w:b w:val="0"/>
                <w:bCs w:val="0"/>
                <w:color w:val="auto"/>
                <w:highlight w:val="none"/>
              </w:rPr>
              <w:t>，符合园区定位，与规划环评相符。</w:t>
            </w:r>
          </w:p>
          <w:p w14:paraId="10FB6E11">
            <w:pPr>
              <w:pStyle w:val="42"/>
              <w:numPr>
                <w:ilvl w:val="0"/>
                <w:numId w:val="0"/>
              </w:numPr>
              <w:ind w:firstLine="480" w:firstLineChars="200"/>
              <w:rPr>
                <w:rFonts w:hint="eastAsia"/>
                <w:b w:val="0"/>
                <w:bCs w:val="0"/>
                <w:color w:val="auto"/>
                <w:highlight w:val="none"/>
              </w:rPr>
            </w:pPr>
            <w:r>
              <w:rPr>
                <w:rFonts w:hint="eastAsia"/>
                <w:b w:val="0"/>
                <w:bCs w:val="0"/>
                <w:color w:val="auto"/>
                <w:highlight w:val="none"/>
              </w:rPr>
              <w:t>（2）规划环评审查意见的符合性分析</w:t>
            </w:r>
          </w:p>
          <w:p w14:paraId="59CC5B4F">
            <w:pPr>
              <w:keepNext w:val="0"/>
              <w:keepLines w:val="0"/>
              <w:pageBreakBefore w:val="0"/>
              <w:widowControl w:val="0"/>
              <w:tabs>
                <w:tab w:val="left" w:pos="3120"/>
              </w:tabs>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1"/>
                <w:szCs w:val="21"/>
                <w:highlight w:val="none"/>
              </w:rPr>
              <w:t>表1-1</w:t>
            </w:r>
            <w:r>
              <w:rPr>
                <w:rFonts w:hint="eastAsia" w:cs="Times New Roman"/>
                <w:b/>
                <w:bCs/>
                <w:color w:val="auto"/>
                <w:sz w:val="21"/>
                <w:szCs w:val="21"/>
                <w:highlight w:val="none"/>
                <w:lang w:val="en-US" w:eastAsia="zh-CN"/>
              </w:rPr>
              <w:t>《关于新疆木垒民生工业园区总体规划(2014-2030年)环境影响报告书的审查意见》</w:t>
            </w:r>
            <w:r>
              <w:rPr>
                <w:rFonts w:hint="default" w:ascii="Times New Roman" w:hAnsi="Times New Roman" w:eastAsia="宋体" w:cs="Times New Roman"/>
                <w:b/>
                <w:bCs/>
                <w:color w:val="auto"/>
                <w:sz w:val="21"/>
                <w:szCs w:val="21"/>
                <w:highlight w:val="none"/>
              </w:rPr>
              <w:t>符合性分析</w:t>
            </w:r>
          </w:p>
          <w:tbl>
            <w:tblPr>
              <w:tblStyle w:val="29"/>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915"/>
              <w:gridCol w:w="2759"/>
              <w:gridCol w:w="952"/>
            </w:tblGrid>
            <w:tr w14:paraId="595AAA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bottom w:val="single" w:color="000000" w:sz="12" w:space="0"/>
                  </w:tcBorders>
                  <w:vAlign w:val="center"/>
                </w:tcPr>
                <w:p w14:paraId="557638E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内容</w:t>
                  </w:r>
                </w:p>
              </w:tc>
              <w:tc>
                <w:tcPr>
                  <w:tcW w:w="1808" w:type="pct"/>
                  <w:tcBorders>
                    <w:bottom w:val="single" w:color="000000" w:sz="12" w:space="0"/>
                  </w:tcBorders>
                  <w:vAlign w:val="center"/>
                </w:tcPr>
                <w:p w14:paraId="366607C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项目情况</w:t>
                  </w:r>
                </w:p>
              </w:tc>
              <w:tc>
                <w:tcPr>
                  <w:tcW w:w="624" w:type="pct"/>
                  <w:tcBorders>
                    <w:bottom w:val="single" w:color="000000" w:sz="12" w:space="0"/>
                  </w:tcBorders>
                  <w:vAlign w:val="center"/>
                </w:tcPr>
                <w:p w14:paraId="5DB5255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符合性</w:t>
                  </w:r>
                </w:p>
              </w:tc>
            </w:tr>
            <w:tr w14:paraId="5E21DD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top w:val="single" w:color="000000" w:sz="12" w:space="0"/>
                    <w:bottom w:val="single" w:color="auto" w:sz="4" w:space="0"/>
                    <w:tl2br w:val="nil"/>
                    <w:tr2bl w:val="nil"/>
                  </w:tcBorders>
                  <w:vAlign w:val="center"/>
                </w:tcPr>
                <w:p w14:paraId="5752A9F6">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修编后的《新疆木垒民生工业园区总体规划(2014-2030年)》(以下简称《园区总规》)规划区建设用地总面积调整为9.6144平方公里。园区包括四个区，分别为农副产品加工及民族特色旅游产业区、农畜产品及食品加工区、矿产资源综合利用加工及物流园区、新型产业及轻工业区。</w:t>
                  </w:r>
                </w:p>
                <w:p w14:paraId="3471B6C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（一）新型产业及轻工业区，位于木垒县城北侧约10公里处，南邻奇木高速、县道X192线两侧区域，规划建设用地面积为3.5171平方公里，主要发展</w:t>
                  </w:r>
                  <w:r>
                    <w:rPr>
                      <w:rFonts w:hint="eastAsia"/>
                      <w:b w:val="0"/>
                      <w:bCs w:val="0"/>
                      <w:color w:val="auto"/>
                      <w:highlight w:val="none"/>
                    </w:rPr>
                    <w:t>新型产业</w:t>
                  </w:r>
                  <w:r>
                    <w:rPr>
                      <w:rFonts w:hint="eastAsia" w:ascii="Times New Roman" w:hAnsi="Times New Roman" w:eastAsia="宋体" w:cs="Times New Roman"/>
                      <w:color w:val="auto"/>
                      <w:sz w:val="21"/>
                      <w:szCs w:val="21"/>
                      <w:highlight w:val="none"/>
                      <w:lang w:eastAsia="zh-CN"/>
                    </w:rPr>
                    <w:t>和轻工业。新型产业及轻工业区可利以用木垒及周边地区的光伏、风电项目，建设开发</w:t>
                  </w:r>
                  <w:r>
                    <w:rPr>
                      <w:rFonts w:hint="eastAsia"/>
                      <w:b w:val="0"/>
                      <w:bCs w:val="0"/>
                      <w:color w:val="auto"/>
                      <w:highlight w:val="none"/>
                    </w:rPr>
                    <w:t>新型产业</w:t>
                  </w:r>
                  <w:r>
                    <w:rPr>
                      <w:rFonts w:hint="eastAsia" w:ascii="Times New Roman" w:hAnsi="Times New Roman" w:eastAsia="宋体" w:cs="Times New Roman"/>
                      <w:color w:val="auto"/>
                      <w:sz w:val="21"/>
                      <w:szCs w:val="21"/>
                      <w:highlight w:val="none"/>
                      <w:lang w:eastAsia="zh-CN"/>
                    </w:rPr>
                    <w:t>及轻工业产品加工制造。</w:t>
                  </w:r>
                </w:p>
              </w:tc>
              <w:tc>
                <w:tcPr>
                  <w:tcW w:w="1808" w:type="pct"/>
                  <w:tcBorders>
                    <w:top w:val="single" w:color="000000" w:sz="12" w:space="0"/>
                    <w:bottom w:val="single" w:color="auto" w:sz="4" w:space="0"/>
                    <w:tl2br w:val="nil"/>
                    <w:tr2bl w:val="nil"/>
                  </w:tcBorders>
                  <w:vAlign w:val="center"/>
                </w:tcPr>
                <w:p w14:paraId="08B7194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厂址位于木垒民生工业园区(四区)新型产业及轻工业区，项目产品为人造金刚石，属于非金属矿物制品业，属于《战略性新兴产业重点产品和服务指导目录（2016版）》中的3新材料产业-3.1新型功能材料产业-3.1.4 高纯元素及化合物中的人造金刚石，定位为新型产业，。符合园区新型产业及轻工业区定位。</w:t>
                  </w:r>
                </w:p>
              </w:tc>
              <w:tc>
                <w:tcPr>
                  <w:tcW w:w="624" w:type="pct"/>
                  <w:tcBorders>
                    <w:top w:val="single" w:color="000000" w:sz="12" w:space="0"/>
                    <w:bottom w:val="single" w:color="auto" w:sz="4" w:space="0"/>
                    <w:tl2br w:val="nil"/>
                    <w:tr2bl w:val="nil"/>
                  </w:tcBorders>
                  <w:vAlign w:val="center"/>
                </w:tcPr>
                <w:p w14:paraId="4ACD54C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b w:val="0"/>
                      <w:bCs w:val="0"/>
                      <w:color w:val="auto"/>
                      <w:highlight w:val="none"/>
                      <w:lang w:val="en-US" w:eastAsia="zh-CN"/>
                    </w:rPr>
                    <w:t>符合</w:t>
                  </w:r>
                </w:p>
              </w:tc>
            </w:tr>
            <w:tr w14:paraId="2F9B80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top w:val="single" w:color="auto" w:sz="4" w:space="0"/>
                    <w:left w:val="nil"/>
                    <w:bottom w:val="single" w:color="auto" w:sz="4" w:space="0"/>
                    <w:right w:val="single" w:color="auto" w:sz="4" w:space="0"/>
                  </w:tcBorders>
                  <w:vAlign w:val="center"/>
                </w:tcPr>
                <w:p w14:paraId="1FA41FD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b w:val="0"/>
                      <w:bCs w:val="0"/>
                      <w:color w:val="auto"/>
                      <w:highlight w:val="none"/>
                    </w:rPr>
                    <w:t>(二)严守生态保护红线，优化园区产业结构、空间布局，促进园区产业集约与绿色发展。结合区域发展方向、人口分布及环境保护等要求，按照《报告书》提出的空间管控距离控制园区和木垒县城规划边界，农副产品加工及民族特色旅游产业区西侧边界与木垒县城规划边界已基本相接，须根据居民点等环境保护目标分布情况合理控制企业布局，农副产品加工及民族特色旅游产业区内不宜布局环境空气污染严重或与其产业定位不符的企业，以减少园区内企业大气污染对县城区域环境空气的影响。合理确定坎儿井、古城遗迹、细石器遗址、沙河子驿站遗址、大浪沙河、白杨河、公路、输油(气)管道、输水管道及光缆通讯电力设施防护廊道禁止建设区域范围。加强《园区总规》与木垒县城总体规划、土地利用总体规划的协调和衔接，《园区总规》建设用地范围、布局和结构应根据城市总体规划、土地利用总体规划等进行优化调整。制定并落实园区内现有不符合园区规划功能布局的企业搬迁、关停计划。</w:t>
                  </w:r>
                </w:p>
              </w:tc>
              <w:tc>
                <w:tcPr>
                  <w:tcW w:w="1808" w:type="pct"/>
                  <w:tcBorders>
                    <w:top w:val="single" w:color="auto" w:sz="4" w:space="0"/>
                    <w:left w:val="single" w:color="auto" w:sz="4" w:space="0"/>
                    <w:bottom w:val="single" w:color="auto" w:sz="4" w:space="0"/>
                    <w:right w:val="nil"/>
                  </w:tcBorders>
                  <w:vAlign w:val="center"/>
                </w:tcPr>
                <w:p w14:paraId="46AA395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本项目厂址位于木垒民生工业园区(四区)新型产业及轻工业区，不涉及生态红线。</w:t>
                  </w:r>
                </w:p>
                <w:p w14:paraId="472B15A6">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24" w:type="pct"/>
                  <w:tcBorders>
                    <w:top w:val="single" w:color="auto" w:sz="4" w:space="0"/>
                    <w:left w:val="single" w:color="auto" w:sz="4" w:space="0"/>
                    <w:bottom w:val="single" w:color="auto" w:sz="4" w:space="0"/>
                    <w:right w:val="nil"/>
                  </w:tcBorders>
                  <w:vAlign w:val="center"/>
                </w:tcPr>
                <w:p w14:paraId="068C940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b w:val="0"/>
                      <w:bCs w:val="0"/>
                      <w:color w:val="auto"/>
                      <w:highlight w:val="none"/>
                      <w:lang w:val="en-US" w:eastAsia="zh-CN"/>
                    </w:rPr>
                    <w:t>符合</w:t>
                  </w:r>
                </w:p>
              </w:tc>
            </w:tr>
            <w:tr w14:paraId="3015A9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top w:val="single" w:color="auto" w:sz="4" w:space="0"/>
                    <w:left w:val="nil"/>
                    <w:bottom w:val="single" w:color="auto" w:sz="4" w:space="0"/>
                    <w:right w:val="single" w:color="auto" w:sz="4" w:space="0"/>
                  </w:tcBorders>
                  <w:vAlign w:val="center"/>
                </w:tcPr>
                <w:p w14:paraId="2971E51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三）坚守环境质量底线，严格污染物总量管控。根据规划区域及周边环境质量现状和目标，确定区域污染物排放总量上限。落实园区煤炭及其他颗粒状物料储运全封闭防尘措施，采取有效措施减少二氧化硫、氮氧化物、挥发性有机物、臭气、颗粒物、化学需氧量、氨氮等污染物的排放量，确保实现区域环境质量改善目标，各类大气污染物排放须满足国家和自治区现行污染物排放标准要求。</w:t>
                  </w:r>
                </w:p>
              </w:tc>
              <w:tc>
                <w:tcPr>
                  <w:tcW w:w="1808" w:type="pct"/>
                  <w:tcBorders>
                    <w:top w:val="single" w:color="auto" w:sz="4" w:space="0"/>
                    <w:left w:val="single" w:color="auto" w:sz="4" w:space="0"/>
                    <w:bottom w:val="single" w:color="auto" w:sz="4" w:space="0"/>
                    <w:right w:val="nil"/>
                  </w:tcBorders>
                  <w:vAlign w:val="center"/>
                </w:tcPr>
                <w:p w14:paraId="2380870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本项目不产生</w:t>
                  </w:r>
                  <w:r>
                    <w:rPr>
                      <w:rFonts w:hint="eastAsia" w:ascii="Times New Roman" w:hAnsi="Times New Roman" w:eastAsia="宋体" w:cs="Times New Roman"/>
                      <w:color w:val="auto"/>
                      <w:sz w:val="21"/>
                      <w:szCs w:val="21"/>
                      <w:highlight w:val="none"/>
                      <w:lang w:eastAsia="zh-CN"/>
                    </w:rPr>
                    <w:t>二氧化硫、氮氧化物、挥发性有机物、臭气，污水排入园区污水处理站处理；</w:t>
                  </w:r>
                  <w:r>
                    <w:rPr>
                      <w:rFonts w:hint="eastAsia" w:ascii="Times New Roman" w:hAnsi="Times New Roman" w:eastAsia="宋体" w:cs="Times New Roman"/>
                      <w:color w:val="auto"/>
                      <w:sz w:val="21"/>
                      <w:szCs w:val="21"/>
                      <w:highlight w:val="none"/>
                      <w:lang w:val="en-US" w:eastAsia="zh-CN"/>
                    </w:rPr>
                    <w:t>废气产生量极少</w:t>
                  </w:r>
                  <w:r>
                    <w:rPr>
                      <w:rFonts w:hint="eastAsia" w:ascii="Times New Roman" w:hAnsi="Times New Roman" w:eastAsia="宋体" w:cs="Times New Roman"/>
                      <w:color w:val="auto"/>
                      <w:sz w:val="21"/>
                      <w:szCs w:val="21"/>
                      <w:highlight w:val="none"/>
                      <w:lang w:eastAsia="zh-CN"/>
                    </w:rPr>
                    <w:t>；食堂油烟废气经过油烟净化器处理后通过烟道楼顶排放，满足国家和自治区现行污染物排放标准要求。</w:t>
                  </w:r>
                </w:p>
              </w:tc>
              <w:tc>
                <w:tcPr>
                  <w:tcW w:w="624" w:type="pct"/>
                  <w:tcBorders>
                    <w:top w:val="single" w:color="auto" w:sz="4" w:space="0"/>
                    <w:left w:val="single" w:color="auto" w:sz="4" w:space="0"/>
                    <w:bottom w:val="single" w:color="auto" w:sz="4" w:space="0"/>
                    <w:right w:val="nil"/>
                  </w:tcBorders>
                  <w:vAlign w:val="center"/>
                </w:tcPr>
                <w:p w14:paraId="30484CB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b w:val="0"/>
                      <w:bCs w:val="0"/>
                      <w:color w:val="auto"/>
                      <w:highlight w:val="none"/>
                      <w:lang w:val="en-US" w:eastAsia="zh-CN"/>
                    </w:rPr>
                    <w:t>符合</w:t>
                  </w:r>
                </w:p>
              </w:tc>
            </w:tr>
            <w:tr w14:paraId="34A8DB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top w:val="single" w:color="auto" w:sz="4" w:space="0"/>
                    <w:left w:val="nil"/>
                    <w:bottom w:val="single" w:color="auto" w:sz="4" w:space="0"/>
                    <w:right w:val="single" w:color="auto" w:sz="4" w:space="0"/>
                  </w:tcBorders>
                  <w:vAlign w:val="center"/>
                </w:tcPr>
                <w:p w14:paraId="68BF47B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b w:val="0"/>
                      <w:bCs w:val="0"/>
                      <w:color w:val="auto"/>
                      <w:highlight w:val="none"/>
                    </w:rPr>
                    <w:t>(四)结合区域资源消耗上线，落实环境准入负面清单管理要求。结合区域发展定位、开发布局、生态环境保护目标，以及供给侧结构性改革“去产能、去库存、去杠杆、降成本、补短板”等相关要求，制定规划园区鼓励发展的产业准入清单和禁止或限制准入清单(包括重要的生产工序和产品)，并在园区规划实施中推进落实。坚持实行入园企业环保准入审核制度，不符合产业政策、行业准入条件、自治区环境准入条件的项目以及与园区产业功能定位不符的“三高”项目一律不得入驻园区。对于入园的建设项目必须开展环境影响评价，严格执行建设项目“三同时”环境管理制度。严格控制用水总量、提高用水效率、合理控制排污；严守水资源“三条红线”，依据水资源论证报告结论，以水定产、以水定量，优化调整园区的产业结构和规模。</w:t>
                  </w:r>
                </w:p>
              </w:tc>
              <w:tc>
                <w:tcPr>
                  <w:tcW w:w="1808" w:type="pct"/>
                  <w:tcBorders>
                    <w:top w:val="single" w:color="auto" w:sz="4" w:space="0"/>
                    <w:left w:val="single" w:color="auto" w:sz="4" w:space="0"/>
                    <w:bottom w:val="single" w:color="auto" w:sz="4" w:space="0"/>
                    <w:right w:val="nil"/>
                  </w:tcBorders>
                  <w:vAlign w:val="center"/>
                </w:tcPr>
                <w:p w14:paraId="3BD27E9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b w:val="0"/>
                      <w:bCs w:val="0"/>
                      <w:color w:val="auto"/>
                      <w:highlight w:val="none"/>
                    </w:rPr>
                    <w:t>本项目厂址位于木垒民生工业园区(四区)新型产业及轻工业区，项目产品为</w:t>
                  </w:r>
                  <w:r>
                    <w:rPr>
                      <w:rFonts w:hint="eastAsia"/>
                      <w:b w:val="0"/>
                      <w:bCs w:val="0"/>
                      <w:color w:val="auto"/>
                      <w:highlight w:val="none"/>
                      <w:lang w:val="en-US" w:eastAsia="zh-CN"/>
                    </w:rPr>
                    <w:t>人造金刚石</w:t>
                  </w:r>
                  <w:r>
                    <w:rPr>
                      <w:rFonts w:hint="eastAsia"/>
                      <w:b w:val="0"/>
                      <w:bCs w:val="0"/>
                      <w:color w:val="auto"/>
                      <w:highlight w:val="none"/>
                    </w:rPr>
                    <w:t>，属于</w:t>
                  </w:r>
                  <w:r>
                    <w:rPr>
                      <w:rFonts w:hint="eastAsia"/>
                      <w:color w:val="auto"/>
                      <w:sz w:val="21"/>
                      <w:szCs w:val="21"/>
                      <w:highlight w:val="none"/>
                    </w:rPr>
                    <w:t>非金属矿物制品业</w:t>
                  </w:r>
                  <w:r>
                    <w:rPr>
                      <w:rFonts w:hint="eastAsia"/>
                      <w:b w:val="0"/>
                      <w:bCs w:val="0"/>
                      <w:color w:val="auto"/>
                      <w:highlight w:val="none"/>
                    </w:rPr>
                    <w:t>，属于开发新型产业及轻工业产品加工制造，符合园区定位，符合产业政策、行业准入条件和自治区环境准入条件，本项目用水包括生活用水</w:t>
                  </w:r>
                  <w:r>
                    <w:rPr>
                      <w:rFonts w:hint="eastAsia"/>
                      <w:b w:val="0"/>
                      <w:bCs w:val="0"/>
                      <w:color w:val="auto"/>
                      <w:highlight w:val="none"/>
                      <w:lang w:val="en-US" w:eastAsia="zh-CN"/>
                    </w:rPr>
                    <w:t>及工业用水</w:t>
                  </w:r>
                  <w:r>
                    <w:rPr>
                      <w:rFonts w:hint="eastAsia"/>
                      <w:b w:val="0"/>
                      <w:bCs w:val="0"/>
                      <w:color w:val="auto"/>
                      <w:highlight w:val="none"/>
                    </w:rPr>
                    <w:t>，生活污水排入园区污水</w:t>
                  </w:r>
                  <w:r>
                    <w:rPr>
                      <w:rFonts w:hint="eastAsia"/>
                      <w:b w:val="0"/>
                      <w:bCs w:val="0"/>
                      <w:color w:val="auto"/>
                      <w:highlight w:val="none"/>
                      <w:lang w:val="en-US" w:eastAsia="zh-CN"/>
                    </w:rPr>
                    <w:t>管网</w:t>
                  </w:r>
                  <w:r>
                    <w:rPr>
                      <w:rFonts w:hint="eastAsia"/>
                      <w:b w:val="0"/>
                      <w:bCs w:val="0"/>
                      <w:color w:val="auto"/>
                      <w:highlight w:val="none"/>
                    </w:rPr>
                    <w:t>，</w:t>
                  </w:r>
                  <w:r>
                    <w:rPr>
                      <w:rFonts w:hint="eastAsia"/>
                      <w:b w:val="0"/>
                      <w:bCs w:val="0"/>
                      <w:color w:val="auto"/>
                      <w:highlight w:val="none"/>
                      <w:lang w:val="en-US" w:eastAsia="zh-CN"/>
                    </w:rPr>
                    <w:t>工业用水主要污染物为SS，与生活污水一同</w:t>
                  </w:r>
                  <w:r>
                    <w:rPr>
                      <w:rFonts w:hint="eastAsia"/>
                      <w:b w:val="0"/>
                      <w:bCs w:val="0"/>
                      <w:color w:val="auto"/>
                      <w:highlight w:val="none"/>
                    </w:rPr>
                    <w:t>排入园区污水</w:t>
                  </w:r>
                  <w:r>
                    <w:rPr>
                      <w:rFonts w:hint="eastAsia"/>
                      <w:b w:val="0"/>
                      <w:bCs w:val="0"/>
                      <w:color w:val="auto"/>
                      <w:highlight w:val="none"/>
                      <w:lang w:val="en-US" w:eastAsia="zh-CN"/>
                    </w:rPr>
                    <w:t>管网，</w:t>
                  </w:r>
                  <w:r>
                    <w:rPr>
                      <w:rFonts w:hint="eastAsia"/>
                      <w:b w:val="0"/>
                      <w:bCs w:val="0"/>
                      <w:color w:val="auto"/>
                      <w:highlight w:val="none"/>
                    </w:rPr>
                    <w:t>对水资源的影响不大。</w:t>
                  </w:r>
                </w:p>
              </w:tc>
              <w:tc>
                <w:tcPr>
                  <w:tcW w:w="624" w:type="pct"/>
                  <w:tcBorders>
                    <w:top w:val="single" w:color="auto" w:sz="4" w:space="0"/>
                    <w:left w:val="single" w:color="auto" w:sz="4" w:space="0"/>
                    <w:bottom w:val="single" w:color="auto" w:sz="4" w:space="0"/>
                    <w:right w:val="nil"/>
                  </w:tcBorders>
                  <w:vAlign w:val="center"/>
                </w:tcPr>
                <w:p w14:paraId="2FABA3F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b w:val="0"/>
                      <w:bCs w:val="0"/>
                      <w:color w:val="auto"/>
                      <w:highlight w:val="none"/>
                    </w:rPr>
                  </w:pPr>
                  <w:r>
                    <w:rPr>
                      <w:rFonts w:hint="eastAsia"/>
                      <w:b w:val="0"/>
                      <w:bCs w:val="0"/>
                      <w:color w:val="auto"/>
                      <w:highlight w:val="none"/>
                      <w:lang w:val="en-US" w:eastAsia="zh-CN"/>
                    </w:rPr>
                    <w:t>符合</w:t>
                  </w:r>
                </w:p>
              </w:tc>
            </w:tr>
            <w:tr w14:paraId="329E3F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566" w:type="pct"/>
                  <w:tcBorders>
                    <w:top w:val="single" w:color="auto" w:sz="4" w:space="0"/>
                    <w:left w:val="nil"/>
                    <w:bottom w:val="single" w:color="auto" w:sz="4" w:space="0"/>
                    <w:right w:val="single" w:color="auto" w:sz="4" w:space="0"/>
                  </w:tcBorders>
                  <w:vAlign w:val="center"/>
                </w:tcPr>
                <w:p w14:paraId="026CD17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五)完善园区污水处理、固废集中处置(理)、集中供热等环境基础设施。按照“雨污分流”“清污分流”“污污分治”原则规划、设计和建设园区排水系统、废(污)水处理系统和中水回用系统，逐步建成完整的排水和中水回用系统。加快集中供热设施建设，依法淘汰取缔不符合环保准入条件的小型燃煤锅炉制定切实可行的一般固体废弃物综合利用方案，配套建设工业固废处置场；严格按照国家有关规定进行危险废物贮存、处置和处理。园区污水处理、固废集中处置(理)、集中供热站等环境基础设施须在企业入园前建设完成。</w:t>
                  </w:r>
                </w:p>
                <w:p w14:paraId="544D571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排水：新型产业及轻工业区排水采用不完全分流制的排水体制，污水统一收集后，集中汇入县城东北侧的民生工业园区污水处理厂。污水处理厂设计处理能力1万m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/d，目前的实际处理能力为8000m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/d，本项目废水产生量为</w:t>
                  </w:r>
                  <w:r>
                    <w:rPr>
                      <w:rFonts w:hint="eastAsia" w:ascii="Times New Roman" w:hAnsi="Times New Roman" w:eastAsia="宋体" w:cs="Times New Roman"/>
                      <w:color w:val="auto"/>
                      <w:sz w:val="21"/>
                      <w:szCs w:val="21"/>
                      <w:highlight w:val="none"/>
                      <w:lang w:val="en-US" w:eastAsia="zh-CN"/>
                    </w:rPr>
                    <w:t>2.7</w:t>
                  </w:r>
                  <w:r>
                    <w:rPr>
                      <w:rFonts w:hint="eastAsia" w:ascii="Times New Roman" w:hAnsi="Times New Roman" w:eastAsia="宋体" w:cs="Times New Roman"/>
                      <w:color w:val="auto"/>
                      <w:sz w:val="21"/>
                      <w:szCs w:val="21"/>
                      <w:highlight w:val="none"/>
                      <w:lang w:eastAsia="zh-CN"/>
                    </w:rPr>
                    <w:t>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/d，污水处理厂剩余处理能力能够满足本项目需求。</w:t>
                  </w:r>
                </w:p>
                <w:p w14:paraId="3B6FE97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供热：新型产业及轻工业区供热采用集中供给，热源采用电采暖锅炉，本项目用热主要为生活用热，由园区统一供给。</w:t>
                  </w:r>
                </w:p>
              </w:tc>
              <w:tc>
                <w:tcPr>
                  <w:tcW w:w="1808" w:type="pct"/>
                  <w:tcBorders>
                    <w:top w:val="single" w:color="auto" w:sz="4" w:space="0"/>
                    <w:left w:val="single" w:color="auto" w:sz="4" w:space="0"/>
                    <w:bottom w:val="single" w:color="auto" w:sz="4" w:space="0"/>
                    <w:right w:val="nil"/>
                  </w:tcBorders>
                  <w:vAlign w:val="center"/>
                </w:tcPr>
                <w:p w14:paraId="58B36CC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b w:val="0"/>
                      <w:bCs w:val="0"/>
                      <w:color w:val="auto"/>
                      <w:highlight w:val="none"/>
                    </w:rPr>
                    <w:t>本项目污水排入园区污水处理站，供暖、供水、供电由园区供应，园区建设有完善的排水系统。</w:t>
                  </w:r>
                </w:p>
              </w:tc>
              <w:tc>
                <w:tcPr>
                  <w:tcW w:w="624" w:type="pct"/>
                  <w:tcBorders>
                    <w:top w:val="single" w:color="auto" w:sz="4" w:space="0"/>
                    <w:left w:val="single" w:color="auto" w:sz="4" w:space="0"/>
                    <w:bottom w:val="single" w:color="auto" w:sz="4" w:space="0"/>
                    <w:right w:val="nil"/>
                  </w:tcBorders>
                  <w:vAlign w:val="center"/>
                </w:tcPr>
                <w:p w14:paraId="6FCDC20E">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eastAsia="宋体"/>
                      <w:b w:val="0"/>
                      <w:bCs w:val="0"/>
                      <w:color w:val="auto"/>
                      <w:highlight w:val="none"/>
                      <w:lang w:val="en-US" w:eastAsia="zh-CN"/>
                    </w:rPr>
                  </w:pPr>
                  <w:r>
                    <w:rPr>
                      <w:rFonts w:hint="eastAsia"/>
                      <w:b w:val="0"/>
                      <w:bCs w:val="0"/>
                      <w:color w:val="auto"/>
                      <w:highlight w:val="none"/>
                      <w:lang w:val="en-US" w:eastAsia="zh-CN"/>
                    </w:rPr>
                    <w:t>符合</w:t>
                  </w:r>
                </w:p>
              </w:tc>
            </w:tr>
          </w:tbl>
          <w:p w14:paraId="55F16444">
            <w:pPr>
              <w:pStyle w:val="42"/>
              <w:numPr>
                <w:ilvl w:val="0"/>
                <w:numId w:val="0"/>
              </w:numPr>
              <w:rPr>
                <w:color w:val="auto"/>
                <w:kern w:val="0"/>
                <w:highlight w:val="none"/>
              </w:rPr>
            </w:pPr>
          </w:p>
        </w:tc>
      </w:tr>
      <w:tr w14:paraId="43928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1040" w:type="dxa"/>
            <w:vAlign w:val="center"/>
          </w:tcPr>
          <w:p w14:paraId="4B9454A5">
            <w:pPr>
              <w:autoSpaceDE w:val="0"/>
              <w:autoSpaceDN w:val="0"/>
              <w:adjustRightInd w:val="0"/>
              <w:snapToGrid w:val="0"/>
              <w:jc w:val="center"/>
              <w:rPr>
                <w:color w:val="auto"/>
                <w:kern w:val="0"/>
                <w:sz w:val="24"/>
                <w:highlight w:val="none"/>
              </w:rPr>
            </w:pPr>
            <w:r>
              <w:rPr>
                <w:color w:val="auto"/>
                <w:kern w:val="0"/>
                <w:sz w:val="24"/>
                <w:highlight w:val="none"/>
              </w:rPr>
              <w:t>其他符合性分析</w:t>
            </w:r>
          </w:p>
        </w:tc>
        <w:tc>
          <w:tcPr>
            <w:tcW w:w="7845" w:type="dxa"/>
            <w:gridSpan w:val="3"/>
            <w:vAlign w:val="center"/>
          </w:tcPr>
          <w:p w14:paraId="30E0F102">
            <w:pPr>
              <w:pStyle w:val="76"/>
              <w:spacing w:before="183" w:line="220" w:lineRule="auto"/>
              <w:rPr>
                <w:color w:val="auto"/>
                <w:sz w:val="24"/>
                <w:szCs w:val="24"/>
              </w:rPr>
            </w:pPr>
            <w:r>
              <w:rPr>
                <w:rFonts w:ascii="Times New Roman" w:hAnsi="Times New Roman" w:eastAsia="Times New Roman" w:cs="Times New Roman"/>
                <w:b/>
                <w:bCs/>
                <w:color w:val="auto"/>
                <w:spacing w:val="-5"/>
                <w:sz w:val="24"/>
                <w:szCs w:val="24"/>
              </w:rPr>
              <w:t>1</w:t>
            </w:r>
            <w:r>
              <w:rPr>
                <w:b/>
                <w:bCs/>
                <w:color w:val="auto"/>
                <w:spacing w:val="-5"/>
                <w:sz w:val="24"/>
                <w:szCs w:val="24"/>
              </w:rPr>
              <w:t>、产业政策符合性</w:t>
            </w:r>
          </w:p>
          <w:p w14:paraId="7EF85C8C">
            <w:pPr>
              <w:pStyle w:val="42"/>
              <w:spacing w:line="520" w:lineRule="exact"/>
              <w:rPr>
                <w:color w:val="auto"/>
                <w:kern w:val="0"/>
                <w:highlight w:val="none"/>
              </w:rPr>
            </w:pPr>
            <w:r>
              <w:rPr>
                <w:rFonts w:hint="eastAsia"/>
                <w:color w:val="auto"/>
                <w:kern w:val="0"/>
                <w:highlight w:val="none"/>
              </w:rPr>
              <w:t>（1）产业政策符合性分析</w:t>
            </w:r>
          </w:p>
          <w:p w14:paraId="72E57C02">
            <w:pPr>
              <w:pStyle w:val="42"/>
              <w:spacing w:line="520" w:lineRule="exact"/>
              <w:rPr>
                <w:color w:val="auto"/>
                <w:kern w:val="0"/>
                <w:highlight w:val="none"/>
              </w:rPr>
            </w:pPr>
            <w:r>
              <w:rPr>
                <w:color w:val="auto"/>
                <w:sz w:val="24"/>
                <w:szCs w:val="24"/>
              </w:rPr>
              <w:t>本项目产品为</w:t>
            </w:r>
            <w:r>
              <w:rPr>
                <w:rFonts w:hint="eastAsia"/>
                <w:color w:val="auto"/>
                <w:sz w:val="24"/>
                <w:szCs w:val="24"/>
                <w:lang w:val="en-US" w:eastAsia="zh-CN"/>
              </w:rPr>
              <w:t>人造</w:t>
            </w:r>
            <w:r>
              <w:rPr>
                <w:color w:val="auto"/>
                <w:sz w:val="24"/>
                <w:szCs w:val="24"/>
              </w:rPr>
              <w:t>金刚石，属于国民经济行业类别中的</w:t>
            </w:r>
            <w:r>
              <w:rPr>
                <w:rFonts w:ascii="Times New Roman" w:hAnsi="Times New Roman" w:eastAsia="Times New Roman" w:cs="Times New Roman"/>
                <w:color w:val="auto"/>
                <w:sz w:val="24"/>
                <w:szCs w:val="24"/>
              </w:rPr>
              <w:t>C3099</w:t>
            </w:r>
            <w:r>
              <w:rPr>
                <w:color w:val="auto"/>
                <w:sz w:val="24"/>
                <w:szCs w:val="24"/>
              </w:rPr>
              <w:t>其</w:t>
            </w:r>
            <w:r>
              <w:rPr>
                <w:color w:val="auto"/>
                <w:spacing w:val="-6"/>
                <w:sz w:val="24"/>
                <w:szCs w:val="24"/>
              </w:rPr>
              <w:t>他非金属矿物制品制造，对照《产业结构调整指导目录（</w:t>
            </w:r>
            <w:r>
              <w:rPr>
                <w:rFonts w:ascii="Times New Roman" w:hAnsi="Times New Roman" w:eastAsia="Times New Roman" w:cs="Times New Roman"/>
                <w:color w:val="auto"/>
                <w:spacing w:val="-6"/>
                <w:sz w:val="24"/>
                <w:szCs w:val="24"/>
              </w:rPr>
              <w:t>20</w:t>
            </w:r>
            <w:r>
              <w:rPr>
                <w:rFonts w:hint="eastAsia" w:eastAsia="宋体" w:cs="Times New Roman"/>
                <w:color w:val="auto"/>
                <w:spacing w:val="-6"/>
                <w:sz w:val="24"/>
                <w:szCs w:val="24"/>
                <w:lang w:val="en-US" w:eastAsia="zh-CN"/>
              </w:rPr>
              <w:t>24</w:t>
            </w:r>
            <w:r>
              <w:rPr>
                <w:color w:val="auto"/>
                <w:spacing w:val="-6"/>
                <w:sz w:val="24"/>
                <w:szCs w:val="24"/>
              </w:rPr>
              <w:t>年本）》，</w:t>
            </w:r>
            <w:r>
              <w:rPr>
                <w:color w:val="auto"/>
                <w:spacing w:val="-1"/>
                <w:sz w:val="24"/>
                <w:szCs w:val="24"/>
              </w:rPr>
              <w:t>本项目不属于其中的鼓励类、限制类或淘汰类，为允许类。</w:t>
            </w:r>
          </w:p>
          <w:p w14:paraId="0412437A">
            <w:pPr>
              <w:pStyle w:val="42"/>
              <w:spacing w:line="520" w:lineRule="exact"/>
              <w:rPr>
                <w:color w:val="auto"/>
                <w:kern w:val="0"/>
                <w:highlight w:val="none"/>
              </w:rPr>
            </w:pPr>
            <w:r>
              <w:rPr>
                <w:rFonts w:hint="eastAsia"/>
                <w:color w:val="auto"/>
                <w:kern w:val="0"/>
                <w:highlight w:val="none"/>
                <w:lang w:val="en-US" w:eastAsia="zh-CN"/>
              </w:rPr>
              <w:t>本项目</w:t>
            </w:r>
            <w:r>
              <w:rPr>
                <w:color w:val="auto"/>
                <w:spacing w:val="4"/>
                <w:sz w:val="24"/>
                <w:szCs w:val="24"/>
              </w:rPr>
              <w:t>已在</w:t>
            </w:r>
            <w:r>
              <w:rPr>
                <w:rFonts w:ascii="宋体" w:hAnsi="宋体" w:eastAsia="宋体" w:cs="宋体"/>
                <w:color w:val="auto"/>
                <w:sz w:val="24"/>
                <w:szCs w:val="24"/>
              </w:rPr>
              <w:t>木垒县发展和改革委员会备案</w:t>
            </w:r>
            <w:r>
              <w:rPr>
                <w:rFonts w:hint="eastAsia"/>
                <w:color w:val="auto"/>
                <w:kern w:val="0"/>
                <w:highlight w:val="none"/>
                <w:lang w:val="en-US" w:eastAsia="zh-CN"/>
              </w:rPr>
              <w:t>，备案证号2502071971652300000048。</w:t>
            </w:r>
            <w:r>
              <w:rPr>
                <w:color w:val="auto"/>
                <w:kern w:val="0"/>
                <w:highlight w:val="none"/>
              </w:rPr>
              <w:t>因此，本项目符合国家的产业政策。</w:t>
            </w:r>
          </w:p>
          <w:p w14:paraId="68C0901B">
            <w:pPr>
              <w:pStyle w:val="42"/>
              <w:spacing w:line="520" w:lineRule="exact"/>
              <w:rPr>
                <w:rFonts w:hint="eastAsia"/>
                <w:color w:val="auto"/>
                <w:kern w:val="0"/>
                <w:highlight w:val="none"/>
                <w:lang w:eastAsia="zh-CN"/>
              </w:rPr>
            </w:pPr>
            <w:r>
              <w:rPr>
                <w:rFonts w:hint="eastAsia"/>
                <w:color w:val="auto"/>
                <w:kern w:val="0"/>
                <w:highlight w:val="none"/>
                <w:lang w:eastAsia="zh-CN"/>
              </w:rPr>
              <w:t>（</w:t>
            </w:r>
            <w:r>
              <w:rPr>
                <w:rFonts w:hint="eastAsia"/>
                <w:color w:val="auto"/>
                <w:kern w:val="0"/>
                <w:highlight w:val="none"/>
                <w:lang w:val="en-US" w:eastAsia="zh-CN"/>
              </w:rPr>
              <w:t>2</w:t>
            </w:r>
            <w:r>
              <w:rPr>
                <w:rFonts w:hint="eastAsia"/>
                <w:color w:val="auto"/>
                <w:kern w:val="0"/>
                <w:highlight w:val="none"/>
                <w:lang w:eastAsia="zh-CN"/>
              </w:rPr>
              <w:t>）用地符合性分析</w:t>
            </w:r>
          </w:p>
          <w:p w14:paraId="4945B9E4">
            <w:pPr>
              <w:pStyle w:val="42"/>
              <w:spacing w:line="520" w:lineRule="exact"/>
              <w:rPr>
                <w:rFonts w:hint="eastAsia" w:eastAsia="宋体"/>
                <w:color w:val="auto"/>
                <w:kern w:val="0"/>
                <w:highlight w:val="none"/>
                <w:lang w:eastAsia="zh-CN"/>
              </w:rPr>
            </w:pPr>
            <w:r>
              <w:rPr>
                <w:rFonts w:hint="eastAsia"/>
                <w:color w:val="auto"/>
                <w:kern w:val="0"/>
                <w:highlight w:val="none"/>
                <w:lang w:eastAsia="zh-CN"/>
              </w:rPr>
              <w:t>根据</w:t>
            </w:r>
            <w:r>
              <w:rPr>
                <w:rFonts w:hint="eastAsia"/>
                <w:color w:val="auto"/>
                <w:kern w:val="0"/>
                <w:highlight w:val="none"/>
                <w:lang w:val="en-US" w:eastAsia="zh-CN"/>
              </w:rPr>
              <w:t>《自然资源部 国家发展和改革委员会 国家林业和草原局关于印发〈自然资源要素支撑产业高质量发展指导目录（2024年本）〉的通知》（自然资发〔2024〕273号）</w:t>
            </w:r>
            <w:r>
              <w:rPr>
                <w:rFonts w:hint="eastAsia"/>
                <w:color w:val="auto"/>
                <w:kern w:val="0"/>
                <w:highlight w:val="none"/>
                <w:lang w:eastAsia="zh-CN"/>
              </w:rPr>
              <w:t>，本项目不属于限制用地和禁止用地建设项目，根据</w:t>
            </w:r>
            <w:r>
              <w:rPr>
                <w:rFonts w:hint="eastAsia"/>
                <w:color w:val="auto"/>
                <w:kern w:val="0"/>
                <w:highlight w:val="none"/>
              </w:rPr>
              <w:t>《</w:t>
            </w:r>
            <w:r>
              <w:rPr>
                <w:rFonts w:hint="eastAsia"/>
                <w:b w:val="0"/>
                <w:bCs w:val="0"/>
                <w:color w:val="auto"/>
                <w:highlight w:val="none"/>
              </w:rPr>
              <w:t>木垒县民生工业园区总体规划(2014-2030年)</w:t>
            </w:r>
            <w:r>
              <w:rPr>
                <w:rFonts w:hint="eastAsia"/>
                <w:color w:val="auto"/>
                <w:sz w:val="24"/>
                <w:highlight w:val="none"/>
                <w:lang w:eastAsia="zh-CN"/>
              </w:rPr>
              <w:t>》</w:t>
            </w:r>
            <w:r>
              <w:rPr>
                <w:rFonts w:hint="eastAsia"/>
                <w:color w:val="auto"/>
                <w:sz w:val="24"/>
                <w:highlight w:val="none"/>
                <w:lang w:val="en-US" w:eastAsia="zh-CN"/>
              </w:rPr>
              <w:t>中土地利用规划图</w:t>
            </w:r>
            <w:r>
              <w:rPr>
                <w:rFonts w:hint="eastAsia"/>
                <w:color w:val="auto"/>
                <w:kern w:val="0"/>
                <w:highlight w:val="none"/>
                <w:lang w:eastAsia="zh-CN"/>
              </w:rPr>
              <w:t>，项目占地现状为工业用地，符合国家用地要求。</w:t>
            </w:r>
          </w:p>
          <w:p w14:paraId="0BCFD7D0">
            <w:pPr>
              <w:pStyle w:val="42"/>
              <w:spacing w:line="520" w:lineRule="exact"/>
              <w:ind w:firstLine="0" w:firstLineChars="0"/>
              <w:rPr>
                <w:rFonts w:hint="default" w:eastAsia="宋体" w:cs="Times New Roman"/>
                <w:b/>
                <w:bCs/>
                <w:color w:val="auto"/>
                <w:spacing w:val="-3"/>
                <w:sz w:val="24"/>
                <w:szCs w:val="24"/>
                <w:lang w:val="en-US" w:eastAsia="zh-CN"/>
              </w:rPr>
            </w:pPr>
            <w:r>
              <w:rPr>
                <w:rFonts w:hint="eastAsia" w:cs="Times New Roman"/>
                <w:b/>
                <w:bCs/>
                <w:color w:val="auto"/>
                <w:spacing w:val="-3"/>
                <w:sz w:val="24"/>
                <w:szCs w:val="24"/>
                <w:lang w:val="en-US" w:eastAsia="zh-CN"/>
              </w:rPr>
              <w:t>2、与</w:t>
            </w:r>
            <w:r>
              <w:rPr>
                <w:rFonts w:hint="eastAsia" w:ascii="Times New Roman" w:hAnsi="Times New Roman" w:cs="Times New Roman"/>
                <w:b/>
                <w:bCs/>
                <w:caps w:val="0"/>
                <w:color w:val="auto"/>
                <w:kern w:val="0"/>
                <w:sz w:val="24"/>
                <w:szCs w:val="24"/>
                <w:lang w:val="en-US" w:eastAsia="zh-CN" w:bidi="ar-SA"/>
              </w:rPr>
              <w:t>《西部地区鼓励类产业目录（2025 年本）》符合性分析。</w:t>
            </w:r>
          </w:p>
          <w:p w14:paraId="2B92FDB0">
            <w:pPr>
              <w:pStyle w:val="42"/>
              <w:spacing w:line="520" w:lineRule="exact"/>
              <w:ind w:firstLine="480" w:firstLineChars="200"/>
              <w:rPr>
                <w:rFonts w:hint="default" w:eastAsia="宋体" w:cs="Times New Roman"/>
                <w:b w:val="0"/>
                <w:bCs w:val="0"/>
                <w:color w:val="auto"/>
                <w:spacing w:val="-3"/>
                <w:sz w:val="24"/>
                <w:szCs w:val="24"/>
                <w:lang w:val="en-US" w:eastAsia="zh-CN"/>
              </w:rPr>
            </w:pPr>
            <w:r>
              <w:rPr>
                <w:color w:val="auto"/>
                <w:sz w:val="24"/>
                <w:szCs w:val="24"/>
              </w:rPr>
              <w:t>本项目产品为</w:t>
            </w:r>
            <w:r>
              <w:rPr>
                <w:rFonts w:hint="eastAsia"/>
                <w:color w:val="auto"/>
                <w:sz w:val="24"/>
                <w:szCs w:val="24"/>
                <w:lang w:val="en-US" w:eastAsia="zh-CN"/>
              </w:rPr>
              <w:t>人造</w:t>
            </w:r>
            <w:r>
              <w:rPr>
                <w:color w:val="auto"/>
                <w:sz w:val="24"/>
                <w:szCs w:val="24"/>
              </w:rPr>
              <w:t>金刚石，属于国民经济行业类别中的</w:t>
            </w:r>
            <w:r>
              <w:rPr>
                <w:rFonts w:ascii="Times New Roman" w:hAnsi="Times New Roman" w:eastAsia="Times New Roman" w:cs="Times New Roman"/>
                <w:color w:val="auto"/>
                <w:sz w:val="24"/>
                <w:szCs w:val="24"/>
              </w:rPr>
              <w:t>C3099</w:t>
            </w:r>
            <w:r>
              <w:rPr>
                <w:color w:val="auto"/>
                <w:sz w:val="24"/>
                <w:szCs w:val="24"/>
              </w:rPr>
              <w:t>其</w:t>
            </w:r>
            <w:r>
              <w:rPr>
                <w:color w:val="auto"/>
                <w:spacing w:val="-6"/>
                <w:sz w:val="24"/>
                <w:szCs w:val="24"/>
              </w:rPr>
              <w:t>他非金属矿物制品制造，对照</w:t>
            </w:r>
            <w:r>
              <w:rPr>
                <w:rFonts w:hint="eastAsia"/>
                <w:color w:val="auto"/>
                <w:spacing w:val="-6"/>
                <w:sz w:val="24"/>
                <w:szCs w:val="24"/>
                <w:lang w:val="en-US" w:eastAsia="zh-CN"/>
              </w:rPr>
              <w:t>《西部地区鼓励类产业目录（2025 年本）》，根据“二、西部地区新增鼓励类产业：（十）新疆维吾尔自治区（含新疆生产建设兵团）”提到：“26.碳基、硅基、氟基新材料，新型结构陶瓷材料，以及纳米材料、高纯功能性新材料、岩纤维及其制品、气凝胶等高端新功能材料、试剂开发、生产”。本项目采用MPCVD（微波等离子体化学气相沉积法）技术，成品为CVD金刚石，因此属于碳基新材料，属于西部地区鼓励类产业。与《西部地区鼓励类产业目录（2025 年本）》相符。</w:t>
            </w:r>
          </w:p>
          <w:p w14:paraId="5D442917">
            <w:pPr>
              <w:pStyle w:val="7"/>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360" w:lineRule="auto"/>
              <w:ind w:leftChars="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《新疆维吾尔自治区生态环境保护“十四五”规划》符合性分析</w:t>
            </w:r>
          </w:p>
          <w:p w14:paraId="6F6DD866">
            <w:pPr>
              <w:autoSpaceDE w:val="0"/>
              <w:autoSpaceDN w:val="0"/>
              <w:adjustRightInd w:val="0"/>
              <w:snapToGrid w:val="0"/>
              <w:spacing w:line="360" w:lineRule="auto"/>
              <w:ind w:firstLine="480" w:firstLineChars="200"/>
              <w:rPr>
                <w:color w:val="auto"/>
                <w:kern w:val="0"/>
                <w:sz w:val="24"/>
                <w:highlight w:val="none"/>
              </w:rPr>
            </w:pPr>
            <w:r>
              <w:rPr>
                <w:color w:val="auto"/>
                <w:kern w:val="0"/>
                <w:sz w:val="24"/>
                <w:highlight w:val="none"/>
              </w:rPr>
              <w:t>《新疆</w:t>
            </w:r>
            <w:r>
              <w:rPr>
                <w:rFonts w:hint="eastAsia"/>
                <w:color w:val="auto"/>
                <w:kern w:val="0"/>
                <w:sz w:val="24"/>
                <w:highlight w:val="none"/>
                <w:lang w:val="en-US" w:eastAsia="zh-CN"/>
              </w:rPr>
              <w:t>维吾尔自治区</w:t>
            </w:r>
            <w:r>
              <w:rPr>
                <w:color w:val="auto"/>
                <w:kern w:val="0"/>
                <w:sz w:val="24"/>
                <w:highlight w:val="none"/>
              </w:rPr>
              <w:t>生态环境保护“十四五”规划》指出：“实施最严格的生态保护制度。坚决遏制“两高”项目盲目发展，严格执行能源、矿产资源开发自治区人民政府</w:t>
            </w:r>
            <w:r>
              <w:rPr>
                <w:rFonts w:hint="eastAsia"/>
                <w:color w:val="auto"/>
                <w:kern w:val="0"/>
                <w:sz w:val="24"/>
                <w:highlight w:val="none"/>
                <w:lang w:eastAsia="zh-CN"/>
              </w:rPr>
              <w:t>“</w:t>
            </w:r>
            <w:r>
              <w:rPr>
                <w:color w:val="auto"/>
                <w:kern w:val="0"/>
                <w:sz w:val="24"/>
                <w:highlight w:val="none"/>
              </w:rPr>
              <w:t>一支笔</w:t>
            </w:r>
            <w:r>
              <w:rPr>
                <w:rFonts w:hint="eastAsia"/>
                <w:color w:val="auto"/>
                <w:kern w:val="0"/>
                <w:sz w:val="24"/>
                <w:highlight w:val="none"/>
                <w:lang w:eastAsia="zh-CN"/>
              </w:rPr>
              <w:t>”</w:t>
            </w:r>
            <w:r>
              <w:rPr>
                <w:color w:val="auto"/>
                <w:kern w:val="0"/>
                <w:sz w:val="24"/>
                <w:highlight w:val="none"/>
              </w:rPr>
              <w:t>审批制度、环境保护</w:t>
            </w:r>
            <w:r>
              <w:rPr>
                <w:rFonts w:hint="eastAsia"/>
                <w:color w:val="auto"/>
                <w:kern w:val="0"/>
                <w:sz w:val="24"/>
                <w:highlight w:val="none"/>
                <w:lang w:eastAsia="zh-CN"/>
              </w:rPr>
              <w:t>“</w:t>
            </w:r>
            <w:r>
              <w:rPr>
                <w:color w:val="auto"/>
                <w:kern w:val="0"/>
                <w:sz w:val="24"/>
                <w:highlight w:val="none"/>
              </w:rPr>
              <w:t>一票否决</w:t>
            </w:r>
            <w:r>
              <w:rPr>
                <w:rFonts w:hint="eastAsia"/>
                <w:color w:val="auto"/>
                <w:kern w:val="0"/>
                <w:sz w:val="24"/>
                <w:highlight w:val="none"/>
                <w:lang w:eastAsia="zh-CN"/>
              </w:rPr>
              <w:t>”</w:t>
            </w:r>
            <w:r>
              <w:rPr>
                <w:color w:val="auto"/>
                <w:kern w:val="0"/>
                <w:sz w:val="24"/>
                <w:highlight w:val="none"/>
              </w:rPr>
              <w:t>制度，落实“三线一单”生态环境分区管控要求，守住生态保护红线、环境质量底线和资源利用上线，实施生态环境准入清单管控。”</w:t>
            </w:r>
          </w:p>
          <w:p w14:paraId="0FBD876E">
            <w:pPr>
              <w:autoSpaceDE w:val="0"/>
              <w:autoSpaceDN w:val="0"/>
              <w:adjustRightInd w:val="0"/>
              <w:snapToGrid w:val="0"/>
              <w:spacing w:line="360" w:lineRule="auto"/>
              <w:ind w:firstLine="480" w:firstLineChars="200"/>
              <w:rPr>
                <w:color w:val="auto"/>
                <w:kern w:val="0"/>
                <w:sz w:val="24"/>
                <w:highlight w:val="none"/>
              </w:rPr>
            </w:pPr>
            <w:r>
              <w:rPr>
                <w:color w:val="auto"/>
                <w:kern w:val="0"/>
                <w:sz w:val="24"/>
                <w:highlight w:val="none"/>
              </w:rPr>
              <w:t>“推进扬尘精细化管控。全面推行绿色施工，城市建成区建筑工地扬尘防控标准化管理全覆盖；加强城市道路清扫保洁和洒水抑尘，渣土车实施硬覆盖；推进低尘机械化作业水平，控制道路扬尘污染；强化非道路移动源综合治理；充分运用新型、高效的防尘、降尘、除尘技术，加强矿山粉尘治理。”</w:t>
            </w:r>
          </w:p>
          <w:p w14:paraId="21EA535D">
            <w:pPr>
              <w:autoSpaceDE w:val="0"/>
              <w:autoSpaceDN w:val="0"/>
              <w:adjustRightInd w:val="0"/>
              <w:snapToGrid w:val="0"/>
              <w:spacing w:line="360" w:lineRule="auto"/>
              <w:ind w:firstLine="480" w:firstLineChars="200"/>
              <w:rPr>
                <w:color w:val="auto"/>
                <w:kern w:val="0"/>
                <w:sz w:val="24"/>
                <w:highlight w:val="none"/>
              </w:rPr>
            </w:pPr>
            <w:r>
              <w:rPr>
                <w:rFonts w:hint="default" w:ascii="Times New Roman" w:hAnsi="Times New Roman" w:eastAsia="宋体" w:cs="Times New Roman"/>
                <w:color w:val="auto"/>
                <w:sz w:val="24"/>
                <w:szCs w:val="24"/>
                <w:highlight w:val="none"/>
              </w:rPr>
              <w:t>本项目产品为</w:t>
            </w:r>
            <w:r>
              <w:rPr>
                <w:rFonts w:hint="default" w:ascii="Times New Roman" w:hAnsi="Times New Roman" w:eastAsia="宋体" w:cs="Times New Roman"/>
                <w:color w:val="auto"/>
                <w:sz w:val="24"/>
                <w:szCs w:val="24"/>
                <w:highlight w:val="none"/>
                <w:lang w:val="en-US" w:eastAsia="zh-CN"/>
              </w:rPr>
              <w:t>人造金刚石</w:t>
            </w:r>
            <w:r>
              <w:rPr>
                <w:color w:val="auto"/>
                <w:kern w:val="0"/>
                <w:sz w:val="24"/>
                <w:highlight w:val="none"/>
              </w:rPr>
              <w:t>，</w:t>
            </w:r>
            <w:r>
              <w:rPr>
                <w:rFonts w:hint="eastAsia"/>
                <w:color w:val="auto"/>
                <w:kern w:val="0"/>
                <w:sz w:val="24"/>
                <w:highlight w:val="none"/>
              </w:rPr>
              <w:t>属于非金属矿物制品业</w:t>
            </w:r>
            <w:r>
              <w:rPr>
                <w:rFonts w:hint="eastAsia"/>
                <w:color w:val="auto"/>
                <w:kern w:val="0"/>
                <w:sz w:val="24"/>
                <w:highlight w:val="none"/>
                <w:lang w:val="en-US" w:eastAsia="zh-CN"/>
              </w:rPr>
              <w:t>.</w:t>
            </w:r>
            <w:r>
              <w:rPr>
                <w:color w:val="auto"/>
                <w:kern w:val="0"/>
                <w:sz w:val="24"/>
                <w:highlight w:val="none"/>
              </w:rPr>
              <w:t>不属于“两高”项目。本项目位于</w:t>
            </w:r>
            <w:r>
              <w:rPr>
                <w:rFonts w:hint="eastAsia" w:ascii="Times New Roman" w:hAnsi="Times New Roman" w:eastAsia="宋体" w:cs="Times New Roman"/>
                <w:color w:val="auto"/>
                <w:kern w:val="2"/>
                <w:sz w:val="24"/>
                <w:szCs w:val="24"/>
                <w:highlight w:val="none"/>
                <w:lang w:val="en-US" w:eastAsia="zh-CN" w:bidi="zh-CN"/>
              </w:rPr>
              <w:t>新疆</w:t>
            </w:r>
            <w:r>
              <w:rPr>
                <w:rFonts w:hint="eastAsia" w:cs="Times New Roman"/>
                <w:color w:val="auto"/>
                <w:kern w:val="2"/>
                <w:sz w:val="24"/>
                <w:szCs w:val="24"/>
                <w:highlight w:val="none"/>
                <w:lang w:val="en-US" w:eastAsia="zh-CN" w:bidi="zh-CN"/>
              </w:rPr>
              <w:t>昌吉回族自治州昌吉州木垒县民生工业园区</w:t>
            </w:r>
            <w:r>
              <w:rPr>
                <w:color w:val="auto"/>
                <w:kern w:val="0"/>
                <w:sz w:val="24"/>
                <w:highlight w:val="none"/>
              </w:rPr>
              <w:t>，</w:t>
            </w:r>
            <w:r>
              <w:rPr>
                <w:rFonts w:hint="eastAsia"/>
                <w:color w:val="auto"/>
                <w:kern w:val="0"/>
                <w:sz w:val="24"/>
                <w:highlight w:val="none"/>
                <w:lang w:val="en-US" w:eastAsia="zh-CN"/>
              </w:rPr>
              <w:t>不涉及新疆的生态保护红线和昌吉州的生态保护红线</w:t>
            </w:r>
            <w:r>
              <w:rPr>
                <w:color w:val="auto"/>
                <w:kern w:val="0"/>
                <w:sz w:val="24"/>
                <w:highlight w:val="none"/>
              </w:rPr>
              <w:t>，</w:t>
            </w:r>
            <w:r>
              <w:rPr>
                <w:rFonts w:hint="eastAsia"/>
                <w:color w:val="auto"/>
                <w:kern w:val="0"/>
                <w:sz w:val="24"/>
                <w:highlight w:val="none"/>
                <w:lang w:val="en-US" w:eastAsia="zh-CN"/>
              </w:rPr>
              <w:t>符合</w:t>
            </w:r>
            <w:r>
              <w:rPr>
                <w:color w:val="auto"/>
                <w:kern w:val="0"/>
                <w:sz w:val="24"/>
                <w:highlight w:val="none"/>
              </w:rPr>
              <w:t>“三线一单”生态环境分区管控要求。</w:t>
            </w:r>
          </w:p>
          <w:p w14:paraId="6EA0E0A8">
            <w:pPr>
              <w:pStyle w:val="76"/>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ascii="Times New Roman" w:hAnsi="Times New Roman" w:eastAsia="宋体" w:cs="Times New Roman"/>
                <w:b/>
                <w:bCs/>
                <w:color w:val="auto"/>
                <w:spacing w:val="-2"/>
                <w:sz w:val="24"/>
                <w:szCs w:val="24"/>
                <w:lang w:val="en-US" w:eastAsia="zh-CN"/>
              </w:rPr>
              <w:t>4、</w:t>
            </w:r>
            <w:r>
              <w:rPr>
                <w:b/>
                <w:bCs/>
                <w:color w:val="auto"/>
                <w:spacing w:val="-2"/>
                <w:sz w:val="24"/>
                <w:szCs w:val="24"/>
              </w:rPr>
              <w:t>与《新疆维吾尔自治区大气污染防治条例</w:t>
            </w:r>
            <w:r>
              <w:rPr>
                <w:b/>
                <w:bCs/>
                <w:color w:val="auto"/>
                <w:spacing w:val="-3"/>
                <w:sz w:val="24"/>
                <w:szCs w:val="24"/>
              </w:rPr>
              <w:t>》符合性</w:t>
            </w:r>
          </w:p>
          <w:p w14:paraId="2885EB8C">
            <w:pPr>
              <w:autoSpaceDE w:val="0"/>
              <w:autoSpaceDN w:val="0"/>
              <w:adjustRightInd w:val="0"/>
              <w:snapToGrid w:val="0"/>
              <w:spacing w:line="360" w:lineRule="auto"/>
              <w:ind w:firstLine="480" w:firstLineChars="200"/>
              <w:rPr>
                <w:color w:val="auto"/>
                <w:kern w:val="0"/>
                <w:sz w:val="24"/>
                <w:highlight w:val="none"/>
              </w:rPr>
            </w:pPr>
            <w:r>
              <w:rPr>
                <w:color w:val="auto"/>
                <w:kern w:val="0"/>
                <w:sz w:val="24"/>
                <w:highlight w:val="none"/>
              </w:rPr>
              <w:t>根据2018年11月30日新疆维吾尔自治区第十三届人民代表大会常务委员会第七次会议通过的《新疆维吾尔自治区大气污染防治条例》（2019）中“鼓励和支持清洁能源的开发利用，引导企业开展清洁能源替代，减少煤炭生产、使用、转化过程中的大气污染物排放”。</w:t>
            </w:r>
          </w:p>
          <w:p w14:paraId="41B7DD8D">
            <w:pPr>
              <w:autoSpaceDE w:val="0"/>
              <w:autoSpaceDN w:val="0"/>
              <w:adjustRightInd w:val="0"/>
              <w:snapToGrid w:val="0"/>
              <w:spacing w:line="360" w:lineRule="auto"/>
              <w:ind w:firstLine="480" w:firstLineChars="200"/>
              <w:rPr>
                <w:color w:val="auto"/>
                <w:kern w:val="0"/>
                <w:sz w:val="24"/>
                <w:highlight w:val="none"/>
              </w:rPr>
            </w:pPr>
            <w:r>
              <w:rPr>
                <w:color w:val="auto"/>
                <w:kern w:val="0"/>
                <w:sz w:val="24"/>
                <w:highlight w:val="none"/>
              </w:rPr>
              <w:t>本项目生产过程中采用电能，属于清洁能源，符合《新疆维吾尔自治区大气污染防治条例》。</w:t>
            </w:r>
          </w:p>
          <w:p w14:paraId="0757D91D">
            <w:pPr>
              <w:pStyle w:val="42"/>
              <w:spacing w:line="520" w:lineRule="exact"/>
              <w:ind w:firstLine="0" w:firstLineChars="0"/>
              <w:rPr>
                <w:b/>
                <w:bCs/>
                <w:color w:val="auto"/>
                <w:highlight w:val="none"/>
              </w:rPr>
            </w:pPr>
            <w:r>
              <w:rPr>
                <w:rFonts w:hint="eastAsia"/>
                <w:b/>
                <w:bCs/>
                <w:color w:val="auto"/>
                <w:highlight w:val="none"/>
                <w:lang w:val="en-US" w:eastAsia="zh-CN"/>
              </w:rPr>
              <w:t>5、生态环境分区管控要求符合性分析</w:t>
            </w:r>
          </w:p>
          <w:p w14:paraId="5ECCCC8A">
            <w:pPr>
              <w:pStyle w:val="8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w:t>
            </w:r>
            <w:r>
              <w:rPr>
                <w:rFonts w:hint="eastAsia" w:ascii="Times New Roman" w:hAnsi="Times New Roman" w:cs="Times New Roman"/>
                <w:color w:val="auto"/>
                <w:sz w:val="24"/>
                <w:szCs w:val="24"/>
                <w:highlight w:val="none"/>
                <w:lang w:eastAsia="zh-CN"/>
              </w:rPr>
              <w:t>生态环境部</w:t>
            </w:r>
            <w:r>
              <w:rPr>
                <w:rFonts w:hint="default" w:ascii="Times New Roman" w:hAnsi="Times New Roman" w:eastAsia="宋体" w:cs="Times New Roman"/>
                <w:color w:val="auto"/>
                <w:sz w:val="24"/>
                <w:szCs w:val="24"/>
                <w:highlight w:val="none"/>
              </w:rPr>
              <w:t>文《关于以改善环境质量为核心加强环境影响评价管理的通知》（环环评</w:t>
            </w:r>
            <w:r>
              <w:rPr>
                <w:rFonts w:hint="default" w:ascii="Times New Roman" w:hAnsi="Times New Roman" w:eastAsia="宋体" w:cs="Times New Roman"/>
                <w:color w:val="auto"/>
                <w:sz w:val="24"/>
                <w:szCs w:val="24"/>
                <w:highlight w:val="none"/>
                <w:lang w:val="en-US" w:eastAsia="zh-CN"/>
              </w:rPr>
              <w:t>〔20</w:t>
            </w:r>
            <w:r>
              <w:rPr>
                <w:rFonts w:hint="eastAsia" w:ascii="Times New Roman" w:hAnsi="Times New Roman" w:cs="Times New Roman"/>
                <w:color w:val="auto"/>
                <w:sz w:val="24"/>
                <w:szCs w:val="24"/>
                <w:highlight w:val="none"/>
                <w:lang w:val="en-US" w:eastAsia="zh-CN"/>
              </w:rPr>
              <w:t>16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150号），三线一单中的三线是指“生态保护红线、环境质量底线、资源利用上线”，一单是指“环境准入负面清单”。</w:t>
            </w:r>
          </w:p>
          <w:p w14:paraId="327C5582">
            <w:pPr>
              <w:pStyle w:val="13"/>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.1与《</w:t>
            </w:r>
            <w:r>
              <w:rPr>
                <w:rFonts w:hint="default" w:ascii="Times New Roman" w:hAnsi="Times New Roman" w:eastAsia="宋体" w:cs="Times New Roman"/>
                <w:b/>
                <w:bCs/>
                <w:color w:val="auto"/>
                <w:sz w:val="24"/>
                <w:szCs w:val="24"/>
                <w:highlight w:val="none"/>
                <w:lang w:val="en-US" w:eastAsia="zh-CN"/>
              </w:rPr>
              <w:t>新疆维吾尔自治区生态环境分区管控动态更新成果</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（新环环评发〔2024〕157号）</w:t>
            </w:r>
            <w:r>
              <w:rPr>
                <w:rFonts w:hint="default" w:ascii="Times New Roman" w:hAnsi="Times New Roman" w:eastAsia="宋体" w:cs="Times New Roman"/>
                <w:b/>
                <w:bCs/>
                <w:color w:val="auto"/>
                <w:sz w:val="24"/>
                <w:szCs w:val="24"/>
                <w:highlight w:val="none"/>
              </w:rPr>
              <w:t>符合性分析</w:t>
            </w:r>
          </w:p>
          <w:p w14:paraId="218A34EB">
            <w:pPr>
              <w:pStyle w:val="8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新疆维吾尔自治区生态环境分区管控动态更新成果</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（新环环评发〔2024〕157号）</w:t>
            </w:r>
            <w:r>
              <w:rPr>
                <w:rFonts w:hint="default" w:ascii="Times New Roman" w:hAnsi="Times New Roman" w:eastAsia="宋体" w:cs="Times New Roman"/>
                <w:color w:val="auto"/>
                <w:sz w:val="24"/>
                <w:szCs w:val="24"/>
                <w:highlight w:val="none"/>
              </w:rPr>
              <w:t>，按照生态保护红线、环境质量底线、资源利用上线的管控要求，将自治区从生态环境保护角度划分为优先保护单元、重点管控单元、一般管控单元三类环境管控单元。</w:t>
            </w:r>
          </w:p>
          <w:p w14:paraId="1CAC7E29">
            <w:pPr>
              <w:pStyle w:val="8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根据项目建设地点与</w:t>
            </w:r>
            <w:r>
              <w:rPr>
                <w:rFonts w:hint="eastAsia" w:ascii="Times New Roman" w:hAnsi="Times New Roman" w:cs="Times New Roman"/>
                <w:color w:val="auto"/>
                <w:sz w:val="24"/>
                <w:szCs w:val="24"/>
                <w:highlight w:val="none"/>
                <w:lang w:val="en-US" w:eastAsia="zh-CN"/>
              </w:rPr>
              <w:t>最新新疆维吾尔自治区管控要求成果数据</w:t>
            </w:r>
            <w:r>
              <w:rPr>
                <w:rFonts w:hint="default" w:ascii="Times New Roman" w:hAnsi="Times New Roman" w:eastAsia="宋体" w:cs="Times New Roman"/>
                <w:color w:val="auto"/>
                <w:sz w:val="24"/>
                <w:szCs w:val="24"/>
                <w:highlight w:val="none"/>
              </w:rPr>
              <w:t>的核查，本项目属于重点管控单元，重点管控单元要求：要着力优化空间布局，不断提升资源利用效率，有针对性地加强污染物排放管控和环境风险防控，解决生态环境质量不达标、生态环境风险高等问题。</w:t>
            </w:r>
          </w:p>
          <w:p w14:paraId="6F7BE21D">
            <w:pPr>
              <w:pStyle w:val="83"/>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本项目属于</w:t>
            </w:r>
            <w:r>
              <w:rPr>
                <w:rFonts w:hint="eastAsia"/>
                <w:color w:val="auto"/>
                <w:kern w:val="0"/>
                <w:sz w:val="24"/>
                <w:highlight w:val="none"/>
              </w:rPr>
              <w:t>非金属矿物制品业</w:t>
            </w:r>
            <w:r>
              <w:rPr>
                <w:rFonts w:hint="default" w:ascii="Times New Roman" w:hAnsi="Times New Roman" w:eastAsia="宋体" w:cs="Times New Roman"/>
                <w:color w:val="auto"/>
                <w:sz w:val="24"/>
                <w:szCs w:val="24"/>
                <w:highlight w:val="none"/>
              </w:rPr>
              <w:t>，运行期产生的废气均有较好合理的治理措施，废水有合理的去向，对环境影响较小，故本项目符合分区管控的要求。</w:t>
            </w:r>
          </w:p>
          <w:p w14:paraId="57935091">
            <w:pPr>
              <w:keepNext w:val="0"/>
              <w:keepLines w:val="0"/>
              <w:pageBreakBefore w:val="0"/>
              <w:widowControl w:val="0"/>
              <w:tabs>
                <w:tab w:val="left" w:pos="3120"/>
              </w:tabs>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1"/>
                <w:szCs w:val="21"/>
                <w:highlight w:val="none"/>
              </w:rPr>
              <w:t>表1-</w:t>
            </w:r>
            <w:r>
              <w:rPr>
                <w:rFonts w:hint="eastAsia" w:cs="Times New Roman"/>
                <w:b/>
                <w:bCs/>
                <w:color w:val="auto"/>
                <w:sz w:val="21"/>
                <w:szCs w:val="21"/>
                <w:highlight w:val="none"/>
                <w:lang w:val="en-US" w:eastAsia="zh-CN"/>
              </w:rPr>
              <w:t>2《新疆维吾尔自治区生态环境分区管控动态更新成果》</w:t>
            </w:r>
            <w:r>
              <w:rPr>
                <w:rFonts w:hint="default" w:ascii="Times New Roman" w:hAnsi="Times New Roman" w:eastAsia="宋体" w:cs="Times New Roman"/>
                <w:b/>
                <w:bCs/>
                <w:color w:val="auto"/>
                <w:sz w:val="21"/>
                <w:szCs w:val="21"/>
                <w:highlight w:val="none"/>
              </w:rPr>
              <w:t>符合性分析</w:t>
            </w:r>
          </w:p>
          <w:tbl>
            <w:tblPr>
              <w:tblStyle w:val="29"/>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53"/>
              <w:gridCol w:w="4005"/>
              <w:gridCol w:w="3065"/>
            </w:tblGrid>
            <w:tr w14:paraId="3641BB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63" w:type="pct"/>
                  <w:tcBorders>
                    <w:bottom w:val="single" w:color="000000" w:sz="12" w:space="0"/>
                  </w:tcBorders>
                  <w:vAlign w:val="center"/>
                </w:tcPr>
                <w:p w14:paraId="01A20D8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内容</w:t>
                  </w:r>
                </w:p>
              </w:tc>
              <w:tc>
                <w:tcPr>
                  <w:tcW w:w="2626" w:type="pct"/>
                  <w:tcBorders>
                    <w:bottom w:val="single" w:color="000000" w:sz="12" w:space="0"/>
                  </w:tcBorders>
                  <w:vAlign w:val="center"/>
                </w:tcPr>
                <w:p w14:paraId="4543A9E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要求</w:t>
                  </w:r>
                </w:p>
              </w:tc>
              <w:tc>
                <w:tcPr>
                  <w:tcW w:w="2010" w:type="pct"/>
                  <w:tcBorders>
                    <w:bottom w:val="single" w:color="000000" w:sz="12" w:space="0"/>
                  </w:tcBorders>
                  <w:vAlign w:val="center"/>
                </w:tcPr>
                <w:p w14:paraId="557105E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7B7B2F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63" w:type="pct"/>
                  <w:vMerge w:val="restart"/>
                  <w:tcBorders>
                    <w:top w:val="single" w:color="000000" w:sz="12" w:space="0"/>
                    <w:tl2br w:val="nil"/>
                    <w:tr2bl w:val="nil"/>
                  </w:tcBorders>
                  <w:vAlign w:val="center"/>
                </w:tcPr>
                <w:p w14:paraId="77E7551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空间布局约束</w:t>
                  </w:r>
                </w:p>
              </w:tc>
              <w:tc>
                <w:tcPr>
                  <w:tcW w:w="2626" w:type="pct"/>
                  <w:tcBorders>
                    <w:top w:val="single" w:color="000000" w:sz="12" w:space="0"/>
                    <w:bottom w:val="single" w:color="000000" w:sz="4" w:space="0"/>
                    <w:tl2br w:val="nil"/>
                    <w:tr2bl w:val="nil"/>
                  </w:tcBorders>
                  <w:vAlign w:val="center"/>
                </w:tcPr>
                <w:p w14:paraId="2099F32E">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〔A1.1-1〕禁止新建、扩建《产业结构调整指导目录(2024年本)》中淘汰类项目。禁止引入《市场准入负面清单(2022年版)》禁止准入类事项。</w:t>
                  </w:r>
                </w:p>
                <w:p w14:paraId="6349206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〔A1.1-2〕禁止建设不符合国家和自治区环境保护标准的项目。</w:t>
                  </w:r>
                </w:p>
                <w:p w14:paraId="3EAC676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〔A1.1-3〕禁止在饮用水水源保护区、风景名胜区、自然保护区的核心区和缓冲区、城镇居民区、文化教育科学研究区等人口集中区域以及法律、法规规定的其他禁止养殖区域建设畜禽养殖场、养殖小区。</w:t>
                  </w:r>
                </w:p>
                <w:p w14:paraId="016856C3">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〔A1.1-4〕禁止在水源涵养区、地下水源、饮用水源、自然保护区、风景名胜区、森林公园、重要湿地及人群密集区等生态敏感区域内进行煤炭、石油、天然气开发。</w:t>
                  </w:r>
                </w:p>
                <w:p w14:paraId="63E2689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〔A1.1-5〕禁止下列破坏湿地及其生态功能的行为：</w:t>
                  </w:r>
                </w:p>
                <w:p w14:paraId="52EAA4B2">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(一)开(围)垦、排干自然湿地，永久性截断自然湿地水源：</w:t>
                  </w:r>
                </w:p>
                <w:p w14:paraId="09FAF26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(二)擅自填埋自然湿地，擅自采砂、采矿、取土；</w:t>
                  </w:r>
                </w:p>
                <w:p w14:paraId="69448AC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(三)排放不符合水污染物排放标准的工业废水、生活污水及其他污染湿地的废水、污水，倾倒、堆放、丢弃、遗撒固体废物</w:t>
                  </w:r>
                </w:p>
                <w:p w14:paraId="03502F0E">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(四)过度放牧或者滥采野生植物，过度捕捞或者灭绝式捕捞，过度施肥、投药、投放饵料等污染湿地的种植养殖行为；</w:t>
                  </w:r>
                </w:p>
                <w:p w14:paraId="2C550B53">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(五)其他破坏湿地及其生态功能的行为。</w:t>
                  </w:r>
                </w:p>
                <w:p w14:paraId="58A4E77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〔A1.1-6〕禁止在自治区行政区域内引进能(水)耗不符合相关国家标准中准入值要求且污染物排放和环境风险防控不符合国家(地方)标准及有关产业准入条件的高污染(排放)、高能(水)耗、高环境风险的工业项目</w:t>
                  </w:r>
                  <w:r>
                    <w:rPr>
                      <w:rFonts w:hint="eastAsia" w:ascii="Times New Roman" w:hAnsi="Times New Roman" w:cs="Times New Roman"/>
                      <w:color w:val="auto"/>
                      <w:sz w:val="21"/>
                      <w:szCs w:val="21"/>
                      <w:highlight w:val="none"/>
                      <w:lang w:eastAsia="zh-CN"/>
                    </w:rPr>
                    <w:t>。</w:t>
                  </w:r>
                </w:p>
                <w:p w14:paraId="0C3B9E9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p w14:paraId="546FA97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〔A1.1-8〕严格执行危险化学品“禁限控”目录，新建危险化学品生产项目必须进入一般或较低安全风险的化工园区(与其他行业生产装置配套建设的项目除外),引导其他石化化工项目在化工园区发展。</w:t>
                  </w:r>
                </w:p>
                <w:p w14:paraId="74E26C8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1.1-9〕严禁新建自治区《禁止、控制和限制危险化学品目录》中淘汰类、禁止类危险化学品化工项目。严格执行生态保护红线、永久基本农田管控要求，禁止新(改、扩)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w:t>
                  </w:r>
                </w:p>
                <w:p w14:paraId="5A631322">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〔A1.1-10〕推动涉重金属产业集中优化发展，禁止新建用汞的电石法(聚)氯乙烯生产工艺，新建、扩建的重有色金属冶炼、电镀、制革企业优先选择布设在依法合规设立并依法开展规划环境影响评价的产业园区。</w:t>
                  </w:r>
                </w:p>
                <w:p w14:paraId="6D5F689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〔A1.1-11〕国务院有关部门和青藏高原县级以上地方人民政府应当</w:t>
                  </w:r>
                </w:p>
                <w:p w14:paraId="59A2500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建立健全青藏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w:t>
                  </w:r>
                </w:p>
              </w:tc>
              <w:tc>
                <w:tcPr>
                  <w:tcW w:w="2010" w:type="pct"/>
                  <w:tcBorders>
                    <w:top w:val="single" w:color="000000" w:sz="12" w:space="0"/>
                    <w:bottom w:val="single" w:color="000000" w:sz="4" w:space="0"/>
                    <w:tl2br w:val="nil"/>
                    <w:tr2bl w:val="nil"/>
                  </w:tcBorders>
                  <w:vAlign w:val="center"/>
                </w:tcPr>
                <w:p w14:paraId="08C97B9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项目位于</w:t>
                  </w:r>
                  <w:r>
                    <w:rPr>
                      <w:rFonts w:hint="eastAsia" w:ascii="Times New Roman" w:hAnsi="Times New Roman" w:cs="Times New Roman"/>
                      <w:color w:val="auto"/>
                      <w:sz w:val="21"/>
                      <w:szCs w:val="21"/>
                      <w:highlight w:val="none"/>
                      <w:lang w:eastAsia="zh-CN"/>
                    </w:rPr>
                    <w:t>新疆昌吉回族自治州</w:t>
                  </w:r>
                  <w:r>
                    <w:rPr>
                      <w:rFonts w:hint="eastAsia" w:ascii="Times New Roman" w:hAnsi="Times New Roman" w:cs="Times New Roman"/>
                      <w:color w:val="auto"/>
                      <w:sz w:val="21"/>
                      <w:szCs w:val="21"/>
                      <w:highlight w:val="none"/>
                      <w:lang w:val="en-US" w:eastAsia="zh-CN"/>
                    </w:rPr>
                    <w:t>木垒县民生工业园区</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项目不属于</w:t>
                  </w:r>
                  <w:r>
                    <w:rPr>
                      <w:rFonts w:hint="default" w:ascii="Times New Roman" w:hAnsi="Times New Roman" w:eastAsia="宋体" w:cs="Times New Roman"/>
                      <w:color w:val="auto"/>
                      <w:sz w:val="21"/>
                      <w:szCs w:val="21"/>
                      <w:highlight w:val="none"/>
                    </w:rPr>
                    <w:t>《产业结构调整指导目录(2024年本)》中淘汰类项目</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属于允许类。项目附近无</w:t>
                  </w:r>
                  <w:r>
                    <w:rPr>
                      <w:rFonts w:hint="default" w:ascii="Times New Roman" w:hAnsi="Times New Roman" w:eastAsia="宋体" w:cs="Times New Roman"/>
                      <w:color w:val="auto"/>
                      <w:sz w:val="21"/>
                      <w:szCs w:val="21"/>
                      <w:highlight w:val="none"/>
                    </w:rPr>
                    <w:t>饮用水水源保护区、风景名胜区、自然保护区的核心区和缓冲区</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附近无环境敏感区。项目生活污水排入园区污水管网，无生产废水产生。非</w:t>
                  </w:r>
                  <w:r>
                    <w:rPr>
                      <w:rFonts w:hint="eastAsia" w:ascii="Times New Roman" w:hAnsi="Times New Roman" w:cs="Times New Roman"/>
                      <w:color w:val="auto"/>
                      <w:sz w:val="21"/>
                      <w:szCs w:val="21"/>
                      <w:highlight w:val="none"/>
                      <w:lang w:eastAsia="zh-CN"/>
                    </w:rPr>
                    <w:t>高耗能高排放低水平项目。</w:t>
                  </w:r>
                  <w:r>
                    <w:rPr>
                      <w:rFonts w:hint="eastAsia" w:ascii="Times New Roman" w:hAnsi="Times New Roman" w:cs="Times New Roman"/>
                      <w:color w:val="auto"/>
                      <w:sz w:val="21"/>
                      <w:szCs w:val="21"/>
                      <w:highlight w:val="none"/>
                      <w:lang w:val="en-US" w:eastAsia="zh-CN"/>
                    </w:rPr>
                    <w:t>不涉及危险化学品及重金属。不</w:t>
                  </w:r>
                  <w:r>
                    <w:rPr>
                      <w:rFonts w:hint="eastAsia" w:ascii="Times New Roman" w:hAnsi="Times New Roman" w:cs="Times New Roman"/>
                      <w:color w:val="auto"/>
                      <w:sz w:val="21"/>
                      <w:szCs w:val="21"/>
                      <w:highlight w:val="none"/>
                      <w:lang w:eastAsia="zh-CN"/>
                    </w:rPr>
                    <w:t>占用生态保护红线和永久基本农田。</w:t>
                  </w:r>
                </w:p>
                <w:p w14:paraId="5577773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污染物排放和环境风险防控符合国家</w:t>
                  </w:r>
                  <w:r>
                    <w:rPr>
                      <w:rFonts w:hint="eastAsia" w:ascii="Times New Roman" w:hAnsi="Times New Roman" w:cs="Times New Roman"/>
                      <w:color w:val="auto"/>
                      <w:sz w:val="21"/>
                      <w:szCs w:val="21"/>
                      <w:highlight w:val="none"/>
                      <w:lang w:val="en-US" w:eastAsia="zh-CN"/>
                    </w:rPr>
                    <w:t>标准。</w:t>
                  </w:r>
                </w:p>
                <w:p w14:paraId="323B53F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p>
              </w:tc>
            </w:tr>
            <w:tr w14:paraId="2EFE7A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63" w:type="pct"/>
                  <w:vMerge w:val="continue"/>
                  <w:tcBorders>
                    <w:tl2br w:val="nil"/>
                    <w:tr2bl w:val="nil"/>
                  </w:tcBorders>
                  <w:vAlign w:val="center"/>
                </w:tcPr>
                <w:p w14:paraId="41120DA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val="en-US" w:eastAsia="zh-CN"/>
                    </w:rPr>
                  </w:pPr>
                </w:p>
              </w:tc>
              <w:tc>
                <w:tcPr>
                  <w:tcW w:w="2626" w:type="pct"/>
                  <w:tcBorders>
                    <w:top w:val="single" w:color="000000" w:sz="4" w:space="0"/>
                    <w:bottom w:val="single" w:color="000000" w:sz="4" w:space="0"/>
                  </w:tcBorders>
                  <w:vAlign w:val="center"/>
                </w:tcPr>
                <w:p w14:paraId="46164FE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〔A1.2-1〕严格控制缺水地区、水污染严重区域和敏感区域高耗水、高污染行业发展。</w:t>
                  </w:r>
                </w:p>
                <w:p w14:paraId="5FA8C8A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p w14:paraId="2BA605F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〔A1.2-3〕以用途变更为住宅、公共管理与公共服务用地的地块为重点，严格建设用地准入管理和风险管控，未依法完成土壤污染状况调查或风险评估的地块，不得开工建设与风险管控和修复无关的项目。</w:t>
                  </w:r>
                </w:p>
                <w:p w14:paraId="1A03C9F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〔A1.2-4〕严格控制建设项目占用湿地。因国家和自治区重点建设工程、基础设施建设，以及重点公益性项目建设，确需占用湿地的，应当按照有关法律、法规规定的权限和程序办理批准手续。</w:t>
                  </w:r>
                </w:p>
                <w:p w14:paraId="7318980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〔A1.2-5〕严格管控自然保护地范围内非生态活动，稳妥推进核心区内居民、耕地有序退出，矿权依法依规退出。</w:t>
                  </w:r>
                </w:p>
              </w:tc>
              <w:tc>
                <w:tcPr>
                  <w:tcW w:w="2010" w:type="pct"/>
                  <w:tcBorders>
                    <w:top w:val="single" w:color="000000" w:sz="4" w:space="0"/>
                    <w:bottom w:val="single" w:color="000000" w:sz="4" w:space="0"/>
                  </w:tcBorders>
                  <w:vAlign w:val="center"/>
                </w:tcPr>
                <w:p w14:paraId="7EDE9EB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本项目非</w:t>
                  </w:r>
                  <w:r>
                    <w:rPr>
                      <w:rFonts w:hint="eastAsia" w:ascii="Times New Roman" w:hAnsi="Times New Roman" w:cs="Times New Roman"/>
                      <w:color w:val="auto"/>
                      <w:sz w:val="21"/>
                      <w:szCs w:val="21"/>
                      <w:highlight w:val="none"/>
                      <w:lang w:eastAsia="zh-CN"/>
                    </w:rPr>
                    <w:t>高耗水、高污染行业。不占用永久基本农田，</w:t>
                  </w:r>
                  <w:r>
                    <w:rPr>
                      <w:rFonts w:hint="eastAsia" w:ascii="Times New Roman" w:hAnsi="Times New Roman" w:cs="Times New Roman"/>
                      <w:color w:val="auto"/>
                      <w:sz w:val="21"/>
                      <w:szCs w:val="21"/>
                      <w:highlight w:val="none"/>
                      <w:lang w:val="en-US" w:eastAsia="zh-CN"/>
                    </w:rPr>
                    <w:t>不</w:t>
                  </w:r>
                  <w:r>
                    <w:rPr>
                      <w:rFonts w:hint="eastAsia" w:ascii="Times New Roman" w:hAnsi="Times New Roman" w:cs="Times New Roman"/>
                      <w:color w:val="auto"/>
                      <w:sz w:val="21"/>
                      <w:szCs w:val="21"/>
                      <w:highlight w:val="none"/>
                      <w:lang w:eastAsia="zh-CN"/>
                    </w:rPr>
                    <w:t>占用耕地、林地或草地，</w:t>
                  </w:r>
                  <w:r>
                    <w:rPr>
                      <w:rFonts w:hint="eastAsia" w:ascii="Times New Roman" w:hAnsi="Times New Roman" w:cs="Times New Roman"/>
                      <w:color w:val="auto"/>
                      <w:sz w:val="21"/>
                      <w:szCs w:val="21"/>
                      <w:highlight w:val="none"/>
                      <w:lang w:val="en-US" w:eastAsia="zh-CN"/>
                    </w:rPr>
                    <w:t>不占用湿地及</w:t>
                  </w:r>
                  <w:r>
                    <w:rPr>
                      <w:rFonts w:hint="eastAsia" w:ascii="Times New Roman" w:hAnsi="Times New Roman" w:cs="Times New Roman"/>
                      <w:color w:val="auto"/>
                      <w:sz w:val="21"/>
                      <w:szCs w:val="21"/>
                      <w:highlight w:val="none"/>
                      <w:lang w:eastAsia="zh-CN"/>
                    </w:rPr>
                    <w:t>自然保护地。</w:t>
                  </w:r>
                </w:p>
              </w:tc>
            </w:tr>
            <w:tr w14:paraId="46D782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63" w:type="pct"/>
                  <w:vMerge w:val="continue"/>
                  <w:tcBorders>
                    <w:tl2br w:val="nil"/>
                    <w:tr2bl w:val="nil"/>
                  </w:tcBorders>
                  <w:vAlign w:val="center"/>
                </w:tcPr>
                <w:p w14:paraId="1ED0E1D2">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val="en-US" w:eastAsia="zh-CN"/>
                    </w:rPr>
                  </w:pPr>
                </w:p>
              </w:tc>
              <w:tc>
                <w:tcPr>
                  <w:tcW w:w="2626" w:type="pct"/>
                  <w:tcBorders>
                    <w:top w:val="single" w:color="000000" w:sz="4" w:space="0"/>
                    <w:bottom w:val="single" w:color="000000" w:sz="4" w:space="0"/>
                  </w:tcBorders>
                  <w:vAlign w:val="center"/>
                </w:tcPr>
                <w:p w14:paraId="6A8C23B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〔A1.3-1〕任何单位和个人不得在水源涵养区、饮用水水源保护区内和河流、湖泊、水库周围建设重化工、涉重金属等工业污染项目；对已建成的工业污染项目，当地人民政府应当组织限期搬迁。</w:t>
                  </w:r>
                </w:p>
                <w:p w14:paraId="7898CAA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〔A1.3-2〕对不符合国家产业政策、严重污染水环境的生产项目全部予以取缔。</w:t>
                  </w:r>
                </w:p>
                <w:p w14:paraId="373D369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1.3-3〕根据《产业结构调整指导目录》《限期淘汰产生严重污染环境的工业固体废物的落后生产工艺设备名录》等要求，配合有关部门依法淘汰烧结-鼓风炉5炼铅工艺炼铅等涉重金属落后产能和化解过剩产能。严格执行生态环境保护等相关法规标准，推动经整改</w:t>
                  </w:r>
                </w:p>
                <w:p w14:paraId="1270114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仍达不到要求的产能依法依规关闭退出。</w:t>
                  </w:r>
                </w:p>
                <w:p w14:paraId="4E11E28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〔A1.3-4〕城市建成区、重点流域内已建成投产化工企业和危险化学品生产企业应加快退城入园，搬入化工园区前企业不应实施改扩建工程扩大生产规模。</w:t>
                  </w:r>
                </w:p>
              </w:tc>
              <w:tc>
                <w:tcPr>
                  <w:tcW w:w="2010" w:type="pct"/>
                  <w:tcBorders>
                    <w:top w:val="single" w:color="000000" w:sz="4" w:space="0"/>
                    <w:bottom w:val="single" w:color="000000" w:sz="4" w:space="0"/>
                  </w:tcBorders>
                  <w:vAlign w:val="center"/>
                </w:tcPr>
                <w:p w14:paraId="35C67ACE">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本项目周围无</w:t>
                  </w:r>
                  <w:r>
                    <w:rPr>
                      <w:rFonts w:hint="eastAsia" w:ascii="Times New Roman" w:hAnsi="Times New Roman" w:cs="Times New Roman"/>
                      <w:color w:val="auto"/>
                      <w:sz w:val="21"/>
                      <w:szCs w:val="21"/>
                      <w:highlight w:val="none"/>
                      <w:lang w:eastAsia="zh-CN"/>
                    </w:rPr>
                    <w:t>水源涵养区、饮用水水源保护区。</w:t>
                  </w:r>
                  <w:r>
                    <w:rPr>
                      <w:rFonts w:hint="eastAsia" w:ascii="Times New Roman" w:hAnsi="Times New Roman" w:cs="Times New Roman"/>
                      <w:color w:val="auto"/>
                      <w:sz w:val="21"/>
                      <w:szCs w:val="21"/>
                      <w:highlight w:val="none"/>
                      <w:lang w:val="en-US" w:eastAsia="zh-CN"/>
                    </w:rPr>
                    <w:t>符合国家产业政策。符合</w:t>
                  </w:r>
                  <w:r>
                    <w:rPr>
                      <w:rFonts w:hint="eastAsia" w:ascii="Times New Roman" w:hAnsi="Times New Roman" w:cs="Times New Roman"/>
                      <w:color w:val="auto"/>
                      <w:sz w:val="21"/>
                      <w:szCs w:val="21"/>
                      <w:highlight w:val="none"/>
                      <w:lang w:eastAsia="zh-CN"/>
                    </w:rPr>
                    <w:t>《产业结构调整指导目录》。</w:t>
                  </w:r>
                  <w:r>
                    <w:rPr>
                      <w:rFonts w:hint="eastAsia" w:ascii="Times New Roman" w:hAnsi="Times New Roman" w:cs="Times New Roman"/>
                      <w:color w:val="auto"/>
                      <w:sz w:val="21"/>
                      <w:szCs w:val="21"/>
                      <w:highlight w:val="none"/>
                      <w:lang w:val="en-US" w:eastAsia="zh-CN"/>
                    </w:rPr>
                    <w:t>非化工企业，不涉及危险化学品。</w:t>
                  </w:r>
                </w:p>
              </w:tc>
            </w:tr>
            <w:tr w14:paraId="5EB787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63" w:type="pct"/>
                  <w:vMerge w:val="continue"/>
                  <w:tcBorders>
                    <w:tl2br w:val="nil"/>
                    <w:tr2bl w:val="nil"/>
                  </w:tcBorders>
                  <w:vAlign w:val="center"/>
                </w:tcPr>
                <w:p w14:paraId="133185C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val="en-US" w:eastAsia="zh-CN"/>
                    </w:rPr>
                  </w:pPr>
                </w:p>
              </w:tc>
              <w:tc>
                <w:tcPr>
                  <w:tcW w:w="2626" w:type="pct"/>
                  <w:tcBorders>
                    <w:top w:val="single" w:color="000000" w:sz="4" w:space="0"/>
                  </w:tcBorders>
                  <w:vAlign w:val="center"/>
                </w:tcPr>
                <w:p w14:paraId="28EF734D">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p w14:paraId="2A2D3E2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〔A1.4-2〕新建、扩建石化、化工、焦化、有色金属冶炼、平板玻璃项目应布设在依法合规设立并经规划环评的产业园区。</w:t>
                  </w:r>
                </w:p>
                <w:p w14:paraId="3BBB616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2010" w:type="pct"/>
                  <w:tcBorders>
                    <w:top w:val="single" w:color="000000" w:sz="4" w:space="0"/>
                  </w:tcBorders>
                  <w:vAlign w:val="center"/>
                </w:tcPr>
                <w:p w14:paraId="0AD3126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ascii="Times New Roman" w:hAnsi="Times New Roman" w:cs="Times New Roman"/>
                      <w:color w:val="auto"/>
                      <w:sz w:val="21"/>
                      <w:szCs w:val="21"/>
                      <w:highlight w:val="none"/>
                      <w:lang w:eastAsia="zh-CN"/>
                    </w:rPr>
                    <w:t>符合区域或产业规划环评要求，</w:t>
                  </w:r>
                  <w:r>
                    <w:rPr>
                      <w:rFonts w:hint="eastAsia" w:ascii="Times New Roman" w:hAnsi="Times New Roman" w:cs="Times New Roman"/>
                      <w:color w:val="auto"/>
                      <w:sz w:val="21"/>
                      <w:szCs w:val="21"/>
                      <w:highlight w:val="none"/>
                      <w:lang w:val="en-US" w:eastAsia="zh-CN"/>
                    </w:rPr>
                    <w:t>不涉及</w:t>
                  </w:r>
                  <w:r>
                    <w:rPr>
                      <w:rFonts w:hint="eastAsia" w:ascii="Times New Roman" w:hAnsi="Times New Roman" w:cs="Times New Roman"/>
                      <w:color w:val="auto"/>
                      <w:sz w:val="21"/>
                      <w:szCs w:val="21"/>
                      <w:highlight w:val="none"/>
                      <w:lang w:eastAsia="zh-CN"/>
                    </w:rPr>
                    <w:t>石化、化工、焦化、有色金属冶炼、平板玻璃</w:t>
                  </w:r>
                  <w:r>
                    <w:rPr>
                      <w:rFonts w:hint="eastAsia" w:ascii="Times New Roman" w:hAnsi="Times New Roman" w:cs="Times New Roman"/>
                      <w:color w:val="auto"/>
                      <w:sz w:val="21"/>
                      <w:szCs w:val="21"/>
                      <w:highlight w:val="none"/>
                      <w:lang w:val="en-US" w:eastAsia="zh-CN"/>
                    </w:rPr>
                    <w:t>项目。不涉及危险化学品。</w:t>
                  </w:r>
                </w:p>
              </w:tc>
            </w:tr>
            <w:tr w14:paraId="012517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179" w:hRule="atLeast"/>
                <w:jc w:val="center"/>
              </w:trPr>
              <w:tc>
                <w:tcPr>
                  <w:tcW w:w="363" w:type="pct"/>
                  <w:vMerge w:val="restart"/>
                  <w:tcBorders>
                    <w:tl2br w:val="nil"/>
                    <w:tr2bl w:val="nil"/>
                  </w:tcBorders>
                  <w:vAlign w:val="center"/>
                </w:tcPr>
                <w:p w14:paraId="4B59835E">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污染物排放管控</w:t>
                  </w:r>
                </w:p>
              </w:tc>
              <w:tc>
                <w:tcPr>
                  <w:tcW w:w="2626" w:type="pct"/>
                  <w:tcBorders>
                    <w:tl2br w:val="nil"/>
                    <w:tr2bl w:val="nil"/>
                  </w:tcBorders>
                  <w:shd w:val="clear" w:color="auto" w:fill="auto"/>
                  <w:vAlign w:val="center"/>
                </w:tcPr>
                <w:p w14:paraId="5C345DD3">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2.1-1〕新、改、扩建重点行业建设项目应符合“三线一单”、产业政策、区域环评、规划环评和行业环境准入管控要求。重点区域的新、改、扩建重点行业建设项目应遵循重点重金属污染物排放“减量替代”原则。</w:t>
                  </w:r>
                </w:p>
                <w:p w14:paraId="63241729">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〔A2.1-2〕以石化、化工、涂装、医药、包装印刷、油品储运销等行业领域为重点，安全高效推进挥发性有机物综合治理，实施原辅材料和产品源头替代工程。</w:t>
                  </w:r>
                </w:p>
                <w:p w14:paraId="30BD0F50">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〔A1.2-3〕以用途变更为住宅、公共管理与公共服务用地的地块为重点，严格建设用地准入管理和风险管控，未依法完成土壤污染状况调查或风险评估的地块，不得开工建设与风险管控和修复无关的项目。</w:t>
                  </w:r>
                </w:p>
                <w:p w14:paraId="2EA70426">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2.1-4〕严控建材、铸造、冶炼等行业无组织排放，推进石化、化工、涂装、医药、包装印刷、油品储运销等行业项目挥发性有机物(VOCs)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2010" w:type="pct"/>
                  <w:tcBorders>
                    <w:tl2br w:val="nil"/>
                    <w:tr2bl w:val="nil"/>
                  </w:tcBorders>
                  <w:vAlign w:val="center"/>
                </w:tcPr>
                <w:p w14:paraId="1E1ACC86">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ascii="Times New Roman" w:hAnsi="Times New Roman" w:eastAsia="宋体" w:cs="Times New Roman"/>
                      <w:b w:val="0"/>
                      <w:bCs w:val="0"/>
                      <w:color w:val="auto"/>
                      <w:sz w:val="21"/>
                      <w:szCs w:val="21"/>
                      <w:highlight w:val="none"/>
                    </w:rPr>
                  </w:pPr>
                  <w:r>
                    <w:rPr>
                      <w:rFonts w:hint="eastAsia" w:cs="Times New Roman"/>
                      <w:b w:val="0"/>
                      <w:bCs w:val="0"/>
                      <w:color w:val="auto"/>
                      <w:szCs w:val="21"/>
                      <w:highlight w:val="none"/>
                      <w:lang w:val="en-US" w:eastAsia="zh-CN"/>
                    </w:rPr>
                    <w:t>本项目</w:t>
                  </w:r>
                  <w:r>
                    <w:rPr>
                      <w:rFonts w:hint="default" w:cs="Times New Roman"/>
                      <w:b w:val="0"/>
                      <w:bCs w:val="0"/>
                      <w:color w:val="auto"/>
                      <w:szCs w:val="21"/>
                      <w:highlight w:val="none"/>
                      <w:lang w:val="en-US" w:eastAsia="zh-CN"/>
                    </w:rPr>
                    <w:t>符合</w:t>
                  </w:r>
                  <w:r>
                    <w:rPr>
                      <w:rFonts w:hint="eastAsia" w:cs="Times New Roman"/>
                      <w:b w:val="0"/>
                      <w:bCs w:val="0"/>
                      <w:color w:val="auto"/>
                      <w:szCs w:val="21"/>
                      <w:highlight w:val="none"/>
                      <w:lang w:val="en-US" w:eastAsia="zh-CN"/>
                    </w:rPr>
                    <w:t>昌吉州</w:t>
                  </w:r>
                  <w:r>
                    <w:rPr>
                      <w:rFonts w:hint="default" w:cs="Times New Roman"/>
                      <w:b w:val="0"/>
                      <w:bCs w:val="0"/>
                      <w:color w:val="auto"/>
                      <w:szCs w:val="21"/>
                      <w:highlight w:val="none"/>
                      <w:lang w:val="en-US" w:eastAsia="zh-CN"/>
                    </w:rPr>
                    <w:t>“三线一单”</w:t>
                  </w:r>
                  <w:r>
                    <w:rPr>
                      <w:rFonts w:hint="eastAsia" w:cs="Times New Roman"/>
                      <w:b w:val="0"/>
                      <w:bCs w:val="0"/>
                      <w:color w:val="auto"/>
                      <w:szCs w:val="21"/>
                      <w:highlight w:val="none"/>
                      <w:lang w:val="en-US" w:eastAsia="zh-CN"/>
                    </w:rPr>
                    <w:t>，无重点</w:t>
                  </w:r>
                  <w:r>
                    <w:rPr>
                      <w:rFonts w:hint="default" w:cs="Times New Roman"/>
                      <w:b w:val="0"/>
                      <w:bCs w:val="0"/>
                      <w:color w:val="auto"/>
                      <w:szCs w:val="21"/>
                      <w:highlight w:val="none"/>
                      <w:lang w:val="en-US" w:eastAsia="zh-CN"/>
                    </w:rPr>
                    <w:t>重金属污染物</w:t>
                  </w:r>
                  <w:r>
                    <w:rPr>
                      <w:rFonts w:hint="eastAsia" w:cs="Times New Roman"/>
                      <w:b w:val="0"/>
                      <w:bCs w:val="0"/>
                      <w:color w:val="auto"/>
                      <w:szCs w:val="21"/>
                      <w:highlight w:val="none"/>
                      <w:lang w:val="en-US" w:eastAsia="zh-CN"/>
                    </w:rPr>
                    <w:t>及</w:t>
                  </w:r>
                  <w:r>
                    <w:rPr>
                      <w:rFonts w:hint="default" w:cs="Times New Roman"/>
                      <w:b w:val="0"/>
                      <w:bCs w:val="0"/>
                      <w:color w:val="auto"/>
                      <w:szCs w:val="21"/>
                      <w:highlight w:val="none"/>
                      <w:lang w:val="en-US" w:eastAsia="zh-CN"/>
                    </w:rPr>
                    <w:t>挥发性有机物</w:t>
                  </w:r>
                  <w:r>
                    <w:rPr>
                      <w:rFonts w:hint="eastAsia" w:cs="Times New Roman"/>
                      <w:b w:val="0"/>
                      <w:bCs w:val="0"/>
                      <w:color w:val="auto"/>
                      <w:szCs w:val="21"/>
                      <w:highlight w:val="none"/>
                      <w:lang w:val="en-US" w:eastAsia="zh-CN"/>
                    </w:rPr>
                    <w:t>产生。不涉及</w:t>
                  </w:r>
                  <w:r>
                    <w:rPr>
                      <w:rFonts w:hint="default" w:cs="Times New Roman"/>
                      <w:b w:val="0"/>
                      <w:bCs w:val="0"/>
                      <w:color w:val="auto"/>
                      <w:szCs w:val="21"/>
                      <w:highlight w:val="none"/>
                      <w:lang w:val="en-US" w:eastAsia="zh-CN"/>
                    </w:rPr>
                    <w:t>建材、铸造、冶炼等行业</w:t>
                  </w:r>
                  <w:r>
                    <w:rPr>
                      <w:rFonts w:hint="eastAsia" w:cs="Times New Roman"/>
                      <w:b w:val="0"/>
                      <w:bCs w:val="0"/>
                      <w:color w:val="auto"/>
                      <w:szCs w:val="21"/>
                      <w:highlight w:val="none"/>
                      <w:lang w:val="en-US" w:eastAsia="zh-CN"/>
                    </w:rPr>
                    <w:t>和</w:t>
                  </w:r>
                  <w:r>
                    <w:rPr>
                      <w:rFonts w:hint="default" w:cs="Times New Roman"/>
                      <w:b w:val="0"/>
                      <w:bCs w:val="0"/>
                      <w:color w:val="auto"/>
                      <w:szCs w:val="21"/>
                      <w:highlight w:val="none"/>
                      <w:lang w:val="en-US" w:eastAsia="zh-CN"/>
                    </w:rPr>
                    <w:t>石化、化工、涂装、医药、包装印刷、油品储运销等行业</w:t>
                  </w:r>
                  <w:r>
                    <w:rPr>
                      <w:rFonts w:hint="eastAsia" w:cs="Times New Roman"/>
                      <w:b w:val="0"/>
                      <w:bCs w:val="0"/>
                      <w:color w:val="auto"/>
                      <w:szCs w:val="21"/>
                      <w:highlight w:val="none"/>
                      <w:lang w:val="en-US" w:eastAsia="zh-CN"/>
                    </w:rPr>
                    <w:t>。</w:t>
                  </w:r>
                </w:p>
              </w:tc>
            </w:tr>
            <w:tr w14:paraId="1A46C6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179" w:hRule="atLeast"/>
                <w:jc w:val="center"/>
              </w:trPr>
              <w:tc>
                <w:tcPr>
                  <w:tcW w:w="363" w:type="pct"/>
                  <w:vMerge w:val="continue"/>
                  <w:tcBorders>
                    <w:tl2br w:val="nil"/>
                    <w:tr2bl w:val="nil"/>
                  </w:tcBorders>
                  <w:vAlign w:val="center"/>
                </w:tcPr>
                <w:p w14:paraId="1804123E">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color w:val="auto"/>
                    </w:rPr>
                  </w:pPr>
                </w:p>
              </w:tc>
              <w:tc>
                <w:tcPr>
                  <w:tcW w:w="2626" w:type="pct"/>
                  <w:tcBorders>
                    <w:tl2br w:val="nil"/>
                    <w:tr2bl w:val="nil"/>
                  </w:tcBorders>
                  <w:shd w:val="clear" w:color="auto" w:fill="auto"/>
                  <w:vAlign w:val="center"/>
                </w:tcPr>
                <w:p w14:paraId="06050617">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p w14:paraId="53CDA85C">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p w14:paraId="34E04283">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大宗货物“公转铁”)、柴油货车治理、锅炉炉窑综合治理等工程项目。全面推行绿色施工，持续推动城市建成区重污染企业搬迁或关闭退出。</w:t>
                  </w:r>
                </w:p>
                <w:p w14:paraId="69F0B070">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〔A2.2-4〕强化用水定额管理。推进地下水超采综合治理。开展河湖生态流量(水量)确定工作，强化生态用水保障。</w:t>
                  </w:r>
                </w:p>
                <w:p w14:paraId="4874E8F1">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p w14:paraId="7E71747F">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p w14:paraId="0C9EBABB">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-7〕强化重点区域地下水环境风险管控，对化学品生产企业、工业集聚区、尾矿库、矿山开采区、危险废物处置场、垃圾填埋场等地下水污染源及周边区域，逐步开展地下水环境状况调查评估，加强风险管控。</w:t>
                  </w:r>
                </w:p>
                <w:p w14:paraId="60749787">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〔A2.2-8〕严控土壤重金属污染，加强油(气)田开发土壤污染防治，以历史遗留工业企业污染场地为重点，开展土壤污染风险管控与修复工程。</w:t>
                  </w:r>
                </w:p>
                <w:p w14:paraId="7DD7E3A6">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default" w:cs="Times New Roman"/>
                      <w:b w:val="0"/>
                      <w:bCs w:val="0"/>
                      <w:color w:val="auto"/>
                      <w:szCs w:val="21"/>
                      <w:highlight w:val="none"/>
                      <w:lang w:val="en-US" w:eastAsia="zh-CN"/>
                    </w:rPr>
                    <w:t>〔A2.2-9〕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2010" w:type="pct"/>
                  <w:tcBorders>
                    <w:tl2br w:val="nil"/>
                    <w:tr2bl w:val="nil"/>
                  </w:tcBorders>
                  <w:vAlign w:val="center"/>
                </w:tcPr>
                <w:p w14:paraId="423AB79B">
                  <w:pPr>
                    <w:pStyle w:val="70"/>
                    <w:keepNext w:val="0"/>
                    <w:keepLines w:val="0"/>
                    <w:pageBreakBefore w:val="0"/>
                    <w:widowControl w:val="0"/>
                    <w:kinsoku/>
                    <w:wordWrap/>
                    <w:overflowPunct/>
                    <w:topLinePunct w:val="0"/>
                    <w:autoSpaceDE/>
                    <w:autoSpaceDN/>
                    <w:bidi w:val="0"/>
                    <w:spacing w:beforeLines="0" w:afterLines="0"/>
                    <w:ind w:left="0" w:leftChars="0" w:firstLine="0" w:firstLineChars="0"/>
                    <w:jc w:val="left"/>
                    <w:textAlignment w:val="auto"/>
                    <w:rPr>
                      <w:rFonts w:hint="default"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本项目不产生</w:t>
                  </w:r>
                  <w:r>
                    <w:rPr>
                      <w:rFonts w:hint="default" w:cs="Times New Roman"/>
                      <w:b w:val="0"/>
                      <w:bCs w:val="0"/>
                      <w:color w:val="auto"/>
                      <w:szCs w:val="21"/>
                      <w:highlight w:val="none"/>
                      <w:lang w:val="en-US" w:eastAsia="zh-CN"/>
                    </w:rPr>
                    <w:t>氮氧化物等污染物</w:t>
                  </w:r>
                  <w:r>
                    <w:rPr>
                      <w:rFonts w:hint="eastAsia" w:cs="Times New Roman"/>
                      <w:b w:val="0"/>
                      <w:bCs w:val="0"/>
                      <w:color w:val="auto"/>
                      <w:szCs w:val="21"/>
                      <w:highlight w:val="none"/>
                      <w:lang w:val="en-US" w:eastAsia="zh-CN"/>
                    </w:rPr>
                    <w:t>，项目不在重点区域。项目不开采地下水，无生产废水产生，生活污水排入园区污水管网，不会影响地表水及地下水。</w:t>
                  </w:r>
                </w:p>
              </w:tc>
            </w:tr>
            <w:tr w14:paraId="216E57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83" w:hRule="atLeast"/>
                <w:jc w:val="center"/>
              </w:trPr>
              <w:tc>
                <w:tcPr>
                  <w:tcW w:w="363" w:type="pct"/>
                  <w:vMerge w:val="restart"/>
                  <w:tcBorders>
                    <w:tl2br w:val="nil"/>
                    <w:tr2bl w:val="nil"/>
                  </w:tcBorders>
                  <w:vAlign w:val="center"/>
                </w:tcPr>
                <w:p w14:paraId="3DDC75E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环境风险防控</w:t>
                  </w:r>
                </w:p>
              </w:tc>
              <w:tc>
                <w:tcPr>
                  <w:tcW w:w="2626" w:type="pct"/>
                  <w:tcBorders>
                    <w:tl2br w:val="nil"/>
                    <w:tr2bl w:val="nil"/>
                  </w:tcBorders>
                  <w:vAlign w:val="center"/>
                </w:tcPr>
                <w:p w14:paraId="43E2CDE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〔A3.1-1〕建立和完善重污染天气兵地联合应急预案、预报预警应急机制和会商联动机制。“乌一昌一石”区域内可能影响相邻行政区域大气环境的项目，兵地间、城市间必须相互征求意见。</w:t>
                  </w:r>
                </w:p>
                <w:p w14:paraId="2231390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3.1-2〕对跨国境河流、涉及县级及以上集中式饮用水水源地的河流、其他重要环境敏感目标的河流，建立健全流域上下游突发水污染事件联防联动机制，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p>
                <w:p w14:paraId="507BC6E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〔A3.1-3〕强化重污染天气监测预报预警能力，建立和完善重污染天气兵地联合应急预案、预警应急机制和会商联动机制，加强轻、中度污染天气管控。</w:t>
                  </w:r>
                </w:p>
              </w:tc>
              <w:tc>
                <w:tcPr>
                  <w:tcW w:w="2010" w:type="pct"/>
                  <w:tcBorders>
                    <w:tl2br w:val="nil"/>
                    <w:tr2bl w:val="nil"/>
                  </w:tcBorders>
                  <w:vAlign w:val="center"/>
                </w:tcPr>
                <w:p w14:paraId="33C8116D">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本项目不位于“</w:t>
                  </w:r>
                  <w:r>
                    <w:rPr>
                      <w:rFonts w:hint="default" w:ascii="Times New Roman" w:hAnsi="Times New Roman" w:eastAsia="宋体" w:cs="Times New Roman"/>
                      <w:color w:val="auto"/>
                      <w:sz w:val="21"/>
                      <w:szCs w:val="21"/>
                      <w:highlight w:val="none"/>
                    </w:rPr>
                    <w:t>乌一昌一石</w:t>
                  </w:r>
                  <w:r>
                    <w:rPr>
                      <w:rFonts w:hint="eastAsia" w:ascii="Times New Roman" w:hAnsi="Times New Roman" w:cs="Times New Roman"/>
                      <w:color w:val="auto"/>
                      <w:sz w:val="21"/>
                      <w:szCs w:val="21"/>
                      <w:highlight w:val="none"/>
                      <w:lang w:val="en-US" w:eastAsia="zh-CN"/>
                    </w:rPr>
                    <w:t>”区域，不涉及</w:t>
                  </w:r>
                  <w:r>
                    <w:rPr>
                      <w:rFonts w:hint="default" w:ascii="Times New Roman" w:hAnsi="Times New Roman" w:eastAsia="宋体" w:cs="Times New Roman"/>
                      <w:color w:val="auto"/>
                      <w:sz w:val="21"/>
                      <w:szCs w:val="21"/>
                      <w:highlight w:val="none"/>
                    </w:rPr>
                    <w:t>集中式饮用水水源地的河流、其他重要环境敏感目标的河流</w:t>
                  </w:r>
                  <w:r>
                    <w:rPr>
                      <w:rFonts w:hint="eastAsia" w:ascii="Times New Roman" w:hAnsi="Times New Roman" w:cs="Times New Roman"/>
                      <w:color w:val="auto"/>
                      <w:sz w:val="21"/>
                      <w:szCs w:val="21"/>
                      <w:highlight w:val="none"/>
                      <w:lang w:eastAsia="zh-CN"/>
                    </w:rPr>
                    <w:t>。</w:t>
                  </w:r>
                </w:p>
              </w:tc>
            </w:tr>
            <w:tr w14:paraId="0351E4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83" w:hRule="atLeast"/>
                <w:jc w:val="center"/>
              </w:trPr>
              <w:tc>
                <w:tcPr>
                  <w:tcW w:w="363" w:type="pct"/>
                  <w:vMerge w:val="continue"/>
                  <w:tcBorders>
                    <w:tl2br w:val="nil"/>
                    <w:tr2bl w:val="nil"/>
                  </w:tcBorders>
                  <w:vAlign w:val="center"/>
                </w:tcPr>
                <w:p w14:paraId="3F1ED9B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color w:val="auto"/>
                    </w:rPr>
                  </w:pPr>
                </w:p>
              </w:tc>
              <w:tc>
                <w:tcPr>
                  <w:tcW w:w="2626" w:type="pct"/>
                  <w:tcBorders>
                    <w:tl2br w:val="nil"/>
                    <w:tr2bl w:val="nil"/>
                  </w:tcBorders>
                  <w:vAlign w:val="center"/>
                </w:tcPr>
                <w:p w14:paraId="5956E5E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-1〕提升饮用水安全保障水平。以县级及以上集中式饮用水水源地为重点，推进饮用水水源保护区规范化建设，统筹推进备用水源或应急水源建设。单一水源供水的重点城市于2025年底前基本完成备用水源或应急水源建设，有条件的地区开展兵地互为备用水源建设。梯次推进农村集中式饮用水水源保护区划定，到2025年，完成乡镇级集中式饮用水水源保护区划定与勘界立标。开展“千吨万人”农村饮用水水源保护区环境风险排查整治，加强农村水源水质监测，依法清理饮用水水源保护区内违法建筑和排污口，实施从水源到水龙头全过程监管。强化饮用水水源保护区环境应急管理，完善重大突发环境事件的物资和技术储备。针对汇水区、补给区存在兵地跨界的，建立统一的饮用水水源应急和执法机制，共享应急物资。</w:t>
                  </w:r>
                </w:p>
                <w:p w14:paraId="1010FF2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〔A3.2-2〕依法推行农用地分类管理制度，强化受污染耕地安全利用和风险管控。因地制宜制定实施安全利用方案，鼓励采取种植结构调整等措施，确保受污染耕地全部实现安全利用。</w:t>
                  </w:r>
                </w:p>
                <w:p w14:paraId="57028B66">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污)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p w14:paraId="3C71A4E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p w14:paraId="7DDF932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p w14:paraId="5165CB3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3.2-6〕强化兵地联防联控联治，落实兵地统一规划、统一政策、统一标准、统一要求、统一推进的防治管理措施，完善重大项目环境影响评价区域会商、重污染天气兵地联合应急联动机制。建立兵地生态环境联合执法和联合监测长效机制。</w:t>
                  </w:r>
                </w:p>
              </w:tc>
              <w:tc>
                <w:tcPr>
                  <w:tcW w:w="2010" w:type="pct"/>
                  <w:tcBorders>
                    <w:tl2br w:val="nil"/>
                    <w:tr2bl w:val="nil"/>
                  </w:tcBorders>
                  <w:vAlign w:val="center"/>
                </w:tcPr>
                <w:p w14:paraId="437BC8B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本项目要求应依法编写环境事件应急预案、排污许可申报、进行竣工环境保护验收，将于项目建设完成后启动。</w:t>
                  </w:r>
                </w:p>
                <w:p w14:paraId="34E9EC2D">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p>
              </w:tc>
            </w:tr>
            <w:tr w14:paraId="514F40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363" w:type="pct"/>
                  <w:vMerge w:val="restart"/>
                  <w:tcBorders>
                    <w:tl2br w:val="nil"/>
                    <w:tr2bl w:val="nil"/>
                  </w:tcBorders>
                  <w:vAlign w:val="center"/>
                </w:tcPr>
                <w:p w14:paraId="0F9FC53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资源开发效率要求</w:t>
                  </w:r>
                </w:p>
              </w:tc>
              <w:tc>
                <w:tcPr>
                  <w:tcW w:w="2626" w:type="pct"/>
                  <w:tcBorders>
                    <w:tl2br w:val="nil"/>
                    <w:tr2bl w:val="nil"/>
                  </w:tcBorders>
                  <w:vAlign w:val="center"/>
                </w:tcPr>
                <w:p w14:paraId="58E5C7B3">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〔A4.1-1〕自治区用水总量2025年、2030年控制在国家下达的指标内。</w:t>
                  </w:r>
                </w:p>
                <w:p w14:paraId="52860E9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〔A4.1-2〕加大城镇污水再生利用工程建设力度，推进区域再生水循环利用，到2025年，城市生活污水再生利用率力争达到60%。</w:t>
                  </w:r>
                </w:p>
                <w:p w14:paraId="4615D78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〔A4.1-3〕加强农村水利基础设施建设，推进农村供水保障工程，农村自来水普及率、集中供水率分别达到99.3%、99.7%。</w:t>
                  </w:r>
                </w:p>
                <w:p w14:paraId="358A431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[A4.1-4]地下水资源利用实行总量控制和水位控制。取用地下水资源，应当按照国家和自治区有关规定申请取水许可。地下水利用应当以浅层地下水为主。</w:t>
                  </w:r>
                </w:p>
              </w:tc>
              <w:tc>
                <w:tcPr>
                  <w:tcW w:w="2010" w:type="pct"/>
                  <w:tcBorders>
                    <w:tl2br w:val="nil"/>
                    <w:tr2bl w:val="nil"/>
                  </w:tcBorders>
                  <w:vAlign w:val="center"/>
                </w:tcPr>
                <w:p w14:paraId="09DEF03C">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本项目无生产废水产生，生活污水排入园区污水管网。本项目周围无敏感水源，对地表水、地下水均不产生影响。</w:t>
                  </w:r>
                </w:p>
              </w:tc>
            </w:tr>
            <w:tr w14:paraId="22462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363" w:type="pct"/>
                  <w:vMerge w:val="continue"/>
                  <w:tcBorders>
                    <w:tl2br w:val="nil"/>
                    <w:tr2bl w:val="nil"/>
                  </w:tcBorders>
                  <w:vAlign w:val="center"/>
                </w:tcPr>
                <w:p w14:paraId="71C50D6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color w:val="auto"/>
                    </w:rPr>
                  </w:pPr>
                </w:p>
              </w:tc>
              <w:tc>
                <w:tcPr>
                  <w:tcW w:w="2626" w:type="pct"/>
                  <w:tcBorders>
                    <w:tl2br w:val="nil"/>
                    <w:tr2bl w:val="nil"/>
                  </w:tcBorders>
                  <w:vAlign w:val="center"/>
                </w:tcPr>
                <w:p w14:paraId="46835D9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〔A4.2-1〕土地资源上线指标控制在最终批复的国土空间规划控制指标内。</w:t>
                  </w:r>
                </w:p>
              </w:tc>
              <w:tc>
                <w:tcPr>
                  <w:tcW w:w="2010" w:type="pct"/>
                  <w:tcBorders>
                    <w:tl2br w:val="nil"/>
                    <w:tr2bl w:val="nil"/>
                  </w:tcBorders>
                  <w:vAlign w:val="center"/>
                </w:tcPr>
                <w:p w14:paraId="1A85E1B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本项目用地属于工业用地，符合木垒民生工业园区总体规划。</w:t>
                  </w:r>
                </w:p>
              </w:tc>
            </w:tr>
            <w:tr w14:paraId="18D2F5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363" w:type="pct"/>
                  <w:vMerge w:val="continue"/>
                  <w:tcBorders>
                    <w:tl2br w:val="nil"/>
                    <w:tr2bl w:val="nil"/>
                  </w:tcBorders>
                  <w:vAlign w:val="center"/>
                </w:tcPr>
                <w:p w14:paraId="3FFF475B">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p>
              </w:tc>
              <w:tc>
                <w:tcPr>
                  <w:tcW w:w="2626" w:type="pct"/>
                  <w:tcBorders>
                    <w:tl2br w:val="nil"/>
                    <w:tr2bl w:val="nil"/>
                  </w:tcBorders>
                  <w:vAlign w:val="center"/>
                </w:tcPr>
                <w:p w14:paraId="01EC27B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〔A4.3-1〕单位地区生产总值二氧化碳排放降低水平完成国家下达指标。</w:t>
                  </w:r>
                </w:p>
                <w:p w14:paraId="074006A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〔A4.3-2〕到2025年，自治区万元国内生产总值能耗比2020年下降14.5%。</w:t>
                  </w:r>
                </w:p>
                <w:p w14:paraId="37C1B3E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〔A4.3-3〕到2025年，非化石能源占一次能源消费比重达18%以上。</w:t>
                  </w:r>
                </w:p>
                <w:p w14:paraId="22AEEEB3">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〔A4.3-4〕鼓励使用清洁能源或电厂热力、工业余热等替代锅炉、炉窑燃料用煤。</w:t>
                  </w:r>
                </w:p>
                <w:p w14:paraId="74274B6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〔A4.3-5〕以碳达峰碳中和工作为引领，着力提高能源资源利用效率。引导重点行业深入实施清洁生产改造，钢铁、建材、石油化工等重点行业以及其他行业重点用能单位持续开展节能降耗。</w:t>
                  </w:r>
                </w:p>
                <w:p w14:paraId="474C2D64">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〔A4.3-6〕深入推进碳达峰碳中和行动。推动能源清洁低碳转型，加强能耗“双控”管理，优化能源消费结构。新增原料用能不纳入能源消费总量控制。持续推进散煤整治。</w:t>
                  </w:r>
                </w:p>
              </w:tc>
              <w:tc>
                <w:tcPr>
                  <w:tcW w:w="2010" w:type="pct"/>
                  <w:tcBorders>
                    <w:tl2br w:val="nil"/>
                    <w:tr2bl w:val="nil"/>
                  </w:tcBorders>
                  <w:vAlign w:val="center"/>
                </w:tcPr>
                <w:p w14:paraId="3A1514A1">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本项目不产生二氧化碳，不使用</w:t>
                  </w:r>
                  <w:r>
                    <w:rPr>
                      <w:rFonts w:hint="eastAsia" w:ascii="Times New Roman" w:hAnsi="Times New Roman" w:cs="Times New Roman"/>
                      <w:color w:val="auto"/>
                      <w:sz w:val="21"/>
                      <w:szCs w:val="21"/>
                      <w:highlight w:val="none"/>
                      <w:lang w:eastAsia="zh-CN"/>
                    </w:rPr>
                    <w:t>锅炉、炉窑。</w:t>
                  </w:r>
                </w:p>
              </w:tc>
            </w:tr>
            <w:tr w14:paraId="0DA256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363" w:type="pct"/>
                  <w:vMerge w:val="continue"/>
                  <w:tcBorders>
                    <w:tl2br w:val="nil"/>
                    <w:tr2bl w:val="nil"/>
                  </w:tcBorders>
                  <w:vAlign w:val="center"/>
                </w:tcPr>
                <w:p w14:paraId="34954D0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p>
              </w:tc>
              <w:tc>
                <w:tcPr>
                  <w:tcW w:w="2626" w:type="pct"/>
                  <w:tcBorders>
                    <w:tl2br w:val="nil"/>
                    <w:tr2bl w:val="nil"/>
                  </w:tcBorders>
                  <w:vAlign w:val="center"/>
                </w:tcPr>
                <w:p w14:paraId="6778840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〔A4.4-1〕在禁燃区内，禁止销售、燃用高污染燃料；禁止新建、扩建燃用高污染燃料的设施。已建成的，应当在规定期限内改用清洁能源。</w:t>
                  </w:r>
                </w:p>
              </w:tc>
              <w:tc>
                <w:tcPr>
                  <w:tcW w:w="2010" w:type="pct"/>
                  <w:tcBorders>
                    <w:tl2br w:val="nil"/>
                    <w:tr2bl w:val="nil"/>
                  </w:tcBorders>
                  <w:vAlign w:val="center"/>
                </w:tcPr>
                <w:p w14:paraId="378FA9C5">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本项目不涉及</w:t>
                  </w:r>
                  <w:r>
                    <w:rPr>
                      <w:rFonts w:hint="eastAsia" w:ascii="Times New Roman" w:hAnsi="Times New Roman" w:cs="Times New Roman"/>
                      <w:color w:val="auto"/>
                      <w:sz w:val="21"/>
                      <w:szCs w:val="21"/>
                      <w:highlight w:val="none"/>
                      <w:lang w:eastAsia="zh-CN"/>
                    </w:rPr>
                    <w:t>高污染燃料。</w:t>
                  </w:r>
                </w:p>
              </w:tc>
            </w:tr>
            <w:tr w14:paraId="3F268D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363" w:type="pct"/>
                  <w:vMerge w:val="continue"/>
                  <w:tcBorders>
                    <w:tl2br w:val="nil"/>
                    <w:tr2bl w:val="nil"/>
                  </w:tcBorders>
                  <w:vAlign w:val="center"/>
                </w:tcPr>
                <w:p w14:paraId="31E97E29">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p>
              </w:tc>
              <w:tc>
                <w:tcPr>
                  <w:tcW w:w="2626" w:type="pct"/>
                  <w:tcBorders>
                    <w:tl2br w:val="nil"/>
                    <w:tr2bl w:val="nil"/>
                  </w:tcBorders>
                  <w:vAlign w:val="center"/>
                </w:tcPr>
                <w:p w14:paraId="75B2A147">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p w14:paraId="7BC6F630">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4.5-2〕推动工业固废按元素价值综合开发利用，加快推进尾矿(共伴生矿)、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p w14:paraId="74310F18">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p w14:paraId="569134EF">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2010" w:type="pct"/>
                  <w:tcBorders>
                    <w:tl2br w:val="nil"/>
                    <w:tr2bl w:val="nil"/>
                  </w:tcBorders>
                  <w:vAlign w:val="center"/>
                </w:tcPr>
                <w:p w14:paraId="2E9D718A">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本项目危废暂存于危废暂存间，定期委托有资质的单位处理，生活垃圾定期拉运至垃圾填埋场。</w:t>
                  </w:r>
                </w:p>
              </w:tc>
            </w:tr>
          </w:tbl>
          <w:p w14:paraId="729A7D91">
            <w:pPr>
              <w:pStyle w:val="42"/>
              <w:spacing w:line="520" w:lineRule="exact"/>
              <w:rPr>
                <w:rFonts w:hint="eastAsia"/>
                <w:b/>
                <w:bCs/>
                <w:color w:val="auto"/>
                <w:highlight w:val="none"/>
                <w:lang w:val="en-US" w:eastAsia="zh-CN"/>
              </w:rPr>
            </w:pPr>
            <w:r>
              <w:rPr>
                <w:rFonts w:hint="eastAsia"/>
                <w:b/>
                <w:bCs/>
                <w:color w:val="auto"/>
                <w:highlight w:val="none"/>
                <w:lang w:val="en-US" w:eastAsia="zh-CN"/>
              </w:rPr>
              <w:t>5.2、与《昌吉回族自治州区域空间生态环境评价暨“三线一单”生态环境准入清单动态更新成果》的符合性分析</w:t>
            </w:r>
          </w:p>
          <w:p w14:paraId="0FA536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本项目位于昌吉州木垒县民生工业园区，</w:t>
            </w:r>
            <w:r>
              <w:rPr>
                <w:rFonts w:hint="default" w:ascii="Times New Roman" w:hAnsi="Times New Roman" w:eastAsia="宋体" w:cs="Times New Roman"/>
                <w:color w:val="auto"/>
                <w:sz w:val="24"/>
                <w:szCs w:val="32"/>
                <w:highlight w:val="none"/>
                <w:lang w:val="en-US" w:eastAsia="zh-CN"/>
              </w:rPr>
              <w:t>根据《昌吉回族自治州区域空间生态环境评价暨“三线一单”生态环境准入清单动态更新成果》划分，本项目属于ZH65232820002环境管控单元编码区，属于</w:t>
            </w:r>
            <w:r>
              <w:rPr>
                <w:rFonts w:hint="eastAsia" w:cs="Times New Roman"/>
                <w:color w:val="auto"/>
                <w:sz w:val="24"/>
                <w:szCs w:val="32"/>
                <w:highlight w:val="none"/>
                <w:lang w:val="en-US" w:eastAsia="zh-CN"/>
              </w:rPr>
              <w:t>木垒县民生工业园区</w:t>
            </w:r>
            <w:r>
              <w:rPr>
                <w:rFonts w:hint="default" w:ascii="Times New Roman" w:hAnsi="Times New Roman" w:eastAsia="宋体" w:cs="Times New Roman"/>
                <w:color w:val="auto"/>
                <w:sz w:val="24"/>
                <w:szCs w:val="32"/>
                <w:highlight w:val="none"/>
                <w:lang w:val="en-US" w:eastAsia="zh-CN"/>
              </w:rPr>
              <w:t>，本项目与</w:t>
            </w:r>
            <w:r>
              <w:rPr>
                <w:rFonts w:hint="eastAsia" w:cs="Times New Roman"/>
                <w:color w:val="auto"/>
                <w:sz w:val="24"/>
                <w:szCs w:val="32"/>
                <w:highlight w:val="none"/>
                <w:lang w:val="en-US" w:eastAsia="zh-CN"/>
              </w:rPr>
              <w:t>昌吉</w:t>
            </w:r>
            <w:r>
              <w:rPr>
                <w:rFonts w:hint="default" w:ascii="Times New Roman" w:hAnsi="Times New Roman" w:eastAsia="宋体" w:cs="Times New Roman"/>
                <w:color w:val="auto"/>
                <w:sz w:val="24"/>
                <w:szCs w:val="32"/>
                <w:highlight w:val="none"/>
                <w:lang w:val="en-US" w:eastAsia="zh-CN"/>
              </w:rPr>
              <w:t>市环境管控单元生态环境准入清单符合性分析见表</w:t>
            </w:r>
            <w:r>
              <w:rPr>
                <w:rFonts w:hint="eastAsia" w:ascii="Times New Roman" w:hAnsi="Times New Roman" w:eastAsia="宋体" w:cs="Times New Roman"/>
                <w:color w:val="auto"/>
                <w:sz w:val="24"/>
                <w:szCs w:val="32"/>
                <w:highlight w:val="none"/>
                <w:lang w:val="en-US" w:eastAsia="zh-CN"/>
              </w:rPr>
              <w:t>1-2</w:t>
            </w:r>
            <w:r>
              <w:rPr>
                <w:rFonts w:hint="default" w:ascii="Times New Roman" w:hAnsi="Times New Roman" w:eastAsia="宋体" w:cs="Times New Roman"/>
                <w:color w:val="auto"/>
                <w:sz w:val="24"/>
                <w:szCs w:val="32"/>
                <w:highlight w:val="none"/>
                <w:lang w:val="en-US" w:eastAsia="zh-CN"/>
              </w:rPr>
              <w:t>。</w:t>
            </w:r>
          </w:p>
          <w:p w14:paraId="4D87BF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项目选址不涉及生态保护红线，项目所在区域不存在自然保护区、风景名胜区、饮用水水源保护区等需要特别保护的区域，不属于禁止建设开发区和限制建设开发区，符合生态保护红线的要求，不会影响所在区域内生态功能和性质。符合生态保护红线相关要求。</w:t>
            </w:r>
          </w:p>
          <w:p w14:paraId="64073E04">
            <w:pPr>
              <w:pStyle w:val="43"/>
              <w:keepNext w:val="0"/>
              <w:keepLines w:val="0"/>
              <w:pageBreakBefore w:val="0"/>
              <w:widowControl w:val="0"/>
              <w:tabs>
                <w:tab w:val="left" w:pos="360"/>
                <w:tab w:val="left" w:pos="1620"/>
              </w:tabs>
              <w:kinsoku/>
              <w:wordWrap/>
              <w:overflowPunct/>
              <w:topLinePunct w:val="0"/>
              <w:autoSpaceDE/>
              <w:autoSpaceDN/>
              <w:bidi w:val="0"/>
              <w:adjustRightInd w:val="0"/>
              <w:snapToGrid w:val="0"/>
              <w:spacing w:before="0" w:beforeLines="0" w:line="240" w:lineRule="auto"/>
              <w:ind w:left="0" w:leftChars="0" w:firstLine="0" w:firstLineChars="0"/>
              <w:jc w:val="center"/>
              <w:textAlignment w:val="auto"/>
              <w:rPr>
                <w:rFonts w:hint="default" w:ascii="Times New Roman" w:hAnsi="Times New Roman" w:eastAsia="宋体" w:cs="宋体"/>
                <w:color w:val="auto"/>
                <w:highlight w:val="none"/>
                <w:lang w:val="en-US" w:eastAsia="zh-CN"/>
              </w:rPr>
            </w:pPr>
            <w:r>
              <w:rPr>
                <w:rFonts w:hint="default" w:ascii="Times New Roman" w:hAnsi="Times New Roman" w:cs="Times New Roman"/>
                <w:b/>
                <w:bCs w:val="0"/>
                <w:color w:val="auto"/>
                <w:sz w:val="21"/>
                <w:szCs w:val="21"/>
                <w:highlight w:val="none"/>
              </w:rPr>
              <w:t>表</w:t>
            </w:r>
            <w:r>
              <w:rPr>
                <w:rFonts w:hint="eastAsia" w:ascii="Times New Roman" w:hAnsi="Times New Roman" w:cs="Times New Roman"/>
                <w:b/>
                <w:bCs w:val="0"/>
                <w:color w:val="auto"/>
                <w:sz w:val="21"/>
                <w:szCs w:val="21"/>
                <w:highlight w:val="none"/>
                <w:lang w:val="en-US" w:eastAsia="zh-CN"/>
              </w:rPr>
              <w:t>1-</w:t>
            </w:r>
            <w:r>
              <w:rPr>
                <w:rFonts w:hint="eastAsia" w:cs="Times New Roman"/>
                <w:b/>
                <w:bCs w:val="0"/>
                <w:color w:val="auto"/>
                <w:sz w:val="21"/>
                <w:szCs w:val="21"/>
                <w:highlight w:val="none"/>
                <w:lang w:val="en-US" w:eastAsia="zh-CN"/>
              </w:rPr>
              <w:t>3</w:t>
            </w:r>
            <w:r>
              <w:rPr>
                <w:rFonts w:hint="eastAsia" w:ascii="Times New Roman" w:hAnsi="Times New Roman" w:eastAsia="宋体" w:cs="Times New Roman"/>
                <w:b/>
                <w:bCs w:val="0"/>
                <w:color w:val="auto"/>
                <w:sz w:val="24"/>
                <w:szCs w:val="24"/>
                <w:highlight w:val="none"/>
                <w:lang w:eastAsia="zh-CN"/>
              </w:rPr>
              <w:t>“</w:t>
            </w:r>
            <w:r>
              <w:rPr>
                <w:rFonts w:hint="eastAsia" w:cs="宋体"/>
                <w:color w:val="auto"/>
                <w:highlight w:val="none"/>
                <w:lang w:val="en-US" w:eastAsia="zh-CN"/>
              </w:rPr>
              <w:t>昌吉</w:t>
            </w:r>
            <w:r>
              <w:rPr>
                <w:rFonts w:hint="eastAsia" w:ascii="Times New Roman" w:hAnsi="Times New Roman" w:eastAsia="宋体" w:cs="宋体"/>
                <w:color w:val="auto"/>
                <w:highlight w:val="none"/>
                <w:lang w:val="en-US" w:eastAsia="zh-CN"/>
              </w:rPr>
              <w:t>市环境管控单元生态环境准入清单”</w:t>
            </w:r>
            <w:r>
              <w:rPr>
                <w:rFonts w:hint="default" w:ascii="Times New Roman" w:hAnsi="Times New Roman" w:eastAsia="宋体" w:cs="宋体"/>
                <w:color w:val="auto"/>
                <w:highlight w:val="none"/>
                <w:lang w:val="en-US" w:eastAsia="zh-CN"/>
              </w:rPr>
              <w:t>符合性分析</w:t>
            </w:r>
          </w:p>
          <w:tbl>
            <w:tblPr>
              <w:tblStyle w:val="29"/>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45"/>
              <w:gridCol w:w="537"/>
              <w:gridCol w:w="596"/>
              <w:gridCol w:w="2640"/>
              <w:gridCol w:w="1806"/>
              <w:gridCol w:w="396"/>
            </w:tblGrid>
            <w:tr w14:paraId="38B4D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57" w:type="pct"/>
                  <w:tcBorders>
                    <w:tl2br w:val="nil"/>
                    <w:tr2bl w:val="nil"/>
                  </w:tcBorders>
                  <w:noWrap w:val="0"/>
                  <w:vAlign w:val="center"/>
                </w:tcPr>
                <w:p w14:paraId="2DA48C1F">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eastAsia"/>
                      <w:color w:val="auto"/>
                      <w:highlight w:val="none"/>
                      <w:lang w:val="en-US" w:eastAsia="zh-CN"/>
                    </w:rPr>
                    <w:t>环境</w:t>
                  </w:r>
                  <w:r>
                    <w:rPr>
                      <w:rFonts w:hint="default"/>
                      <w:color w:val="auto"/>
                      <w:highlight w:val="none"/>
                      <w:lang w:val="en-US" w:eastAsia="zh-CN"/>
                    </w:rPr>
                    <w:t>管控单元</w:t>
                  </w:r>
                  <w:r>
                    <w:rPr>
                      <w:rFonts w:hint="eastAsia"/>
                      <w:color w:val="auto"/>
                      <w:highlight w:val="none"/>
                      <w:lang w:val="en-US" w:eastAsia="zh-CN"/>
                    </w:rPr>
                    <w:t>编码</w:t>
                  </w:r>
                </w:p>
              </w:tc>
              <w:tc>
                <w:tcPr>
                  <w:tcW w:w="457" w:type="pct"/>
                  <w:tcBorders>
                    <w:tl2br w:val="nil"/>
                    <w:tr2bl w:val="nil"/>
                  </w:tcBorders>
                  <w:noWrap w:val="0"/>
                  <w:vAlign w:val="center"/>
                </w:tcPr>
                <w:p w14:paraId="09B61E38">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lang w:val="en-US" w:eastAsia="zh-CN"/>
                    </w:rPr>
                    <w:t>管控单元名称</w:t>
                  </w:r>
                </w:p>
              </w:tc>
              <w:tc>
                <w:tcPr>
                  <w:tcW w:w="2331" w:type="pct"/>
                  <w:gridSpan w:val="2"/>
                  <w:tcBorders>
                    <w:tl2br w:val="nil"/>
                    <w:tr2bl w:val="nil"/>
                  </w:tcBorders>
                  <w:noWrap w:val="0"/>
                  <w:vAlign w:val="center"/>
                </w:tcPr>
                <w:p w14:paraId="2BC62FDB">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lang w:val="en-US" w:eastAsia="zh-CN"/>
                    </w:rPr>
                    <w:t>管控要求</w:t>
                  </w:r>
                </w:p>
              </w:tc>
              <w:tc>
                <w:tcPr>
                  <w:tcW w:w="1289" w:type="pct"/>
                  <w:tcBorders>
                    <w:tl2br w:val="nil"/>
                    <w:tr2bl w:val="nil"/>
                  </w:tcBorders>
                  <w:noWrap w:val="0"/>
                  <w:vAlign w:val="center"/>
                </w:tcPr>
                <w:p w14:paraId="36775C29">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lang w:val="en-US" w:eastAsia="zh-CN"/>
                    </w:rPr>
                    <w:t>项目情况</w:t>
                  </w:r>
                </w:p>
              </w:tc>
              <w:tc>
                <w:tcPr>
                  <w:tcW w:w="364" w:type="pct"/>
                  <w:tcBorders>
                    <w:tl2br w:val="nil"/>
                    <w:tr2bl w:val="nil"/>
                  </w:tcBorders>
                  <w:noWrap w:val="0"/>
                  <w:vAlign w:val="center"/>
                </w:tcPr>
                <w:p w14:paraId="702C0D42">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lang w:val="en-US" w:eastAsia="zh-CN"/>
                    </w:rPr>
                    <w:t>符合性</w:t>
                  </w:r>
                </w:p>
              </w:tc>
            </w:tr>
            <w:tr w14:paraId="4B86C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57" w:type="pct"/>
                  <w:vMerge w:val="restart"/>
                  <w:tcBorders>
                    <w:tl2br w:val="nil"/>
                    <w:tr2bl w:val="nil"/>
                  </w:tcBorders>
                  <w:noWrap w:val="0"/>
                  <w:vAlign w:val="center"/>
                </w:tcPr>
                <w:p w14:paraId="597936FE">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eastAsia="宋体"/>
                      <w:color w:val="auto"/>
                      <w:highlight w:val="none"/>
                      <w:lang w:val="en-US" w:eastAsia="zh-CN"/>
                    </w:rPr>
                  </w:pPr>
                  <w:r>
                    <w:rPr>
                      <w:rFonts w:hint="default" w:ascii="Times New Roman" w:hAnsi="Times New Roman" w:eastAsia="宋体" w:cs="Times New Roman"/>
                      <w:color w:val="auto"/>
                      <w:sz w:val="24"/>
                      <w:szCs w:val="32"/>
                      <w:highlight w:val="none"/>
                      <w:lang w:val="en-US" w:eastAsia="zh-CN"/>
                    </w:rPr>
                    <w:t>ZH65232820002</w:t>
                  </w:r>
                </w:p>
              </w:tc>
              <w:tc>
                <w:tcPr>
                  <w:tcW w:w="457" w:type="pct"/>
                  <w:vMerge w:val="restart"/>
                  <w:tcBorders>
                    <w:tl2br w:val="nil"/>
                    <w:tr2bl w:val="nil"/>
                  </w:tcBorders>
                  <w:noWrap w:val="0"/>
                  <w:vAlign w:val="center"/>
                </w:tcPr>
                <w:p w14:paraId="3C41145D">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eastAsia="宋体"/>
                      <w:color w:val="auto"/>
                      <w:highlight w:val="none"/>
                      <w:lang w:val="en-US" w:eastAsia="zh-CN"/>
                    </w:rPr>
                  </w:pPr>
                  <w:r>
                    <w:rPr>
                      <w:rFonts w:hint="eastAsia"/>
                      <w:color w:val="auto"/>
                      <w:highlight w:val="none"/>
                      <w:lang w:val="en-US" w:eastAsia="zh-CN"/>
                    </w:rPr>
                    <w:t>木垒县民生工业园区</w:t>
                  </w:r>
                </w:p>
              </w:tc>
              <w:tc>
                <w:tcPr>
                  <w:tcW w:w="495" w:type="pct"/>
                  <w:tcBorders>
                    <w:tl2br w:val="nil"/>
                    <w:tr2bl w:val="nil"/>
                  </w:tcBorders>
                  <w:noWrap w:val="0"/>
                  <w:vAlign w:val="center"/>
                </w:tcPr>
                <w:p w14:paraId="612C240F">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rPr>
                    <w:t>空间布局约束</w:t>
                  </w:r>
                </w:p>
              </w:tc>
              <w:tc>
                <w:tcPr>
                  <w:tcW w:w="1835" w:type="pct"/>
                  <w:tcBorders>
                    <w:tl2br w:val="nil"/>
                    <w:tr2bl w:val="nil"/>
                  </w:tcBorders>
                  <w:noWrap w:val="0"/>
                  <w:vAlign w:val="center"/>
                </w:tcPr>
                <w:p w14:paraId="60B115C7">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default" w:eastAsia="宋体"/>
                      <w:color w:val="auto"/>
                      <w:highlight w:val="none"/>
                      <w:lang w:val="en-US" w:eastAsia="zh-CN"/>
                    </w:rPr>
                    <w:t>1、入园企业需符合园区产业发展定位、产业布局规划等要求。</w:t>
                  </w:r>
                </w:p>
                <w:p w14:paraId="4C8D2FE5">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default" w:eastAsia="宋体"/>
                      <w:color w:val="auto"/>
                      <w:highlight w:val="none"/>
                      <w:lang w:val="en-US" w:eastAsia="zh-CN"/>
                    </w:rPr>
                    <w:t>2、入园企业需符合国土空间规划的布局及土地利用等相关要求。</w:t>
                  </w:r>
                </w:p>
                <w:p w14:paraId="11B8EB3E">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default" w:eastAsia="宋体"/>
                      <w:color w:val="auto"/>
                      <w:highlight w:val="none"/>
                      <w:lang w:val="en-US" w:eastAsia="zh-CN"/>
                    </w:rPr>
                    <w:t>3、园区入驻项目需满足《</w:t>
                  </w:r>
                  <w:r>
                    <w:rPr>
                      <w:rFonts w:hint="eastAsia"/>
                      <w:color w:val="auto"/>
                      <w:highlight w:val="none"/>
                      <w:lang w:val="en-US" w:eastAsia="zh-CN"/>
                    </w:rPr>
                    <w:t>新疆维吾尔自治区</w:t>
                  </w:r>
                  <w:r>
                    <w:rPr>
                      <w:rFonts w:hint="default" w:eastAsia="宋体"/>
                      <w:color w:val="auto"/>
                      <w:highlight w:val="none"/>
                      <w:lang w:val="en-US" w:eastAsia="zh-CN"/>
                    </w:rPr>
                    <w:t>重点行业环境准入条件(2017年修订)》相关要求。</w:t>
                  </w:r>
                </w:p>
                <w:p w14:paraId="0FB1CF35">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default" w:eastAsia="宋体"/>
                      <w:color w:val="auto"/>
                      <w:highlight w:val="none"/>
                      <w:lang w:val="en-US" w:eastAsia="zh-CN"/>
                    </w:rPr>
                    <w:t>4、园区入驻项目需严格执行园区规划及规划环评相关要求。</w:t>
                  </w:r>
                </w:p>
              </w:tc>
              <w:tc>
                <w:tcPr>
                  <w:tcW w:w="1289" w:type="pct"/>
                  <w:tcBorders>
                    <w:tl2br w:val="nil"/>
                    <w:tr2bl w:val="nil"/>
                  </w:tcBorders>
                  <w:noWrap w:val="0"/>
                  <w:vAlign w:val="center"/>
                </w:tcPr>
                <w:p w14:paraId="7A437202">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本项目</w:t>
                  </w:r>
                  <w:r>
                    <w:rPr>
                      <w:rFonts w:hint="default" w:eastAsia="宋体"/>
                      <w:color w:val="auto"/>
                      <w:highlight w:val="none"/>
                      <w:lang w:val="en-US" w:eastAsia="zh-CN"/>
                    </w:rPr>
                    <w:t>符合园区产业发展定位、产业布局规划等要求</w:t>
                  </w:r>
                  <w:r>
                    <w:rPr>
                      <w:rFonts w:hint="default" w:ascii="Times New Roman" w:hAnsi="Times New Roman" w:eastAsia="宋体" w:cs="Times New Roman"/>
                      <w:color w:val="auto"/>
                      <w:sz w:val="21"/>
                      <w:szCs w:val="21"/>
                      <w:highlight w:val="none"/>
                    </w:rPr>
                    <w:t>。</w:t>
                  </w:r>
                </w:p>
                <w:p w14:paraId="5A019FC2">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2、本项目</w:t>
                  </w:r>
                  <w:r>
                    <w:rPr>
                      <w:rFonts w:hint="default" w:eastAsia="宋体"/>
                      <w:color w:val="auto"/>
                      <w:highlight w:val="none"/>
                      <w:lang w:val="en-US" w:eastAsia="zh-CN"/>
                    </w:rPr>
                    <w:t>国土空间规划的布局及土地利用等相关要求</w:t>
                  </w:r>
                  <w:r>
                    <w:rPr>
                      <w:rFonts w:hint="eastAsia" w:cs="Times New Roman"/>
                      <w:color w:val="auto"/>
                      <w:sz w:val="21"/>
                      <w:szCs w:val="21"/>
                      <w:highlight w:val="none"/>
                      <w:lang w:val="en-US" w:eastAsia="zh-CN"/>
                    </w:rPr>
                    <w:t>。</w:t>
                  </w:r>
                </w:p>
                <w:p w14:paraId="0FB765A4">
                  <w:pPr>
                    <w:pStyle w:val="69"/>
                    <w:keepNext w:val="0"/>
                    <w:keepLines w:val="0"/>
                    <w:pageBreakBefore w:val="0"/>
                    <w:widowControl/>
                    <w:kinsoku/>
                    <w:wordWrap/>
                    <w:overflowPunct/>
                    <w:topLinePunct w:val="0"/>
                    <w:autoSpaceDE/>
                    <w:autoSpaceDN/>
                    <w:bidi w:val="0"/>
                    <w:adjustRightInd w:val="0"/>
                    <w:snapToGrid w:val="0"/>
                    <w:jc w:val="left"/>
                    <w:textAlignment w:val="auto"/>
                    <w:rPr>
                      <w:rFonts w:hint="eastAsia" w:ascii="Times New Roman" w:hAnsi="Times New Roman" w:cs="Times New Roman"/>
                      <w:color w:val="auto"/>
                      <w:sz w:val="21"/>
                      <w:szCs w:val="21"/>
                      <w:highlight w:val="none"/>
                      <w:lang w:eastAsia="zh-CN"/>
                    </w:rPr>
                  </w:pPr>
                  <w:r>
                    <w:rPr>
                      <w:rFonts w:hint="eastAsia" w:cs="Times New Roman"/>
                      <w:color w:val="auto"/>
                      <w:sz w:val="21"/>
                      <w:szCs w:val="21"/>
                      <w:highlight w:val="none"/>
                      <w:lang w:val="en-US" w:eastAsia="zh-CN"/>
                    </w:rPr>
                    <w:t>3</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本项目</w:t>
                  </w:r>
                  <w:r>
                    <w:rPr>
                      <w:rFonts w:hint="default" w:eastAsia="宋体"/>
                      <w:color w:val="auto"/>
                      <w:highlight w:val="none"/>
                      <w:lang w:val="en-US" w:eastAsia="zh-CN"/>
                    </w:rPr>
                    <w:t>满足《</w:t>
                  </w:r>
                  <w:r>
                    <w:rPr>
                      <w:rFonts w:hint="eastAsia"/>
                      <w:color w:val="auto"/>
                      <w:highlight w:val="none"/>
                      <w:lang w:val="en-US" w:eastAsia="zh-CN"/>
                    </w:rPr>
                    <w:t>新疆维吾尔自治区</w:t>
                  </w:r>
                  <w:r>
                    <w:rPr>
                      <w:rFonts w:hint="default" w:eastAsia="宋体"/>
                      <w:color w:val="auto"/>
                      <w:highlight w:val="none"/>
                      <w:lang w:val="en-US" w:eastAsia="zh-CN"/>
                    </w:rPr>
                    <w:t>重点行业环境准入条件(2017年修订)》相关要求</w:t>
                  </w:r>
                  <w:r>
                    <w:rPr>
                      <w:rFonts w:hint="eastAsia" w:ascii="Times New Roman" w:hAnsi="Times New Roman" w:cs="Times New Roman"/>
                      <w:color w:val="auto"/>
                      <w:sz w:val="21"/>
                      <w:szCs w:val="21"/>
                      <w:highlight w:val="none"/>
                      <w:lang w:eastAsia="zh-CN"/>
                    </w:rPr>
                    <w:t>。</w:t>
                  </w:r>
                </w:p>
                <w:p w14:paraId="4AFA8622">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4、本项目</w:t>
                  </w:r>
                  <w:r>
                    <w:rPr>
                      <w:rFonts w:hint="default" w:eastAsia="宋体"/>
                      <w:color w:val="auto"/>
                      <w:highlight w:val="none"/>
                      <w:lang w:val="en-US" w:eastAsia="zh-CN"/>
                    </w:rPr>
                    <w:t>严格执行园区规划及规划环评相关要求</w:t>
                  </w:r>
                </w:p>
              </w:tc>
              <w:tc>
                <w:tcPr>
                  <w:tcW w:w="364" w:type="pct"/>
                  <w:tcBorders>
                    <w:tl2br w:val="nil"/>
                    <w:tr2bl w:val="nil"/>
                  </w:tcBorders>
                  <w:noWrap w:val="0"/>
                  <w:vAlign w:val="center"/>
                </w:tcPr>
                <w:p w14:paraId="04B76C29">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lang w:val="en-US" w:eastAsia="zh-CN"/>
                    </w:rPr>
                    <w:t>符合</w:t>
                  </w:r>
                </w:p>
              </w:tc>
            </w:tr>
            <w:tr w14:paraId="6771F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57" w:type="pct"/>
                  <w:vMerge w:val="continue"/>
                  <w:tcBorders>
                    <w:tl2br w:val="nil"/>
                    <w:tr2bl w:val="nil"/>
                  </w:tcBorders>
                  <w:noWrap w:val="0"/>
                  <w:vAlign w:val="center"/>
                </w:tcPr>
                <w:p w14:paraId="4520BACD">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57" w:type="pct"/>
                  <w:vMerge w:val="continue"/>
                  <w:tcBorders>
                    <w:tl2br w:val="nil"/>
                    <w:tr2bl w:val="nil"/>
                  </w:tcBorders>
                  <w:noWrap w:val="0"/>
                  <w:vAlign w:val="center"/>
                </w:tcPr>
                <w:p w14:paraId="361A1305">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95" w:type="pct"/>
                  <w:tcBorders>
                    <w:tl2br w:val="nil"/>
                    <w:tr2bl w:val="nil"/>
                  </w:tcBorders>
                  <w:noWrap w:val="0"/>
                  <w:vAlign w:val="center"/>
                </w:tcPr>
                <w:p w14:paraId="3D6F58F5">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rPr>
                    <w:t>污染物排放管控</w:t>
                  </w:r>
                </w:p>
              </w:tc>
              <w:tc>
                <w:tcPr>
                  <w:tcW w:w="1835" w:type="pct"/>
                  <w:tcBorders>
                    <w:tl2br w:val="nil"/>
                    <w:tr2bl w:val="nil"/>
                  </w:tcBorders>
                  <w:noWrap w:val="0"/>
                  <w:vAlign w:val="center"/>
                </w:tcPr>
                <w:p w14:paraId="2F6E2614">
                  <w:pPr>
                    <w:pStyle w:val="69"/>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left"/>
                    <w:textAlignment w:val="auto"/>
                    <w:rPr>
                      <w:rFonts w:hint="default"/>
                      <w:color w:val="auto"/>
                      <w:highlight w:val="none"/>
                      <w:lang w:val="en-US" w:eastAsia="zh-CN"/>
                    </w:rPr>
                  </w:pPr>
                  <w:r>
                    <w:rPr>
                      <w:rFonts w:hint="default" w:ascii="Times New Roman" w:hAnsi="Times New Roman" w:eastAsia="宋体" w:cs="Times New Roman"/>
                      <w:color w:val="auto"/>
                      <w:kern w:val="2"/>
                      <w:sz w:val="21"/>
                      <w:szCs w:val="21"/>
                      <w:lang w:val="en-US" w:eastAsia="zh-CN" w:bidi="ar-SA"/>
                    </w:rPr>
                    <w:t>1、</w:t>
                  </w:r>
                  <w:r>
                    <w:rPr>
                      <w:rFonts w:hint="default"/>
                      <w:color w:val="auto"/>
                      <w:highlight w:val="none"/>
                      <w:lang w:val="en-US" w:eastAsia="zh-CN"/>
                    </w:rPr>
                    <w:t>聚焦采暖期重污染天气治理，加大重点区域、重点行业结构调整和污染治理力度。</w:t>
                  </w:r>
                </w:p>
                <w:p w14:paraId="1D54A5DD">
                  <w:pPr>
                    <w:pStyle w:val="69"/>
                    <w:keepNext w:val="0"/>
                    <w:keepLines w:val="0"/>
                    <w:pageBreakBefore w:val="0"/>
                    <w:widowControl/>
                    <w:numPr>
                      <w:ilvl w:val="0"/>
                      <w:numId w:val="0"/>
                    </w:numPr>
                    <w:kinsoku/>
                    <w:wordWrap/>
                    <w:overflowPunct/>
                    <w:topLinePunct w:val="0"/>
                    <w:autoSpaceDE/>
                    <w:autoSpaceDN/>
                    <w:bidi w:val="0"/>
                    <w:adjustRightInd w:val="0"/>
                    <w:snapToGrid w:val="0"/>
                    <w:jc w:val="left"/>
                    <w:textAlignment w:val="auto"/>
                    <w:rPr>
                      <w:rFonts w:hint="default"/>
                      <w:color w:val="auto"/>
                      <w:highlight w:val="none"/>
                      <w:lang w:val="en-US" w:eastAsia="zh-CN"/>
                    </w:rPr>
                  </w:pPr>
                  <w:r>
                    <w:rPr>
                      <w:rFonts w:hint="default"/>
                      <w:color w:val="auto"/>
                      <w:highlight w:val="none"/>
                      <w:lang w:val="en-US" w:eastAsia="zh-CN"/>
                    </w:rPr>
                    <w:t>2、新(改、扩)建项目应执行最严格的大气污染物排放标准。</w:t>
                  </w:r>
                </w:p>
                <w:p w14:paraId="2FCEAAC5">
                  <w:pPr>
                    <w:pStyle w:val="69"/>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left"/>
                    <w:textAlignment w:val="auto"/>
                    <w:rPr>
                      <w:rFonts w:hint="default"/>
                      <w:color w:val="auto"/>
                      <w:highlight w:val="none"/>
                      <w:lang w:val="en-US" w:eastAsia="zh-CN"/>
                    </w:rPr>
                  </w:pPr>
                  <w:r>
                    <w:rPr>
                      <w:rFonts w:hint="default"/>
                      <w:color w:val="auto"/>
                      <w:highlight w:val="none"/>
                      <w:lang w:val="en-US" w:eastAsia="zh-CN"/>
                    </w:rPr>
                    <w:t>3、推动园区企业绿色发展，严格落实水污染物排放标准。</w:t>
                  </w:r>
                </w:p>
                <w:p w14:paraId="6D5D717F">
                  <w:pPr>
                    <w:pStyle w:val="69"/>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left"/>
                    <w:textAlignment w:val="auto"/>
                    <w:rPr>
                      <w:rFonts w:hint="default"/>
                      <w:color w:val="auto"/>
                      <w:highlight w:val="none"/>
                      <w:lang w:val="en-US" w:eastAsia="zh-CN"/>
                    </w:rPr>
                  </w:pPr>
                  <w:r>
                    <w:rPr>
                      <w:rFonts w:hint="default"/>
                      <w:color w:val="auto"/>
                      <w:highlight w:val="none"/>
                      <w:lang w:val="en-US" w:eastAsia="zh-CN"/>
                    </w:rPr>
                    <w:t>4、严格实施污染物排放总量控制要求</w:t>
                  </w:r>
                  <w:r>
                    <w:rPr>
                      <w:rFonts w:hint="eastAsia"/>
                      <w:color w:val="auto"/>
                      <w:highlight w:val="none"/>
                      <w:lang w:val="en-US" w:eastAsia="zh-CN"/>
                    </w:rPr>
                    <w:t>；</w:t>
                  </w:r>
                  <w:r>
                    <w:rPr>
                      <w:rFonts w:hint="default"/>
                      <w:color w:val="auto"/>
                      <w:highlight w:val="none"/>
                      <w:lang w:val="en-US" w:eastAsia="zh-CN"/>
                    </w:rPr>
                    <w:t>全面深化面源污染治理，积极推进绿色施工。</w:t>
                  </w:r>
                </w:p>
              </w:tc>
              <w:tc>
                <w:tcPr>
                  <w:tcW w:w="1289" w:type="pct"/>
                  <w:tcBorders>
                    <w:tl2br w:val="nil"/>
                    <w:tr2bl w:val="nil"/>
                  </w:tcBorders>
                  <w:noWrap w:val="0"/>
                  <w:vAlign w:val="center"/>
                </w:tcPr>
                <w:p w14:paraId="59D6BC27">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rPr>
                  </w:pPr>
                  <w:r>
                    <w:rPr>
                      <w:rFonts w:hint="eastAsia"/>
                      <w:color w:val="auto"/>
                      <w:highlight w:val="none"/>
                      <w:lang w:val="en-US" w:eastAsia="zh-CN"/>
                    </w:rPr>
                    <w:t>1</w:t>
                  </w:r>
                  <w:r>
                    <w:rPr>
                      <w:rFonts w:hint="default"/>
                      <w:color w:val="auto"/>
                      <w:highlight w:val="none"/>
                      <w:lang w:val="en-US" w:eastAsia="zh-CN"/>
                    </w:rPr>
                    <w:t>、</w:t>
                  </w:r>
                  <w:r>
                    <w:rPr>
                      <w:rFonts w:hint="eastAsia"/>
                      <w:color w:val="auto"/>
                      <w:highlight w:val="none"/>
                      <w:lang w:val="en-US" w:eastAsia="zh-CN"/>
                    </w:rPr>
                    <w:t>本项目已执行最严格的</w:t>
                  </w:r>
                  <w:r>
                    <w:rPr>
                      <w:rFonts w:hint="default"/>
                      <w:color w:val="auto"/>
                      <w:highlight w:val="none"/>
                    </w:rPr>
                    <w:t>大气污染物排放标准。</w:t>
                  </w:r>
                </w:p>
                <w:p w14:paraId="0AF58A57">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rPr>
                  </w:pPr>
                  <w:r>
                    <w:rPr>
                      <w:rFonts w:hint="eastAsia"/>
                      <w:color w:val="auto"/>
                      <w:highlight w:val="none"/>
                      <w:lang w:val="en-US" w:eastAsia="zh-CN"/>
                    </w:rPr>
                    <w:t>2、本项目生活污水排入园区污水管网且达标</w:t>
                  </w:r>
                  <w:r>
                    <w:rPr>
                      <w:rFonts w:hint="default"/>
                      <w:color w:val="auto"/>
                      <w:highlight w:val="none"/>
                    </w:rPr>
                    <w:t>。</w:t>
                  </w:r>
                </w:p>
                <w:p w14:paraId="3F4F0455">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eastAsia"/>
                      <w:color w:val="auto"/>
                      <w:highlight w:val="none"/>
                      <w:lang w:val="en-US" w:eastAsia="zh-CN"/>
                    </w:rPr>
                    <w:t>3、本项目施工期严格落实“六个百分之百”</w:t>
                  </w:r>
                </w:p>
              </w:tc>
              <w:tc>
                <w:tcPr>
                  <w:tcW w:w="364" w:type="pct"/>
                  <w:tcBorders>
                    <w:tl2br w:val="nil"/>
                    <w:tr2bl w:val="nil"/>
                  </w:tcBorders>
                  <w:noWrap w:val="0"/>
                  <w:vAlign w:val="center"/>
                </w:tcPr>
                <w:p w14:paraId="6FA51E93">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eastAsia"/>
                      <w:color w:val="auto"/>
                      <w:highlight w:val="none"/>
                      <w:lang w:val="en-US" w:eastAsia="zh-CN"/>
                    </w:rPr>
                    <w:t>符合</w:t>
                  </w:r>
                </w:p>
              </w:tc>
            </w:tr>
            <w:tr w14:paraId="4835E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57" w:type="pct"/>
                  <w:vMerge w:val="continue"/>
                  <w:tcBorders>
                    <w:tl2br w:val="nil"/>
                    <w:tr2bl w:val="nil"/>
                  </w:tcBorders>
                  <w:noWrap w:val="0"/>
                  <w:vAlign w:val="center"/>
                </w:tcPr>
                <w:p w14:paraId="38864BE1">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57" w:type="pct"/>
                  <w:vMerge w:val="continue"/>
                  <w:tcBorders>
                    <w:tl2br w:val="nil"/>
                    <w:tr2bl w:val="nil"/>
                  </w:tcBorders>
                  <w:noWrap w:val="0"/>
                  <w:vAlign w:val="center"/>
                </w:tcPr>
                <w:p w14:paraId="0F655683">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95" w:type="pct"/>
                  <w:tcBorders>
                    <w:tl2br w:val="nil"/>
                    <w:tr2bl w:val="nil"/>
                  </w:tcBorders>
                  <w:noWrap w:val="0"/>
                  <w:vAlign w:val="center"/>
                </w:tcPr>
                <w:p w14:paraId="0D4B63B3">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rPr>
                    <w:t>环境风险防控</w:t>
                  </w:r>
                </w:p>
              </w:tc>
              <w:tc>
                <w:tcPr>
                  <w:tcW w:w="1835" w:type="pct"/>
                  <w:tcBorders>
                    <w:tl2br w:val="nil"/>
                    <w:tr2bl w:val="nil"/>
                  </w:tcBorders>
                  <w:noWrap w:val="0"/>
                  <w:vAlign w:val="center"/>
                </w:tcPr>
                <w:p w14:paraId="637B0D16">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lang w:val="en-US" w:eastAsia="zh-CN"/>
                    </w:rPr>
                  </w:pPr>
                  <w:r>
                    <w:rPr>
                      <w:rFonts w:hint="default"/>
                      <w:color w:val="auto"/>
                      <w:highlight w:val="none"/>
                      <w:lang w:val="en-US" w:eastAsia="zh-CN"/>
                    </w:rPr>
                    <w:t>1、园区应设立环境应急管理机构，建立环境风险监管制度、环境风险预警制度、突发环境事件应急预案、环境风险应急保障制度等环境风险防控体系，并具备环境风险应急救援能力。</w:t>
                  </w:r>
                </w:p>
              </w:tc>
              <w:tc>
                <w:tcPr>
                  <w:tcW w:w="1289" w:type="pct"/>
                  <w:tcBorders>
                    <w:tl2br w:val="nil"/>
                    <w:tr2bl w:val="nil"/>
                  </w:tcBorders>
                  <w:noWrap w:val="0"/>
                  <w:vAlign w:val="center"/>
                </w:tcPr>
                <w:p w14:paraId="59E618AE">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eastAsia="宋体"/>
                      <w:color w:val="auto"/>
                      <w:highlight w:val="none"/>
                      <w:lang w:val="en-US" w:eastAsia="zh-CN"/>
                    </w:rPr>
                  </w:pP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园区已落实</w:t>
                  </w:r>
                  <w:r>
                    <w:rPr>
                      <w:rFonts w:hint="default"/>
                      <w:color w:val="auto"/>
                      <w:highlight w:val="none"/>
                      <w:lang w:val="en-US" w:eastAsia="zh-CN"/>
                    </w:rPr>
                    <w:t>环境风险防控体系，并具备环境风险应急救援能力</w:t>
                  </w:r>
                  <w:r>
                    <w:rPr>
                      <w:rFonts w:hint="eastAsia"/>
                      <w:color w:val="auto"/>
                      <w:highlight w:val="none"/>
                      <w:lang w:val="en-US" w:eastAsia="zh-CN"/>
                    </w:rPr>
                    <w:t>。</w:t>
                  </w:r>
                </w:p>
              </w:tc>
              <w:tc>
                <w:tcPr>
                  <w:tcW w:w="364" w:type="pct"/>
                  <w:tcBorders>
                    <w:tl2br w:val="nil"/>
                    <w:tr2bl w:val="nil"/>
                  </w:tcBorders>
                  <w:noWrap w:val="0"/>
                  <w:vAlign w:val="center"/>
                </w:tcPr>
                <w:p w14:paraId="4EAFB000">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eastAsia"/>
                      <w:color w:val="auto"/>
                      <w:highlight w:val="none"/>
                      <w:lang w:val="en-US" w:eastAsia="zh-CN"/>
                    </w:rPr>
                    <w:t>符合</w:t>
                  </w:r>
                </w:p>
              </w:tc>
            </w:tr>
            <w:tr w14:paraId="7FDBF9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57" w:type="pct"/>
                  <w:vMerge w:val="continue"/>
                  <w:tcBorders>
                    <w:tl2br w:val="nil"/>
                    <w:tr2bl w:val="nil"/>
                  </w:tcBorders>
                  <w:noWrap w:val="0"/>
                  <w:vAlign w:val="center"/>
                </w:tcPr>
                <w:p w14:paraId="298922B6">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57" w:type="pct"/>
                  <w:vMerge w:val="continue"/>
                  <w:tcBorders>
                    <w:tl2br w:val="nil"/>
                    <w:tr2bl w:val="nil"/>
                  </w:tcBorders>
                  <w:noWrap w:val="0"/>
                  <w:vAlign w:val="center"/>
                </w:tcPr>
                <w:p w14:paraId="4B714C0E">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p>
              </w:tc>
              <w:tc>
                <w:tcPr>
                  <w:tcW w:w="495" w:type="pct"/>
                  <w:tcBorders>
                    <w:tl2br w:val="nil"/>
                    <w:tr2bl w:val="nil"/>
                  </w:tcBorders>
                  <w:noWrap w:val="0"/>
                  <w:vAlign w:val="center"/>
                </w:tcPr>
                <w:p w14:paraId="48CBC0D4">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default"/>
                      <w:color w:val="auto"/>
                      <w:highlight w:val="none"/>
                    </w:rPr>
                    <w:t>资源利用效率</w:t>
                  </w:r>
                </w:p>
              </w:tc>
              <w:tc>
                <w:tcPr>
                  <w:tcW w:w="1835" w:type="pct"/>
                  <w:tcBorders>
                    <w:tl2br w:val="nil"/>
                    <w:tr2bl w:val="nil"/>
                  </w:tcBorders>
                  <w:noWrap w:val="0"/>
                  <w:vAlign w:val="center"/>
                </w:tcPr>
                <w:p w14:paraId="54B2AA47">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rPr>
                  </w:pPr>
                  <w:r>
                    <w:rPr>
                      <w:rFonts w:hint="default"/>
                      <w:color w:val="auto"/>
                      <w:highlight w:val="none"/>
                    </w:rPr>
                    <w:t>1、严守水资源开发利用控制、用水效率控制和水功能区限制纳污“三条红线”，严格实行区域用水总量和强度控制，强化用水定额管理。</w:t>
                  </w:r>
                </w:p>
                <w:p w14:paraId="53B2F45D">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rPr>
                  </w:pPr>
                  <w:r>
                    <w:rPr>
                      <w:rFonts w:hint="default"/>
                      <w:color w:val="auto"/>
                      <w:highlight w:val="none"/>
                    </w:rPr>
                    <w:t>2、推行清洁生产、降低生产水耗、从源头上控制污染物的产生。</w:t>
                  </w:r>
                </w:p>
                <w:p w14:paraId="0CC58082">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lang w:val="en-US" w:eastAsia="zh-CN"/>
                    </w:rPr>
                  </w:pPr>
                  <w:r>
                    <w:rPr>
                      <w:rFonts w:hint="default"/>
                      <w:color w:val="auto"/>
                      <w:highlight w:val="none"/>
                    </w:rPr>
                    <w:t>3、加强能耗“双控”管理，优化能源消费结构。严格合理控制煤炭消费增长，精准测算原料煤、动力煤，新增原料用能不纳入能源消费总量控制。</w:t>
                  </w:r>
                </w:p>
              </w:tc>
              <w:tc>
                <w:tcPr>
                  <w:tcW w:w="1289" w:type="pct"/>
                  <w:tcBorders>
                    <w:tl2br w:val="nil"/>
                    <w:tr2bl w:val="nil"/>
                  </w:tcBorders>
                  <w:noWrap w:val="0"/>
                  <w:vAlign w:val="center"/>
                </w:tcPr>
                <w:p w14:paraId="4AAE6EFD">
                  <w:pPr>
                    <w:pStyle w:val="83"/>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1、本项目不使用</w:t>
                  </w:r>
                  <w:r>
                    <w:rPr>
                      <w:rFonts w:hint="default" w:ascii="Times New Roman" w:hAnsi="Times New Roman" w:eastAsia="宋体" w:cs="Times New Roman"/>
                      <w:color w:val="auto"/>
                      <w:sz w:val="21"/>
                      <w:szCs w:val="21"/>
                      <w:highlight w:val="none"/>
                    </w:rPr>
                    <w:t>原煤、粉煤、各种可燃废物等高污染燃料</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不新建</w:t>
                  </w:r>
                  <w:r>
                    <w:rPr>
                      <w:rFonts w:hint="default" w:ascii="Times New Roman" w:hAnsi="Times New Roman" w:eastAsia="宋体" w:cs="Times New Roman"/>
                      <w:color w:val="auto"/>
                      <w:sz w:val="21"/>
                      <w:szCs w:val="21"/>
                      <w:highlight w:val="none"/>
                    </w:rPr>
                    <w:t>燃用高污染燃料的设施</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严格控制用水量。</w:t>
                  </w:r>
                </w:p>
                <w:p w14:paraId="57F475FD">
                  <w:pPr>
                    <w:pStyle w:val="69"/>
                    <w:keepNext w:val="0"/>
                    <w:keepLines w:val="0"/>
                    <w:pageBreakBefore w:val="0"/>
                    <w:widowControl/>
                    <w:kinsoku/>
                    <w:wordWrap/>
                    <w:overflowPunct/>
                    <w:topLinePunct w:val="0"/>
                    <w:autoSpaceDE/>
                    <w:autoSpaceDN/>
                    <w:bidi w:val="0"/>
                    <w:adjustRightInd w:val="0"/>
                    <w:snapToGrid w:val="0"/>
                    <w:jc w:val="left"/>
                    <w:textAlignment w:val="auto"/>
                    <w:rPr>
                      <w:rFonts w:hint="default"/>
                      <w:color w:val="auto"/>
                      <w:highlight w:val="none"/>
                      <w:lang w:val="en-US" w:eastAsia="zh-CN"/>
                    </w:rPr>
                  </w:pPr>
                </w:p>
              </w:tc>
              <w:tc>
                <w:tcPr>
                  <w:tcW w:w="364" w:type="pct"/>
                  <w:tcBorders>
                    <w:tl2br w:val="nil"/>
                    <w:tr2bl w:val="nil"/>
                  </w:tcBorders>
                  <w:noWrap w:val="0"/>
                  <w:vAlign w:val="center"/>
                </w:tcPr>
                <w:p w14:paraId="40F49597">
                  <w:pPr>
                    <w:pStyle w:val="69"/>
                    <w:keepNext w:val="0"/>
                    <w:keepLines w:val="0"/>
                    <w:pageBreakBefore w:val="0"/>
                    <w:widowControl/>
                    <w:kinsoku/>
                    <w:wordWrap/>
                    <w:overflowPunct/>
                    <w:topLinePunct w:val="0"/>
                    <w:autoSpaceDE/>
                    <w:autoSpaceDN/>
                    <w:bidi w:val="0"/>
                    <w:adjustRightInd w:val="0"/>
                    <w:snapToGrid w:val="0"/>
                    <w:jc w:val="center"/>
                    <w:textAlignment w:val="auto"/>
                    <w:rPr>
                      <w:rFonts w:hint="default"/>
                      <w:color w:val="auto"/>
                      <w:highlight w:val="none"/>
                      <w:lang w:val="en-US" w:eastAsia="zh-CN"/>
                    </w:rPr>
                  </w:pPr>
                  <w:r>
                    <w:rPr>
                      <w:rFonts w:hint="eastAsia"/>
                      <w:color w:val="auto"/>
                      <w:highlight w:val="none"/>
                      <w:lang w:val="en-US" w:eastAsia="zh-CN"/>
                    </w:rPr>
                    <w:t>符合</w:t>
                  </w:r>
                </w:p>
              </w:tc>
            </w:tr>
          </w:tbl>
          <w:p w14:paraId="573D52A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olor w:val="auto"/>
                <w:sz w:val="24"/>
                <w:szCs w:val="24"/>
                <w:highlight w:val="none"/>
                <w:lang w:val="en-US" w:eastAsia="zh-CN"/>
              </w:rPr>
            </w:pPr>
            <w:r>
              <w:rPr>
                <w:rFonts w:hint="eastAsia"/>
                <w:b w:val="0"/>
                <w:bCs w:val="0"/>
                <w:color w:val="auto"/>
                <w:sz w:val="24"/>
                <w:szCs w:val="24"/>
                <w:highlight w:val="none"/>
                <w:lang w:val="en-US" w:eastAsia="zh-CN"/>
              </w:rPr>
              <w:t>综上所述，本项目符合</w:t>
            </w:r>
            <w:r>
              <w:rPr>
                <w:rFonts w:hint="eastAsia" w:ascii="宋体" w:hAnsi="宋体" w:eastAsia="宋体" w:cs="宋体"/>
                <w:b w:val="0"/>
                <w:bCs w:val="0"/>
                <w:color w:val="auto"/>
                <w:kern w:val="0"/>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昌吉回族自治州“三线一单”生态环境分区管控方案》</w:t>
            </w:r>
            <w:r>
              <w:rPr>
                <w:rFonts w:hint="eastAsia"/>
                <w:color w:val="auto"/>
                <w:sz w:val="24"/>
                <w:szCs w:val="24"/>
                <w:highlight w:val="none"/>
                <w:lang w:val="en-US" w:eastAsia="zh-CN"/>
              </w:rPr>
              <w:t>相关要求.</w:t>
            </w:r>
          </w:p>
          <w:p w14:paraId="363C9AB6">
            <w:pPr>
              <w:pStyle w:val="42"/>
              <w:spacing w:line="520" w:lineRule="exact"/>
              <w:ind w:firstLine="0" w:firstLineChars="0"/>
              <w:rPr>
                <w:b/>
                <w:bCs/>
                <w:color w:val="auto"/>
                <w:highlight w:val="none"/>
              </w:rPr>
            </w:pPr>
            <w:r>
              <w:rPr>
                <w:rFonts w:hint="eastAsia"/>
                <w:b/>
                <w:bCs/>
                <w:color w:val="auto"/>
                <w:highlight w:val="none"/>
                <w:lang w:val="en-US" w:eastAsia="zh-CN"/>
              </w:rPr>
              <w:t>6</w:t>
            </w:r>
            <w:r>
              <w:rPr>
                <w:b/>
                <w:bCs/>
                <w:color w:val="auto"/>
                <w:highlight w:val="none"/>
              </w:rPr>
              <w:t>项目选址合理性分析</w:t>
            </w:r>
          </w:p>
          <w:p w14:paraId="6F865094">
            <w:pPr>
              <w:topLinePunct/>
              <w:spacing w:line="520" w:lineRule="exact"/>
              <w:ind w:firstLine="480" w:firstLineChars="200"/>
              <w:rPr>
                <w:color w:val="auto"/>
                <w:sz w:val="24"/>
                <w:highlight w:val="none"/>
              </w:rPr>
            </w:pPr>
            <w:r>
              <w:rPr>
                <w:rFonts w:ascii="宋体" w:hAnsi="宋体" w:eastAsia="宋体" w:cs="宋体"/>
                <w:color w:val="auto"/>
                <w:sz w:val="24"/>
                <w:szCs w:val="24"/>
              </w:rPr>
              <w:t>本项目位于新疆维吾尔自治区昌吉回族自治州木垒哈萨克自治县木垒民生工业园区(四区)新型产业及轻工业区，属于新建项目。项目所在地目前环境质量满足功能区划要求，厂址周围无自然保护区、名胜古迹、生活饮用</w:t>
            </w:r>
            <w:r>
              <w:rPr>
                <w:rFonts w:hint="default" w:ascii="Times New Roman" w:hAnsi="Times New Roman" w:eastAsia="宋体" w:cs="Times New Roman"/>
                <w:color w:val="auto"/>
                <w:sz w:val="24"/>
                <w:szCs w:val="24"/>
              </w:rPr>
              <w:t>水源地、生态脆弱敏感区和其他需要特殊保护的敏感目标。木垒县</w:t>
            </w:r>
            <w:r>
              <w:rPr>
                <w:rFonts w:hint="default" w:ascii="Times New Roman" w:hAnsi="Times New Roman" w:eastAsia="宋体" w:cs="Times New Roman"/>
                <w:color w:val="auto"/>
                <w:sz w:val="24"/>
                <w:szCs w:val="24"/>
                <w:highlight w:val="none"/>
              </w:rPr>
              <w:t>主导风向为</w:t>
            </w:r>
            <w:r>
              <w:rPr>
                <w:rFonts w:hint="eastAsia" w:cs="Times New Roman"/>
                <w:color w:val="auto"/>
                <w:sz w:val="24"/>
                <w:szCs w:val="24"/>
                <w:highlight w:val="none"/>
                <w:lang w:val="en-US" w:eastAsia="zh-CN"/>
              </w:rPr>
              <w:t>南风</w:t>
            </w:r>
            <w:r>
              <w:rPr>
                <w:rFonts w:hint="default" w:ascii="Times New Roman" w:hAnsi="Times New Roman" w:eastAsia="宋体" w:cs="Times New Roman"/>
                <w:color w:val="auto"/>
                <w:sz w:val="24"/>
                <w:szCs w:val="24"/>
                <w:highlight w:val="none"/>
              </w:rPr>
              <w:t>，本项目</w:t>
            </w:r>
            <w:r>
              <w:rPr>
                <w:rFonts w:hint="eastAsia" w:cs="Times New Roman"/>
                <w:color w:val="auto"/>
                <w:sz w:val="24"/>
                <w:szCs w:val="24"/>
                <w:highlight w:val="none"/>
                <w:lang w:val="en-US" w:eastAsia="zh-CN"/>
              </w:rPr>
              <w:t>主导风向的下风向为空地</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下风向偏西距离本项目约5.8km处为光伏发电聚集区，本项目排放污染物对周围环境影响很小，不会对光伏发电聚集区造成影响。</w:t>
            </w:r>
            <w:r>
              <w:rPr>
                <w:rFonts w:hint="default" w:ascii="Times New Roman" w:hAnsi="Times New Roman" w:eastAsia="宋体" w:cs="Times New Roman"/>
                <w:color w:val="auto"/>
                <w:sz w:val="24"/>
                <w:szCs w:val="24"/>
                <w:highlight w:val="none"/>
              </w:rPr>
              <w:t>另外本项目</w:t>
            </w:r>
            <w:r>
              <w:rPr>
                <w:rFonts w:hint="eastAsia" w:ascii="Times New Roman" w:hAnsi="Times New Roman" w:eastAsia="宋体" w:cs="Times New Roman"/>
                <w:color w:val="auto"/>
                <w:sz w:val="24"/>
                <w:szCs w:val="24"/>
                <w:highlight w:val="none"/>
                <w:lang w:val="en-US" w:eastAsia="zh-CN"/>
              </w:rPr>
              <w:t>生产设备位于封闭厂房内</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经除尘器处理后</w:t>
            </w:r>
            <w:r>
              <w:rPr>
                <w:rFonts w:hint="eastAsia" w:cs="Times New Roman"/>
                <w:color w:val="auto"/>
                <w:sz w:val="24"/>
                <w:szCs w:val="24"/>
                <w:highlight w:val="none"/>
                <w:lang w:val="en-US" w:eastAsia="zh-CN"/>
              </w:rPr>
              <w:t>有</w:t>
            </w:r>
            <w:r>
              <w:rPr>
                <w:rFonts w:hint="eastAsia" w:ascii="Times New Roman" w:hAnsi="Times New Roman" w:eastAsia="宋体" w:cs="Times New Roman"/>
                <w:color w:val="auto"/>
                <w:sz w:val="24"/>
                <w:szCs w:val="24"/>
                <w:highlight w:val="none"/>
                <w:lang w:val="en-US" w:eastAsia="zh-CN"/>
              </w:rPr>
              <w:t>组织排放，</w:t>
            </w:r>
            <w:r>
              <w:rPr>
                <w:rFonts w:hint="eastAsia" w:ascii="Times New Roman" w:hAnsi="Times New Roman" w:eastAsia="宋体" w:cs="Times New Roman"/>
                <w:color w:val="auto"/>
                <w:sz w:val="24"/>
                <w:szCs w:val="24"/>
                <w:lang w:val="en-US" w:eastAsia="zh-CN"/>
              </w:rPr>
              <w:t>不产生非甲烷总烃，</w:t>
            </w:r>
            <w:r>
              <w:rPr>
                <w:rFonts w:hint="default" w:ascii="Times New Roman" w:hAnsi="Times New Roman" w:eastAsia="宋体" w:cs="Times New Roman"/>
                <w:color w:val="auto"/>
                <w:sz w:val="24"/>
                <w:szCs w:val="24"/>
              </w:rPr>
              <w:t>对大南沟乌兹别克乡大南沟村的居民影响较小。周边具备供水及供电接入条件。即项目区域基础设施较完善，供水、供电、通信等均能满足项目生产及员工生活要求。同时，项目不位于生态保护红线内；不占用林地和基本农田，项目选址符合“三线一单”空间布局约束要求，项目在采取本报告提出的污染防治措施后，污染物均能达标排放，对周围环境污染影响小，符合区域环境功能要求。本项目所在地不在《新疆维吾尔自治区主体功能区规划》中划定的重点开发区域、限制开发区域和禁止开发区域内，从环境保护角度分析，项目选址合理可行</w:t>
            </w:r>
            <w:r>
              <w:rPr>
                <w:rFonts w:hint="default" w:ascii="Times New Roman" w:hAnsi="Times New Roman" w:cs="Times New Roman"/>
                <w:color w:val="auto"/>
                <w:sz w:val="24"/>
                <w:highlight w:val="none"/>
              </w:rPr>
              <w:t>。</w:t>
            </w:r>
          </w:p>
          <w:p w14:paraId="1F8CBBAC">
            <w:pPr>
              <w:topLinePunct/>
              <w:spacing w:line="520" w:lineRule="exact"/>
              <w:rPr>
                <w:color w:val="auto"/>
                <w:sz w:val="24"/>
                <w:highlight w:val="none"/>
              </w:rPr>
            </w:pPr>
          </w:p>
          <w:p w14:paraId="634D9D9C">
            <w:pPr>
              <w:autoSpaceDE w:val="0"/>
              <w:autoSpaceDN w:val="0"/>
              <w:adjustRightInd w:val="0"/>
              <w:snapToGrid w:val="0"/>
              <w:rPr>
                <w:color w:val="auto"/>
                <w:kern w:val="0"/>
                <w:sz w:val="24"/>
                <w:highlight w:val="none"/>
              </w:rPr>
            </w:pPr>
          </w:p>
        </w:tc>
      </w:tr>
    </w:tbl>
    <w:p w14:paraId="7F0BF251">
      <w:pPr>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br w:type="page"/>
      </w:r>
    </w:p>
    <w:p w14:paraId="618FE06E">
      <w:pPr>
        <w:pStyle w:val="26"/>
        <w:jc w:val="center"/>
        <w:outlineLvl w:val="0"/>
        <w:rPr>
          <w:rFonts w:hint="eastAsia" w:ascii="黑体" w:hAnsi="黑体" w:eastAsia="黑体"/>
          <w:snapToGrid w:val="0"/>
          <w:color w:val="auto"/>
          <w:sz w:val="30"/>
          <w:szCs w:val="30"/>
          <w:highlight w:val="none"/>
          <w:lang w:val="en-US" w:eastAsia="zh-CN"/>
        </w:rPr>
      </w:pPr>
      <w:r>
        <w:rPr>
          <w:rFonts w:hint="eastAsia" w:ascii="黑体" w:hAnsi="黑体" w:eastAsia="黑体"/>
          <w:snapToGrid w:val="0"/>
          <w:color w:val="auto"/>
          <w:sz w:val="30"/>
          <w:szCs w:val="30"/>
          <w:highlight w:val="none"/>
        </w:rPr>
        <w:t>二、建设项目工程分析</w:t>
      </w: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067"/>
      </w:tblGrid>
      <w:tr w14:paraId="7D73CD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15" w:hRule="atLeast"/>
          <w:jc w:val="center"/>
        </w:trPr>
        <w:tc>
          <w:tcPr>
            <w:tcW w:w="445" w:type="pct"/>
            <w:vAlign w:val="center"/>
          </w:tcPr>
          <w:p w14:paraId="497FD055">
            <w:pPr>
              <w:pStyle w:val="26"/>
              <w:adjustRightInd w:val="0"/>
              <w:snapToGrid w:val="0"/>
              <w:spacing w:before="0" w:beforeAutospacing="0" w:after="0" w:afterAutospacing="0"/>
              <w:jc w:val="center"/>
              <w:rPr>
                <w:rFonts w:ascii="Times New Roman" w:hAnsi="Times New Roman"/>
                <w:color w:val="auto"/>
                <w:szCs w:val="24"/>
                <w:highlight w:val="none"/>
              </w:rPr>
            </w:pPr>
            <w:r>
              <w:rPr>
                <w:rFonts w:ascii="Times New Roman" w:hAnsi="Times New Roman"/>
                <w:color w:val="auto"/>
                <w:szCs w:val="24"/>
                <w:highlight w:val="none"/>
              </w:rPr>
              <w:t>建设内容</w:t>
            </w:r>
          </w:p>
        </w:tc>
        <w:tc>
          <w:tcPr>
            <w:tcW w:w="4554" w:type="pct"/>
          </w:tcPr>
          <w:p w14:paraId="1FC60F7D">
            <w:pPr>
              <w:pStyle w:val="6"/>
              <w:overflowPunct/>
              <w:spacing w:before="0" w:after="0" w:line="520" w:lineRule="exact"/>
              <w:ind w:left="431" w:hanging="431"/>
              <w:rPr>
                <w:rFonts w:eastAsia="宋体"/>
                <w:color w:val="auto"/>
                <w:sz w:val="24"/>
                <w:szCs w:val="24"/>
                <w:highlight w:val="none"/>
              </w:rPr>
            </w:pPr>
            <w:r>
              <w:rPr>
                <w:rFonts w:hint="eastAsia" w:eastAsia="宋体"/>
                <w:color w:val="auto"/>
                <w:sz w:val="24"/>
                <w:szCs w:val="24"/>
                <w:highlight w:val="none"/>
              </w:rPr>
              <w:t>1</w:t>
            </w:r>
            <w:r>
              <w:rPr>
                <w:rFonts w:eastAsia="宋体"/>
                <w:color w:val="auto"/>
                <w:sz w:val="24"/>
                <w:szCs w:val="24"/>
                <w:highlight w:val="none"/>
              </w:rPr>
              <w:t>项目基本概况</w:t>
            </w:r>
          </w:p>
          <w:p w14:paraId="10F8BCBC">
            <w:pPr>
              <w:adjustRightInd w:val="0"/>
              <w:snapToGrid w:val="0"/>
              <w:spacing w:line="520" w:lineRule="exact"/>
              <w:ind w:firstLine="456" w:firstLineChars="200"/>
              <w:rPr>
                <w:color w:val="auto"/>
                <w:sz w:val="24"/>
                <w:highlight w:val="none"/>
              </w:rPr>
            </w:pPr>
            <w:r>
              <w:rPr>
                <w:bCs/>
                <w:color w:val="auto"/>
                <w:spacing w:val="-6"/>
                <w:sz w:val="24"/>
                <w:highlight w:val="none"/>
              </w:rPr>
              <w:t>项目名称：</w:t>
            </w:r>
            <w:r>
              <w:rPr>
                <w:rFonts w:hint="eastAsia"/>
                <w:bCs/>
                <w:color w:val="auto"/>
                <w:spacing w:val="-6"/>
                <w:sz w:val="24"/>
                <w:highlight w:val="none"/>
              </w:rPr>
              <w:t>木垒县12.55万克拉人造金刚石项目</w:t>
            </w:r>
            <w:r>
              <w:rPr>
                <w:color w:val="auto"/>
                <w:spacing w:val="-6"/>
                <w:sz w:val="24"/>
                <w:highlight w:val="none"/>
              </w:rPr>
              <w:t>；</w:t>
            </w:r>
          </w:p>
          <w:p w14:paraId="43271B48">
            <w:pPr>
              <w:adjustRightInd w:val="0"/>
              <w:snapToGrid w:val="0"/>
              <w:spacing w:line="520" w:lineRule="exact"/>
              <w:ind w:firstLine="480" w:firstLineChars="200"/>
              <w:rPr>
                <w:color w:val="auto"/>
                <w:sz w:val="24"/>
                <w:highlight w:val="none"/>
              </w:rPr>
            </w:pPr>
            <w:r>
              <w:rPr>
                <w:color w:val="auto"/>
                <w:kern w:val="0"/>
                <w:sz w:val="24"/>
                <w:highlight w:val="none"/>
              </w:rPr>
              <w:t>建设单位：</w:t>
            </w:r>
            <w:r>
              <w:rPr>
                <w:rFonts w:hint="eastAsia"/>
                <w:color w:val="auto"/>
                <w:kern w:val="0"/>
                <w:sz w:val="24"/>
                <w:highlight w:val="none"/>
                <w:lang w:eastAsia="zh-CN"/>
              </w:rPr>
              <w:t>新疆臻星新材料科技有限公司</w:t>
            </w:r>
            <w:r>
              <w:rPr>
                <w:color w:val="auto"/>
                <w:sz w:val="24"/>
                <w:highlight w:val="none"/>
              </w:rPr>
              <w:t>；</w:t>
            </w:r>
          </w:p>
          <w:p w14:paraId="71F7063B">
            <w:pPr>
              <w:adjustRightInd w:val="0"/>
              <w:snapToGrid w:val="0"/>
              <w:spacing w:line="520" w:lineRule="exact"/>
              <w:ind w:firstLine="480" w:firstLineChars="200"/>
              <w:rPr>
                <w:rFonts w:hint="eastAsia" w:eastAsia="宋体"/>
                <w:color w:val="auto"/>
                <w:sz w:val="24"/>
                <w:highlight w:val="none"/>
                <w:lang w:val="en-US" w:eastAsia="zh-CN"/>
              </w:rPr>
            </w:pPr>
            <w:r>
              <w:rPr>
                <w:color w:val="auto"/>
                <w:sz w:val="24"/>
                <w:highlight w:val="none"/>
              </w:rPr>
              <w:t>建设性质：</w:t>
            </w:r>
            <w:r>
              <w:rPr>
                <w:rFonts w:hint="eastAsia"/>
                <w:color w:val="auto"/>
                <w:sz w:val="24"/>
                <w:highlight w:val="none"/>
              </w:rPr>
              <w:t>新建</w:t>
            </w:r>
            <w:r>
              <w:rPr>
                <w:rFonts w:hint="eastAsia"/>
                <w:color w:val="auto"/>
                <w:sz w:val="24"/>
                <w:highlight w:val="none"/>
                <w:lang w:eastAsia="zh-CN"/>
              </w:rPr>
              <w:t>（</w:t>
            </w:r>
            <w:r>
              <w:rPr>
                <w:rFonts w:hint="eastAsia"/>
                <w:color w:val="auto"/>
                <w:sz w:val="24"/>
                <w:highlight w:val="none"/>
                <w:lang w:val="en-US" w:eastAsia="zh-CN"/>
              </w:rPr>
              <w:t>未批先建，目前已停止建设</w:t>
            </w:r>
            <w:r>
              <w:rPr>
                <w:rFonts w:hint="eastAsia"/>
                <w:color w:val="auto"/>
                <w:sz w:val="24"/>
                <w:highlight w:val="none"/>
                <w:lang w:eastAsia="zh-CN"/>
              </w:rPr>
              <w:t>）</w:t>
            </w:r>
            <w:r>
              <w:rPr>
                <w:color w:val="auto"/>
                <w:sz w:val="24"/>
                <w:highlight w:val="none"/>
              </w:rPr>
              <w:t>；</w:t>
            </w:r>
          </w:p>
          <w:p w14:paraId="0691792D">
            <w:pPr>
              <w:adjustRightInd w:val="0"/>
              <w:snapToGrid w:val="0"/>
              <w:spacing w:line="520" w:lineRule="exact"/>
              <w:ind w:firstLine="480" w:firstLineChars="200"/>
              <w:rPr>
                <w:rFonts w:hint="default" w:eastAsia="宋体"/>
                <w:color w:val="auto"/>
                <w:kern w:val="0"/>
                <w:sz w:val="24"/>
                <w:highlight w:val="none"/>
                <w:lang w:val="en-US" w:eastAsia="zh-CN"/>
              </w:rPr>
            </w:pPr>
            <w:r>
              <w:rPr>
                <w:color w:val="auto"/>
                <w:kern w:val="0"/>
                <w:sz w:val="24"/>
                <w:highlight w:val="none"/>
              </w:rPr>
              <w:t>建设地点：</w:t>
            </w:r>
            <w:r>
              <w:rPr>
                <w:rFonts w:hint="eastAsia"/>
                <w:color w:val="auto"/>
                <w:kern w:val="0"/>
                <w:sz w:val="24"/>
                <w:highlight w:val="none"/>
                <w:lang w:val="en-US" w:eastAsia="zh-CN"/>
              </w:rPr>
              <w:t>本</w:t>
            </w:r>
            <w:r>
              <w:rPr>
                <w:rFonts w:hint="eastAsia"/>
                <w:color w:val="auto"/>
                <w:kern w:val="0"/>
                <w:sz w:val="24"/>
                <w:highlight w:val="none"/>
              </w:rPr>
              <w:t>项目位于</w:t>
            </w:r>
            <w:r>
              <w:rPr>
                <w:rFonts w:hint="eastAsia"/>
                <w:color w:val="auto"/>
                <w:kern w:val="0"/>
                <w:sz w:val="24"/>
                <w:highlight w:val="none"/>
                <w:lang w:eastAsia="zh-CN"/>
              </w:rPr>
              <w:t>新疆昌吉</w:t>
            </w:r>
            <w:r>
              <w:rPr>
                <w:rFonts w:hint="eastAsia"/>
                <w:color w:val="auto"/>
                <w:kern w:val="0"/>
                <w:sz w:val="24"/>
                <w:highlight w:val="none"/>
                <w:lang w:val="en-US" w:eastAsia="zh-CN"/>
              </w:rPr>
              <w:t>木垒县民生工业园区</w:t>
            </w:r>
            <w:r>
              <w:rPr>
                <w:rFonts w:hint="eastAsia"/>
                <w:color w:val="auto"/>
                <w:kern w:val="0"/>
                <w:sz w:val="24"/>
                <w:highlight w:val="none"/>
              </w:rPr>
              <w:t>，</w:t>
            </w:r>
            <w:r>
              <w:rPr>
                <w:rFonts w:hint="eastAsia"/>
                <w:color w:val="auto"/>
                <w:kern w:val="0"/>
                <w:sz w:val="24"/>
                <w:highlight w:val="none"/>
                <w:lang w:val="en-US" w:eastAsia="zh-CN"/>
              </w:rPr>
              <w:t>项目区</w:t>
            </w:r>
            <w:r>
              <w:rPr>
                <w:rFonts w:hint="eastAsia"/>
                <w:color w:val="auto"/>
                <w:kern w:val="0"/>
                <w:sz w:val="24"/>
                <w:highlight w:val="none"/>
              </w:rPr>
              <w:t>南侧</w:t>
            </w:r>
            <w:r>
              <w:rPr>
                <w:rFonts w:hint="eastAsia"/>
                <w:color w:val="auto"/>
                <w:kern w:val="0"/>
                <w:sz w:val="24"/>
                <w:highlight w:val="none"/>
                <w:lang w:val="en-US" w:eastAsia="zh-CN"/>
              </w:rPr>
              <w:t>为湖南安装新疆宁迪动力锂电池项目</w:t>
            </w:r>
            <w:r>
              <w:rPr>
                <w:rFonts w:hint="eastAsia"/>
                <w:color w:val="auto"/>
                <w:kern w:val="0"/>
                <w:sz w:val="24"/>
                <w:highlight w:val="none"/>
              </w:rPr>
              <w:t>，</w:t>
            </w:r>
            <w:r>
              <w:rPr>
                <w:rFonts w:hint="eastAsia"/>
                <w:color w:val="auto"/>
                <w:kern w:val="0"/>
                <w:sz w:val="24"/>
                <w:highlight w:val="none"/>
                <w:lang w:val="en-US" w:eastAsia="zh-CN"/>
              </w:rPr>
              <w:t>西侧为昌吉顺惠信息科技服务有限公司智算中心项目，</w:t>
            </w:r>
            <w:r>
              <w:rPr>
                <w:rFonts w:hint="eastAsia"/>
                <w:color w:val="auto"/>
                <w:kern w:val="0"/>
                <w:sz w:val="24"/>
                <w:highlight w:val="none"/>
              </w:rPr>
              <w:t>北侧为</w:t>
            </w:r>
            <w:r>
              <w:rPr>
                <w:rFonts w:hint="eastAsia"/>
                <w:color w:val="auto"/>
                <w:kern w:val="0"/>
                <w:sz w:val="24"/>
                <w:highlight w:val="none"/>
                <w:lang w:val="en-US" w:eastAsia="zh-CN"/>
              </w:rPr>
              <w:t>空地，</w:t>
            </w:r>
            <w:r>
              <w:rPr>
                <w:rFonts w:hint="eastAsia"/>
                <w:color w:val="auto"/>
                <w:kern w:val="0"/>
                <w:sz w:val="24"/>
                <w:highlight w:val="none"/>
              </w:rPr>
              <w:t>东侧</w:t>
            </w:r>
            <w:r>
              <w:rPr>
                <w:rFonts w:hint="eastAsia"/>
                <w:color w:val="auto"/>
                <w:kern w:val="0"/>
                <w:sz w:val="24"/>
                <w:highlight w:val="none"/>
                <w:lang w:val="en-US" w:eastAsia="zh-CN"/>
              </w:rPr>
              <w:t>为昌吉州泰胜风能风电设备有限公司，东侧偏南为新能源智能制造研发基地项目</w:t>
            </w:r>
            <w:r>
              <w:rPr>
                <w:rFonts w:hint="eastAsia"/>
                <w:color w:val="auto"/>
                <w:kern w:val="0"/>
                <w:sz w:val="24"/>
                <w:highlight w:val="none"/>
              </w:rPr>
              <w:t>。项目区中心地理坐标为</w:t>
            </w:r>
            <w:r>
              <w:rPr>
                <w:rFonts w:hint="default" w:ascii="Times New Roman" w:hAnsi="Times New Roman" w:cs="Times New Roman"/>
                <w:color w:val="auto"/>
                <w:kern w:val="0"/>
                <w:sz w:val="24"/>
                <w:highlight w:val="none"/>
              </w:rPr>
              <w:t>E</w:t>
            </w:r>
            <w:r>
              <w:rPr>
                <w:rFonts w:hint="eastAsia" w:cs="Times New Roman"/>
                <w:color w:val="auto"/>
                <w:kern w:val="0"/>
                <w:sz w:val="24"/>
                <w:highlight w:val="none"/>
                <w:lang w:val="en-US" w:eastAsia="zh-CN"/>
              </w:rPr>
              <w:t>90</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21</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56.400</w:t>
            </w:r>
            <w:r>
              <w:rPr>
                <w:rFonts w:hint="default" w:ascii="Times New Roman" w:hAnsi="Times New Roman" w:cs="Times New Roman"/>
                <w:color w:val="auto"/>
                <w:kern w:val="0"/>
                <w:sz w:val="24"/>
                <w:highlight w:val="none"/>
              </w:rPr>
              <w:t>"，N4</w:t>
            </w:r>
            <w:r>
              <w:rPr>
                <w:rFonts w:hint="eastAsia"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57</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38.056</w:t>
            </w:r>
            <w:r>
              <w:rPr>
                <w:rFonts w:hint="default" w:ascii="Times New Roman" w:hAnsi="Times New Roman" w:cs="Times New Roman"/>
                <w:color w:val="auto"/>
                <w:kern w:val="0"/>
                <w:sz w:val="24"/>
                <w:highlight w:val="none"/>
              </w:rPr>
              <w:t>"</w:t>
            </w:r>
            <w:r>
              <w:rPr>
                <w:rFonts w:hint="eastAsia"/>
                <w:color w:val="auto"/>
                <w:kern w:val="0"/>
                <w:sz w:val="24"/>
                <w:highlight w:val="none"/>
              </w:rPr>
              <w:t>。项目区地理位置图详见图</w:t>
            </w:r>
            <w:r>
              <w:rPr>
                <w:rFonts w:hint="eastAsia"/>
                <w:color w:val="auto"/>
                <w:kern w:val="0"/>
                <w:sz w:val="24"/>
                <w:highlight w:val="none"/>
                <w:lang w:val="en-US" w:eastAsia="zh-CN"/>
              </w:rPr>
              <w:t>2</w:t>
            </w:r>
            <w:r>
              <w:rPr>
                <w:rFonts w:hint="eastAsia"/>
                <w:color w:val="auto"/>
                <w:kern w:val="0"/>
                <w:sz w:val="24"/>
                <w:highlight w:val="none"/>
              </w:rPr>
              <w:t>；项目区周边关系图详见图</w:t>
            </w:r>
            <w:r>
              <w:rPr>
                <w:rFonts w:hint="eastAsia"/>
                <w:color w:val="auto"/>
                <w:kern w:val="0"/>
                <w:sz w:val="24"/>
                <w:highlight w:val="none"/>
                <w:lang w:val="en-US" w:eastAsia="zh-CN"/>
              </w:rPr>
              <w:t>3</w:t>
            </w:r>
            <w:r>
              <w:rPr>
                <w:rFonts w:hint="eastAsia"/>
                <w:color w:val="auto"/>
                <w:kern w:val="0"/>
                <w:sz w:val="24"/>
                <w:highlight w:val="none"/>
              </w:rPr>
              <w:t>。</w:t>
            </w:r>
          </w:p>
          <w:p w14:paraId="16E13E5C">
            <w:pPr>
              <w:tabs>
                <w:tab w:val="center" w:pos="3907"/>
              </w:tabs>
              <w:adjustRightInd w:val="0"/>
              <w:snapToGrid w:val="0"/>
              <w:spacing w:line="520" w:lineRule="exact"/>
              <w:ind w:firstLine="480" w:firstLineChars="200"/>
              <w:rPr>
                <w:color w:val="auto"/>
                <w:kern w:val="0"/>
                <w:sz w:val="24"/>
                <w:highlight w:val="none"/>
              </w:rPr>
            </w:pPr>
            <w:r>
              <w:rPr>
                <w:color w:val="auto"/>
                <w:kern w:val="0"/>
                <w:sz w:val="24"/>
                <w:highlight w:val="none"/>
              </w:rPr>
              <w:t>总投资：</w:t>
            </w:r>
            <w:r>
              <w:rPr>
                <w:rFonts w:hint="eastAsia"/>
                <w:color w:val="auto"/>
                <w:kern w:val="0"/>
                <w:sz w:val="24"/>
                <w:highlight w:val="none"/>
              </w:rPr>
              <w:t>项目总投资</w:t>
            </w:r>
            <w:r>
              <w:rPr>
                <w:rFonts w:hint="eastAsia"/>
                <w:color w:val="auto"/>
                <w:kern w:val="0"/>
                <w:sz w:val="24"/>
                <w:highlight w:val="none"/>
                <w:lang w:val="en-US" w:eastAsia="zh-CN"/>
              </w:rPr>
              <w:t>47081.38</w:t>
            </w:r>
            <w:r>
              <w:rPr>
                <w:color w:val="auto"/>
                <w:kern w:val="0"/>
                <w:sz w:val="24"/>
                <w:highlight w:val="none"/>
              </w:rPr>
              <w:t>万元。</w:t>
            </w:r>
          </w:p>
          <w:p w14:paraId="311CEA4F">
            <w:pPr>
              <w:pStyle w:val="8"/>
              <w:spacing w:line="520" w:lineRule="exact"/>
              <w:rPr>
                <w:color w:val="auto"/>
                <w:highlight w:val="none"/>
              </w:rPr>
            </w:pPr>
            <w:r>
              <w:rPr>
                <w:rFonts w:hint="eastAsia"/>
                <w:color w:val="auto"/>
                <w:highlight w:val="none"/>
              </w:rPr>
              <w:t>2</w:t>
            </w:r>
            <w:r>
              <w:rPr>
                <w:color w:val="auto"/>
                <w:highlight w:val="none"/>
              </w:rPr>
              <w:t>工程建设内容及规模</w:t>
            </w:r>
          </w:p>
          <w:p w14:paraId="408429D5">
            <w:pPr>
              <w:pStyle w:val="42"/>
              <w:spacing w:line="520" w:lineRule="exact"/>
              <w:rPr>
                <w:color w:val="auto"/>
                <w:szCs w:val="32"/>
                <w:highlight w:val="none"/>
              </w:rPr>
            </w:pPr>
            <w:r>
              <w:rPr>
                <w:rFonts w:hint="eastAsia"/>
                <w:color w:val="auto"/>
                <w:szCs w:val="32"/>
                <w:highlight w:val="none"/>
              </w:rPr>
              <w:t>本工程</w:t>
            </w:r>
            <w:r>
              <w:rPr>
                <w:color w:val="auto"/>
                <w:szCs w:val="32"/>
                <w:highlight w:val="none"/>
              </w:rPr>
              <w:t>组成包括主体工程、辅助工程、公用工程、环保工程</w:t>
            </w:r>
            <w:r>
              <w:rPr>
                <w:rFonts w:hint="eastAsia"/>
                <w:color w:val="auto"/>
                <w:szCs w:val="32"/>
                <w:highlight w:val="none"/>
              </w:rPr>
              <w:t>，</w:t>
            </w:r>
            <w:r>
              <w:rPr>
                <w:color w:val="auto"/>
                <w:szCs w:val="32"/>
                <w:highlight w:val="none"/>
              </w:rPr>
              <w:t>建设内容为</w:t>
            </w:r>
            <w:r>
              <w:rPr>
                <w:rFonts w:hint="eastAsia"/>
                <w:color w:val="auto"/>
                <w:szCs w:val="32"/>
                <w:highlight w:val="none"/>
              </w:rPr>
              <w:t>：新建</w:t>
            </w:r>
            <w:r>
              <w:rPr>
                <w:rFonts w:hint="eastAsia"/>
                <w:color w:val="auto"/>
                <w:szCs w:val="32"/>
                <w:highlight w:val="none"/>
                <w:lang w:val="en-US" w:eastAsia="zh-CN"/>
              </w:rPr>
              <w:t>生产车间、预留厂房</w:t>
            </w:r>
            <w:r>
              <w:rPr>
                <w:rFonts w:hint="eastAsia"/>
                <w:color w:val="auto"/>
                <w:szCs w:val="32"/>
                <w:highlight w:val="none"/>
              </w:rPr>
              <w:t>，食堂、办公楼及其他配套设施等，</w:t>
            </w:r>
            <w:r>
              <w:rPr>
                <w:bCs/>
                <w:color w:val="auto"/>
                <w:highlight w:val="none"/>
              </w:rPr>
              <w:t>本项目</w:t>
            </w:r>
            <w:r>
              <w:rPr>
                <w:rFonts w:hint="eastAsia"/>
                <w:color w:val="auto"/>
                <w:szCs w:val="32"/>
                <w:highlight w:val="none"/>
                <w:lang w:val="en-US" w:eastAsia="zh-CN"/>
              </w:rPr>
              <w:t>总占地</w:t>
            </w:r>
            <w:r>
              <w:rPr>
                <w:rFonts w:hint="eastAsia"/>
                <w:color w:val="auto"/>
                <w:szCs w:val="32"/>
                <w:highlight w:val="none"/>
              </w:rPr>
              <w:t>面积</w:t>
            </w:r>
            <w:r>
              <w:rPr>
                <w:rFonts w:hint="eastAsia"/>
                <w:color w:val="auto"/>
                <w:szCs w:val="32"/>
                <w:highlight w:val="none"/>
                <w:lang w:val="en-US" w:eastAsia="zh-CN"/>
              </w:rPr>
              <w:t>为40006m</w:t>
            </w:r>
            <w:r>
              <w:rPr>
                <w:rFonts w:hint="eastAsia"/>
                <w:color w:val="auto"/>
                <w:szCs w:val="32"/>
                <w:highlight w:val="none"/>
                <w:vertAlign w:val="superscript"/>
                <w:lang w:val="en-US" w:eastAsia="zh-CN"/>
              </w:rPr>
              <w:t>2</w:t>
            </w:r>
            <w:r>
              <w:rPr>
                <w:rFonts w:hint="eastAsia"/>
                <w:color w:val="auto"/>
                <w:szCs w:val="32"/>
                <w:highlight w:val="none"/>
                <w:vertAlign w:val="baseline"/>
                <w:lang w:val="en-US" w:eastAsia="zh-CN"/>
              </w:rPr>
              <w:t>（约89.75亩）</w:t>
            </w:r>
            <w:r>
              <w:rPr>
                <w:rFonts w:hint="eastAsia"/>
                <w:color w:val="auto"/>
                <w:szCs w:val="32"/>
                <w:highlight w:val="none"/>
              </w:rPr>
              <w:t>。</w:t>
            </w:r>
          </w:p>
          <w:p w14:paraId="4F86DC2E">
            <w:pPr>
              <w:pStyle w:val="42"/>
              <w:spacing w:line="520" w:lineRule="exact"/>
              <w:rPr>
                <w:rFonts w:hint="eastAsia"/>
                <w:color w:val="auto"/>
                <w:kern w:val="0"/>
                <w:sz w:val="24"/>
                <w:highlight w:val="none"/>
                <w:lang w:val="en-US" w:eastAsia="zh-CN"/>
              </w:rPr>
            </w:pPr>
            <w:r>
              <w:rPr>
                <w:rFonts w:hint="eastAsia"/>
                <w:color w:val="auto"/>
                <w:kern w:val="0"/>
                <w:sz w:val="24"/>
                <w:highlight w:val="none"/>
                <w:lang w:val="en-US" w:eastAsia="zh-CN"/>
              </w:rPr>
              <w:t>根据现场调查，本项目已于2025年4月9日开工建设，建设内容主要是挖掘地基，目前已停止建设，工程建设进度约10%，厂房及办公楼主体均未建设，预计2025年11月全部建设完成，建设周期为9个月。</w:t>
            </w:r>
          </w:p>
          <w:p w14:paraId="6CEDA8B3">
            <w:pPr>
              <w:pStyle w:val="42"/>
              <w:spacing w:line="520" w:lineRule="exact"/>
              <w:rPr>
                <w:rFonts w:hint="default"/>
                <w:color w:val="auto"/>
                <w:kern w:val="0"/>
                <w:sz w:val="24"/>
                <w:highlight w:val="yellow"/>
                <w:lang w:val="en-US" w:eastAsia="zh-CN"/>
              </w:rPr>
            </w:pPr>
            <w:r>
              <w:rPr>
                <w:rFonts w:hint="eastAsia"/>
                <w:color w:val="auto"/>
                <w:kern w:val="0"/>
                <w:sz w:val="24"/>
                <w:highlight w:val="none"/>
                <w:lang w:val="en-US" w:eastAsia="zh-CN"/>
              </w:rPr>
              <w:t>昌吉州生态环境局木垒县分局于2025年4月29日出具《昌吉回族自治州生态环境局行政处罚案件不子立案审批表》，</w:t>
            </w:r>
            <w:r>
              <w:rPr>
                <w:rFonts w:hint="default" w:ascii="Times New Roman" w:hAnsi="Times New Roman" w:cs="Times New Roman"/>
                <w:color w:val="auto"/>
                <w:highlight w:val="none"/>
                <w:lang w:val="en-US" w:eastAsia="zh-CN"/>
              </w:rPr>
              <w:t>该项目属于“未批先建”，检查后企业及时停止建设，违法行为未造成环境污染后果，该行为符合《新疆维吾尔自治区新疆生产建设兵团生态环境部门免于处罚事项清单（2022年版)》免罚事项，对“未批先建”违法行为免予处罚。</w:t>
            </w:r>
          </w:p>
          <w:p w14:paraId="022C0E00">
            <w:pPr>
              <w:pStyle w:val="42"/>
              <w:spacing w:line="520" w:lineRule="exact"/>
              <w:rPr>
                <w:bCs/>
                <w:color w:val="auto"/>
                <w:highlight w:val="none"/>
              </w:rPr>
            </w:pPr>
            <w:r>
              <w:rPr>
                <w:rFonts w:hint="eastAsia"/>
                <w:bCs/>
                <w:color w:val="auto"/>
                <w:highlight w:val="none"/>
                <w:lang w:val="en-US" w:eastAsia="zh-CN"/>
              </w:rPr>
              <w:t>本</w:t>
            </w:r>
            <w:r>
              <w:rPr>
                <w:rFonts w:hint="eastAsia"/>
                <w:bCs/>
                <w:color w:val="auto"/>
                <w:highlight w:val="none"/>
              </w:rPr>
              <w:t>项目设计生产能力为</w:t>
            </w:r>
            <w:r>
              <w:rPr>
                <w:rFonts w:hint="eastAsia"/>
                <w:color w:val="auto"/>
                <w:highlight w:val="none"/>
              </w:rPr>
              <w:t>年</w:t>
            </w:r>
            <w:r>
              <w:rPr>
                <w:rFonts w:hint="eastAsia"/>
                <w:color w:val="auto"/>
                <w:highlight w:val="none"/>
                <w:lang w:val="en-US" w:eastAsia="zh-CN"/>
              </w:rPr>
              <w:t>生产人造金刚石125500克拉</w:t>
            </w:r>
            <w:r>
              <w:rPr>
                <w:rFonts w:hint="eastAsia"/>
                <w:bCs/>
                <w:color w:val="auto"/>
                <w:highlight w:val="none"/>
              </w:rPr>
              <w:t>，项目主要产品为</w:t>
            </w:r>
            <w:r>
              <w:rPr>
                <w:rFonts w:hint="eastAsia"/>
                <w:bCs/>
                <w:color w:val="auto"/>
                <w:highlight w:val="none"/>
                <w:lang w:val="en-US" w:eastAsia="zh-CN"/>
              </w:rPr>
              <w:t>人造金刚石</w:t>
            </w:r>
            <w:r>
              <w:rPr>
                <w:bCs/>
                <w:color w:val="auto"/>
                <w:highlight w:val="none"/>
              </w:rPr>
              <w:t>。</w:t>
            </w:r>
            <w:r>
              <w:rPr>
                <w:color w:val="auto"/>
                <w:highlight w:val="none"/>
              </w:rPr>
              <w:t>项目组成详</w:t>
            </w:r>
            <w:r>
              <w:rPr>
                <w:bCs/>
                <w:color w:val="auto"/>
                <w:highlight w:val="none"/>
              </w:rPr>
              <w:t>见表</w:t>
            </w:r>
            <w:r>
              <w:rPr>
                <w:rFonts w:hint="eastAsia"/>
                <w:bCs/>
                <w:color w:val="auto"/>
                <w:highlight w:val="none"/>
                <w:lang w:val="en-US" w:eastAsia="zh-CN"/>
              </w:rPr>
              <w:t>2-1</w:t>
            </w:r>
            <w:r>
              <w:rPr>
                <w:bCs/>
                <w:color w:val="auto"/>
                <w:highlight w:val="none"/>
              </w:rPr>
              <w:t>。</w:t>
            </w:r>
          </w:p>
          <w:p w14:paraId="3D4E2E7F">
            <w:pPr>
              <w:pStyle w:val="43"/>
              <w:spacing w:line="520" w:lineRule="exact"/>
              <w:ind w:firstLine="422"/>
              <w:rPr>
                <w:rFonts w:hint="default"/>
                <w:color w:val="auto"/>
                <w:highlight w:val="none"/>
              </w:rPr>
            </w:pPr>
            <w:r>
              <w:rPr>
                <w:color w:val="auto"/>
                <w:highlight w:val="none"/>
              </w:rPr>
              <w:t>表</w:t>
            </w:r>
            <w:r>
              <w:rPr>
                <w:rFonts w:hint="eastAsia"/>
                <w:color w:val="auto"/>
                <w:highlight w:val="none"/>
                <w:lang w:val="en-US" w:eastAsia="zh-CN"/>
              </w:rPr>
              <w:t>2-1</w:t>
            </w:r>
            <w:r>
              <w:rPr>
                <w:color w:val="auto"/>
                <w:highlight w:val="none"/>
              </w:rPr>
              <w:t>项目工程组成一览表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402"/>
              <w:gridCol w:w="4694"/>
              <w:gridCol w:w="1065"/>
            </w:tblGrid>
            <w:tr w14:paraId="6E50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Align w:val="center"/>
                </w:tcPr>
                <w:p w14:paraId="53505FD1">
                  <w:pPr>
                    <w:adjustRightInd w:val="0"/>
                    <w:snapToGrid w:val="0"/>
                    <w:spacing w:line="320" w:lineRule="exact"/>
                    <w:jc w:val="center"/>
                    <w:rPr>
                      <w:b/>
                      <w:bCs/>
                      <w:snapToGrid w:val="0"/>
                      <w:color w:val="auto"/>
                      <w:kern w:val="0"/>
                      <w:szCs w:val="21"/>
                      <w:highlight w:val="none"/>
                    </w:rPr>
                  </w:pPr>
                  <w:r>
                    <w:rPr>
                      <w:b/>
                      <w:bCs/>
                      <w:snapToGrid w:val="0"/>
                      <w:color w:val="auto"/>
                      <w:kern w:val="0"/>
                      <w:szCs w:val="21"/>
                      <w:highlight w:val="none"/>
                    </w:rPr>
                    <w:t>类别</w:t>
                  </w:r>
                </w:p>
              </w:tc>
              <w:tc>
                <w:tcPr>
                  <w:tcW w:w="894" w:type="pct"/>
                  <w:vAlign w:val="center"/>
                </w:tcPr>
                <w:p w14:paraId="0301637F">
                  <w:pPr>
                    <w:adjustRightInd w:val="0"/>
                    <w:snapToGrid w:val="0"/>
                    <w:spacing w:line="320" w:lineRule="exact"/>
                    <w:jc w:val="center"/>
                    <w:rPr>
                      <w:b/>
                      <w:bCs/>
                      <w:snapToGrid w:val="0"/>
                      <w:color w:val="auto"/>
                      <w:kern w:val="0"/>
                      <w:szCs w:val="21"/>
                      <w:highlight w:val="none"/>
                    </w:rPr>
                  </w:pPr>
                  <w:r>
                    <w:rPr>
                      <w:b/>
                      <w:bCs/>
                      <w:snapToGrid w:val="0"/>
                      <w:color w:val="auto"/>
                      <w:kern w:val="0"/>
                      <w:szCs w:val="21"/>
                      <w:highlight w:val="none"/>
                    </w:rPr>
                    <w:t>设施名称</w:t>
                  </w:r>
                </w:p>
              </w:tc>
              <w:tc>
                <w:tcPr>
                  <w:tcW w:w="2993" w:type="pct"/>
                  <w:vAlign w:val="center"/>
                </w:tcPr>
                <w:p w14:paraId="25ECB302">
                  <w:pPr>
                    <w:adjustRightInd w:val="0"/>
                    <w:snapToGrid w:val="0"/>
                    <w:spacing w:line="320" w:lineRule="exact"/>
                    <w:jc w:val="center"/>
                    <w:rPr>
                      <w:b/>
                      <w:bCs/>
                      <w:snapToGrid w:val="0"/>
                      <w:color w:val="auto"/>
                      <w:kern w:val="0"/>
                      <w:szCs w:val="21"/>
                      <w:highlight w:val="none"/>
                    </w:rPr>
                  </w:pPr>
                  <w:r>
                    <w:rPr>
                      <w:b/>
                      <w:bCs/>
                      <w:snapToGrid w:val="0"/>
                      <w:color w:val="auto"/>
                      <w:kern w:val="0"/>
                      <w:szCs w:val="21"/>
                      <w:highlight w:val="none"/>
                    </w:rPr>
                    <w:t>工程内容</w:t>
                  </w:r>
                </w:p>
              </w:tc>
              <w:tc>
                <w:tcPr>
                  <w:tcW w:w="679" w:type="pct"/>
                  <w:vAlign w:val="center"/>
                </w:tcPr>
                <w:p w14:paraId="64D88F20">
                  <w:pPr>
                    <w:adjustRightInd w:val="0"/>
                    <w:snapToGrid w:val="0"/>
                    <w:spacing w:line="320" w:lineRule="exact"/>
                    <w:jc w:val="center"/>
                    <w:rPr>
                      <w:rFonts w:hint="default" w:eastAsia="宋体"/>
                      <w:b/>
                      <w:bCs/>
                      <w:snapToGrid w:val="0"/>
                      <w:color w:val="auto"/>
                      <w:kern w:val="0"/>
                      <w:szCs w:val="21"/>
                      <w:highlight w:val="none"/>
                      <w:lang w:val="en-US" w:eastAsia="zh-CN"/>
                    </w:rPr>
                  </w:pPr>
                  <w:r>
                    <w:rPr>
                      <w:rFonts w:hint="eastAsia"/>
                      <w:b/>
                      <w:bCs/>
                      <w:snapToGrid w:val="0"/>
                      <w:color w:val="auto"/>
                      <w:kern w:val="0"/>
                      <w:szCs w:val="21"/>
                      <w:highlight w:val="none"/>
                      <w:lang w:val="en-US" w:eastAsia="zh-CN"/>
                    </w:rPr>
                    <w:t>建设情况</w:t>
                  </w:r>
                </w:p>
              </w:tc>
            </w:tr>
            <w:tr w14:paraId="1A11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restart"/>
                  <w:vAlign w:val="center"/>
                </w:tcPr>
                <w:p w14:paraId="0C81CD79">
                  <w:pPr>
                    <w:adjustRightInd w:val="0"/>
                    <w:snapToGrid w:val="0"/>
                    <w:spacing w:line="320" w:lineRule="exact"/>
                    <w:jc w:val="center"/>
                    <w:rPr>
                      <w:snapToGrid w:val="0"/>
                      <w:color w:val="auto"/>
                      <w:kern w:val="0"/>
                      <w:szCs w:val="21"/>
                      <w:highlight w:val="none"/>
                    </w:rPr>
                  </w:pPr>
                  <w:r>
                    <w:rPr>
                      <w:snapToGrid w:val="0"/>
                      <w:color w:val="auto"/>
                      <w:kern w:val="0"/>
                      <w:szCs w:val="21"/>
                      <w:highlight w:val="none"/>
                    </w:rPr>
                    <w:t>主体工程</w:t>
                  </w:r>
                </w:p>
              </w:tc>
              <w:tc>
                <w:tcPr>
                  <w:tcW w:w="894" w:type="pct"/>
                  <w:vAlign w:val="center"/>
                </w:tcPr>
                <w:p w14:paraId="2A713366">
                  <w:pPr>
                    <w:adjustRightInd w:val="0"/>
                    <w:snapToGrid w:val="0"/>
                    <w:spacing w:line="320" w:lineRule="exact"/>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生产车间</w:t>
                  </w:r>
                </w:p>
              </w:tc>
              <w:tc>
                <w:tcPr>
                  <w:tcW w:w="2993" w:type="pct"/>
                  <w:vAlign w:val="center"/>
                </w:tcPr>
                <w:p w14:paraId="09212517">
                  <w:pPr>
                    <w:adjustRightInd w:val="0"/>
                    <w:snapToGrid w:val="0"/>
                    <w:spacing w:line="320" w:lineRule="exac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新建1栋生产车间，用作金刚石生产线，放置200台MPCVD金刚石生产设备及其附属设备，建筑面积为15425.94</w:t>
                  </w:r>
                  <w:r>
                    <w:rPr>
                      <w:rFonts w:hint="eastAsia" w:hAnsi="宋体"/>
                      <w:snapToGrid w:val="0"/>
                      <w:color w:val="auto"/>
                      <w:szCs w:val="21"/>
                      <w:highlight w:val="none"/>
                    </w:rPr>
                    <w:t>m</w:t>
                  </w:r>
                  <w:r>
                    <w:rPr>
                      <w:rFonts w:hint="eastAsia" w:hAnsi="宋体"/>
                      <w:snapToGrid w:val="0"/>
                      <w:color w:val="auto"/>
                      <w:szCs w:val="21"/>
                      <w:highlight w:val="none"/>
                      <w:vertAlign w:val="superscript"/>
                    </w:rPr>
                    <w:t>2</w:t>
                  </w:r>
                </w:p>
              </w:tc>
              <w:tc>
                <w:tcPr>
                  <w:tcW w:w="679" w:type="pct"/>
                  <w:vAlign w:val="center"/>
                </w:tcPr>
                <w:p w14:paraId="442C8BAC">
                  <w:pPr>
                    <w:adjustRightInd w:val="0"/>
                    <w:snapToGrid w:val="0"/>
                    <w:spacing w:line="320" w:lineRule="exac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挖掘地基完成</w:t>
                  </w:r>
                  <w:r>
                    <w:rPr>
                      <w:rFonts w:hint="default" w:ascii="Times New Roman" w:hAnsi="Times New Roman" w:cs="Times New Roman"/>
                      <w:color w:val="auto"/>
                      <w:highlight w:val="none"/>
                      <w:lang w:val="en-US" w:eastAsia="zh-CN"/>
                    </w:rPr>
                    <w:t>（目前已停止建设）</w:t>
                  </w:r>
                </w:p>
              </w:tc>
            </w:tr>
            <w:tr w14:paraId="6F86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2D59D115">
                  <w:pPr>
                    <w:adjustRightInd w:val="0"/>
                    <w:snapToGrid w:val="0"/>
                    <w:spacing w:line="320" w:lineRule="exact"/>
                    <w:jc w:val="center"/>
                    <w:rPr>
                      <w:snapToGrid w:val="0"/>
                      <w:color w:val="auto"/>
                      <w:kern w:val="0"/>
                      <w:szCs w:val="21"/>
                      <w:highlight w:val="none"/>
                    </w:rPr>
                  </w:pPr>
                </w:p>
              </w:tc>
              <w:tc>
                <w:tcPr>
                  <w:tcW w:w="894" w:type="pct"/>
                  <w:vAlign w:val="center"/>
                </w:tcPr>
                <w:p w14:paraId="02E2FDA1">
                  <w:pPr>
                    <w:adjustRightInd w:val="0"/>
                    <w:snapToGrid w:val="0"/>
                    <w:spacing w:line="320" w:lineRule="exact"/>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预留厂房</w:t>
                  </w:r>
                </w:p>
              </w:tc>
              <w:tc>
                <w:tcPr>
                  <w:tcW w:w="2993" w:type="pct"/>
                  <w:vAlign w:val="center"/>
                </w:tcPr>
                <w:p w14:paraId="4DBFC9E8">
                  <w:pPr>
                    <w:adjustRightInd w:val="0"/>
                    <w:snapToGrid w:val="0"/>
                    <w:spacing w:line="320" w:lineRule="exact"/>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新建1栋预留厂房，为空厂房，建筑面积为6743.1</w:t>
                  </w:r>
                  <w:r>
                    <w:rPr>
                      <w:rFonts w:hint="eastAsia" w:hAnsi="宋体"/>
                      <w:snapToGrid w:val="0"/>
                      <w:color w:val="auto"/>
                      <w:szCs w:val="21"/>
                      <w:highlight w:val="none"/>
                    </w:rPr>
                    <w:t>m</w:t>
                  </w:r>
                  <w:r>
                    <w:rPr>
                      <w:rFonts w:hint="eastAsia" w:hAnsi="宋体"/>
                      <w:snapToGrid w:val="0"/>
                      <w:color w:val="auto"/>
                      <w:szCs w:val="21"/>
                      <w:highlight w:val="none"/>
                      <w:vertAlign w:val="superscript"/>
                    </w:rPr>
                    <w:t>2</w:t>
                  </w:r>
                </w:p>
              </w:tc>
              <w:tc>
                <w:tcPr>
                  <w:tcW w:w="679" w:type="pct"/>
                  <w:vAlign w:val="center"/>
                </w:tcPr>
                <w:p w14:paraId="20E962A7">
                  <w:pPr>
                    <w:adjustRightInd w:val="0"/>
                    <w:snapToGrid w:val="0"/>
                    <w:spacing w:line="320" w:lineRule="exact"/>
                    <w:jc w:val="center"/>
                    <w:rPr>
                      <w:rFonts w:hint="default"/>
                      <w:snapToGrid w:val="0"/>
                      <w:color w:val="auto"/>
                      <w:kern w:val="0"/>
                      <w:szCs w:val="21"/>
                      <w:highlight w:val="none"/>
                      <w:lang w:val="en-US" w:eastAsia="zh-CN"/>
                    </w:rPr>
                  </w:pPr>
                  <w:r>
                    <w:rPr>
                      <w:rFonts w:hint="default" w:ascii="Times New Roman" w:hAnsi="Times New Roman" w:cs="Times New Roman"/>
                      <w:color w:val="auto"/>
                      <w:highlight w:val="none"/>
                      <w:lang w:val="en-US" w:eastAsia="zh-CN"/>
                    </w:rPr>
                    <w:t>未动工</w:t>
                  </w:r>
                </w:p>
              </w:tc>
            </w:tr>
            <w:tr w14:paraId="24BB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restart"/>
                  <w:vAlign w:val="center"/>
                </w:tcPr>
                <w:p w14:paraId="71C50B65">
                  <w:pPr>
                    <w:adjustRightInd w:val="0"/>
                    <w:snapToGrid w:val="0"/>
                    <w:spacing w:line="320" w:lineRule="exact"/>
                    <w:jc w:val="center"/>
                    <w:rPr>
                      <w:snapToGrid w:val="0"/>
                      <w:color w:val="auto"/>
                      <w:kern w:val="0"/>
                      <w:szCs w:val="21"/>
                      <w:highlight w:val="none"/>
                    </w:rPr>
                  </w:pPr>
                  <w:r>
                    <w:rPr>
                      <w:rFonts w:hint="eastAsia"/>
                      <w:snapToGrid w:val="0"/>
                      <w:color w:val="auto"/>
                      <w:kern w:val="0"/>
                      <w:szCs w:val="21"/>
                      <w:highlight w:val="none"/>
                    </w:rPr>
                    <w:t>辅助工程</w:t>
                  </w:r>
                </w:p>
              </w:tc>
              <w:tc>
                <w:tcPr>
                  <w:tcW w:w="894" w:type="pct"/>
                  <w:vAlign w:val="center"/>
                </w:tcPr>
                <w:p w14:paraId="5728A549">
                  <w:pPr>
                    <w:adjustRightInd w:val="0"/>
                    <w:snapToGrid w:val="0"/>
                    <w:spacing w:line="320" w:lineRule="exac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综合办公楼</w:t>
                  </w:r>
                </w:p>
              </w:tc>
              <w:tc>
                <w:tcPr>
                  <w:tcW w:w="2993" w:type="pct"/>
                  <w:vAlign w:val="center"/>
                </w:tcPr>
                <w:p w14:paraId="02CE3C77">
                  <w:pPr>
                    <w:adjustRightInd w:val="0"/>
                    <w:snapToGrid w:val="0"/>
                    <w:spacing w:line="320" w:lineRule="exact"/>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新建1栋办公楼，用作办公人员办公，地下1层，地上3层</w:t>
                  </w:r>
                  <w:r>
                    <w:rPr>
                      <w:rFonts w:hint="eastAsia"/>
                      <w:snapToGrid w:val="0"/>
                      <w:color w:val="auto"/>
                      <w:kern w:val="0"/>
                      <w:szCs w:val="21"/>
                      <w:highlight w:val="none"/>
                    </w:rPr>
                    <w:t>，建筑面积</w:t>
                  </w:r>
                  <w:r>
                    <w:rPr>
                      <w:rFonts w:hint="eastAsia"/>
                      <w:snapToGrid w:val="0"/>
                      <w:color w:val="auto"/>
                      <w:kern w:val="0"/>
                      <w:szCs w:val="21"/>
                      <w:highlight w:val="none"/>
                      <w:lang w:val="en-US" w:eastAsia="zh-CN"/>
                    </w:rPr>
                    <w:t>为3803.66</w:t>
                  </w:r>
                  <w:r>
                    <w:rPr>
                      <w:rFonts w:hint="eastAsia" w:hAnsi="宋体"/>
                      <w:snapToGrid w:val="0"/>
                      <w:color w:val="auto"/>
                      <w:szCs w:val="21"/>
                      <w:highlight w:val="none"/>
                    </w:rPr>
                    <w:t>m</w:t>
                  </w:r>
                  <w:r>
                    <w:rPr>
                      <w:rFonts w:hint="eastAsia" w:hAnsi="宋体"/>
                      <w:snapToGrid w:val="0"/>
                      <w:color w:val="auto"/>
                      <w:szCs w:val="21"/>
                      <w:highlight w:val="none"/>
                      <w:vertAlign w:val="superscript"/>
                    </w:rPr>
                    <w:t>2</w:t>
                  </w:r>
                </w:p>
              </w:tc>
              <w:tc>
                <w:tcPr>
                  <w:tcW w:w="679" w:type="pct"/>
                  <w:vAlign w:val="center"/>
                </w:tcPr>
                <w:p w14:paraId="3D153ED0">
                  <w:pPr>
                    <w:adjustRightInd w:val="0"/>
                    <w:snapToGrid w:val="0"/>
                    <w:spacing w:line="320" w:lineRule="exact"/>
                    <w:jc w:val="center"/>
                    <w:rPr>
                      <w:rFonts w:hint="default" w:eastAsia="宋体"/>
                      <w:snapToGrid w:val="0"/>
                      <w:color w:val="auto"/>
                      <w:kern w:val="0"/>
                      <w:szCs w:val="21"/>
                      <w:highlight w:val="none"/>
                      <w:lang w:val="en-US" w:eastAsia="zh-CN"/>
                    </w:rPr>
                  </w:pPr>
                  <w:r>
                    <w:rPr>
                      <w:rFonts w:hint="default" w:ascii="Times New Roman" w:hAnsi="Times New Roman" w:cs="Times New Roman"/>
                      <w:color w:val="auto"/>
                      <w:highlight w:val="none"/>
                      <w:lang w:val="en-US" w:eastAsia="zh-CN"/>
                    </w:rPr>
                    <w:t>未动工</w:t>
                  </w:r>
                </w:p>
              </w:tc>
            </w:tr>
            <w:tr w14:paraId="3C53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5D3FFAA2">
                  <w:pPr>
                    <w:adjustRightInd w:val="0"/>
                    <w:snapToGrid w:val="0"/>
                    <w:spacing w:line="320" w:lineRule="exact"/>
                    <w:jc w:val="center"/>
                    <w:rPr>
                      <w:rFonts w:hint="eastAsia"/>
                      <w:snapToGrid w:val="0"/>
                      <w:color w:val="auto"/>
                      <w:kern w:val="0"/>
                      <w:szCs w:val="21"/>
                      <w:highlight w:val="none"/>
                    </w:rPr>
                  </w:pPr>
                </w:p>
              </w:tc>
              <w:tc>
                <w:tcPr>
                  <w:tcW w:w="894" w:type="pct"/>
                  <w:vAlign w:val="center"/>
                </w:tcPr>
                <w:p w14:paraId="156A5942">
                  <w:pPr>
                    <w:adjustRightInd w:val="0"/>
                    <w:snapToGrid w:val="0"/>
                    <w:spacing w:line="320" w:lineRule="exact"/>
                    <w:jc w:val="center"/>
                    <w:rPr>
                      <w:rFonts w:hint="default"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食堂</w:t>
                  </w:r>
                </w:p>
              </w:tc>
              <w:tc>
                <w:tcPr>
                  <w:tcW w:w="2993" w:type="pct"/>
                  <w:vAlign w:val="center"/>
                </w:tcPr>
                <w:p w14:paraId="1032E810">
                  <w:pPr>
                    <w:adjustRightInd w:val="0"/>
                    <w:snapToGrid w:val="0"/>
                    <w:spacing w:line="320" w:lineRule="exact"/>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新建1座食堂，解决员工饮食，砖混</w:t>
                  </w:r>
                  <w:r>
                    <w:rPr>
                      <w:rFonts w:hint="eastAsia"/>
                      <w:snapToGrid w:val="0"/>
                      <w:color w:val="auto"/>
                      <w:kern w:val="0"/>
                      <w:szCs w:val="21"/>
                      <w:highlight w:val="none"/>
                    </w:rPr>
                    <w:t>结构，建筑面积</w:t>
                  </w:r>
                  <w:r>
                    <w:rPr>
                      <w:rFonts w:hint="eastAsia"/>
                      <w:snapToGrid w:val="0"/>
                      <w:color w:val="auto"/>
                      <w:kern w:val="0"/>
                      <w:szCs w:val="21"/>
                      <w:highlight w:val="none"/>
                      <w:lang w:val="en-US" w:eastAsia="zh-CN"/>
                    </w:rPr>
                    <w:t>为339.01</w:t>
                  </w:r>
                  <w:r>
                    <w:rPr>
                      <w:rFonts w:hint="eastAsia" w:hAnsi="宋体"/>
                      <w:snapToGrid w:val="0"/>
                      <w:color w:val="auto"/>
                      <w:szCs w:val="21"/>
                      <w:highlight w:val="none"/>
                    </w:rPr>
                    <w:t>m</w:t>
                  </w:r>
                  <w:r>
                    <w:rPr>
                      <w:rFonts w:hint="eastAsia" w:hAnsi="宋体"/>
                      <w:snapToGrid w:val="0"/>
                      <w:color w:val="auto"/>
                      <w:szCs w:val="21"/>
                      <w:highlight w:val="none"/>
                      <w:vertAlign w:val="superscript"/>
                    </w:rPr>
                    <w:t>2</w:t>
                  </w:r>
                </w:p>
              </w:tc>
              <w:tc>
                <w:tcPr>
                  <w:tcW w:w="679" w:type="pct"/>
                  <w:vAlign w:val="center"/>
                </w:tcPr>
                <w:p w14:paraId="47B7837F">
                  <w:pPr>
                    <w:adjustRightInd w:val="0"/>
                    <w:snapToGrid w:val="0"/>
                    <w:spacing w:line="320" w:lineRule="exact"/>
                    <w:jc w:val="center"/>
                    <w:rPr>
                      <w:rFonts w:hint="default"/>
                      <w:snapToGrid w:val="0"/>
                      <w:color w:val="auto"/>
                      <w:kern w:val="0"/>
                      <w:szCs w:val="21"/>
                      <w:highlight w:val="none"/>
                      <w:lang w:val="en-US" w:eastAsia="zh-CN"/>
                    </w:rPr>
                  </w:pPr>
                  <w:r>
                    <w:rPr>
                      <w:rFonts w:hint="eastAsia" w:ascii="Times New Roman" w:hAnsi="Times New Roman" w:cs="Times New Roman"/>
                      <w:color w:val="auto"/>
                      <w:highlight w:val="none"/>
                      <w:lang w:val="en-US" w:eastAsia="zh-CN"/>
                    </w:rPr>
                    <w:t>挖掘地基中（</w:t>
                  </w:r>
                  <w:r>
                    <w:rPr>
                      <w:rFonts w:hint="default" w:ascii="Times New Roman" w:hAnsi="Times New Roman" w:cs="Times New Roman"/>
                      <w:color w:val="auto"/>
                      <w:highlight w:val="none"/>
                      <w:lang w:val="en-US" w:eastAsia="zh-CN"/>
                    </w:rPr>
                    <w:t>目前已停止建设</w:t>
                  </w:r>
                  <w:r>
                    <w:rPr>
                      <w:rFonts w:hint="eastAsia" w:ascii="Times New Roman" w:hAnsi="Times New Roman" w:cs="Times New Roman"/>
                      <w:color w:val="auto"/>
                      <w:highlight w:val="none"/>
                      <w:lang w:val="en-US" w:eastAsia="zh-CN"/>
                    </w:rPr>
                    <w:t>）</w:t>
                  </w:r>
                </w:p>
              </w:tc>
            </w:tr>
            <w:tr w14:paraId="5C22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6F95E2D3">
                  <w:pPr>
                    <w:adjustRightInd w:val="0"/>
                    <w:snapToGrid w:val="0"/>
                    <w:spacing w:line="320" w:lineRule="exact"/>
                    <w:jc w:val="center"/>
                    <w:rPr>
                      <w:rFonts w:hint="eastAsia"/>
                      <w:snapToGrid w:val="0"/>
                      <w:color w:val="auto"/>
                      <w:kern w:val="0"/>
                      <w:szCs w:val="21"/>
                      <w:highlight w:val="none"/>
                    </w:rPr>
                  </w:pPr>
                </w:p>
              </w:tc>
              <w:tc>
                <w:tcPr>
                  <w:tcW w:w="894" w:type="pct"/>
                  <w:vAlign w:val="center"/>
                </w:tcPr>
                <w:p w14:paraId="11E44281">
                  <w:pPr>
                    <w:adjustRightInd w:val="0"/>
                    <w:snapToGrid w:val="0"/>
                    <w:spacing w:line="320" w:lineRule="exact"/>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rPr>
                    <w:t>门卫室</w:t>
                  </w:r>
                </w:p>
              </w:tc>
              <w:tc>
                <w:tcPr>
                  <w:tcW w:w="2993" w:type="pct"/>
                  <w:vAlign w:val="center"/>
                </w:tcPr>
                <w:p w14:paraId="02061085">
                  <w:pPr>
                    <w:adjustRightInd w:val="0"/>
                    <w:snapToGrid w:val="0"/>
                    <w:spacing w:line="320" w:lineRule="exact"/>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新建一间门卫室，用作门卫值班，</w:t>
                  </w:r>
                  <w:r>
                    <w:rPr>
                      <w:rFonts w:hint="eastAsia"/>
                      <w:snapToGrid w:val="0"/>
                      <w:color w:val="auto"/>
                      <w:kern w:val="0"/>
                      <w:szCs w:val="21"/>
                      <w:highlight w:val="none"/>
                    </w:rPr>
                    <w:t>建筑面积</w:t>
                  </w:r>
                  <w:r>
                    <w:rPr>
                      <w:rFonts w:hint="eastAsia"/>
                      <w:snapToGrid w:val="0"/>
                      <w:color w:val="auto"/>
                      <w:szCs w:val="21"/>
                      <w:highlight w:val="none"/>
                      <w:lang w:val="en-US" w:eastAsia="zh-CN"/>
                    </w:rPr>
                    <w:t>12</w:t>
                  </w:r>
                  <w:r>
                    <w:rPr>
                      <w:rFonts w:hint="eastAsia" w:hAnsi="宋体"/>
                      <w:snapToGrid w:val="0"/>
                      <w:color w:val="auto"/>
                      <w:szCs w:val="21"/>
                      <w:highlight w:val="none"/>
                    </w:rPr>
                    <w:t>m</w:t>
                  </w:r>
                  <w:r>
                    <w:rPr>
                      <w:rFonts w:hint="eastAsia" w:hAnsi="宋体"/>
                      <w:snapToGrid w:val="0"/>
                      <w:color w:val="auto"/>
                      <w:szCs w:val="21"/>
                      <w:highlight w:val="none"/>
                      <w:vertAlign w:val="superscript"/>
                    </w:rPr>
                    <w:t>2</w:t>
                  </w:r>
                </w:p>
              </w:tc>
              <w:tc>
                <w:tcPr>
                  <w:tcW w:w="679" w:type="pct"/>
                  <w:vAlign w:val="center"/>
                </w:tcPr>
                <w:p w14:paraId="299DEC2F">
                  <w:pPr>
                    <w:adjustRightInd w:val="0"/>
                    <w:snapToGrid w:val="0"/>
                    <w:spacing w:line="320" w:lineRule="exact"/>
                    <w:jc w:val="center"/>
                    <w:rPr>
                      <w:rFonts w:hint="eastAsia" w:eastAsia="宋体"/>
                      <w:snapToGrid w:val="0"/>
                      <w:color w:val="auto"/>
                      <w:kern w:val="0"/>
                      <w:szCs w:val="21"/>
                      <w:highlight w:val="none"/>
                      <w:lang w:val="en-US" w:eastAsia="zh-CN"/>
                    </w:rPr>
                  </w:pPr>
                  <w:r>
                    <w:rPr>
                      <w:rFonts w:hint="default" w:ascii="Times New Roman" w:hAnsi="Times New Roman" w:cs="Times New Roman"/>
                      <w:color w:val="auto"/>
                      <w:highlight w:val="none"/>
                      <w:lang w:val="en-US" w:eastAsia="zh-CN"/>
                    </w:rPr>
                    <w:t>未动工</w:t>
                  </w:r>
                </w:p>
              </w:tc>
            </w:tr>
            <w:tr w14:paraId="7930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restart"/>
                  <w:vAlign w:val="center"/>
                </w:tcPr>
                <w:p w14:paraId="4C3E51BE">
                  <w:pPr>
                    <w:adjustRightInd w:val="0"/>
                    <w:snapToGrid w:val="0"/>
                    <w:spacing w:line="320" w:lineRule="exact"/>
                    <w:jc w:val="center"/>
                    <w:rPr>
                      <w:snapToGrid w:val="0"/>
                      <w:color w:val="auto"/>
                      <w:kern w:val="0"/>
                      <w:szCs w:val="21"/>
                      <w:highlight w:val="none"/>
                    </w:rPr>
                  </w:pPr>
                  <w:r>
                    <w:rPr>
                      <w:snapToGrid w:val="0"/>
                      <w:color w:val="auto"/>
                      <w:kern w:val="0"/>
                      <w:szCs w:val="21"/>
                      <w:highlight w:val="none"/>
                    </w:rPr>
                    <w:t>公用工程</w:t>
                  </w:r>
                </w:p>
              </w:tc>
              <w:tc>
                <w:tcPr>
                  <w:tcW w:w="894" w:type="pct"/>
                  <w:vAlign w:val="center"/>
                </w:tcPr>
                <w:p w14:paraId="1ED54E76">
                  <w:pPr>
                    <w:adjustRightInd w:val="0"/>
                    <w:snapToGrid w:val="0"/>
                    <w:spacing w:line="240" w:lineRule="exact"/>
                    <w:jc w:val="center"/>
                    <w:rPr>
                      <w:snapToGrid w:val="0"/>
                      <w:color w:val="auto"/>
                      <w:kern w:val="0"/>
                      <w:szCs w:val="21"/>
                      <w:highlight w:val="none"/>
                    </w:rPr>
                  </w:pPr>
                  <w:r>
                    <w:rPr>
                      <w:snapToGrid w:val="0"/>
                      <w:color w:val="auto"/>
                      <w:kern w:val="0"/>
                      <w:szCs w:val="21"/>
                      <w:highlight w:val="none"/>
                    </w:rPr>
                    <w:t>供水</w:t>
                  </w:r>
                </w:p>
              </w:tc>
              <w:tc>
                <w:tcPr>
                  <w:tcW w:w="2993" w:type="pct"/>
                  <w:vAlign w:val="center"/>
                </w:tcPr>
                <w:p w14:paraId="3851B1B2">
                  <w:pPr>
                    <w:adjustRightInd w:val="0"/>
                    <w:snapToGrid w:val="0"/>
                    <w:spacing w:line="320" w:lineRule="exact"/>
                    <w:jc w:val="center"/>
                    <w:rPr>
                      <w:color w:val="auto"/>
                      <w:kern w:val="0"/>
                      <w:szCs w:val="21"/>
                      <w:highlight w:val="none"/>
                    </w:rPr>
                  </w:pPr>
                  <w:r>
                    <w:rPr>
                      <w:rFonts w:hint="eastAsia"/>
                      <w:color w:val="auto"/>
                      <w:kern w:val="0"/>
                      <w:szCs w:val="21"/>
                      <w:highlight w:val="none"/>
                    </w:rPr>
                    <w:t>由</w:t>
                  </w:r>
                  <w:r>
                    <w:rPr>
                      <w:color w:val="auto"/>
                      <w:kern w:val="0"/>
                      <w:szCs w:val="21"/>
                      <w:highlight w:val="none"/>
                    </w:rPr>
                    <w:t>园区</w:t>
                  </w:r>
                  <w:r>
                    <w:rPr>
                      <w:rFonts w:hint="eastAsia"/>
                      <w:color w:val="auto"/>
                      <w:kern w:val="0"/>
                      <w:szCs w:val="21"/>
                      <w:highlight w:val="none"/>
                    </w:rPr>
                    <w:t>供水管网提供</w:t>
                  </w:r>
                </w:p>
              </w:tc>
              <w:tc>
                <w:tcPr>
                  <w:tcW w:w="679" w:type="pct"/>
                  <w:vAlign w:val="center"/>
                </w:tcPr>
                <w:p w14:paraId="5B081384">
                  <w:pPr>
                    <w:adjustRightInd w:val="0"/>
                    <w:snapToGrid w:val="0"/>
                    <w:spacing w:line="320" w:lineRule="exact"/>
                    <w:jc w:val="center"/>
                    <w:rPr>
                      <w:color w:val="auto"/>
                      <w:szCs w:val="21"/>
                      <w:highlight w:val="none"/>
                    </w:rPr>
                  </w:pPr>
                  <w:r>
                    <w:rPr>
                      <w:rFonts w:hint="default" w:ascii="Times New Roman" w:hAnsi="Times New Roman" w:cs="Times New Roman"/>
                      <w:color w:val="auto"/>
                      <w:highlight w:val="none"/>
                      <w:lang w:val="en-US" w:eastAsia="zh-CN"/>
                    </w:rPr>
                    <w:t>未动工</w:t>
                  </w:r>
                </w:p>
              </w:tc>
            </w:tr>
            <w:tr w14:paraId="3F2D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2979FB00">
                  <w:pPr>
                    <w:adjustRightInd w:val="0"/>
                    <w:snapToGrid w:val="0"/>
                    <w:spacing w:line="320" w:lineRule="exact"/>
                    <w:jc w:val="center"/>
                    <w:rPr>
                      <w:snapToGrid w:val="0"/>
                      <w:color w:val="auto"/>
                      <w:kern w:val="0"/>
                      <w:szCs w:val="21"/>
                      <w:highlight w:val="none"/>
                    </w:rPr>
                  </w:pPr>
                </w:p>
              </w:tc>
              <w:tc>
                <w:tcPr>
                  <w:tcW w:w="894" w:type="pct"/>
                  <w:vAlign w:val="center"/>
                </w:tcPr>
                <w:p w14:paraId="6E7EAF2B">
                  <w:pPr>
                    <w:adjustRightInd w:val="0"/>
                    <w:snapToGrid w:val="0"/>
                    <w:spacing w:line="240" w:lineRule="exact"/>
                    <w:jc w:val="center"/>
                    <w:rPr>
                      <w:snapToGrid w:val="0"/>
                      <w:color w:val="auto"/>
                      <w:kern w:val="0"/>
                      <w:szCs w:val="21"/>
                      <w:highlight w:val="none"/>
                    </w:rPr>
                  </w:pPr>
                  <w:r>
                    <w:rPr>
                      <w:snapToGrid w:val="0"/>
                      <w:color w:val="auto"/>
                      <w:kern w:val="0"/>
                      <w:szCs w:val="21"/>
                      <w:highlight w:val="none"/>
                    </w:rPr>
                    <w:t>排水</w:t>
                  </w:r>
                </w:p>
              </w:tc>
              <w:tc>
                <w:tcPr>
                  <w:tcW w:w="2993" w:type="pct"/>
                  <w:vAlign w:val="center"/>
                </w:tcPr>
                <w:p w14:paraId="492B7F95">
                  <w:pPr>
                    <w:adjustRightInd w:val="0"/>
                    <w:snapToGrid w:val="0"/>
                    <w:spacing w:line="320" w:lineRule="exact"/>
                    <w:jc w:val="center"/>
                    <w:rPr>
                      <w:rFonts w:hint="default"/>
                      <w:color w:val="auto"/>
                      <w:kern w:val="0"/>
                      <w:szCs w:val="21"/>
                      <w:highlight w:val="none"/>
                      <w:lang w:val="en-US"/>
                    </w:rPr>
                  </w:pPr>
                  <w:r>
                    <w:rPr>
                      <w:color w:val="auto"/>
                      <w:spacing w:val="9"/>
                    </w:rPr>
                    <w:t>废水</w:t>
                  </w:r>
                  <w:r>
                    <w:rPr>
                      <w:rFonts w:hint="eastAsia"/>
                      <w:color w:val="auto"/>
                      <w:spacing w:val="9"/>
                      <w:lang w:val="en-US" w:eastAsia="zh-CN"/>
                    </w:rPr>
                    <w:t>经隔油池处理后，</w:t>
                  </w:r>
                  <w:r>
                    <w:rPr>
                      <w:color w:val="auto"/>
                      <w:spacing w:val="9"/>
                    </w:rPr>
                    <w:t>排入园区下水管网</w:t>
                  </w:r>
                  <w:r>
                    <w:rPr>
                      <w:rFonts w:hint="eastAsia"/>
                      <w:color w:val="auto"/>
                      <w:szCs w:val="21"/>
                      <w:highlight w:val="none"/>
                      <w:lang w:val="en-US" w:eastAsia="zh-CN"/>
                    </w:rPr>
                    <w:t>，最终进入民生工业园区污水处理厂</w:t>
                  </w:r>
                </w:p>
              </w:tc>
              <w:tc>
                <w:tcPr>
                  <w:tcW w:w="679" w:type="pct"/>
                  <w:vAlign w:val="center"/>
                </w:tcPr>
                <w:p w14:paraId="45B4B987">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r w14:paraId="4D71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47F166B3">
                  <w:pPr>
                    <w:adjustRightInd w:val="0"/>
                    <w:snapToGrid w:val="0"/>
                    <w:spacing w:line="320" w:lineRule="exact"/>
                    <w:jc w:val="center"/>
                    <w:rPr>
                      <w:snapToGrid w:val="0"/>
                      <w:color w:val="auto"/>
                      <w:kern w:val="0"/>
                      <w:szCs w:val="21"/>
                      <w:highlight w:val="none"/>
                    </w:rPr>
                  </w:pPr>
                </w:p>
              </w:tc>
              <w:tc>
                <w:tcPr>
                  <w:tcW w:w="894" w:type="pct"/>
                  <w:vAlign w:val="center"/>
                </w:tcPr>
                <w:p w14:paraId="47EEE36E">
                  <w:pPr>
                    <w:adjustRightInd w:val="0"/>
                    <w:snapToGrid w:val="0"/>
                    <w:spacing w:line="240" w:lineRule="exact"/>
                    <w:jc w:val="center"/>
                    <w:rPr>
                      <w:color w:val="auto"/>
                      <w:szCs w:val="21"/>
                      <w:highlight w:val="none"/>
                    </w:rPr>
                  </w:pPr>
                  <w:r>
                    <w:rPr>
                      <w:snapToGrid w:val="0"/>
                      <w:color w:val="auto"/>
                      <w:kern w:val="0"/>
                      <w:szCs w:val="21"/>
                      <w:highlight w:val="none"/>
                    </w:rPr>
                    <w:t>供电</w:t>
                  </w:r>
                </w:p>
              </w:tc>
              <w:tc>
                <w:tcPr>
                  <w:tcW w:w="2993" w:type="pct"/>
                  <w:vAlign w:val="center"/>
                </w:tcPr>
                <w:p w14:paraId="668B033F">
                  <w:pPr>
                    <w:adjustRightInd w:val="0"/>
                    <w:snapToGrid w:val="0"/>
                    <w:spacing w:line="320" w:lineRule="exact"/>
                    <w:jc w:val="center"/>
                    <w:rPr>
                      <w:color w:val="auto"/>
                      <w:kern w:val="0"/>
                      <w:szCs w:val="21"/>
                      <w:highlight w:val="none"/>
                    </w:rPr>
                  </w:pPr>
                  <w:r>
                    <w:rPr>
                      <w:rFonts w:hint="eastAsia"/>
                      <w:color w:val="auto"/>
                      <w:szCs w:val="21"/>
                      <w:highlight w:val="none"/>
                    </w:rPr>
                    <w:t>由园区</w:t>
                  </w:r>
                  <w:r>
                    <w:rPr>
                      <w:color w:val="auto"/>
                      <w:szCs w:val="21"/>
                      <w:highlight w:val="none"/>
                    </w:rPr>
                    <w:t>供电电网</w:t>
                  </w:r>
                  <w:r>
                    <w:rPr>
                      <w:rFonts w:hint="eastAsia"/>
                      <w:color w:val="auto"/>
                      <w:szCs w:val="21"/>
                      <w:highlight w:val="none"/>
                    </w:rPr>
                    <w:t>接入</w:t>
                  </w:r>
                </w:p>
              </w:tc>
              <w:tc>
                <w:tcPr>
                  <w:tcW w:w="679" w:type="pct"/>
                  <w:vAlign w:val="center"/>
                </w:tcPr>
                <w:p w14:paraId="5807204B">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r w14:paraId="2EDB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19954336">
                  <w:pPr>
                    <w:adjustRightInd w:val="0"/>
                    <w:snapToGrid w:val="0"/>
                    <w:spacing w:line="320" w:lineRule="exact"/>
                    <w:jc w:val="center"/>
                    <w:rPr>
                      <w:snapToGrid w:val="0"/>
                      <w:color w:val="auto"/>
                      <w:kern w:val="0"/>
                      <w:szCs w:val="21"/>
                      <w:highlight w:val="none"/>
                    </w:rPr>
                  </w:pPr>
                </w:p>
              </w:tc>
              <w:tc>
                <w:tcPr>
                  <w:tcW w:w="894" w:type="pct"/>
                  <w:vAlign w:val="center"/>
                </w:tcPr>
                <w:p w14:paraId="71B210CB">
                  <w:pPr>
                    <w:adjustRightInd w:val="0"/>
                    <w:snapToGrid w:val="0"/>
                    <w:spacing w:line="240" w:lineRule="exact"/>
                    <w:jc w:val="center"/>
                    <w:rPr>
                      <w:snapToGrid w:val="0"/>
                      <w:color w:val="auto"/>
                      <w:kern w:val="0"/>
                      <w:szCs w:val="21"/>
                      <w:highlight w:val="none"/>
                    </w:rPr>
                  </w:pPr>
                  <w:r>
                    <w:rPr>
                      <w:rFonts w:hint="eastAsia"/>
                      <w:snapToGrid w:val="0"/>
                      <w:color w:val="auto"/>
                      <w:kern w:val="0"/>
                      <w:szCs w:val="21"/>
                      <w:highlight w:val="none"/>
                    </w:rPr>
                    <w:t>供热</w:t>
                  </w:r>
                </w:p>
              </w:tc>
              <w:tc>
                <w:tcPr>
                  <w:tcW w:w="2993" w:type="pct"/>
                  <w:vAlign w:val="center"/>
                </w:tcPr>
                <w:p w14:paraId="17B05CA0">
                  <w:pPr>
                    <w:adjustRightInd w:val="0"/>
                    <w:snapToGrid w:val="0"/>
                    <w:spacing w:line="240" w:lineRule="exact"/>
                    <w:jc w:val="center"/>
                    <w:rPr>
                      <w:rFonts w:hint="default"/>
                      <w:color w:val="auto"/>
                      <w:szCs w:val="21"/>
                      <w:highlight w:val="none"/>
                      <w:lang w:val="en-US"/>
                    </w:rPr>
                  </w:pPr>
                  <w:r>
                    <w:rPr>
                      <w:rFonts w:hint="eastAsia"/>
                      <w:color w:val="auto"/>
                      <w:szCs w:val="21"/>
                      <w:highlight w:val="none"/>
                    </w:rPr>
                    <w:t>生活</w:t>
                  </w:r>
                  <w:r>
                    <w:rPr>
                      <w:rFonts w:hint="eastAsia"/>
                      <w:color w:val="auto"/>
                      <w:szCs w:val="21"/>
                      <w:highlight w:val="none"/>
                      <w:lang w:val="en-US" w:eastAsia="zh-CN"/>
                    </w:rPr>
                    <w:t>供热均由园区集中供热</w:t>
                  </w:r>
                </w:p>
              </w:tc>
              <w:tc>
                <w:tcPr>
                  <w:tcW w:w="679" w:type="pct"/>
                  <w:vAlign w:val="center"/>
                </w:tcPr>
                <w:p w14:paraId="56809635">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r w14:paraId="0980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restart"/>
                  <w:vAlign w:val="center"/>
                </w:tcPr>
                <w:p w14:paraId="7B7C2DCE">
                  <w:pPr>
                    <w:adjustRightInd w:val="0"/>
                    <w:snapToGrid w:val="0"/>
                    <w:spacing w:line="320" w:lineRule="exact"/>
                    <w:jc w:val="center"/>
                    <w:rPr>
                      <w:snapToGrid w:val="0"/>
                      <w:color w:val="auto"/>
                      <w:kern w:val="0"/>
                      <w:szCs w:val="21"/>
                      <w:highlight w:val="none"/>
                    </w:rPr>
                  </w:pPr>
                  <w:r>
                    <w:rPr>
                      <w:snapToGrid w:val="0"/>
                      <w:color w:val="auto"/>
                      <w:kern w:val="0"/>
                      <w:szCs w:val="21"/>
                      <w:highlight w:val="none"/>
                    </w:rPr>
                    <w:t>环保工程</w:t>
                  </w:r>
                </w:p>
              </w:tc>
              <w:tc>
                <w:tcPr>
                  <w:tcW w:w="894" w:type="pct"/>
                  <w:vAlign w:val="center"/>
                </w:tcPr>
                <w:p w14:paraId="549594BA">
                  <w:pPr>
                    <w:adjustRightInd w:val="0"/>
                    <w:snapToGrid w:val="0"/>
                    <w:spacing w:line="240" w:lineRule="exact"/>
                    <w:jc w:val="center"/>
                    <w:rPr>
                      <w:snapToGrid w:val="0"/>
                      <w:color w:val="auto"/>
                      <w:kern w:val="0"/>
                      <w:szCs w:val="21"/>
                      <w:highlight w:val="none"/>
                    </w:rPr>
                  </w:pPr>
                  <w:r>
                    <w:rPr>
                      <w:snapToGrid w:val="0"/>
                      <w:color w:val="auto"/>
                      <w:kern w:val="0"/>
                      <w:szCs w:val="21"/>
                      <w:highlight w:val="none"/>
                    </w:rPr>
                    <w:t>废水</w:t>
                  </w:r>
                </w:p>
              </w:tc>
              <w:tc>
                <w:tcPr>
                  <w:tcW w:w="2993" w:type="pct"/>
                  <w:vAlign w:val="center"/>
                </w:tcPr>
                <w:p w14:paraId="0FC87AB2">
                  <w:pPr>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项目产生的</w:t>
                  </w:r>
                  <w:r>
                    <w:rPr>
                      <w:color w:val="auto"/>
                      <w:spacing w:val="9"/>
                    </w:rPr>
                    <w:t>废水</w:t>
                  </w:r>
                  <w:r>
                    <w:rPr>
                      <w:rFonts w:hint="eastAsia"/>
                      <w:color w:val="auto"/>
                      <w:spacing w:val="9"/>
                      <w:lang w:val="en-US" w:eastAsia="zh-CN"/>
                    </w:rPr>
                    <w:t>经隔油池处理后，</w:t>
                  </w:r>
                  <w:r>
                    <w:rPr>
                      <w:color w:val="auto"/>
                      <w:spacing w:val="9"/>
                    </w:rPr>
                    <w:t>排至园区下水管网</w:t>
                  </w:r>
                  <w:r>
                    <w:rPr>
                      <w:rFonts w:hint="eastAsia"/>
                      <w:color w:val="auto"/>
                      <w:szCs w:val="21"/>
                      <w:highlight w:val="none"/>
                      <w:lang w:val="en-US" w:eastAsia="zh-CN"/>
                    </w:rPr>
                    <w:t>，最终进入民生工业园区污水处理厂处理</w:t>
                  </w:r>
                </w:p>
              </w:tc>
              <w:tc>
                <w:tcPr>
                  <w:tcW w:w="679" w:type="pct"/>
                  <w:vAlign w:val="center"/>
                </w:tcPr>
                <w:p w14:paraId="7B93ACE9">
                  <w:pPr>
                    <w:adjustRightInd w:val="0"/>
                    <w:snapToGrid w:val="0"/>
                    <w:spacing w:line="320" w:lineRule="exact"/>
                    <w:jc w:val="center"/>
                    <w:rPr>
                      <w:color w:val="auto"/>
                      <w:szCs w:val="21"/>
                      <w:highlight w:val="none"/>
                    </w:rPr>
                  </w:pPr>
                  <w:r>
                    <w:rPr>
                      <w:rFonts w:hint="default" w:ascii="Times New Roman" w:hAnsi="Times New Roman" w:cs="Times New Roman"/>
                      <w:color w:val="auto"/>
                      <w:highlight w:val="none"/>
                      <w:lang w:val="en-US" w:eastAsia="zh-CN"/>
                    </w:rPr>
                    <w:t>未动工</w:t>
                  </w:r>
                </w:p>
              </w:tc>
            </w:tr>
            <w:tr w14:paraId="167E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16536E12">
                  <w:pPr>
                    <w:adjustRightInd w:val="0"/>
                    <w:snapToGrid w:val="0"/>
                    <w:spacing w:line="320" w:lineRule="exact"/>
                    <w:jc w:val="center"/>
                    <w:rPr>
                      <w:snapToGrid w:val="0"/>
                      <w:color w:val="auto"/>
                      <w:kern w:val="0"/>
                      <w:szCs w:val="21"/>
                      <w:highlight w:val="none"/>
                    </w:rPr>
                  </w:pPr>
                </w:p>
              </w:tc>
              <w:tc>
                <w:tcPr>
                  <w:tcW w:w="894" w:type="pct"/>
                  <w:vAlign w:val="center"/>
                </w:tcPr>
                <w:p w14:paraId="565605EE">
                  <w:pPr>
                    <w:adjustRightInd w:val="0"/>
                    <w:snapToGrid w:val="0"/>
                    <w:spacing w:line="240" w:lineRule="exact"/>
                    <w:jc w:val="center"/>
                    <w:rPr>
                      <w:color w:val="auto"/>
                      <w:szCs w:val="21"/>
                      <w:highlight w:val="none"/>
                    </w:rPr>
                  </w:pPr>
                  <w:r>
                    <w:rPr>
                      <w:color w:val="auto"/>
                      <w:szCs w:val="21"/>
                      <w:highlight w:val="none"/>
                    </w:rPr>
                    <w:t>废气</w:t>
                  </w:r>
                </w:p>
              </w:tc>
              <w:tc>
                <w:tcPr>
                  <w:tcW w:w="2993" w:type="pct"/>
                  <w:vAlign w:val="center"/>
                </w:tcPr>
                <w:p w14:paraId="74A8B6C5">
                  <w:pPr>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项目产生的沉积尾气、单质碳颗粒经集气管道收集后由袋式除尘器处理，通过一根15m高排气筒排放。激光切割废气经滤尘袋过滤后经集气管道收集后通过一根15m高排气筒排放；食堂油烟经油烟净化器处理后达标排放</w:t>
                  </w:r>
                </w:p>
              </w:tc>
              <w:tc>
                <w:tcPr>
                  <w:tcW w:w="679" w:type="pct"/>
                  <w:vAlign w:val="center"/>
                </w:tcPr>
                <w:p w14:paraId="2C8F68E9">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r w14:paraId="78C8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2A758D92">
                  <w:pPr>
                    <w:adjustRightInd w:val="0"/>
                    <w:snapToGrid w:val="0"/>
                    <w:spacing w:line="320" w:lineRule="exact"/>
                    <w:jc w:val="center"/>
                    <w:rPr>
                      <w:snapToGrid w:val="0"/>
                      <w:color w:val="auto"/>
                      <w:kern w:val="0"/>
                      <w:szCs w:val="21"/>
                      <w:highlight w:val="none"/>
                    </w:rPr>
                  </w:pPr>
                </w:p>
              </w:tc>
              <w:tc>
                <w:tcPr>
                  <w:tcW w:w="894" w:type="pct"/>
                  <w:vAlign w:val="center"/>
                </w:tcPr>
                <w:p w14:paraId="2574B379">
                  <w:pPr>
                    <w:adjustRightInd w:val="0"/>
                    <w:snapToGrid w:val="0"/>
                    <w:spacing w:line="240" w:lineRule="exact"/>
                    <w:jc w:val="center"/>
                    <w:rPr>
                      <w:color w:val="auto"/>
                      <w:szCs w:val="21"/>
                      <w:highlight w:val="none"/>
                    </w:rPr>
                  </w:pPr>
                  <w:r>
                    <w:rPr>
                      <w:color w:val="auto"/>
                      <w:szCs w:val="21"/>
                      <w:highlight w:val="none"/>
                    </w:rPr>
                    <w:t>噪声</w:t>
                  </w:r>
                </w:p>
              </w:tc>
              <w:tc>
                <w:tcPr>
                  <w:tcW w:w="2993" w:type="pct"/>
                  <w:vAlign w:val="center"/>
                </w:tcPr>
                <w:p w14:paraId="3FECA371">
                  <w:pPr>
                    <w:adjustRightInd w:val="0"/>
                    <w:snapToGrid w:val="0"/>
                    <w:spacing w:line="320" w:lineRule="exact"/>
                    <w:jc w:val="center"/>
                    <w:rPr>
                      <w:color w:val="auto"/>
                      <w:szCs w:val="21"/>
                      <w:highlight w:val="none"/>
                    </w:rPr>
                  </w:pPr>
                  <w:r>
                    <w:rPr>
                      <w:rFonts w:hint="eastAsia"/>
                      <w:color w:val="auto"/>
                      <w:szCs w:val="21"/>
                      <w:highlight w:val="none"/>
                    </w:rPr>
                    <w:t>选用低噪设备、基础减振；合理布局、厂房隔声等</w:t>
                  </w:r>
                </w:p>
              </w:tc>
              <w:tc>
                <w:tcPr>
                  <w:tcW w:w="679" w:type="pct"/>
                  <w:vAlign w:val="center"/>
                </w:tcPr>
                <w:p w14:paraId="1D09BDD0">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r w14:paraId="040B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2" w:type="pct"/>
                  <w:vMerge w:val="continue"/>
                  <w:vAlign w:val="center"/>
                </w:tcPr>
                <w:p w14:paraId="3A44B7F3">
                  <w:pPr>
                    <w:adjustRightInd w:val="0"/>
                    <w:snapToGrid w:val="0"/>
                    <w:spacing w:line="320" w:lineRule="exact"/>
                    <w:jc w:val="center"/>
                    <w:rPr>
                      <w:snapToGrid w:val="0"/>
                      <w:color w:val="auto"/>
                      <w:kern w:val="0"/>
                      <w:szCs w:val="21"/>
                      <w:highlight w:val="none"/>
                    </w:rPr>
                  </w:pPr>
                </w:p>
              </w:tc>
              <w:tc>
                <w:tcPr>
                  <w:tcW w:w="894" w:type="pct"/>
                  <w:vAlign w:val="center"/>
                </w:tcPr>
                <w:p w14:paraId="67F54D44">
                  <w:pPr>
                    <w:adjustRightInd w:val="0"/>
                    <w:snapToGrid w:val="0"/>
                    <w:spacing w:line="240" w:lineRule="exact"/>
                    <w:jc w:val="center"/>
                    <w:rPr>
                      <w:color w:val="auto"/>
                      <w:szCs w:val="21"/>
                      <w:highlight w:val="none"/>
                    </w:rPr>
                  </w:pPr>
                  <w:r>
                    <w:rPr>
                      <w:rFonts w:hint="eastAsia"/>
                      <w:color w:val="auto"/>
                      <w:szCs w:val="21"/>
                      <w:highlight w:val="none"/>
                    </w:rPr>
                    <w:t>固废</w:t>
                  </w:r>
                </w:p>
              </w:tc>
              <w:tc>
                <w:tcPr>
                  <w:tcW w:w="2993" w:type="pct"/>
                  <w:vAlign w:val="center"/>
                </w:tcPr>
                <w:p w14:paraId="4E60CB48">
                  <w:pPr>
                    <w:adjustRightInd w:val="0"/>
                    <w:snapToGrid w:val="0"/>
                    <w:spacing w:line="320" w:lineRule="exact"/>
                    <w:jc w:val="center"/>
                    <w:rPr>
                      <w:rFonts w:hint="default" w:eastAsia="宋体"/>
                      <w:color w:val="auto"/>
                      <w:szCs w:val="21"/>
                      <w:highlight w:val="none"/>
                      <w:lang w:val="en-US" w:eastAsia="zh-CN"/>
                    </w:rPr>
                  </w:pPr>
                  <w:r>
                    <w:rPr>
                      <w:rFonts w:hint="eastAsia"/>
                      <w:color w:val="auto"/>
                      <w:szCs w:val="21"/>
                      <w:highlight w:val="none"/>
                      <w:lang w:val="en-US" w:eastAsia="zh-CN"/>
                    </w:rPr>
                    <w:t>项目产生的切割边角料外售，沉积碳收集后外售。生活垃圾集中收集后由环卫部门清运</w:t>
                  </w:r>
                </w:p>
              </w:tc>
              <w:tc>
                <w:tcPr>
                  <w:tcW w:w="679" w:type="pct"/>
                  <w:vAlign w:val="center"/>
                </w:tcPr>
                <w:p w14:paraId="08586A10">
                  <w:pPr>
                    <w:adjustRightInd w:val="0"/>
                    <w:snapToGrid w:val="0"/>
                    <w:spacing w:line="320" w:lineRule="exact"/>
                    <w:jc w:val="center"/>
                    <w:rPr>
                      <w:snapToGrid w:val="0"/>
                      <w:color w:val="auto"/>
                      <w:kern w:val="0"/>
                      <w:szCs w:val="21"/>
                      <w:highlight w:val="none"/>
                    </w:rPr>
                  </w:pPr>
                  <w:r>
                    <w:rPr>
                      <w:rFonts w:hint="default" w:ascii="Times New Roman" w:hAnsi="Times New Roman" w:cs="Times New Roman"/>
                      <w:color w:val="auto"/>
                      <w:highlight w:val="none"/>
                      <w:lang w:val="en-US" w:eastAsia="zh-CN"/>
                    </w:rPr>
                    <w:t>未动工</w:t>
                  </w:r>
                </w:p>
              </w:tc>
            </w:tr>
          </w:tbl>
          <w:p w14:paraId="539C3EC8">
            <w:pPr>
              <w:adjustRightInd w:val="0"/>
              <w:snapToGrid w:val="0"/>
              <w:spacing w:line="520" w:lineRule="exact"/>
              <w:rPr>
                <w:b/>
                <w:color w:val="auto"/>
                <w:sz w:val="24"/>
                <w:highlight w:val="none"/>
              </w:rPr>
            </w:pPr>
            <w:r>
              <w:rPr>
                <w:rFonts w:hint="eastAsia"/>
                <w:b/>
                <w:color w:val="auto"/>
                <w:sz w:val="24"/>
                <w:highlight w:val="none"/>
              </w:rPr>
              <w:t>3</w:t>
            </w:r>
            <w:r>
              <w:rPr>
                <w:b/>
                <w:color w:val="auto"/>
                <w:sz w:val="24"/>
                <w:highlight w:val="none"/>
              </w:rPr>
              <w:t>主要生产设备</w:t>
            </w:r>
          </w:p>
          <w:p w14:paraId="66E1A760">
            <w:pPr>
              <w:adjustRightInd w:val="0"/>
              <w:snapToGrid w:val="0"/>
              <w:spacing w:line="520" w:lineRule="exact"/>
              <w:ind w:firstLine="480" w:firstLineChars="200"/>
              <w:rPr>
                <w:bCs/>
                <w:color w:val="auto"/>
                <w:sz w:val="24"/>
                <w:highlight w:val="none"/>
              </w:rPr>
            </w:pPr>
            <w:r>
              <w:rPr>
                <w:bCs/>
                <w:color w:val="auto"/>
                <w:sz w:val="24"/>
                <w:highlight w:val="none"/>
              </w:rPr>
              <w:t>本项目选择设备的原则为设备的配套技术与制造技术先进、节能、性能稳定可靠、价格经济合理、适用性强、操作和维修方便。</w:t>
            </w:r>
          </w:p>
          <w:p w14:paraId="7F44E348">
            <w:pPr>
              <w:adjustRightInd w:val="0"/>
              <w:snapToGrid w:val="0"/>
              <w:spacing w:line="520" w:lineRule="exact"/>
              <w:ind w:firstLine="480" w:firstLineChars="200"/>
              <w:rPr>
                <w:bCs/>
                <w:color w:val="auto"/>
                <w:sz w:val="24"/>
                <w:highlight w:val="none"/>
              </w:rPr>
            </w:pPr>
            <w:r>
              <w:rPr>
                <w:bCs/>
                <w:color w:val="auto"/>
                <w:sz w:val="24"/>
                <w:highlight w:val="none"/>
              </w:rPr>
              <w:t>本项目主要生产设备情况见表</w:t>
            </w:r>
            <w:r>
              <w:rPr>
                <w:rFonts w:hint="eastAsia"/>
                <w:bCs/>
                <w:color w:val="auto"/>
                <w:sz w:val="24"/>
                <w:highlight w:val="none"/>
                <w:lang w:val="en-US" w:eastAsia="zh-CN"/>
              </w:rPr>
              <w:t>2-2</w:t>
            </w:r>
            <w:r>
              <w:rPr>
                <w:rFonts w:hint="eastAsia"/>
                <w:bCs/>
                <w:color w:val="auto"/>
                <w:sz w:val="24"/>
                <w:highlight w:val="none"/>
              </w:rPr>
              <w:t>。</w:t>
            </w:r>
          </w:p>
          <w:p w14:paraId="1E3FBCB0">
            <w:pPr>
              <w:pStyle w:val="43"/>
              <w:spacing w:line="520" w:lineRule="exact"/>
              <w:ind w:firstLine="422"/>
              <w:rPr>
                <w:rFonts w:hint="default"/>
                <w:color w:val="auto"/>
                <w:highlight w:val="none"/>
              </w:rPr>
            </w:pPr>
            <w:r>
              <w:rPr>
                <w:color w:val="auto"/>
                <w:highlight w:val="none"/>
              </w:rPr>
              <w:t>表</w:t>
            </w:r>
            <w:r>
              <w:rPr>
                <w:rFonts w:hint="eastAsia"/>
                <w:color w:val="auto"/>
                <w:highlight w:val="none"/>
                <w:lang w:val="en-US" w:eastAsia="zh-CN"/>
              </w:rPr>
              <w:t xml:space="preserve">2-2 </w:t>
            </w:r>
            <w:r>
              <w:rPr>
                <w:color w:val="auto"/>
                <w:highlight w:val="none"/>
              </w:rPr>
              <w:t>项目主要生产设备一览表</w:t>
            </w:r>
          </w:p>
          <w:tbl>
            <w:tblPr>
              <w:tblStyle w:val="29"/>
              <w:tblW w:w="4998" w:type="pct"/>
              <w:jc w:val="center"/>
              <w:tblLayout w:type="autofit"/>
              <w:tblCellMar>
                <w:top w:w="0" w:type="dxa"/>
                <w:left w:w="108" w:type="dxa"/>
                <w:bottom w:w="0" w:type="dxa"/>
                <w:right w:w="108" w:type="dxa"/>
              </w:tblCellMar>
            </w:tblPr>
            <w:tblGrid>
              <w:gridCol w:w="753"/>
              <w:gridCol w:w="2968"/>
              <w:gridCol w:w="2034"/>
              <w:gridCol w:w="934"/>
              <w:gridCol w:w="1159"/>
            </w:tblGrid>
            <w:tr w14:paraId="2123C924">
              <w:tblPrEx>
                <w:tblCellMar>
                  <w:top w:w="0" w:type="dxa"/>
                  <w:left w:w="108" w:type="dxa"/>
                  <w:bottom w:w="0" w:type="dxa"/>
                  <w:right w:w="108" w:type="dxa"/>
                </w:tblCellMar>
              </w:tblPrEx>
              <w:trPr>
                <w:trHeight w:val="1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0E6D4C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944" w:type="pct"/>
                  <w:tcBorders>
                    <w:top w:val="single" w:color="auto" w:sz="4" w:space="0"/>
                    <w:left w:val="nil"/>
                    <w:bottom w:val="single" w:color="auto" w:sz="4" w:space="0"/>
                    <w:right w:val="single" w:color="auto" w:sz="4" w:space="0"/>
                  </w:tcBorders>
                  <w:noWrap w:val="0"/>
                  <w:vAlign w:val="center"/>
                </w:tcPr>
                <w:p w14:paraId="70991A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lang w:val="en-US" w:eastAsia="zh-CN"/>
                    </w:rPr>
                    <w:t>设备</w:t>
                  </w:r>
                  <w:r>
                    <w:rPr>
                      <w:rFonts w:hint="default" w:ascii="Times New Roman" w:hAnsi="Times New Roman" w:eastAsia="宋体" w:cs="Times New Roman"/>
                      <w:b/>
                      <w:bCs/>
                      <w:color w:val="auto"/>
                      <w:sz w:val="21"/>
                      <w:szCs w:val="21"/>
                      <w:highlight w:val="none"/>
                    </w:rPr>
                    <w:t>名称</w:t>
                  </w:r>
                </w:p>
              </w:tc>
              <w:tc>
                <w:tcPr>
                  <w:tcW w:w="1082" w:type="pct"/>
                  <w:tcBorders>
                    <w:top w:val="single" w:color="auto" w:sz="4" w:space="0"/>
                    <w:left w:val="nil"/>
                    <w:bottom w:val="single" w:color="auto" w:sz="4" w:space="0"/>
                    <w:right w:val="single" w:color="auto" w:sz="4" w:space="0"/>
                  </w:tcBorders>
                  <w:noWrap w:val="0"/>
                  <w:vAlign w:val="center"/>
                </w:tcPr>
                <w:p w14:paraId="07305C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bCs/>
                      <w:color w:val="auto"/>
                      <w:sz w:val="21"/>
                      <w:szCs w:val="21"/>
                      <w:highlight w:val="none"/>
                      <w:lang w:val="en-US" w:eastAsia="zh-CN"/>
                    </w:rPr>
                    <w:t>型号</w:t>
                  </w:r>
                </w:p>
              </w:tc>
              <w:tc>
                <w:tcPr>
                  <w:tcW w:w="648" w:type="pct"/>
                  <w:tcBorders>
                    <w:top w:val="single" w:color="auto" w:sz="4" w:space="0"/>
                    <w:left w:val="nil"/>
                    <w:bottom w:val="single" w:color="auto" w:sz="4" w:space="0"/>
                    <w:right w:val="single" w:color="auto" w:sz="4" w:space="0"/>
                  </w:tcBorders>
                  <w:noWrap w:val="0"/>
                  <w:vAlign w:val="center"/>
                </w:tcPr>
                <w:p w14:paraId="19D986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数量</w:t>
                  </w:r>
                </w:p>
              </w:tc>
              <w:tc>
                <w:tcPr>
                  <w:tcW w:w="791" w:type="pct"/>
                  <w:tcBorders>
                    <w:top w:val="single" w:color="auto" w:sz="4" w:space="0"/>
                    <w:left w:val="nil"/>
                    <w:bottom w:val="single" w:color="auto" w:sz="4" w:space="0"/>
                    <w:right w:val="single" w:color="auto" w:sz="4" w:space="0"/>
                  </w:tcBorders>
                  <w:noWrap w:val="0"/>
                  <w:vAlign w:val="center"/>
                </w:tcPr>
                <w:p w14:paraId="19E560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功率</w:t>
                  </w:r>
                </w:p>
              </w:tc>
            </w:tr>
            <w:tr w14:paraId="4D317861">
              <w:tblPrEx>
                <w:tblCellMar>
                  <w:top w:w="0" w:type="dxa"/>
                  <w:left w:w="108" w:type="dxa"/>
                  <w:bottom w:w="0" w:type="dxa"/>
                  <w:right w:w="108" w:type="dxa"/>
                </w:tblCellMar>
              </w:tblPrEx>
              <w:trPr>
                <w:trHeight w:val="1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64F25E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944" w:type="pct"/>
                  <w:tcBorders>
                    <w:top w:val="single" w:color="auto" w:sz="4" w:space="0"/>
                    <w:left w:val="nil"/>
                    <w:bottom w:val="single" w:color="auto" w:sz="4" w:space="0"/>
                    <w:right w:val="single" w:color="auto" w:sz="4" w:space="0"/>
                  </w:tcBorders>
                  <w:noWrap w:val="0"/>
                  <w:vAlign w:val="center"/>
                </w:tcPr>
                <w:p w14:paraId="6F3E46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微波等离子化学气相沉积设备</w:t>
                  </w:r>
                </w:p>
              </w:tc>
              <w:tc>
                <w:tcPr>
                  <w:tcW w:w="1082" w:type="pct"/>
                  <w:tcBorders>
                    <w:top w:val="single" w:color="auto" w:sz="4" w:space="0"/>
                    <w:left w:val="nil"/>
                    <w:bottom w:val="single" w:color="auto" w:sz="4" w:space="0"/>
                    <w:right w:val="single" w:color="auto" w:sz="4" w:space="0"/>
                  </w:tcBorders>
                  <w:noWrap w:val="0"/>
                  <w:vAlign w:val="center"/>
                </w:tcPr>
                <w:p w14:paraId="608DB6D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W-150ZS</w:t>
                  </w:r>
                </w:p>
              </w:tc>
              <w:tc>
                <w:tcPr>
                  <w:tcW w:w="648" w:type="pct"/>
                  <w:tcBorders>
                    <w:top w:val="single" w:color="auto" w:sz="4" w:space="0"/>
                    <w:left w:val="nil"/>
                    <w:bottom w:val="single" w:color="auto" w:sz="4" w:space="0"/>
                    <w:right w:val="single" w:color="auto" w:sz="4" w:space="0"/>
                  </w:tcBorders>
                  <w:noWrap w:val="0"/>
                  <w:vAlign w:val="center"/>
                </w:tcPr>
                <w:p w14:paraId="31EA7C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200台</w:t>
                  </w:r>
                </w:p>
              </w:tc>
              <w:tc>
                <w:tcPr>
                  <w:tcW w:w="791" w:type="pct"/>
                  <w:tcBorders>
                    <w:top w:val="single" w:color="auto" w:sz="4" w:space="0"/>
                    <w:left w:val="nil"/>
                    <w:bottom w:val="single" w:color="auto" w:sz="4" w:space="0"/>
                    <w:right w:val="single" w:color="auto" w:sz="4" w:space="0"/>
                  </w:tcBorders>
                  <w:noWrap w:val="0"/>
                  <w:vAlign w:val="center"/>
                </w:tcPr>
                <w:p w14:paraId="23E010F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12KW</w:t>
                  </w:r>
                </w:p>
              </w:tc>
            </w:tr>
            <w:tr w14:paraId="37BE119D">
              <w:tblPrEx>
                <w:tblCellMar>
                  <w:top w:w="0" w:type="dxa"/>
                  <w:left w:w="108" w:type="dxa"/>
                  <w:bottom w:w="0" w:type="dxa"/>
                  <w:right w:w="108" w:type="dxa"/>
                </w:tblCellMar>
              </w:tblPrEx>
              <w:trPr>
                <w:trHeight w:val="1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4CA827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944" w:type="pct"/>
                  <w:tcBorders>
                    <w:top w:val="single" w:color="auto" w:sz="4" w:space="0"/>
                    <w:left w:val="nil"/>
                    <w:bottom w:val="single" w:color="auto" w:sz="4" w:space="0"/>
                    <w:right w:val="single" w:color="auto" w:sz="4" w:space="0"/>
                  </w:tcBorders>
                  <w:noWrap w:val="0"/>
                  <w:vAlign w:val="center"/>
                </w:tcPr>
                <w:p w14:paraId="41C9A4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激光切割机</w:t>
                  </w:r>
                </w:p>
              </w:tc>
              <w:tc>
                <w:tcPr>
                  <w:tcW w:w="1082" w:type="pct"/>
                  <w:tcBorders>
                    <w:top w:val="single" w:color="auto" w:sz="4" w:space="0"/>
                    <w:left w:val="nil"/>
                    <w:bottom w:val="single" w:color="auto" w:sz="4" w:space="0"/>
                    <w:right w:val="single" w:color="auto" w:sz="4" w:space="0"/>
                  </w:tcBorders>
                  <w:noWrap w:val="0"/>
                  <w:vAlign w:val="center"/>
                </w:tcPr>
                <w:p w14:paraId="08E702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SY-CVD11E</w:t>
                  </w:r>
                </w:p>
              </w:tc>
              <w:tc>
                <w:tcPr>
                  <w:tcW w:w="648" w:type="pct"/>
                  <w:tcBorders>
                    <w:top w:val="single" w:color="auto" w:sz="4" w:space="0"/>
                    <w:left w:val="nil"/>
                    <w:bottom w:val="single" w:color="auto" w:sz="4" w:space="0"/>
                    <w:right w:val="single" w:color="auto" w:sz="4" w:space="0"/>
                  </w:tcBorders>
                  <w:noWrap w:val="0"/>
                  <w:vAlign w:val="center"/>
                </w:tcPr>
                <w:p w14:paraId="7A7402F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66台</w:t>
                  </w:r>
                </w:p>
              </w:tc>
              <w:tc>
                <w:tcPr>
                  <w:tcW w:w="791" w:type="pct"/>
                  <w:tcBorders>
                    <w:top w:val="single" w:color="auto" w:sz="4" w:space="0"/>
                    <w:left w:val="nil"/>
                    <w:bottom w:val="single" w:color="auto" w:sz="4" w:space="0"/>
                    <w:right w:val="single" w:color="auto" w:sz="4" w:space="0"/>
                  </w:tcBorders>
                  <w:noWrap w:val="0"/>
                  <w:vAlign w:val="center"/>
                </w:tcPr>
                <w:p w14:paraId="3EC225D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3KW</w:t>
                  </w:r>
                </w:p>
              </w:tc>
            </w:tr>
            <w:tr w14:paraId="7BC4B087">
              <w:tblPrEx>
                <w:tblCellMar>
                  <w:top w:w="0" w:type="dxa"/>
                  <w:left w:w="108" w:type="dxa"/>
                  <w:bottom w:w="0" w:type="dxa"/>
                  <w:right w:w="108" w:type="dxa"/>
                </w:tblCellMar>
              </w:tblPrEx>
              <w:trPr>
                <w:trHeight w:val="1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017BAB6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1944" w:type="pct"/>
                  <w:tcBorders>
                    <w:top w:val="single" w:color="auto" w:sz="4" w:space="0"/>
                    <w:left w:val="nil"/>
                    <w:bottom w:val="single" w:color="auto" w:sz="4" w:space="0"/>
                    <w:right w:val="single" w:color="auto" w:sz="4" w:space="0"/>
                  </w:tcBorders>
                  <w:noWrap w:val="0"/>
                  <w:vAlign w:val="center"/>
                </w:tcPr>
                <w:p w14:paraId="57B6EA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抛光机</w:t>
                  </w:r>
                </w:p>
              </w:tc>
              <w:tc>
                <w:tcPr>
                  <w:tcW w:w="1082" w:type="pct"/>
                  <w:tcBorders>
                    <w:top w:val="single" w:color="auto" w:sz="4" w:space="0"/>
                    <w:left w:val="nil"/>
                    <w:bottom w:val="single" w:color="auto" w:sz="4" w:space="0"/>
                    <w:right w:val="single" w:color="auto" w:sz="4" w:space="0"/>
                  </w:tcBorders>
                  <w:noWrap w:val="0"/>
                  <w:vAlign w:val="center"/>
                </w:tcPr>
                <w:p w14:paraId="4D3EB2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ZD-300</w:t>
                  </w:r>
                </w:p>
              </w:tc>
              <w:tc>
                <w:tcPr>
                  <w:tcW w:w="648" w:type="pct"/>
                  <w:tcBorders>
                    <w:top w:val="single" w:color="auto" w:sz="4" w:space="0"/>
                    <w:left w:val="nil"/>
                    <w:bottom w:val="single" w:color="auto" w:sz="4" w:space="0"/>
                    <w:right w:val="single" w:color="auto" w:sz="4" w:space="0"/>
                  </w:tcBorders>
                  <w:noWrap w:val="0"/>
                  <w:vAlign w:val="center"/>
                </w:tcPr>
                <w:p w14:paraId="495962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20台</w:t>
                  </w:r>
                </w:p>
              </w:tc>
              <w:tc>
                <w:tcPr>
                  <w:tcW w:w="791" w:type="pct"/>
                  <w:tcBorders>
                    <w:top w:val="single" w:color="auto" w:sz="4" w:space="0"/>
                    <w:left w:val="nil"/>
                    <w:bottom w:val="single" w:color="auto" w:sz="4" w:space="0"/>
                    <w:right w:val="single" w:color="auto" w:sz="4" w:space="0"/>
                  </w:tcBorders>
                  <w:noWrap w:val="0"/>
                  <w:vAlign w:val="center"/>
                </w:tcPr>
                <w:p w14:paraId="3E25CF7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A1536C8">
              <w:tblPrEx>
                <w:tblCellMar>
                  <w:top w:w="0" w:type="dxa"/>
                  <w:left w:w="108" w:type="dxa"/>
                  <w:bottom w:w="0" w:type="dxa"/>
                  <w:right w:w="108" w:type="dxa"/>
                </w:tblCellMar>
              </w:tblPrEx>
              <w:trPr>
                <w:trHeight w:val="112" w:hRule="atLeast"/>
                <w:jc w:val="center"/>
              </w:trPr>
              <w:tc>
                <w:tcPr>
                  <w:tcW w:w="533" w:type="pct"/>
                  <w:tcBorders>
                    <w:top w:val="nil"/>
                    <w:left w:val="single" w:color="auto" w:sz="4" w:space="0"/>
                    <w:bottom w:val="single" w:color="auto" w:sz="4" w:space="0"/>
                    <w:right w:val="single" w:color="auto" w:sz="4" w:space="0"/>
                  </w:tcBorders>
                  <w:noWrap w:val="0"/>
                  <w:vAlign w:val="center"/>
                </w:tcPr>
                <w:p w14:paraId="6AB4A15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1944" w:type="pct"/>
                  <w:tcBorders>
                    <w:top w:val="nil"/>
                    <w:left w:val="nil"/>
                    <w:bottom w:val="single" w:color="auto" w:sz="4" w:space="0"/>
                    <w:right w:val="single" w:color="auto" w:sz="4" w:space="0"/>
                  </w:tcBorders>
                  <w:noWrap w:val="0"/>
                  <w:vAlign w:val="center"/>
                </w:tcPr>
                <w:p w14:paraId="62FA45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水冷螺杆式冷水机组</w:t>
                  </w:r>
                </w:p>
              </w:tc>
              <w:tc>
                <w:tcPr>
                  <w:tcW w:w="1082" w:type="pct"/>
                  <w:tcBorders>
                    <w:top w:val="nil"/>
                    <w:left w:val="nil"/>
                    <w:bottom w:val="single" w:color="auto" w:sz="4" w:space="0"/>
                    <w:right w:val="single" w:color="auto" w:sz="4" w:space="0"/>
                  </w:tcBorders>
                  <w:noWrap/>
                  <w:vAlign w:val="center"/>
                </w:tcPr>
                <w:p w14:paraId="53A3A29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SXB500MHV</w:t>
                  </w:r>
                </w:p>
              </w:tc>
              <w:tc>
                <w:tcPr>
                  <w:tcW w:w="648" w:type="pct"/>
                  <w:tcBorders>
                    <w:top w:val="nil"/>
                    <w:left w:val="nil"/>
                    <w:bottom w:val="single" w:color="auto" w:sz="4" w:space="0"/>
                    <w:right w:val="single" w:color="auto" w:sz="4" w:space="0"/>
                  </w:tcBorders>
                  <w:noWrap/>
                  <w:vAlign w:val="center"/>
                </w:tcPr>
                <w:p w14:paraId="37A716F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3套</w:t>
                  </w:r>
                </w:p>
              </w:tc>
              <w:tc>
                <w:tcPr>
                  <w:tcW w:w="791" w:type="pct"/>
                  <w:tcBorders>
                    <w:top w:val="nil"/>
                    <w:left w:val="nil"/>
                    <w:bottom w:val="single" w:color="auto" w:sz="4" w:space="0"/>
                    <w:right w:val="single" w:color="auto" w:sz="4" w:space="0"/>
                  </w:tcBorders>
                  <w:noWrap/>
                  <w:vAlign w:val="center"/>
                </w:tcPr>
                <w:p w14:paraId="162F0B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9259D68">
              <w:tblPrEx>
                <w:tblCellMar>
                  <w:top w:w="0" w:type="dxa"/>
                  <w:left w:w="108" w:type="dxa"/>
                  <w:bottom w:w="0" w:type="dxa"/>
                  <w:right w:w="108" w:type="dxa"/>
                </w:tblCellMar>
              </w:tblPrEx>
              <w:trPr>
                <w:trHeight w:val="90" w:hRule="atLeast"/>
                <w:jc w:val="center"/>
              </w:trPr>
              <w:tc>
                <w:tcPr>
                  <w:tcW w:w="533" w:type="pct"/>
                  <w:tcBorders>
                    <w:top w:val="nil"/>
                    <w:left w:val="single" w:color="auto" w:sz="4" w:space="0"/>
                    <w:bottom w:val="single" w:color="auto" w:sz="4" w:space="0"/>
                    <w:right w:val="single" w:color="auto" w:sz="4" w:space="0"/>
                  </w:tcBorders>
                  <w:noWrap w:val="0"/>
                  <w:vAlign w:val="center"/>
                </w:tcPr>
                <w:p w14:paraId="216521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944" w:type="pct"/>
                  <w:tcBorders>
                    <w:top w:val="nil"/>
                    <w:left w:val="nil"/>
                    <w:bottom w:val="single" w:color="auto" w:sz="4" w:space="0"/>
                    <w:right w:val="single" w:color="auto" w:sz="4" w:space="0"/>
                  </w:tcBorders>
                  <w:noWrap/>
                  <w:vAlign w:val="center"/>
                </w:tcPr>
                <w:p w14:paraId="5BFDBDA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空压机</w:t>
                  </w:r>
                </w:p>
              </w:tc>
              <w:tc>
                <w:tcPr>
                  <w:tcW w:w="1082" w:type="pct"/>
                  <w:tcBorders>
                    <w:top w:val="nil"/>
                    <w:left w:val="nil"/>
                    <w:bottom w:val="single" w:color="auto" w:sz="4" w:space="0"/>
                    <w:right w:val="single" w:color="auto" w:sz="4" w:space="0"/>
                  </w:tcBorders>
                  <w:noWrap/>
                  <w:vAlign w:val="center"/>
                </w:tcPr>
                <w:p w14:paraId="0F39BC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RM90n-A</w:t>
                  </w:r>
                </w:p>
              </w:tc>
              <w:tc>
                <w:tcPr>
                  <w:tcW w:w="648" w:type="pct"/>
                  <w:tcBorders>
                    <w:top w:val="nil"/>
                    <w:left w:val="nil"/>
                    <w:bottom w:val="single" w:color="auto" w:sz="4" w:space="0"/>
                    <w:right w:val="single" w:color="auto" w:sz="4" w:space="0"/>
                  </w:tcBorders>
                  <w:noWrap/>
                  <w:vAlign w:val="center"/>
                </w:tcPr>
                <w:p w14:paraId="39B96E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w:t>
                  </w:r>
                  <w:r>
                    <w:rPr>
                      <w:rFonts w:hint="eastAsia" w:cs="Times New Roman"/>
                      <w:color w:val="auto"/>
                      <w:sz w:val="21"/>
                      <w:szCs w:val="21"/>
                      <w:highlight w:val="none"/>
                      <w:lang w:val="en-US" w:eastAsia="zh-CN"/>
                    </w:rPr>
                    <w:t>套</w:t>
                  </w:r>
                </w:p>
              </w:tc>
              <w:tc>
                <w:tcPr>
                  <w:tcW w:w="791" w:type="pct"/>
                  <w:tcBorders>
                    <w:top w:val="nil"/>
                    <w:left w:val="nil"/>
                    <w:bottom w:val="single" w:color="auto" w:sz="4" w:space="0"/>
                    <w:right w:val="single" w:color="auto" w:sz="4" w:space="0"/>
                  </w:tcBorders>
                  <w:noWrap w:val="0"/>
                  <w:vAlign w:val="center"/>
                </w:tcPr>
                <w:p w14:paraId="2433AA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6B81091">
              <w:tblPrEx>
                <w:tblCellMar>
                  <w:top w:w="0" w:type="dxa"/>
                  <w:left w:w="108" w:type="dxa"/>
                  <w:bottom w:w="0" w:type="dxa"/>
                  <w:right w:w="108" w:type="dxa"/>
                </w:tblCellMar>
              </w:tblPrEx>
              <w:trPr>
                <w:trHeight w:val="90" w:hRule="atLeast"/>
                <w:jc w:val="center"/>
              </w:trPr>
              <w:tc>
                <w:tcPr>
                  <w:tcW w:w="533" w:type="pct"/>
                  <w:tcBorders>
                    <w:top w:val="nil"/>
                    <w:left w:val="single" w:color="auto" w:sz="4" w:space="0"/>
                    <w:bottom w:val="single" w:color="auto" w:sz="4" w:space="0"/>
                    <w:right w:val="single" w:color="auto" w:sz="4" w:space="0"/>
                  </w:tcBorders>
                  <w:noWrap w:val="0"/>
                  <w:vAlign w:val="center"/>
                </w:tcPr>
                <w:p w14:paraId="470A3D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1944" w:type="pct"/>
                  <w:tcBorders>
                    <w:top w:val="nil"/>
                    <w:left w:val="nil"/>
                    <w:bottom w:val="single" w:color="auto" w:sz="4" w:space="0"/>
                    <w:right w:val="single" w:color="auto" w:sz="4" w:space="0"/>
                  </w:tcBorders>
                  <w:noWrap/>
                  <w:vAlign w:val="center"/>
                </w:tcPr>
                <w:p w14:paraId="262833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新风机</w:t>
                  </w:r>
                </w:p>
              </w:tc>
              <w:tc>
                <w:tcPr>
                  <w:tcW w:w="1082" w:type="pct"/>
                  <w:tcBorders>
                    <w:top w:val="nil"/>
                    <w:left w:val="nil"/>
                    <w:bottom w:val="single" w:color="auto" w:sz="4" w:space="0"/>
                    <w:right w:val="single" w:color="auto" w:sz="4" w:space="0"/>
                  </w:tcBorders>
                  <w:noWrap/>
                  <w:vAlign w:val="center"/>
                </w:tcPr>
                <w:p w14:paraId="31ACC7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FXMFP280AB</w:t>
                  </w:r>
                </w:p>
              </w:tc>
              <w:tc>
                <w:tcPr>
                  <w:tcW w:w="648" w:type="pct"/>
                  <w:tcBorders>
                    <w:top w:val="nil"/>
                    <w:left w:val="nil"/>
                    <w:bottom w:val="single" w:color="auto" w:sz="4" w:space="0"/>
                    <w:right w:val="single" w:color="auto" w:sz="4" w:space="0"/>
                  </w:tcBorders>
                  <w:noWrap/>
                  <w:vAlign w:val="center"/>
                </w:tcPr>
                <w:p w14:paraId="6A3DD5C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3套</w:t>
                  </w:r>
                </w:p>
              </w:tc>
              <w:tc>
                <w:tcPr>
                  <w:tcW w:w="791" w:type="pct"/>
                  <w:tcBorders>
                    <w:top w:val="nil"/>
                    <w:left w:val="nil"/>
                    <w:bottom w:val="single" w:color="auto" w:sz="4" w:space="0"/>
                    <w:right w:val="single" w:color="auto" w:sz="4" w:space="0"/>
                  </w:tcBorders>
                  <w:noWrap/>
                  <w:vAlign w:val="center"/>
                </w:tcPr>
                <w:p w14:paraId="19ADC09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B3306D9">
              <w:tblPrEx>
                <w:tblCellMar>
                  <w:top w:w="0" w:type="dxa"/>
                  <w:left w:w="108" w:type="dxa"/>
                  <w:bottom w:w="0" w:type="dxa"/>
                  <w:right w:w="108" w:type="dxa"/>
                </w:tblCellMar>
              </w:tblPrEx>
              <w:trPr>
                <w:trHeight w:val="160" w:hRule="atLeast"/>
                <w:jc w:val="center"/>
              </w:trPr>
              <w:tc>
                <w:tcPr>
                  <w:tcW w:w="533" w:type="pct"/>
                  <w:tcBorders>
                    <w:top w:val="nil"/>
                    <w:left w:val="single" w:color="auto" w:sz="4" w:space="0"/>
                    <w:bottom w:val="single" w:color="auto" w:sz="4" w:space="0"/>
                    <w:right w:val="single" w:color="auto" w:sz="4" w:space="0"/>
                  </w:tcBorders>
                  <w:noWrap w:val="0"/>
                  <w:vAlign w:val="center"/>
                </w:tcPr>
                <w:p w14:paraId="4DD559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1944" w:type="pct"/>
                  <w:tcBorders>
                    <w:top w:val="nil"/>
                    <w:left w:val="nil"/>
                    <w:bottom w:val="single" w:color="auto" w:sz="4" w:space="0"/>
                    <w:right w:val="single" w:color="auto" w:sz="4" w:space="0"/>
                  </w:tcBorders>
                  <w:noWrap w:val="0"/>
                  <w:vAlign w:val="center"/>
                </w:tcPr>
                <w:p w14:paraId="51F532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变压器</w:t>
                  </w:r>
                </w:p>
              </w:tc>
              <w:tc>
                <w:tcPr>
                  <w:tcW w:w="1082" w:type="pct"/>
                  <w:tcBorders>
                    <w:top w:val="nil"/>
                    <w:left w:val="nil"/>
                    <w:bottom w:val="single" w:color="auto" w:sz="4" w:space="0"/>
                    <w:right w:val="single" w:color="auto" w:sz="4" w:space="0"/>
                  </w:tcBorders>
                  <w:noWrap/>
                  <w:vAlign w:val="center"/>
                </w:tcPr>
                <w:p w14:paraId="23E5B9F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SCB14-2000kVA/10-</w:t>
                  </w:r>
                </w:p>
                <w:p w14:paraId="1E10E26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NX2</w:t>
                  </w:r>
                </w:p>
              </w:tc>
              <w:tc>
                <w:tcPr>
                  <w:tcW w:w="648" w:type="pct"/>
                  <w:tcBorders>
                    <w:top w:val="nil"/>
                    <w:left w:val="nil"/>
                    <w:bottom w:val="single" w:color="auto" w:sz="4" w:space="0"/>
                    <w:right w:val="single" w:color="auto" w:sz="4" w:space="0"/>
                  </w:tcBorders>
                  <w:noWrap/>
                  <w:vAlign w:val="center"/>
                </w:tcPr>
                <w:p w14:paraId="3E55D90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6台</w:t>
                  </w:r>
                </w:p>
              </w:tc>
              <w:tc>
                <w:tcPr>
                  <w:tcW w:w="791" w:type="pct"/>
                  <w:tcBorders>
                    <w:top w:val="nil"/>
                    <w:left w:val="nil"/>
                    <w:bottom w:val="single" w:color="auto" w:sz="4" w:space="0"/>
                    <w:right w:val="single" w:color="auto" w:sz="4" w:space="0"/>
                  </w:tcBorders>
                  <w:noWrap/>
                  <w:vAlign w:val="center"/>
                </w:tcPr>
                <w:p w14:paraId="68E16BA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bl>
          <w:p w14:paraId="7EBDD26B">
            <w:pPr>
              <w:adjustRightInd w:val="0"/>
              <w:snapToGrid w:val="0"/>
              <w:spacing w:line="520" w:lineRule="exact"/>
              <w:rPr>
                <w:b/>
                <w:color w:val="auto"/>
                <w:sz w:val="24"/>
                <w:highlight w:val="none"/>
              </w:rPr>
            </w:pPr>
            <w:r>
              <w:rPr>
                <w:rFonts w:hint="eastAsia"/>
                <w:b/>
                <w:color w:val="auto"/>
                <w:sz w:val="24"/>
                <w:highlight w:val="none"/>
              </w:rPr>
              <w:t>4</w:t>
            </w:r>
            <w:r>
              <w:rPr>
                <w:b/>
                <w:color w:val="auto"/>
                <w:sz w:val="24"/>
                <w:highlight w:val="none"/>
              </w:rPr>
              <w:t>主要原材料消耗情况</w:t>
            </w:r>
          </w:p>
          <w:p w14:paraId="088AB8E9">
            <w:pPr>
              <w:pStyle w:val="46"/>
              <w:spacing w:line="520" w:lineRule="exact"/>
              <w:ind w:firstLine="480"/>
              <w:rPr>
                <w:color w:val="auto"/>
                <w:highlight w:val="none"/>
              </w:rPr>
            </w:pPr>
            <w:r>
              <w:rPr>
                <w:rFonts w:hint="eastAsia"/>
                <w:color w:val="auto"/>
                <w:highlight w:val="none"/>
              </w:rPr>
              <w:t>（1）主要原辅材料用量</w:t>
            </w:r>
          </w:p>
          <w:p w14:paraId="709DE7A8">
            <w:pPr>
              <w:pStyle w:val="46"/>
              <w:spacing w:line="520" w:lineRule="exact"/>
              <w:ind w:firstLine="480"/>
              <w:rPr>
                <w:rFonts w:hint="default" w:eastAsia="宋体"/>
                <w:color w:val="auto"/>
                <w:highlight w:val="none"/>
                <w:lang w:val="en-US" w:eastAsia="zh-CN"/>
              </w:rPr>
            </w:pPr>
            <w:r>
              <w:rPr>
                <w:bCs/>
                <w:color w:val="auto"/>
                <w:highlight w:val="none"/>
              </w:rPr>
              <w:t>本项目</w:t>
            </w:r>
            <w:r>
              <w:rPr>
                <w:rFonts w:hint="eastAsia"/>
                <w:color w:val="auto"/>
                <w:highlight w:val="none"/>
              </w:rPr>
              <w:t>主要原材料消耗一览表见表</w:t>
            </w:r>
            <w:r>
              <w:rPr>
                <w:rFonts w:hint="eastAsia"/>
                <w:color w:val="auto"/>
                <w:highlight w:val="none"/>
                <w:lang w:val="en-US" w:eastAsia="zh-CN"/>
              </w:rPr>
              <w:t>2-3</w:t>
            </w:r>
            <w:r>
              <w:rPr>
                <w:rFonts w:hint="eastAsia"/>
                <w:color w:val="auto"/>
                <w:highlight w:val="none"/>
              </w:rPr>
              <w:t>。</w:t>
            </w:r>
            <w:r>
              <w:rPr>
                <w:rFonts w:hint="eastAsia"/>
                <w:color w:val="auto"/>
                <w:highlight w:val="none"/>
                <w:lang w:val="en-US" w:eastAsia="zh-CN"/>
              </w:rPr>
              <w:t>本项目主要原辅料为气体，气体均为钢瓶装，运输方式采用专用运输车拉运，置于厂区供气室中。供气室分集格，由集格分别通过供气管道给生产设备供气。</w:t>
            </w:r>
          </w:p>
          <w:p w14:paraId="23BF2DC7">
            <w:pPr>
              <w:pStyle w:val="48"/>
              <w:spacing w:line="520" w:lineRule="exact"/>
              <w:ind w:firstLine="422"/>
              <w:rPr>
                <w:color w:val="auto"/>
                <w:highlight w:val="none"/>
              </w:rPr>
            </w:pPr>
            <w:bookmarkStart w:id="1" w:name="_Hlk77535341"/>
            <w:r>
              <w:rPr>
                <w:rFonts w:hint="eastAsia"/>
                <w:color w:val="auto"/>
                <w:highlight w:val="none"/>
              </w:rPr>
              <w:t>表</w:t>
            </w:r>
            <w:r>
              <w:rPr>
                <w:rFonts w:hint="eastAsia"/>
                <w:color w:val="auto"/>
                <w:highlight w:val="none"/>
                <w:lang w:val="en-US" w:eastAsia="zh-CN"/>
              </w:rPr>
              <w:t xml:space="preserve">2-3 </w:t>
            </w:r>
            <w:r>
              <w:rPr>
                <w:rFonts w:hint="eastAsia"/>
                <w:color w:val="auto"/>
                <w:highlight w:val="none"/>
              </w:rPr>
              <w:t>项目主要原辅材料一览表</w:t>
            </w:r>
          </w:p>
          <w:bookmarkEnd w:id="1"/>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90"/>
              <w:gridCol w:w="676"/>
              <w:gridCol w:w="877"/>
              <w:gridCol w:w="1438"/>
              <w:gridCol w:w="1574"/>
              <w:gridCol w:w="1753"/>
            </w:tblGrid>
            <w:tr w14:paraId="0BA6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680EB4BE">
                  <w:pPr>
                    <w:pStyle w:val="62"/>
                    <w:widowControl/>
                    <w:spacing w:line="240" w:lineRule="auto"/>
                    <w:rPr>
                      <w:b/>
                      <w:bCs/>
                      <w:color w:val="auto"/>
                      <w:highlight w:val="none"/>
                    </w:rPr>
                  </w:pPr>
                  <w:r>
                    <w:rPr>
                      <w:b/>
                      <w:bCs/>
                      <w:color w:val="auto"/>
                      <w:highlight w:val="none"/>
                    </w:rPr>
                    <w:t>序号</w:t>
                  </w:r>
                </w:p>
              </w:tc>
              <w:tc>
                <w:tcPr>
                  <w:tcW w:w="696" w:type="pct"/>
                  <w:tcBorders>
                    <w:tl2br w:val="nil"/>
                    <w:tr2bl w:val="nil"/>
                  </w:tcBorders>
                  <w:vAlign w:val="center"/>
                </w:tcPr>
                <w:p w14:paraId="13AC50C4">
                  <w:pPr>
                    <w:pStyle w:val="62"/>
                    <w:widowControl/>
                    <w:spacing w:line="240" w:lineRule="auto"/>
                    <w:rPr>
                      <w:b/>
                      <w:bCs/>
                      <w:color w:val="auto"/>
                      <w:highlight w:val="none"/>
                    </w:rPr>
                  </w:pPr>
                  <w:r>
                    <w:rPr>
                      <w:b/>
                      <w:bCs/>
                      <w:color w:val="auto"/>
                      <w:highlight w:val="none"/>
                    </w:rPr>
                    <w:t>材料名称</w:t>
                  </w:r>
                </w:p>
              </w:tc>
              <w:tc>
                <w:tcPr>
                  <w:tcW w:w="431" w:type="pct"/>
                  <w:tcBorders>
                    <w:tl2br w:val="nil"/>
                    <w:tr2bl w:val="nil"/>
                  </w:tcBorders>
                  <w:vAlign w:val="center"/>
                </w:tcPr>
                <w:p w14:paraId="0D7D8AAE">
                  <w:pPr>
                    <w:pStyle w:val="62"/>
                    <w:widowControl/>
                    <w:spacing w:line="240" w:lineRule="auto"/>
                    <w:jc w:val="center"/>
                    <w:rPr>
                      <w:b/>
                      <w:bCs/>
                      <w:color w:val="auto"/>
                      <w:highlight w:val="none"/>
                    </w:rPr>
                  </w:pPr>
                  <w:r>
                    <w:rPr>
                      <w:b/>
                      <w:bCs/>
                      <w:color w:val="auto"/>
                      <w:highlight w:val="none"/>
                    </w:rPr>
                    <w:t>单位</w:t>
                  </w:r>
                </w:p>
              </w:tc>
              <w:tc>
                <w:tcPr>
                  <w:tcW w:w="559" w:type="pct"/>
                  <w:tcBorders>
                    <w:tl2br w:val="nil"/>
                    <w:tr2bl w:val="nil"/>
                  </w:tcBorders>
                  <w:vAlign w:val="center"/>
                </w:tcPr>
                <w:p w14:paraId="53F598A6">
                  <w:pPr>
                    <w:pStyle w:val="62"/>
                    <w:widowControl/>
                    <w:spacing w:line="240" w:lineRule="auto"/>
                    <w:rPr>
                      <w:b/>
                      <w:bCs/>
                      <w:color w:val="auto"/>
                      <w:highlight w:val="none"/>
                    </w:rPr>
                  </w:pPr>
                  <w:r>
                    <w:rPr>
                      <w:b/>
                      <w:bCs/>
                      <w:color w:val="auto"/>
                      <w:highlight w:val="none"/>
                    </w:rPr>
                    <w:t>用量</w:t>
                  </w:r>
                </w:p>
              </w:tc>
              <w:tc>
                <w:tcPr>
                  <w:tcW w:w="917" w:type="pct"/>
                  <w:tcBorders>
                    <w:tl2br w:val="nil"/>
                    <w:tr2bl w:val="nil"/>
                  </w:tcBorders>
                  <w:vAlign w:val="center"/>
                </w:tcPr>
                <w:p w14:paraId="287DA078">
                  <w:pPr>
                    <w:pStyle w:val="62"/>
                    <w:widowControl/>
                    <w:spacing w:line="240" w:lineRule="auto"/>
                    <w:rPr>
                      <w:rFonts w:hint="default"/>
                      <w:b/>
                      <w:bCs/>
                      <w:color w:val="auto"/>
                      <w:highlight w:val="none"/>
                      <w:lang w:val="en-US" w:eastAsia="zh-CN"/>
                    </w:rPr>
                  </w:pPr>
                  <w:r>
                    <w:rPr>
                      <w:rFonts w:hint="eastAsia"/>
                      <w:b/>
                      <w:bCs/>
                      <w:color w:val="auto"/>
                      <w:highlight w:val="none"/>
                      <w:lang w:val="en-US" w:eastAsia="zh-CN"/>
                    </w:rPr>
                    <w:t>包装形式及规格</w:t>
                  </w:r>
                </w:p>
              </w:tc>
              <w:tc>
                <w:tcPr>
                  <w:tcW w:w="1004" w:type="pct"/>
                  <w:tcBorders>
                    <w:tl2br w:val="nil"/>
                    <w:tr2bl w:val="nil"/>
                  </w:tcBorders>
                  <w:vAlign w:val="center"/>
                </w:tcPr>
                <w:p w14:paraId="51437E1E">
                  <w:pPr>
                    <w:pStyle w:val="62"/>
                    <w:widowControl/>
                    <w:spacing w:line="240" w:lineRule="auto"/>
                    <w:rPr>
                      <w:rFonts w:hint="eastAsia" w:eastAsia="宋体"/>
                      <w:b/>
                      <w:bCs/>
                      <w:color w:val="auto"/>
                      <w:highlight w:val="none"/>
                      <w:lang w:val="en-US" w:eastAsia="zh-CN"/>
                    </w:rPr>
                  </w:pPr>
                  <w:r>
                    <w:rPr>
                      <w:rFonts w:hint="eastAsia"/>
                      <w:b/>
                      <w:bCs/>
                      <w:color w:val="auto"/>
                      <w:highlight w:val="none"/>
                      <w:lang w:val="en-US" w:eastAsia="zh-CN"/>
                    </w:rPr>
                    <w:t>来源</w:t>
                  </w:r>
                </w:p>
              </w:tc>
              <w:tc>
                <w:tcPr>
                  <w:tcW w:w="1118" w:type="pct"/>
                  <w:tcBorders>
                    <w:tl2br w:val="nil"/>
                    <w:tr2bl w:val="nil"/>
                  </w:tcBorders>
                  <w:vAlign w:val="center"/>
                </w:tcPr>
                <w:p w14:paraId="1BFF6839">
                  <w:pPr>
                    <w:pStyle w:val="62"/>
                    <w:widowControl/>
                    <w:spacing w:line="240" w:lineRule="auto"/>
                    <w:rPr>
                      <w:b/>
                      <w:bCs/>
                      <w:color w:val="auto"/>
                      <w:highlight w:val="none"/>
                    </w:rPr>
                  </w:pPr>
                  <w:r>
                    <w:rPr>
                      <w:b/>
                      <w:bCs/>
                      <w:color w:val="auto"/>
                      <w:highlight w:val="none"/>
                    </w:rPr>
                    <w:t>备注</w:t>
                  </w:r>
                </w:p>
              </w:tc>
            </w:tr>
            <w:tr w14:paraId="2CFB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0314F23B">
                  <w:pPr>
                    <w:pStyle w:val="62"/>
                    <w:widowControl/>
                    <w:spacing w:line="240" w:lineRule="auto"/>
                    <w:rPr>
                      <w:color w:val="auto"/>
                      <w:highlight w:val="none"/>
                    </w:rPr>
                  </w:pPr>
                  <w:r>
                    <w:rPr>
                      <w:color w:val="auto"/>
                      <w:highlight w:val="none"/>
                    </w:rPr>
                    <w:t>1</w:t>
                  </w:r>
                </w:p>
              </w:tc>
              <w:tc>
                <w:tcPr>
                  <w:tcW w:w="696" w:type="pct"/>
                  <w:tcBorders>
                    <w:tl2br w:val="nil"/>
                    <w:tr2bl w:val="nil"/>
                  </w:tcBorders>
                  <w:vAlign w:val="top"/>
                </w:tcPr>
                <w:p w14:paraId="53329803">
                  <w:pPr>
                    <w:pStyle w:val="62"/>
                    <w:widowControl/>
                    <w:spacing w:line="240" w:lineRule="auto"/>
                    <w:rPr>
                      <w:rFonts w:hint="default"/>
                      <w:color w:val="auto"/>
                      <w:highlight w:val="none"/>
                      <w:lang w:val="en-US" w:eastAsia="zh-CN"/>
                    </w:rPr>
                  </w:pPr>
                  <w:r>
                    <w:rPr>
                      <w:rFonts w:hint="eastAsia"/>
                      <w:color w:val="auto"/>
                      <w:highlight w:val="none"/>
                      <w:lang w:val="en-US" w:eastAsia="zh-CN"/>
                    </w:rPr>
                    <w:t>金刚石晶种</w:t>
                  </w:r>
                </w:p>
              </w:tc>
              <w:tc>
                <w:tcPr>
                  <w:tcW w:w="431" w:type="pct"/>
                  <w:tcBorders>
                    <w:tl2br w:val="nil"/>
                    <w:tr2bl w:val="nil"/>
                  </w:tcBorders>
                  <w:vAlign w:val="center"/>
                </w:tcPr>
                <w:p w14:paraId="0047798C">
                  <w:pPr>
                    <w:pStyle w:val="62"/>
                    <w:widowControl/>
                    <w:spacing w:line="240" w:lineRule="auto"/>
                    <w:jc w:val="center"/>
                    <w:rPr>
                      <w:rFonts w:hint="default" w:eastAsia="宋体"/>
                      <w:color w:val="auto"/>
                      <w:highlight w:val="none"/>
                      <w:lang w:val="en-US" w:eastAsia="zh-CN"/>
                    </w:rPr>
                  </w:pPr>
                  <w:r>
                    <w:rPr>
                      <w:rFonts w:hint="eastAsia"/>
                      <w:color w:val="auto"/>
                      <w:highlight w:val="none"/>
                      <w:lang w:val="en-US" w:eastAsia="zh-CN"/>
                    </w:rPr>
                    <w:t>片</w:t>
                  </w:r>
                </w:p>
              </w:tc>
              <w:tc>
                <w:tcPr>
                  <w:tcW w:w="559" w:type="pct"/>
                  <w:tcBorders>
                    <w:tl2br w:val="nil"/>
                    <w:tr2bl w:val="nil"/>
                  </w:tcBorders>
                  <w:vAlign w:val="center"/>
                </w:tcPr>
                <w:p w14:paraId="1A8268E9">
                  <w:pPr>
                    <w:pStyle w:val="62"/>
                    <w:widowControl/>
                    <w:spacing w:line="240" w:lineRule="auto"/>
                    <w:rPr>
                      <w:rFonts w:hint="default" w:eastAsia="宋体"/>
                      <w:color w:val="auto"/>
                      <w:highlight w:val="none"/>
                      <w:lang w:val="en-US" w:eastAsia="zh-CN"/>
                    </w:rPr>
                  </w:pPr>
                  <w:r>
                    <w:rPr>
                      <w:rFonts w:hint="eastAsia"/>
                      <w:color w:val="auto"/>
                      <w:highlight w:val="none"/>
                      <w:lang w:val="en-US" w:eastAsia="zh-CN"/>
                    </w:rPr>
                    <w:t>1500</w:t>
                  </w:r>
                </w:p>
              </w:tc>
              <w:tc>
                <w:tcPr>
                  <w:tcW w:w="917" w:type="pct"/>
                  <w:tcBorders>
                    <w:tl2br w:val="nil"/>
                    <w:tr2bl w:val="nil"/>
                  </w:tcBorders>
                  <w:shd w:val="clear" w:color="auto" w:fill="auto"/>
                  <w:vAlign w:val="center"/>
                </w:tcPr>
                <w:p w14:paraId="705BCFBB">
                  <w:pPr>
                    <w:pStyle w:val="62"/>
                    <w:widowControl/>
                    <w:spacing w:line="240" w:lineRule="auto"/>
                    <w:rPr>
                      <w:rFonts w:hint="default"/>
                      <w:color w:val="auto"/>
                      <w:highlight w:val="none"/>
                      <w:lang w:val="en-US" w:eastAsia="zh-CN"/>
                    </w:rPr>
                  </w:pPr>
                  <w:r>
                    <w:rPr>
                      <w:rFonts w:hint="eastAsia"/>
                      <w:color w:val="auto"/>
                      <w:highlight w:val="none"/>
                      <w:lang w:val="en-US" w:eastAsia="zh-CN"/>
                    </w:rPr>
                    <w:t>片</w:t>
                  </w:r>
                </w:p>
              </w:tc>
              <w:tc>
                <w:tcPr>
                  <w:tcW w:w="1004" w:type="pct"/>
                  <w:tcBorders>
                    <w:tl2br w:val="nil"/>
                    <w:tr2bl w:val="nil"/>
                  </w:tcBorders>
                  <w:shd w:val="clear" w:color="auto" w:fill="auto"/>
                  <w:vAlign w:val="center"/>
                </w:tcPr>
                <w:p w14:paraId="2682FD79">
                  <w:pPr>
                    <w:pStyle w:val="62"/>
                    <w:widowControl/>
                    <w:spacing w:line="240" w:lineRule="auto"/>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33967415">
                  <w:pPr>
                    <w:pStyle w:val="62"/>
                    <w:widowControl/>
                    <w:spacing w:line="240" w:lineRule="auto"/>
                    <w:rPr>
                      <w:rFonts w:hint="default" w:eastAsia="宋体"/>
                      <w:color w:val="auto"/>
                      <w:highlight w:val="none"/>
                      <w:lang w:val="en-US" w:eastAsia="zh-CN"/>
                    </w:rPr>
                  </w:pPr>
                  <w:r>
                    <w:rPr>
                      <w:rFonts w:hint="eastAsia"/>
                      <w:color w:val="auto"/>
                      <w:highlight w:val="none"/>
                      <w:lang w:val="en-US" w:eastAsia="zh-CN"/>
                    </w:rPr>
                    <w:t>约200g/a</w:t>
                  </w:r>
                </w:p>
              </w:tc>
            </w:tr>
            <w:tr w14:paraId="607A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051500B2">
                  <w:pPr>
                    <w:pStyle w:val="62"/>
                    <w:widowControl/>
                    <w:spacing w:line="240" w:lineRule="auto"/>
                    <w:rPr>
                      <w:color w:val="auto"/>
                      <w:highlight w:val="none"/>
                    </w:rPr>
                  </w:pPr>
                  <w:r>
                    <w:rPr>
                      <w:rFonts w:hint="eastAsia"/>
                      <w:color w:val="auto"/>
                      <w:highlight w:val="none"/>
                    </w:rPr>
                    <w:t>2</w:t>
                  </w:r>
                </w:p>
              </w:tc>
              <w:tc>
                <w:tcPr>
                  <w:tcW w:w="696" w:type="pct"/>
                  <w:tcBorders>
                    <w:tl2br w:val="nil"/>
                    <w:tr2bl w:val="nil"/>
                  </w:tcBorders>
                  <w:vAlign w:val="top"/>
                </w:tcPr>
                <w:p w14:paraId="7981F266">
                  <w:pPr>
                    <w:pStyle w:val="62"/>
                    <w:widowControl/>
                    <w:spacing w:line="240" w:lineRule="auto"/>
                    <w:rPr>
                      <w:rFonts w:hint="eastAsia"/>
                      <w:color w:val="auto"/>
                      <w:highlight w:val="none"/>
                      <w:lang w:val="en-US" w:eastAsia="zh-CN"/>
                    </w:rPr>
                  </w:pPr>
                  <w:r>
                    <w:rPr>
                      <w:rFonts w:hint="eastAsia"/>
                      <w:color w:val="auto"/>
                      <w:highlight w:val="none"/>
                      <w:lang w:val="en-US" w:eastAsia="zh-CN"/>
                    </w:rPr>
                    <w:t>氢气</w:t>
                  </w:r>
                </w:p>
              </w:tc>
              <w:tc>
                <w:tcPr>
                  <w:tcW w:w="431" w:type="pct"/>
                  <w:tcBorders>
                    <w:tl2br w:val="nil"/>
                    <w:tr2bl w:val="nil"/>
                  </w:tcBorders>
                  <w:vAlign w:val="center"/>
                </w:tcPr>
                <w:p w14:paraId="516DE31C">
                  <w:pPr>
                    <w:widowControl/>
                    <w:spacing w:line="240" w:lineRule="auto"/>
                    <w:jc w:val="center"/>
                    <w:rPr>
                      <w:color w:val="auto"/>
                      <w:highlight w:val="none"/>
                    </w:rPr>
                  </w:pPr>
                  <w:r>
                    <w:rPr>
                      <w:rFonts w:hint="eastAsia"/>
                      <w:color w:val="auto"/>
                      <w:highlight w:val="none"/>
                      <w:lang w:val="en-US" w:eastAsia="zh-CN"/>
                    </w:rPr>
                    <w:t>kg/a</w:t>
                  </w:r>
                </w:p>
              </w:tc>
              <w:tc>
                <w:tcPr>
                  <w:tcW w:w="559" w:type="pct"/>
                  <w:tcBorders>
                    <w:tl2br w:val="nil"/>
                    <w:tr2bl w:val="nil"/>
                  </w:tcBorders>
                  <w:vAlign w:val="center"/>
                </w:tcPr>
                <w:p w14:paraId="7C36BADD">
                  <w:pPr>
                    <w:pStyle w:val="62"/>
                    <w:widowControl/>
                    <w:spacing w:line="240" w:lineRule="auto"/>
                    <w:rPr>
                      <w:rFonts w:hint="default" w:eastAsia="宋体"/>
                      <w:color w:val="auto"/>
                      <w:highlight w:val="none"/>
                      <w:lang w:val="en-US" w:eastAsia="zh-CN"/>
                    </w:rPr>
                  </w:pPr>
                  <w:r>
                    <w:rPr>
                      <w:rFonts w:hint="eastAsia"/>
                      <w:color w:val="auto"/>
                      <w:highlight w:val="none"/>
                      <w:lang w:val="en-US" w:eastAsia="zh-CN"/>
                    </w:rPr>
                    <w:t>3775.8</w:t>
                  </w:r>
                </w:p>
              </w:tc>
              <w:tc>
                <w:tcPr>
                  <w:tcW w:w="917" w:type="pct"/>
                  <w:tcBorders>
                    <w:tl2br w:val="nil"/>
                    <w:tr2bl w:val="nil"/>
                  </w:tcBorders>
                  <w:shd w:val="clear" w:color="auto" w:fill="auto"/>
                  <w:vAlign w:val="center"/>
                </w:tcPr>
                <w:p w14:paraId="3840F49D">
                  <w:pPr>
                    <w:pStyle w:val="62"/>
                    <w:widowControl/>
                    <w:spacing w:line="240" w:lineRule="auto"/>
                    <w:rPr>
                      <w:rFonts w:hint="default"/>
                      <w:color w:val="auto"/>
                      <w:highlight w:val="none"/>
                      <w:lang w:val="en-US" w:eastAsia="zh-CN"/>
                    </w:rPr>
                  </w:pPr>
                  <w:r>
                    <w:rPr>
                      <w:rFonts w:hint="eastAsia"/>
                      <w:color w:val="auto"/>
                      <w:highlight w:val="none"/>
                      <w:lang w:val="en-US" w:eastAsia="zh-CN"/>
                    </w:rPr>
                    <w:t>/（集格）</w:t>
                  </w:r>
                </w:p>
              </w:tc>
              <w:tc>
                <w:tcPr>
                  <w:tcW w:w="1004" w:type="pct"/>
                  <w:tcBorders>
                    <w:tl2br w:val="nil"/>
                    <w:tr2bl w:val="nil"/>
                  </w:tcBorders>
                  <w:shd w:val="clear" w:color="auto" w:fill="auto"/>
                  <w:vAlign w:val="center"/>
                </w:tcPr>
                <w:p w14:paraId="45E03958">
                  <w:pPr>
                    <w:pStyle w:val="62"/>
                    <w:widowControl/>
                    <w:spacing w:line="240" w:lineRule="auto"/>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2F2B3EFE">
                  <w:pPr>
                    <w:pStyle w:val="62"/>
                    <w:widowControl/>
                    <w:spacing w:line="240" w:lineRule="auto"/>
                    <w:rPr>
                      <w:rFonts w:hint="default" w:eastAsia="宋体"/>
                      <w:color w:val="auto"/>
                      <w:highlight w:val="none"/>
                      <w:lang w:val="en-US" w:eastAsia="zh-CN"/>
                    </w:rPr>
                  </w:pPr>
                  <w:r>
                    <w:rPr>
                      <w:rFonts w:hint="eastAsia"/>
                      <w:color w:val="auto"/>
                      <w:highlight w:val="none"/>
                      <w:lang w:val="en-US" w:eastAsia="zh-CN"/>
                    </w:rPr>
                    <w:t>/</w:t>
                  </w:r>
                </w:p>
              </w:tc>
            </w:tr>
            <w:tr w14:paraId="1AF1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18373F82">
                  <w:pPr>
                    <w:pStyle w:val="62"/>
                    <w:widowControl/>
                    <w:spacing w:line="240" w:lineRule="auto"/>
                    <w:rPr>
                      <w:color w:val="auto"/>
                      <w:highlight w:val="none"/>
                    </w:rPr>
                  </w:pPr>
                  <w:r>
                    <w:rPr>
                      <w:rFonts w:hint="eastAsia"/>
                      <w:color w:val="auto"/>
                      <w:highlight w:val="none"/>
                    </w:rPr>
                    <w:t>3</w:t>
                  </w:r>
                </w:p>
              </w:tc>
              <w:tc>
                <w:tcPr>
                  <w:tcW w:w="696" w:type="pct"/>
                  <w:tcBorders>
                    <w:tl2br w:val="nil"/>
                    <w:tr2bl w:val="nil"/>
                  </w:tcBorders>
                  <w:vAlign w:val="top"/>
                </w:tcPr>
                <w:p w14:paraId="67014850">
                  <w:pPr>
                    <w:pStyle w:val="62"/>
                    <w:widowControl/>
                    <w:spacing w:line="240" w:lineRule="auto"/>
                    <w:rPr>
                      <w:rFonts w:hint="default"/>
                      <w:color w:val="auto"/>
                      <w:highlight w:val="none"/>
                      <w:lang w:val="en-US" w:eastAsia="zh-CN"/>
                    </w:rPr>
                  </w:pPr>
                  <w:r>
                    <w:rPr>
                      <w:rFonts w:hint="eastAsia"/>
                      <w:color w:val="auto"/>
                      <w:highlight w:val="none"/>
                      <w:lang w:val="en-US" w:eastAsia="zh-CN"/>
                    </w:rPr>
                    <w:t>甲烷</w:t>
                  </w:r>
                </w:p>
              </w:tc>
              <w:tc>
                <w:tcPr>
                  <w:tcW w:w="431" w:type="pct"/>
                  <w:tcBorders>
                    <w:tl2br w:val="nil"/>
                    <w:tr2bl w:val="nil"/>
                  </w:tcBorders>
                  <w:vAlign w:val="center"/>
                </w:tcPr>
                <w:p w14:paraId="1DA3C62D">
                  <w:pPr>
                    <w:widowControl/>
                    <w:spacing w:line="240" w:lineRule="auto"/>
                    <w:jc w:val="center"/>
                    <w:rPr>
                      <w:color w:val="auto"/>
                      <w:highlight w:val="none"/>
                    </w:rPr>
                  </w:pPr>
                  <w:r>
                    <w:rPr>
                      <w:rFonts w:hint="eastAsia"/>
                      <w:color w:val="auto"/>
                      <w:highlight w:val="none"/>
                      <w:lang w:val="en-US" w:eastAsia="zh-CN"/>
                    </w:rPr>
                    <w:t>kg/a</w:t>
                  </w:r>
                </w:p>
              </w:tc>
              <w:tc>
                <w:tcPr>
                  <w:tcW w:w="559" w:type="pct"/>
                  <w:tcBorders>
                    <w:tl2br w:val="nil"/>
                    <w:tr2bl w:val="nil"/>
                  </w:tcBorders>
                  <w:vAlign w:val="center"/>
                </w:tcPr>
                <w:p w14:paraId="3E493119">
                  <w:pPr>
                    <w:pStyle w:val="62"/>
                    <w:widowControl/>
                    <w:spacing w:line="240" w:lineRule="auto"/>
                    <w:rPr>
                      <w:rFonts w:hint="default"/>
                      <w:color w:val="auto"/>
                      <w:highlight w:val="none"/>
                      <w:lang w:val="en-US"/>
                    </w:rPr>
                  </w:pPr>
                  <w:r>
                    <w:rPr>
                      <w:rFonts w:hint="eastAsia"/>
                      <w:color w:val="auto"/>
                      <w:highlight w:val="none"/>
                      <w:lang w:val="en-US" w:eastAsia="zh-CN"/>
                    </w:rPr>
                    <w:t>2998.8</w:t>
                  </w:r>
                </w:p>
              </w:tc>
              <w:tc>
                <w:tcPr>
                  <w:tcW w:w="917" w:type="pct"/>
                  <w:tcBorders>
                    <w:tl2br w:val="nil"/>
                    <w:tr2bl w:val="nil"/>
                  </w:tcBorders>
                  <w:shd w:val="clear" w:color="auto" w:fill="auto"/>
                  <w:vAlign w:val="center"/>
                </w:tcPr>
                <w:p w14:paraId="34E52B92">
                  <w:pPr>
                    <w:pStyle w:val="62"/>
                    <w:widowControl/>
                    <w:spacing w:line="240" w:lineRule="auto"/>
                    <w:rPr>
                      <w:rFonts w:hint="default"/>
                      <w:color w:val="auto"/>
                      <w:highlight w:val="none"/>
                      <w:vertAlign w:val="baseline"/>
                      <w:lang w:val="en-US" w:eastAsia="zh-CN"/>
                    </w:rPr>
                  </w:pPr>
                  <w:r>
                    <w:rPr>
                      <w:rFonts w:hint="eastAsia"/>
                      <w:color w:val="auto"/>
                      <w:highlight w:val="none"/>
                      <w:vertAlign w:val="baseline"/>
                      <w:lang w:val="en-US" w:eastAsia="zh-CN"/>
                    </w:rPr>
                    <w:t>85.2kg（集格）</w:t>
                  </w:r>
                </w:p>
              </w:tc>
              <w:tc>
                <w:tcPr>
                  <w:tcW w:w="1004" w:type="pct"/>
                  <w:tcBorders>
                    <w:tl2br w:val="nil"/>
                    <w:tr2bl w:val="nil"/>
                  </w:tcBorders>
                  <w:shd w:val="clear" w:color="auto" w:fill="auto"/>
                  <w:vAlign w:val="center"/>
                </w:tcPr>
                <w:p w14:paraId="30DE06D7">
                  <w:pPr>
                    <w:pStyle w:val="62"/>
                    <w:widowControl/>
                    <w:spacing w:line="240" w:lineRule="auto"/>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4EEECBE3">
                  <w:pPr>
                    <w:widowControl/>
                    <w:spacing w:line="240" w:lineRule="auto"/>
                    <w:jc w:val="center"/>
                    <w:rPr>
                      <w:rFonts w:hint="eastAsia" w:eastAsia="宋体"/>
                      <w:color w:val="auto"/>
                      <w:highlight w:val="none"/>
                      <w:lang w:val="en-US" w:eastAsia="zh-CN"/>
                    </w:rPr>
                  </w:pPr>
                  <w:r>
                    <w:rPr>
                      <w:rFonts w:hint="eastAsia"/>
                      <w:color w:val="auto"/>
                      <w:highlight w:val="none"/>
                      <w:lang w:val="en-US" w:eastAsia="zh-CN"/>
                    </w:rPr>
                    <w:t>/</w:t>
                  </w:r>
                </w:p>
              </w:tc>
            </w:tr>
            <w:tr w14:paraId="745F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5F556FAB">
                  <w:pPr>
                    <w:pStyle w:val="62"/>
                    <w:widowControl/>
                    <w:spacing w:line="240" w:lineRule="auto"/>
                    <w:rPr>
                      <w:color w:val="auto"/>
                      <w:highlight w:val="none"/>
                    </w:rPr>
                  </w:pPr>
                  <w:r>
                    <w:rPr>
                      <w:rFonts w:hint="eastAsia"/>
                      <w:color w:val="auto"/>
                      <w:highlight w:val="none"/>
                    </w:rPr>
                    <w:t>4</w:t>
                  </w:r>
                </w:p>
              </w:tc>
              <w:tc>
                <w:tcPr>
                  <w:tcW w:w="696" w:type="pct"/>
                  <w:tcBorders>
                    <w:tl2br w:val="nil"/>
                    <w:tr2bl w:val="nil"/>
                  </w:tcBorders>
                  <w:vAlign w:val="top"/>
                </w:tcPr>
                <w:p w14:paraId="5FF503DA">
                  <w:pPr>
                    <w:pStyle w:val="62"/>
                    <w:widowControl/>
                    <w:spacing w:line="240" w:lineRule="auto"/>
                    <w:rPr>
                      <w:rFonts w:hint="eastAsia"/>
                      <w:color w:val="auto"/>
                      <w:highlight w:val="none"/>
                      <w:lang w:val="en-US" w:eastAsia="zh-CN"/>
                    </w:rPr>
                  </w:pPr>
                  <w:r>
                    <w:rPr>
                      <w:rFonts w:hint="eastAsia"/>
                      <w:color w:val="auto"/>
                      <w:highlight w:val="none"/>
                      <w:lang w:val="en-US" w:eastAsia="zh-CN"/>
                    </w:rPr>
                    <w:t>二氧化碳</w:t>
                  </w:r>
                </w:p>
              </w:tc>
              <w:tc>
                <w:tcPr>
                  <w:tcW w:w="431" w:type="pct"/>
                  <w:tcBorders>
                    <w:tl2br w:val="nil"/>
                    <w:tr2bl w:val="nil"/>
                  </w:tcBorders>
                  <w:vAlign w:val="center"/>
                </w:tcPr>
                <w:p w14:paraId="6C8A6322">
                  <w:pPr>
                    <w:widowControl/>
                    <w:spacing w:line="240" w:lineRule="auto"/>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kg/a</w:t>
                  </w:r>
                </w:p>
              </w:tc>
              <w:tc>
                <w:tcPr>
                  <w:tcW w:w="559" w:type="pct"/>
                  <w:tcBorders>
                    <w:tl2br w:val="nil"/>
                    <w:tr2bl w:val="nil"/>
                  </w:tcBorders>
                  <w:vAlign w:val="center"/>
                </w:tcPr>
                <w:p w14:paraId="4A415912">
                  <w:pPr>
                    <w:pStyle w:val="62"/>
                    <w:widowControl/>
                    <w:spacing w:line="240" w:lineRule="auto"/>
                    <w:rPr>
                      <w:rFonts w:hint="default"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1455.1</w:t>
                  </w:r>
                </w:p>
              </w:tc>
              <w:tc>
                <w:tcPr>
                  <w:tcW w:w="917" w:type="pct"/>
                  <w:tcBorders>
                    <w:tl2br w:val="nil"/>
                    <w:tr2bl w:val="nil"/>
                  </w:tcBorders>
                  <w:shd w:val="clear" w:color="auto" w:fill="auto"/>
                  <w:vAlign w:val="center"/>
                </w:tcPr>
                <w:p w14:paraId="60C0B530">
                  <w:pPr>
                    <w:widowControl/>
                    <w:spacing w:line="240" w:lineRule="auto"/>
                    <w:jc w:val="center"/>
                    <w:rPr>
                      <w:rFonts w:hint="eastAsia"/>
                      <w:color w:val="auto"/>
                      <w:highlight w:val="none"/>
                      <w:lang w:val="en-US" w:eastAsia="zh-CN"/>
                    </w:rPr>
                  </w:pPr>
                  <w:r>
                    <w:rPr>
                      <w:rFonts w:hint="eastAsia"/>
                      <w:color w:val="auto"/>
                      <w:highlight w:val="none"/>
                      <w:lang w:val="en-US" w:eastAsia="zh-CN"/>
                    </w:rPr>
                    <w:t>379.6kg</w:t>
                  </w:r>
                  <w:r>
                    <w:rPr>
                      <w:rFonts w:hint="eastAsia"/>
                      <w:color w:val="auto"/>
                      <w:highlight w:val="none"/>
                      <w:vertAlign w:val="baseline"/>
                      <w:lang w:val="en-US" w:eastAsia="zh-CN"/>
                    </w:rPr>
                    <w:t>（集格）</w:t>
                  </w:r>
                </w:p>
              </w:tc>
              <w:tc>
                <w:tcPr>
                  <w:tcW w:w="1004" w:type="pct"/>
                  <w:tcBorders>
                    <w:tl2br w:val="nil"/>
                    <w:tr2bl w:val="nil"/>
                  </w:tcBorders>
                  <w:shd w:val="clear" w:color="auto" w:fill="auto"/>
                  <w:vAlign w:val="center"/>
                </w:tcPr>
                <w:p w14:paraId="4B12B86D">
                  <w:pPr>
                    <w:widowControl/>
                    <w:spacing w:line="240" w:lineRule="auto"/>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150D8C92">
                  <w:pPr>
                    <w:widowControl/>
                    <w:spacing w:line="240" w:lineRule="auto"/>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w:t>
                  </w:r>
                </w:p>
              </w:tc>
            </w:tr>
            <w:tr w14:paraId="426B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22E11815">
                  <w:pPr>
                    <w:pStyle w:val="62"/>
                    <w:widowControl/>
                    <w:spacing w:line="240" w:lineRule="auto"/>
                    <w:rPr>
                      <w:rFonts w:hint="eastAsia" w:eastAsia="宋体"/>
                      <w:color w:val="auto"/>
                      <w:highlight w:val="none"/>
                      <w:lang w:val="en-US" w:eastAsia="zh-CN"/>
                    </w:rPr>
                  </w:pPr>
                  <w:r>
                    <w:rPr>
                      <w:rFonts w:hint="eastAsia"/>
                      <w:color w:val="auto"/>
                      <w:highlight w:val="none"/>
                      <w:lang w:val="en-US" w:eastAsia="zh-CN"/>
                    </w:rPr>
                    <w:t>5</w:t>
                  </w:r>
                </w:p>
              </w:tc>
              <w:tc>
                <w:tcPr>
                  <w:tcW w:w="696" w:type="pct"/>
                  <w:tcBorders>
                    <w:tl2br w:val="nil"/>
                    <w:tr2bl w:val="nil"/>
                  </w:tcBorders>
                  <w:vAlign w:val="top"/>
                </w:tcPr>
                <w:p w14:paraId="1185B543">
                  <w:pPr>
                    <w:pStyle w:val="62"/>
                    <w:widowControl/>
                    <w:spacing w:line="240" w:lineRule="auto"/>
                    <w:rPr>
                      <w:rFonts w:hint="eastAsia"/>
                      <w:color w:val="auto"/>
                      <w:highlight w:val="none"/>
                      <w:lang w:val="en-US" w:eastAsia="zh-CN"/>
                    </w:rPr>
                  </w:pPr>
                  <w:r>
                    <w:rPr>
                      <w:rFonts w:hint="eastAsia"/>
                      <w:color w:val="auto"/>
                      <w:highlight w:val="none"/>
                      <w:lang w:val="en-US" w:eastAsia="zh-CN"/>
                    </w:rPr>
                    <w:t>氩气</w:t>
                  </w:r>
                </w:p>
              </w:tc>
              <w:tc>
                <w:tcPr>
                  <w:tcW w:w="431" w:type="pct"/>
                  <w:tcBorders>
                    <w:tl2br w:val="nil"/>
                    <w:tr2bl w:val="nil"/>
                  </w:tcBorders>
                  <w:vAlign w:val="center"/>
                </w:tcPr>
                <w:p w14:paraId="51CF030B">
                  <w:pPr>
                    <w:widowControl/>
                    <w:spacing w:line="240" w:lineRule="auto"/>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kg/a</w:t>
                  </w:r>
                </w:p>
              </w:tc>
              <w:tc>
                <w:tcPr>
                  <w:tcW w:w="559" w:type="pct"/>
                  <w:tcBorders>
                    <w:tl2br w:val="nil"/>
                    <w:tr2bl w:val="nil"/>
                  </w:tcBorders>
                  <w:vAlign w:val="center"/>
                </w:tcPr>
                <w:p w14:paraId="66EFBC65">
                  <w:pPr>
                    <w:pStyle w:val="62"/>
                    <w:widowControl/>
                    <w:spacing w:line="240" w:lineRule="auto"/>
                    <w:rPr>
                      <w:rFonts w:hint="default"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4281.6</w:t>
                  </w:r>
                </w:p>
              </w:tc>
              <w:tc>
                <w:tcPr>
                  <w:tcW w:w="917" w:type="pct"/>
                  <w:tcBorders>
                    <w:tl2br w:val="nil"/>
                    <w:tr2bl w:val="nil"/>
                  </w:tcBorders>
                  <w:shd w:val="clear" w:color="auto" w:fill="auto"/>
                  <w:vAlign w:val="center"/>
                </w:tcPr>
                <w:p w14:paraId="5AA08ED7">
                  <w:pPr>
                    <w:widowControl/>
                    <w:spacing w:line="240" w:lineRule="auto"/>
                    <w:jc w:val="center"/>
                    <w:rPr>
                      <w:rFonts w:hint="default"/>
                      <w:color w:val="auto"/>
                      <w:highlight w:val="none"/>
                      <w:lang w:val="en-US" w:eastAsia="zh-CN"/>
                    </w:rPr>
                  </w:pPr>
                  <w:r>
                    <w:rPr>
                      <w:rFonts w:hint="eastAsia"/>
                      <w:color w:val="auto"/>
                      <w:highlight w:val="none"/>
                      <w:lang w:val="en-US" w:eastAsia="zh-CN"/>
                    </w:rPr>
                    <w:t>89.2g/瓶（钢瓶）</w:t>
                  </w:r>
                </w:p>
              </w:tc>
              <w:tc>
                <w:tcPr>
                  <w:tcW w:w="1004" w:type="pct"/>
                  <w:tcBorders>
                    <w:tl2br w:val="nil"/>
                    <w:tr2bl w:val="nil"/>
                  </w:tcBorders>
                  <w:shd w:val="clear" w:color="auto" w:fill="auto"/>
                  <w:vAlign w:val="center"/>
                </w:tcPr>
                <w:p w14:paraId="50214B6E">
                  <w:pPr>
                    <w:widowControl/>
                    <w:spacing w:line="240" w:lineRule="auto"/>
                    <w:jc w:val="center"/>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5D558DCD">
                  <w:pPr>
                    <w:widowControl/>
                    <w:spacing w:line="240" w:lineRule="auto"/>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w:t>
                  </w:r>
                </w:p>
              </w:tc>
            </w:tr>
            <w:tr w14:paraId="75B3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2" w:type="pct"/>
                  <w:tcBorders>
                    <w:tl2br w:val="nil"/>
                    <w:tr2bl w:val="nil"/>
                  </w:tcBorders>
                  <w:vAlign w:val="center"/>
                </w:tcPr>
                <w:p w14:paraId="25071D9A">
                  <w:pPr>
                    <w:pStyle w:val="62"/>
                    <w:widowControl/>
                    <w:spacing w:line="240" w:lineRule="auto"/>
                    <w:rPr>
                      <w:rFonts w:hint="default"/>
                      <w:color w:val="auto"/>
                      <w:highlight w:val="none"/>
                      <w:lang w:val="en-US" w:eastAsia="zh-CN"/>
                    </w:rPr>
                  </w:pPr>
                  <w:r>
                    <w:rPr>
                      <w:rFonts w:hint="eastAsia"/>
                      <w:color w:val="auto"/>
                      <w:highlight w:val="none"/>
                      <w:lang w:val="en-US" w:eastAsia="zh-CN"/>
                    </w:rPr>
                    <w:t>6</w:t>
                  </w:r>
                </w:p>
              </w:tc>
              <w:tc>
                <w:tcPr>
                  <w:tcW w:w="696" w:type="pct"/>
                  <w:tcBorders>
                    <w:tl2br w:val="nil"/>
                    <w:tr2bl w:val="nil"/>
                  </w:tcBorders>
                  <w:vAlign w:val="top"/>
                </w:tcPr>
                <w:p w14:paraId="41BE7C49">
                  <w:pPr>
                    <w:pStyle w:val="62"/>
                    <w:widowControl/>
                    <w:spacing w:line="240" w:lineRule="auto"/>
                    <w:rPr>
                      <w:rFonts w:hint="default"/>
                      <w:color w:val="auto"/>
                      <w:highlight w:val="none"/>
                      <w:lang w:val="en-US" w:eastAsia="zh-CN"/>
                    </w:rPr>
                  </w:pPr>
                  <w:r>
                    <w:rPr>
                      <w:rFonts w:hint="eastAsia"/>
                      <w:color w:val="auto"/>
                      <w:highlight w:val="none"/>
                      <w:lang w:val="en-US" w:eastAsia="zh-CN"/>
                    </w:rPr>
                    <w:t>氮气</w:t>
                  </w:r>
                </w:p>
              </w:tc>
              <w:tc>
                <w:tcPr>
                  <w:tcW w:w="431" w:type="pct"/>
                  <w:tcBorders>
                    <w:tl2br w:val="nil"/>
                    <w:tr2bl w:val="nil"/>
                  </w:tcBorders>
                  <w:vAlign w:val="center"/>
                </w:tcPr>
                <w:p w14:paraId="6C03E012">
                  <w:pPr>
                    <w:widowControl/>
                    <w:spacing w:line="240" w:lineRule="auto"/>
                    <w:jc w:val="center"/>
                    <w:rPr>
                      <w:rFonts w:hint="eastAsia"/>
                      <w:color w:val="auto"/>
                      <w:highlight w:val="none"/>
                    </w:rPr>
                  </w:pPr>
                  <w:r>
                    <w:rPr>
                      <w:rFonts w:hint="eastAsia"/>
                      <w:color w:val="auto"/>
                      <w:highlight w:val="none"/>
                      <w:lang w:val="en-US" w:eastAsia="zh-CN"/>
                    </w:rPr>
                    <w:t>kg/a</w:t>
                  </w:r>
                </w:p>
              </w:tc>
              <w:tc>
                <w:tcPr>
                  <w:tcW w:w="559" w:type="pct"/>
                  <w:tcBorders>
                    <w:tl2br w:val="nil"/>
                    <w:tr2bl w:val="nil"/>
                  </w:tcBorders>
                  <w:vAlign w:val="center"/>
                </w:tcPr>
                <w:p w14:paraId="18324AFC">
                  <w:pPr>
                    <w:pStyle w:val="62"/>
                    <w:widowControl/>
                    <w:spacing w:line="240" w:lineRule="auto"/>
                    <w:rPr>
                      <w:rFonts w:hint="default" w:eastAsia="宋体"/>
                      <w:color w:val="auto"/>
                      <w:highlight w:val="none"/>
                      <w:lang w:val="en-US" w:eastAsia="zh-CN"/>
                    </w:rPr>
                  </w:pPr>
                  <w:r>
                    <w:rPr>
                      <w:rFonts w:hint="eastAsia"/>
                      <w:color w:val="auto"/>
                      <w:highlight w:val="none"/>
                      <w:lang w:val="en-US" w:eastAsia="zh-CN"/>
                    </w:rPr>
                    <w:t>4852.3</w:t>
                  </w:r>
                </w:p>
              </w:tc>
              <w:tc>
                <w:tcPr>
                  <w:tcW w:w="917" w:type="pct"/>
                  <w:tcBorders>
                    <w:tl2br w:val="nil"/>
                    <w:tr2bl w:val="nil"/>
                  </w:tcBorders>
                  <w:shd w:val="clear" w:color="auto" w:fill="auto"/>
                  <w:vAlign w:val="center"/>
                </w:tcPr>
                <w:p w14:paraId="3F5C202A">
                  <w:pPr>
                    <w:pStyle w:val="62"/>
                    <w:widowControl/>
                    <w:spacing w:line="240" w:lineRule="auto"/>
                    <w:rPr>
                      <w:rFonts w:hint="default"/>
                      <w:color w:val="auto"/>
                      <w:highlight w:val="none"/>
                      <w:lang w:val="en-US" w:eastAsia="zh-CN"/>
                    </w:rPr>
                  </w:pPr>
                  <w:r>
                    <w:rPr>
                      <w:rFonts w:hint="eastAsia"/>
                      <w:color w:val="auto"/>
                      <w:highlight w:val="none"/>
                      <w:lang w:val="en-US" w:eastAsia="zh-CN"/>
                    </w:rPr>
                    <w:t>62.5g/瓶</w:t>
                  </w:r>
                </w:p>
              </w:tc>
              <w:tc>
                <w:tcPr>
                  <w:tcW w:w="1004" w:type="pct"/>
                  <w:tcBorders>
                    <w:tl2br w:val="nil"/>
                    <w:tr2bl w:val="nil"/>
                  </w:tcBorders>
                  <w:shd w:val="clear" w:color="auto" w:fill="auto"/>
                  <w:vAlign w:val="center"/>
                </w:tcPr>
                <w:p w14:paraId="0CFC86FE">
                  <w:pPr>
                    <w:pStyle w:val="62"/>
                    <w:widowControl/>
                    <w:spacing w:line="240" w:lineRule="auto"/>
                    <w:rPr>
                      <w:rFonts w:hint="eastAsia" w:ascii="Times New Roman" w:hAnsi="Times New Roman" w:eastAsia="宋体" w:cs="Times New Roman"/>
                      <w:snapToGrid w:val="0"/>
                      <w:color w:val="auto"/>
                      <w:kern w:val="2"/>
                      <w:sz w:val="21"/>
                      <w:szCs w:val="21"/>
                      <w:highlight w:val="none"/>
                      <w:lang w:val="en-US" w:eastAsia="zh-CN" w:bidi="ar-SA"/>
                    </w:rPr>
                  </w:pPr>
                  <w:r>
                    <w:rPr>
                      <w:rFonts w:hint="eastAsia"/>
                      <w:color w:val="auto"/>
                      <w:highlight w:val="none"/>
                      <w:lang w:val="en-US" w:eastAsia="zh-CN"/>
                    </w:rPr>
                    <w:t>外购</w:t>
                  </w:r>
                </w:p>
              </w:tc>
              <w:tc>
                <w:tcPr>
                  <w:tcW w:w="1118" w:type="pct"/>
                  <w:tcBorders>
                    <w:tl2br w:val="nil"/>
                    <w:tr2bl w:val="nil"/>
                  </w:tcBorders>
                  <w:vAlign w:val="center"/>
                </w:tcPr>
                <w:p w14:paraId="519B79C8">
                  <w:pPr>
                    <w:widowControl/>
                    <w:spacing w:line="240" w:lineRule="auto"/>
                    <w:jc w:val="center"/>
                    <w:rPr>
                      <w:rFonts w:hint="eastAsia"/>
                      <w:color w:val="auto"/>
                      <w:highlight w:val="none"/>
                      <w:lang w:val="en-US" w:eastAsia="zh-CN"/>
                    </w:rPr>
                  </w:pPr>
                  <w:r>
                    <w:rPr>
                      <w:rFonts w:hint="eastAsia"/>
                      <w:color w:val="auto"/>
                      <w:highlight w:val="none"/>
                      <w:lang w:val="en-US" w:eastAsia="zh-CN"/>
                    </w:rPr>
                    <w:t>/</w:t>
                  </w:r>
                </w:p>
              </w:tc>
            </w:tr>
          </w:tbl>
          <w:p w14:paraId="7DCAEAAA">
            <w:pPr>
              <w:spacing w:line="520" w:lineRule="exact"/>
              <w:ind w:firstLine="480" w:firstLineChars="200"/>
              <w:rPr>
                <w:rFonts w:hint="default" w:eastAsia="宋体"/>
                <w:b/>
                <w:color w:val="auto"/>
                <w:sz w:val="24"/>
                <w:highlight w:val="none"/>
                <w:lang w:val="en-US" w:eastAsia="zh-CN"/>
              </w:rPr>
            </w:pPr>
            <w:r>
              <w:rPr>
                <w:rFonts w:hint="eastAsia"/>
                <w:bCs/>
                <w:color w:val="auto"/>
                <w:sz w:val="24"/>
                <w:highlight w:val="none"/>
              </w:rPr>
              <w:t>（2）</w:t>
            </w:r>
            <w:r>
              <w:rPr>
                <w:rFonts w:hint="eastAsia"/>
                <w:bCs/>
                <w:color w:val="auto"/>
                <w:sz w:val="24"/>
                <w:highlight w:val="none"/>
                <w:lang w:val="en-US" w:eastAsia="zh-CN"/>
              </w:rPr>
              <w:t>主要</w:t>
            </w:r>
            <w:r>
              <w:rPr>
                <w:rFonts w:hint="eastAsia"/>
                <w:bCs/>
                <w:color w:val="auto"/>
                <w:sz w:val="24"/>
                <w:highlight w:val="none"/>
              </w:rPr>
              <w:t>原辅料材</w:t>
            </w:r>
            <w:r>
              <w:rPr>
                <w:rFonts w:hint="eastAsia"/>
                <w:bCs/>
                <w:color w:val="auto"/>
                <w:sz w:val="24"/>
                <w:highlight w:val="none"/>
                <w:lang w:val="en-US" w:eastAsia="zh-CN"/>
              </w:rPr>
              <w:t>理化性质</w:t>
            </w:r>
          </w:p>
          <w:p w14:paraId="21D044B7">
            <w:pPr>
              <w:adjustRightInd w:val="0"/>
              <w:snapToGrid w:val="0"/>
              <w:spacing w:line="520" w:lineRule="exact"/>
              <w:ind w:firstLine="480" w:firstLineChars="200"/>
              <w:rPr>
                <w:rFonts w:hint="default" w:eastAsia="宋体"/>
                <w:color w:val="auto"/>
                <w:kern w:val="0"/>
                <w:sz w:val="24"/>
                <w:highlight w:val="none"/>
                <w:lang w:val="en-US" w:eastAsia="zh-CN"/>
              </w:rPr>
            </w:pPr>
            <w:r>
              <w:rPr>
                <w:rFonts w:hint="eastAsia"/>
                <w:color w:val="auto"/>
                <w:kern w:val="0"/>
                <w:sz w:val="24"/>
                <w:highlight w:val="none"/>
                <w:lang w:val="en-US" w:eastAsia="zh-CN"/>
              </w:rPr>
              <w:t>本项目主要原辅材料理化性质详见表2-4。</w:t>
            </w:r>
          </w:p>
          <w:p w14:paraId="25D6D47C">
            <w:pPr>
              <w:pStyle w:val="48"/>
              <w:spacing w:line="520" w:lineRule="exact"/>
              <w:ind w:firstLine="0" w:firstLineChars="0"/>
              <w:rPr>
                <w:color w:val="auto"/>
                <w:highlight w:val="none"/>
              </w:rPr>
            </w:pPr>
            <w:r>
              <w:rPr>
                <w:rFonts w:hint="eastAsia"/>
                <w:color w:val="auto"/>
                <w:highlight w:val="none"/>
              </w:rPr>
              <w:t>表</w:t>
            </w:r>
            <w:r>
              <w:rPr>
                <w:rFonts w:hint="eastAsia"/>
                <w:color w:val="auto"/>
                <w:highlight w:val="none"/>
                <w:lang w:val="en-US" w:eastAsia="zh-CN"/>
              </w:rPr>
              <w:t>2-4</w:t>
            </w:r>
            <w:r>
              <w:rPr>
                <w:rFonts w:hint="eastAsia"/>
                <w:color w:val="auto"/>
                <w:highlight w:val="none"/>
              </w:rPr>
              <w:t>本项目主要原辅材料及理化性质一览表</w:t>
            </w:r>
          </w:p>
          <w:tbl>
            <w:tblPr>
              <w:tblStyle w:val="74"/>
              <w:tblW w:w="4998" w:type="pct"/>
              <w:tblInd w:w="12" w:type="dxa"/>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Layout w:type="autofit"/>
              <w:tblCellMar>
                <w:top w:w="0" w:type="dxa"/>
                <w:left w:w="0" w:type="dxa"/>
                <w:bottom w:w="0" w:type="dxa"/>
                <w:right w:w="0" w:type="dxa"/>
              </w:tblCellMar>
            </w:tblPr>
            <w:tblGrid>
              <w:gridCol w:w="760"/>
              <w:gridCol w:w="740"/>
              <w:gridCol w:w="3796"/>
              <w:gridCol w:w="1200"/>
              <w:gridCol w:w="1352"/>
            </w:tblGrid>
            <w:tr w14:paraId="308F2734">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553" w:hRule="atLeast"/>
              </w:trPr>
              <w:tc>
                <w:tcPr>
                  <w:tcW w:w="484" w:type="pct"/>
                  <w:tcBorders>
                    <w:bottom w:val="single" w:color="auto" w:sz="12" w:space="0"/>
                  </w:tcBorders>
                  <w:vAlign w:val="center"/>
                </w:tcPr>
                <w:p w14:paraId="745BD9EA">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序号</w:t>
                  </w:r>
                </w:p>
              </w:tc>
              <w:tc>
                <w:tcPr>
                  <w:tcW w:w="471" w:type="pct"/>
                  <w:tcBorders>
                    <w:bottom w:val="single" w:color="auto" w:sz="12" w:space="0"/>
                  </w:tcBorders>
                  <w:vAlign w:val="center"/>
                </w:tcPr>
                <w:p w14:paraId="4B690A61">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3"/>
                      <w:sz w:val="21"/>
                      <w:szCs w:val="21"/>
                    </w:rPr>
                    <w:t>名称</w:t>
                  </w:r>
                </w:p>
              </w:tc>
              <w:tc>
                <w:tcPr>
                  <w:tcW w:w="2417" w:type="pct"/>
                  <w:tcBorders>
                    <w:bottom w:val="single" w:color="auto" w:sz="12" w:space="0"/>
                  </w:tcBorders>
                  <w:vAlign w:val="center"/>
                </w:tcPr>
                <w:p w14:paraId="5151069A">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理化性质</w:t>
                  </w:r>
                </w:p>
              </w:tc>
              <w:tc>
                <w:tcPr>
                  <w:tcW w:w="764" w:type="pct"/>
                  <w:tcBorders>
                    <w:bottom w:val="single" w:color="auto" w:sz="12" w:space="0"/>
                  </w:tcBorders>
                  <w:vAlign w:val="center"/>
                </w:tcPr>
                <w:p w14:paraId="23C5263A">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燃烧</w:t>
                  </w:r>
                  <w:r>
                    <w:rPr>
                      <w:rFonts w:hint="default" w:ascii="Times New Roman" w:hAnsi="Times New Roman" w:eastAsia="宋体" w:cs="Times New Roman"/>
                      <w:b/>
                      <w:bCs/>
                      <w:color w:val="auto"/>
                      <w:spacing w:val="8"/>
                      <w:sz w:val="21"/>
                      <w:szCs w:val="21"/>
                    </w:rPr>
                    <w:t>爆炸性</w:t>
                  </w:r>
                </w:p>
              </w:tc>
              <w:tc>
                <w:tcPr>
                  <w:tcW w:w="861" w:type="pct"/>
                  <w:tcBorders>
                    <w:bottom w:val="single" w:color="auto" w:sz="12" w:space="0"/>
                  </w:tcBorders>
                  <w:vAlign w:val="center"/>
                </w:tcPr>
                <w:p w14:paraId="79E0CC11">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3"/>
                      <w:sz w:val="21"/>
                      <w:szCs w:val="21"/>
                    </w:rPr>
                    <w:t>毒性毒理</w:t>
                  </w:r>
                </w:p>
              </w:tc>
            </w:tr>
            <w:tr w14:paraId="4532A2D9">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1906" w:hRule="atLeast"/>
              </w:trPr>
              <w:tc>
                <w:tcPr>
                  <w:tcW w:w="484" w:type="pct"/>
                  <w:tcBorders>
                    <w:top w:val="single" w:color="auto" w:sz="12" w:space="0"/>
                    <w:tl2br w:val="nil"/>
                    <w:tr2bl w:val="nil"/>
                  </w:tcBorders>
                  <w:vAlign w:val="center"/>
                </w:tcPr>
                <w:p w14:paraId="542B6485">
                  <w:pPr>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1"/>
                      <w:sz w:val="21"/>
                      <w:szCs w:val="21"/>
                    </w:rPr>
                    <w:t>1</w:t>
                  </w:r>
                </w:p>
              </w:tc>
              <w:tc>
                <w:tcPr>
                  <w:tcW w:w="471" w:type="pct"/>
                  <w:tcBorders>
                    <w:top w:val="single" w:color="auto" w:sz="12" w:space="0"/>
                    <w:tl2br w:val="nil"/>
                    <w:tr2bl w:val="nil"/>
                  </w:tcBorders>
                  <w:vAlign w:val="center"/>
                </w:tcPr>
                <w:p w14:paraId="7867746C">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氢气</w:t>
                  </w:r>
                </w:p>
              </w:tc>
              <w:tc>
                <w:tcPr>
                  <w:tcW w:w="2417" w:type="pct"/>
                  <w:tcBorders>
                    <w:top w:val="single" w:color="auto" w:sz="12" w:space="0"/>
                    <w:tl2br w:val="nil"/>
                    <w:tr2bl w:val="nil"/>
                  </w:tcBorders>
                  <w:vAlign w:val="center"/>
                </w:tcPr>
                <w:p w14:paraId="30AFD874">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化学式H</w:t>
                  </w:r>
                  <w:r>
                    <w:rPr>
                      <w:rFonts w:hint="default" w:ascii="Times New Roman" w:hAnsi="Times New Roman" w:eastAsia="宋体" w:cs="Times New Roman"/>
                      <w:color w:val="auto"/>
                      <w:spacing w:val="2"/>
                      <w:position w:val="-1"/>
                      <w:sz w:val="21"/>
                      <w:szCs w:val="21"/>
                      <w:vertAlign w:val="subscript"/>
                    </w:rPr>
                    <w:t>2</w:t>
                  </w:r>
                  <w:r>
                    <w:rPr>
                      <w:rFonts w:hint="default" w:ascii="Times New Roman" w:hAnsi="Times New Roman" w:eastAsia="宋体" w:cs="Times New Roman"/>
                      <w:color w:val="auto"/>
                      <w:spacing w:val="2"/>
                      <w:sz w:val="21"/>
                      <w:szCs w:val="21"/>
                    </w:rPr>
                    <w:t>，密度0.0899</w:t>
                  </w:r>
                  <w:r>
                    <w:rPr>
                      <w:rFonts w:hint="default" w:ascii="Times New Roman" w:hAnsi="Times New Roman" w:eastAsia="宋体" w:cs="Times New Roman"/>
                      <w:color w:val="auto"/>
                      <w:sz w:val="21"/>
                      <w:szCs w:val="21"/>
                    </w:rPr>
                    <w:t>kg</w:t>
                  </w:r>
                  <w:r>
                    <w:rPr>
                      <w:rFonts w:hint="default" w:ascii="Times New Roman" w:hAnsi="Times New Roman" w:eastAsia="宋体" w:cs="Times New Roman"/>
                      <w:color w:val="auto"/>
                      <w:spacing w:val="2"/>
                      <w:sz w:val="21"/>
                      <w:szCs w:val="21"/>
                    </w:rPr>
                    <w:t>/m(101.325</w:t>
                  </w:r>
                  <w:r>
                    <w:rPr>
                      <w:rFonts w:hint="default" w:ascii="Times New Roman" w:hAnsi="Times New Roman" w:eastAsia="宋体" w:cs="Times New Roman"/>
                      <w:color w:val="auto"/>
                      <w:sz w:val="21"/>
                      <w:szCs w:val="21"/>
                    </w:rPr>
                    <w:t>kPa</w:t>
                  </w:r>
                  <w:r>
                    <w:rPr>
                      <w:rFonts w:hint="default" w:ascii="Times New Roman" w:hAnsi="Times New Roman" w:eastAsia="宋体" w:cs="Times New Roman"/>
                      <w:color w:val="auto"/>
                      <w:spacing w:val="2"/>
                      <w:sz w:val="21"/>
                      <w:szCs w:val="21"/>
                    </w:rPr>
                    <w:t>，</w:t>
                  </w:r>
                  <w:r>
                    <w:rPr>
                      <w:rFonts w:hint="default" w:ascii="Times New Roman" w:hAnsi="Times New Roman" w:eastAsia="宋体" w:cs="Times New Roman"/>
                      <w:color w:val="auto"/>
                      <w:spacing w:val="-3"/>
                      <w:sz w:val="21"/>
                      <w:szCs w:val="21"/>
                    </w:rPr>
                    <w:t>0℃)，分子量2.01588，CAS号1333-74-0，</w:t>
                  </w:r>
                  <w:r>
                    <w:rPr>
                      <w:rFonts w:hint="default" w:ascii="Times New Roman" w:hAnsi="Times New Roman" w:eastAsia="宋体" w:cs="Times New Roman"/>
                      <w:color w:val="auto"/>
                      <w:sz w:val="21"/>
                      <w:szCs w:val="21"/>
                    </w:rPr>
                    <w:t>EINECS</w:t>
                  </w:r>
                  <w:r>
                    <w:rPr>
                      <w:rFonts w:hint="default" w:ascii="Times New Roman" w:hAnsi="Times New Roman" w:eastAsia="宋体" w:cs="Times New Roman"/>
                      <w:color w:val="auto"/>
                      <w:spacing w:val="4"/>
                      <w:sz w:val="21"/>
                      <w:szCs w:val="21"/>
                    </w:rPr>
                    <w:t>号215-605-7，熔点-259.2℃(101</w:t>
                  </w:r>
                  <w:r>
                    <w:rPr>
                      <w:rFonts w:hint="default" w:ascii="Times New Roman" w:hAnsi="Times New Roman" w:eastAsia="宋体" w:cs="Times New Roman"/>
                      <w:color w:val="auto"/>
                      <w:sz w:val="21"/>
                      <w:szCs w:val="21"/>
                    </w:rPr>
                    <w:t>kPa</w:t>
                  </w:r>
                  <w:r>
                    <w:rPr>
                      <w:rFonts w:hint="default" w:ascii="Times New Roman" w:hAnsi="Times New Roman" w:eastAsia="宋体" w:cs="Times New Roman"/>
                      <w:color w:val="auto"/>
                      <w:spacing w:val="4"/>
                      <w:sz w:val="21"/>
                      <w:szCs w:val="21"/>
                    </w:rPr>
                    <w:t>)、沸点-252.87℃(101</w:t>
                  </w:r>
                  <w:r>
                    <w:rPr>
                      <w:rFonts w:hint="default" w:ascii="Times New Roman" w:hAnsi="Times New Roman" w:eastAsia="宋体" w:cs="Times New Roman"/>
                      <w:color w:val="auto"/>
                      <w:sz w:val="21"/>
                      <w:szCs w:val="21"/>
                    </w:rPr>
                    <w:t>kPa</w:t>
                  </w:r>
                  <w:r>
                    <w:rPr>
                      <w:rFonts w:hint="default" w:ascii="Times New Roman" w:hAnsi="Times New Roman" w:eastAsia="宋体" w:cs="Times New Roman"/>
                      <w:color w:val="auto"/>
                      <w:spacing w:val="4"/>
                      <w:sz w:val="21"/>
                      <w:szCs w:val="21"/>
                    </w:rPr>
                    <w:t>)。常温</w:t>
                  </w:r>
                  <w:r>
                    <w:rPr>
                      <w:rFonts w:hint="default" w:ascii="Times New Roman" w:hAnsi="Times New Roman" w:eastAsia="宋体" w:cs="Times New Roman"/>
                      <w:color w:val="auto"/>
                      <w:spacing w:val="9"/>
                      <w:sz w:val="21"/>
                      <w:szCs w:val="21"/>
                    </w:rPr>
                    <w:t>常下氢气是一种无色无味极易燃烧且难</w:t>
                  </w:r>
                  <w:r>
                    <w:rPr>
                      <w:rFonts w:hint="default" w:ascii="Times New Roman" w:hAnsi="Times New Roman" w:eastAsia="宋体" w:cs="Times New Roman"/>
                      <w:color w:val="auto"/>
                      <w:spacing w:val="6"/>
                      <w:sz w:val="21"/>
                      <w:szCs w:val="21"/>
                    </w:rPr>
                    <w:t>溶于水的气体。应用于工业燃料、金属冶</w:t>
                  </w:r>
                  <w:r>
                    <w:rPr>
                      <w:rFonts w:hint="default" w:ascii="Times New Roman" w:hAnsi="Times New Roman" w:eastAsia="宋体" w:cs="Times New Roman"/>
                      <w:color w:val="auto"/>
                      <w:spacing w:val="7"/>
                      <w:sz w:val="21"/>
                      <w:szCs w:val="21"/>
                    </w:rPr>
                    <w:t>炼、有机合成等。</w:t>
                  </w:r>
                </w:p>
              </w:tc>
              <w:tc>
                <w:tcPr>
                  <w:tcW w:w="764" w:type="pct"/>
                  <w:tcBorders>
                    <w:top w:val="single" w:color="auto" w:sz="12" w:space="0"/>
                    <w:tl2br w:val="nil"/>
                    <w:tr2bl w:val="nil"/>
                  </w:tcBorders>
                  <w:vAlign w:val="center"/>
                </w:tcPr>
                <w:p w14:paraId="353FC4F5">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易燃；爆炸</w:t>
                  </w:r>
                  <w:r>
                    <w:rPr>
                      <w:rFonts w:hint="default" w:ascii="Times New Roman" w:hAnsi="Times New Roman" w:eastAsia="宋体" w:cs="Times New Roman"/>
                      <w:color w:val="auto"/>
                      <w:spacing w:val="4"/>
                      <w:sz w:val="21"/>
                      <w:szCs w:val="21"/>
                    </w:rPr>
                    <w:t>极限</w:t>
                  </w:r>
                  <w:r>
                    <w:rPr>
                      <w:rFonts w:hint="default" w:ascii="Times New Roman" w:hAnsi="Times New Roman" w:eastAsia="宋体" w:cs="Times New Roman"/>
                      <w:color w:val="auto"/>
                      <w:spacing w:val="-1"/>
                      <w:sz w:val="21"/>
                      <w:szCs w:val="21"/>
                    </w:rPr>
                    <w:t>4.0%~75%；</w:t>
                  </w:r>
                  <w:r>
                    <w:rPr>
                      <w:rFonts w:hint="default" w:ascii="Times New Roman" w:hAnsi="Times New Roman" w:eastAsia="宋体" w:cs="Times New Roman"/>
                      <w:color w:val="auto"/>
                      <w:spacing w:val="1"/>
                      <w:sz w:val="21"/>
                      <w:szCs w:val="21"/>
                    </w:rPr>
                    <w:t>自燃点500</w:t>
                  </w:r>
                  <w:r>
                    <w:rPr>
                      <w:rFonts w:hint="default" w:ascii="Times New Roman" w:hAnsi="Times New Roman" w:eastAsia="宋体" w:cs="Times New Roman"/>
                      <w:color w:val="auto"/>
                      <w:sz w:val="21"/>
                      <w:szCs w:val="21"/>
                    </w:rPr>
                    <w:t>℃</w:t>
                  </w:r>
                </w:p>
              </w:tc>
              <w:tc>
                <w:tcPr>
                  <w:tcW w:w="861" w:type="pct"/>
                  <w:tcBorders>
                    <w:top w:val="single" w:color="auto" w:sz="12" w:space="0"/>
                    <w:tl2br w:val="nil"/>
                    <w:tr2bl w:val="nil"/>
                  </w:tcBorders>
                  <w:vAlign w:val="center"/>
                </w:tcPr>
                <w:p w14:paraId="158EEDE4">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毒性低，高浓</w:t>
                  </w:r>
                  <w:r>
                    <w:rPr>
                      <w:rFonts w:hint="default" w:ascii="Times New Roman" w:hAnsi="Times New Roman" w:eastAsia="宋体" w:cs="Times New Roman"/>
                      <w:color w:val="auto"/>
                      <w:spacing w:val="8"/>
                      <w:sz w:val="21"/>
                      <w:szCs w:val="21"/>
                    </w:rPr>
                    <w:t>度时因氧分</w:t>
                  </w:r>
                </w:p>
                <w:p w14:paraId="73EEEEEE">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压低而具有</w:t>
                  </w:r>
                </w:p>
                <w:p w14:paraId="22E14D72">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窒息作用，接</w:t>
                  </w:r>
                  <w:r>
                    <w:rPr>
                      <w:rFonts w:hint="default" w:ascii="Times New Roman" w:hAnsi="Times New Roman" w:eastAsia="宋体" w:cs="Times New Roman"/>
                      <w:color w:val="auto"/>
                      <w:spacing w:val="8"/>
                      <w:sz w:val="21"/>
                      <w:szCs w:val="21"/>
                    </w:rPr>
                    <w:t>触液态氢已</w:t>
                  </w:r>
                </w:p>
                <w:p w14:paraId="1322BC95">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引起冻伤</w:t>
                  </w:r>
                </w:p>
              </w:tc>
            </w:tr>
            <w:tr w14:paraId="2E72AFAC">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2450" w:hRule="atLeast"/>
              </w:trPr>
              <w:tc>
                <w:tcPr>
                  <w:tcW w:w="484" w:type="pct"/>
                  <w:tcBorders>
                    <w:tl2br w:val="nil"/>
                    <w:tr2bl w:val="nil"/>
                  </w:tcBorders>
                  <w:vAlign w:val="center"/>
                </w:tcPr>
                <w:p w14:paraId="7E3805BA">
                  <w:pPr>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1"/>
                      <w:sz w:val="21"/>
                      <w:szCs w:val="21"/>
                    </w:rPr>
                    <w:t>2</w:t>
                  </w:r>
                </w:p>
              </w:tc>
              <w:tc>
                <w:tcPr>
                  <w:tcW w:w="471" w:type="pct"/>
                  <w:tcBorders>
                    <w:tl2br w:val="nil"/>
                    <w:tr2bl w:val="nil"/>
                  </w:tcBorders>
                  <w:vAlign w:val="center"/>
                </w:tcPr>
                <w:p w14:paraId="315B76A3">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9"/>
                      <w:sz w:val="21"/>
                      <w:szCs w:val="21"/>
                    </w:rPr>
                    <w:t>甲烷</w:t>
                  </w:r>
                </w:p>
              </w:tc>
              <w:tc>
                <w:tcPr>
                  <w:tcW w:w="2417" w:type="pct"/>
                  <w:tcBorders>
                    <w:tl2br w:val="nil"/>
                    <w:tr2bl w:val="nil"/>
                  </w:tcBorders>
                  <w:vAlign w:val="center"/>
                </w:tcPr>
                <w:p w14:paraId="6E741B0D">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别名碳烷，化学式</w:t>
                  </w:r>
                  <w:r>
                    <w:rPr>
                      <w:rFonts w:hint="default" w:ascii="Times New Roman" w:hAnsi="Times New Roman" w:eastAsia="宋体" w:cs="Times New Roman"/>
                      <w:color w:val="auto"/>
                      <w:sz w:val="21"/>
                      <w:szCs w:val="21"/>
                    </w:rPr>
                    <w:t>CH</w:t>
                  </w:r>
                  <w:r>
                    <w:rPr>
                      <w:rFonts w:hint="default" w:ascii="Times New Roman" w:hAnsi="Times New Roman" w:eastAsia="宋体" w:cs="Times New Roman"/>
                      <w:color w:val="auto"/>
                      <w:spacing w:val="4"/>
                      <w:position w:val="-1"/>
                      <w:sz w:val="21"/>
                      <w:szCs w:val="21"/>
                      <w:vertAlign w:val="subscript"/>
                    </w:rPr>
                    <w:t>4</w:t>
                  </w:r>
                  <w:r>
                    <w:rPr>
                      <w:rFonts w:hint="default" w:ascii="Times New Roman" w:hAnsi="Times New Roman" w:eastAsia="宋体" w:cs="Times New Roman"/>
                      <w:color w:val="auto"/>
                      <w:spacing w:val="4"/>
                      <w:sz w:val="21"/>
                      <w:szCs w:val="21"/>
                    </w:rPr>
                    <w:t>，分子量16.043，</w:t>
                  </w:r>
                  <w:r>
                    <w:rPr>
                      <w:rFonts w:hint="default" w:ascii="Times New Roman" w:hAnsi="Times New Roman" w:eastAsia="宋体" w:cs="Times New Roman"/>
                      <w:color w:val="auto"/>
                      <w:sz w:val="21"/>
                      <w:szCs w:val="21"/>
                    </w:rPr>
                    <w:t>CAS</w:t>
                  </w:r>
                  <w:r>
                    <w:rPr>
                      <w:rFonts w:hint="default" w:ascii="Times New Roman" w:hAnsi="Times New Roman" w:eastAsia="宋体" w:cs="Times New Roman"/>
                      <w:color w:val="auto"/>
                      <w:spacing w:val="3"/>
                      <w:sz w:val="21"/>
                      <w:szCs w:val="21"/>
                    </w:rPr>
                    <w:t>号74-82-8，</w:t>
                  </w:r>
                  <w:r>
                    <w:rPr>
                      <w:rFonts w:hint="default" w:ascii="Times New Roman" w:hAnsi="Times New Roman" w:eastAsia="宋体" w:cs="Times New Roman"/>
                      <w:color w:val="auto"/>
                      <w:sz w:val="21"/>
                      <w:szCs w:val="21"/>
                    </w:rPr>
                    <w:t>EINECS</w:t>
                  </w:r>
                  <w:r>
                    <w:rPr>
                      <w:rFonts w:hint="default" w:ascii="Times New Roman" w:hAnsi="Times New Roman" w:eastAsia="宋体" w:cs="Times New Roman"/>
                      <w:color w:val="auto"/>
                      <w:spacing w:val="3"/>
                      <w:sz w:val="21"/>
                      <w:szCs w:val="21"/>
                    </w:rPr>
                    <w:t>号200-812-7，</w:t>
                  </w:r>
                  <w:r>
                    <w:rPr>
                      <w:rFonts w:hint="default" w:ascii="Times New Roman" w:hAnsi="Times New Roman" w:eastAsia="宋体" w:cs="Times New Roman"/>
                      <w:color w:val="auto"/>
                      <w:spacing w:val="-5"/>
                      <w:sz w:val="21"/>
                      <w:szCs w:val="21"/>
                    </w:rPr>
                    <w:t>熔点-182.8℃,沸点-161.</w:t>
                  </w:r>
                  <w:r>
                    <w:rPr>
                      <w:rFonts w:hint="default" w:ascii="Times New Roman" w:hAnsi="Times New Roman" w:eastAsia="宋体" w:cs="Times New Roman"/>
                      <w:color w:val="auto"/>
                      <w:spacing w:val="-6"/>
                      <w:sz w:val="21"/>
                      <w:szCs w:val="21"/>
                    </w:rPr>
                    <w:t>5℃,密度</w:t>
                  </w:r>
                  <w:r>
                    <w:rPr>
                      <w:rFonts w:hint="default" w:ascii="Times New Roman" w:hAnsi="Times New Roman" w:eastAsia="宋体" w:cs="Times New Roman"/>
                      <w:color w:val="auto"/>
                      <w:spacing w:val="5"/>
                      <w:sz w:val="21"/>
                      <w:szCs w:val="21"/>
                    </w:rPr>
                    <w:t>0.42(-164℃)(标准情况)0.717g，常温下为</w:t>
                  </w:r>
                  <w:r>
                    <w:rPr>
                      <w:rFonts w:hint="default" w:ascii="Times New Roman" w:hAnsi="Times New Roman" w:eastAsia="宋体" w:cs="Times New Roman"/>
                      <w:color w:val="auto"/>
                      <w:sz w:val="21"/>
                      <w:szCs w:val="21"/>
                    </w:rPr>
                    <w:t>无色无味气体，闪点-188℃。通常情况下，</w:t>
                  </w:r>
                  <w:r>
                    <w:rPr>
                      <w:rFonts w:hint="default" w:ascii="Times New Roman" w:hAnsi="Times New Roman" w:eastAsia="宋体" w:cs="Times New Roman"/>
                      <w:color w:val="auto"/>
                      <w:spacing w:val="6"/>
                      <w:sz w:val="21"/>
                      <w:szCs w:val="21"/>
                    </w:rPr>
                    <w:t>甲烧比较稳定，与高锰酸钾等强氧化剂不反应，与强酸、强碱也不反应。但是在特</w:t>
                  </w:r>
                  <w:r>
                    <w:rPr>
                      <w:rFonts w:hint="default" w:ascii="Times New Roman" w:hAnsi="Times New Roman" w:eastAsia="宋体" w:cs="Times New Roman"/>
                      <w:color w:val="auto"/>
                      <w:spacing w:val="8"/>
                      <w:sz w:val="21"/>
                      <w:szCs w:val="21"/>
                    </w:rPr>
                    <w:t>定条件下，甲烷也会发生某些反应。</w:t>
                  </w:r>
                </w:p>
              </w:tc>
              <w:tc>
                <w:tcPr>
                  <w:tcW w:w="764" w:type="pct"/>
                  <w:tcBorders>
                    <w:tl2br w:val="nil"/>
                    <w:tr2bl w:val="nil"/>
                  </w:tcBorders>
                  <w:vAlign w:val="center"/>
                </w:tcPr>
                <w:p w14:paraId="0E99B731">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易燃；爆炸</w:t>
                  </w:r>
                  <w:r>
                    <w:rPr>
                      <w:rFonts w:hint="default" w:ascii="Times New Roman" w:hAnsi="Times New Roman" w:eastAsia="宋体" w:cs="Times New Roman"/>
                      <w:color w:val="auto"/>
                      <w:spacing w:val="4"/>
                      <w:sz w:val="21"/>
                      <w:szCs w:val="21"/>
                    </w:rPr>
                    <w:t>极限</w:t>
                  </w:r>
                  <w:r>
                    <w:rPr>
                      <w:rFonts w:hint="default" w:ascii="Times New Roman" w:hAnsi="Times New Roman" w:eastAsia="宋体" w:cs="Times New Roman"/>
                      <w:color w:val="auto"/>
                      <w:spacing w:val="-10"/>
                      <w:sz w:val="21"/>
                      <w:szCs w:val="21"/>
                    </w:rPr>
                    <w:t>5%~15%。自</w:t>
                  </w:r>
                  <w:r>
                    <w:rPr>
                      <w:rFonts w:hint="default" w:ascii="Times New Roman" w:hAnsi="Times New Roman" w:eastAsia="宋体" w:cs="Times New Roman"/>
                      <w:color w:val="auto"/>
                      <w:spacing w:val="3"/>
                      <w:sz w:val="21"/>
                      <w:szCs w:val="21"/>
                    </w:rPr>
                    <w:t>燃点537℃</w:t>
                  </w:r>
                </w:p>
              </w:tc>
              <w:tc>
                <w:tcPr>
                  <w:tcW w:w="861" w:type="pct"/>
                  <w:tcBorders>
                    <w:tl2br w:val="nil"/>
                    <w:tr2bl w:val="nil"/>
                  </w:tcBorders>
                  <w:vAlign w:val="center"/>
                </w:tcPr>
                <w:p w14:paraId="57093951">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气态的甲烷</w:t>
                  </w:r>
                </w:p>
                <w:p w14:paraId="4406CA90">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rPr>
                    <w:t>对人类的毒</w:t>
                  </w:r>
                </w:p>
                <w:p w14:paraId="4186E347">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性比较低，主</w:t>
                  </w:r>
                  <w:r>
                    <w:rPr>
                      <w:rFonts w:hint="default" w:ascii="Times New Roman" w:hAnsi="Times New Roman" w:eastAsia="宋体" w:cs="Times New Roman"/>
                      <w:color w:val="auto"/>
                      <w:spacing w:val="7"/>
                      <w:sz w:val="21"/>
                      <w:szCs w:val="21"/>
                    </w:rPr>
                    <w:t>要表现为在</w:t>
                  </w:r>
                </w:p>
                <w:p w14:paraId="6315C77D">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高浓度时有</w:t>
                  </w:r>
                </w:p>
                <w:p w14:paraId="2EBD2B74">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窒息作用。对</w:t>
                  </w:r>
                  <w:r>
                    <w:rPr>
                      <w:rFonts w:hint="default" w:ascii="Times New Roman" w:hAnsi="Times New Roman" w:eastAsia="宋体" w:cs="Times New Roman"/>
                      <w:color w:val="auto"/>
                      <w:spacing w:val="7"/>
                      <w:sz w:val="21"/>
                      <w:szCs w:val="21"/>
                    </w:rPr>
                    <w:t>人类无致癌</w:t>
                  </w:r>
                </w:p>
                <w:p w14:paraId="76FAF0E3">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4"/>
                      <w:sz w:val="21"/>
                      <w:szCs w:val="21"/>
                    </w:rPr>
                    <w:t>作用，</w:t>
                  </w:r>
                  <w:r>
                    <w:rPr>
                      <w:rFonts w:hint="default" w:ascii="Times New Roman" w:hAnsi="Times New Roman" w:eastAsia="宋体" w:cs="Times New Roman"/>
                      <w:color w:val="auto"/>
                      <w:sz w:val="21"/>
                      <w:szCs w:val="21"/>
                    </w:rPr>
                    <w:t>IARC</w:t>
                  </w:r>
                  <w:r>
                    <w:rPr>
                      <w:rFonts w:hint="default" w:ascii="Times New Roman" w:hAnsi="Times New Roman" w:eastAsia="宋体" w:cs="Times New Roman"/>
                      <w:color w:val="auto"/>
                      <w:spacing w:val="6"/>
                      <w:sz w:val="21"/>
                      <w:szCs w:val="21"/>
                    </w:rPr>
                    <w:t>将其归类为3</w:t>
                  </w:r>
                </w:p>
              </w:tc>
            </w:tr>
            <w:tr w14:paraId="3E2D3AF8">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1363" w:hRule="atLeast"/>
              </w:trPr>
              <w:tc>
                <w:tcPr>
                  <w:tcW w:w="484" w:type="pct"/>
                  <w:tcBorders>
                    <w:tl2br w:val="nil"/>
                    <w:tr2bl w:val="nil"/>
                  </w:tcBorders>
                  <w:vAlign w:val="center"/>
                </w:tcPr>
                <w:p w14:paraId="2DD85A6A">
                  <w:pPr>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2"/>
                      <w:sz w:val="21"/>
                      <w:szCs w:val="21"/>
                    </w:rPr>
                    <w:t>3</w:t>
                  </w:r>
                </w:p>
              </w:tc>
              <w:tc>
                <w:tcPr>
                  <w:tcW w:w="471" w:type="pct"/>
                  <w:tcBorders>
                    <w:tl2br w:val="nil"/>
                    <w:tr2bl w:val="nil"/>
                  </w:tcBorders>
                  <w:vAlign w:val="center"/>
                </w:tcPr>
                <w:p w14:paraId="6220FBF0">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氩气</w:t>
                  </w:r>
                </w:p>
              </w:tc>
              <w:tc>
                <w:tcPr>
                  <w:tcW w:w="2417" w:type="pct"/>
                  <w:tcBorders>
                    <w:tl2br w:val="nil"/>
                    <w:tr2bl w:val="nil"/>
                  </w:tcBorders>
                  <w:vAlign w:val="center"/>
                </w:tcPr>
                <w:p w14:paraId="0E6F6CDB">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化学式</w:t>
                  </w:r>
                  <w:r>
                    <w:rPr>
                      <w:rFonts w:hint="default" w:ascii="Times New Roman" w:hAnsi="Times New Roman" w:eastAsia="宋体" w:cs="Times New Roman"/>
                      <w:color w:val="auto"/>
                      <w:sz w:val="21"/>
                      <w:szCs w:val="21"/>
                    </w:rPr>
                    <w:t>Ar</w:t>
                  </w:r>
                  <w:r>
                    <w:rPr>
                      <w:rFonts w:hint="default" w:ascii="Times New Roman" w:hAnsi="Times New Roman" w:eastAsia="宋体" w:cs="Times New Roman"/>
                      <w:color w:val="auto"/>
                      <w:spacing w:val="6"/>
                      <w:sz w:val="21"/>
                      <w:szCs w:val="21"/>
                    </w:rPr>
                    <w:t>，</w:t>
                  </w:r>
                  <w:r>
                    <w:rPr>
                      <w:rFonts w:hint="default" w:ascii="Times New Roman" w:hAnsi="Times New Roman" w:eastAsia="宋体" w:cs="Times New Roman"/>
                      <w:color w:val="auto"/>
                      <w:sz w:val="21"/>
                      <w:szCs w:val="21"/>
                    </w:rPr>
                    <w:t>CAS</w:t>
                  </w:r>
                  <w:r>
                    <w:rPr>
                      <w:rFonts w:hint="default" w:ascii="Times New Roman" w:hAnsi="Times New Roman" w:eastAsia="宋体" w:cs="Times New Roman"/>
                      <w:color w:val="auto"/>
                      <w:spacing w:val="6"/>
                      <w:sz w:val="21"/>
                      <w:szCs w:val="21"/>
                    </w:rPr>
                    <w:t>号7440-37-1，</w:t>
                  </w:r>
                  <w:r>
                    <w:rPr>
                      <w:rFonts w:hint="default" w:ascii="Times New Roman" w:hAnsi="Times New Roman" w:eastAsia="宋体" w:cs="Times New Roman"/>
                      <w:color w:val="auto"/>
                      <w:sz w:val="21"/>
                      <w:szCs w:val="21"/>
                    </w:rPr>
                    <w:t>EINECS</w:t>
                  </w:r>
                  <w:r>
                    <w:rPr>
                      <w:rFonts w:hint="default" w:ascii="Times New Roman" w:hAnsi="Times New Roman" w:eastAsia="宋体" w:cs="Times New Roman"/>
                      <w:color w:val="auto"/>
                      <w:spacing w:val="2"/>
                      <w:sz w:val="21"/>
                      <w:szCs w:val="21"/>
                    </w:rPr>
                    <w:t>号231-147-0，熔点-189.2℃,</w:t>
                  </w:r>
                  <w:r>
                    <w:rPr>
                      <w:rFonts w:hint="default" w:ascii="Times New Roman" w:hAnsi="Times New Roman" w:eastAsia="宋体" w:cs="Times New Roman"/>
                      <w:color w:val="auto"/>
                      <w:spacing w:val="1"/>
                      <w:sz w:val="21"/>
                      <w:szCs w:val="21"/>
                    </w:rPr>
                    <w:t>沸点-185.9</w:t>
                  </w:r>
                  <w:r>
                    <w:rPr>
                      <w:rFonts w:hint="default" w:ascii="Times New Roman" w:hAnsi="Times New Roman" w:eastAsia="宋体" w:cs="Times New Roman"/>
                      <w:color w:val="auto"/>
                      <w:spacing w:val="-3"/>
                      <w:sz w:val="21"/>
                      <w:szCs w:val="21"/>
                    </w:rPr>
                    <w:t>℃,微溶于水，密度1.784kg/m’，无色、</w:t>
                  </w:r>
                  <w:r>
                    <w:rPr>
                      <w:rFonts w:hint="default" w:ascii="Times New Roman" w:hAnsi="Times New Roman" w:eastAsia="宋体" w:cs="Times New Roman"/>
                      <w:color w:val="auto"/>
                      <w:spacing w:val="5"/>
                      <w:sz w:val="21"/>
                      <w:szCs w:val="21"/>
                    </w:rPr>
                    <w:t>无味、无臭、无毒的情性气体，用做保护</w:t>
                  </w:r>
                  <w:r>
                    <w:rPr>
                      <w:rFonts w:hint="default" w:ascii="Times New Roman" w:hAnsi="Times New Roman" w:eastAsia="宋体" w:cs="Times New Roman"/>
                      <w:color w:val="auto"/>
                      <w:spacing w:val="7"/>
                      <w:sz w:val="21"/>
                      <w:szCs w:val="21"/>
                    </w:rPr>
                    <w:t>气和氨吹炼生产优质钢。</w:t>
                  </w:r>
                </w:p>
              </w:tc>
              <w:tc>
                <w:tcPr>
                  <w:tcW w:w="764" w:type="pct"/>
                  <w:tcBorders>
                    <w:tl2br w:val="nil"/>
                    <w:tr2bl w:val="nil"/>
                  </w:tcBorders>
                  <w:vAlign w:val="center"/>
                </w:tcPr>
                <w:p w14:paraId="155F3146">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不易燃</w:t>
                  </w:r>
                </w:p>
              </w:tc>
              <w:tc>
                <w:tcPr>
                  <w:tcW w:w="861" w:type="pct"/>
                  <w:tcBorders>
                    <w:tl2br w:val="nil"/>
                    <w:tr2bl w:val="nil"/>
                  </w:tcBorders>
                  <w:vAlign w:val="center"/>
                </w:tcPr>
                <w:p w14:paraId="7949890C">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常压下无毒</w:t>
                  </w:r>
                </w:p>
              </w:tc>
            </w:tr>
            <w:tr w14:paraId="2E9186DC">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2178" w:hRule="atLeast"/>
              </w:trPr>
              <w:tc>
                <w:tcPr>
                  <w:tcW w:w="484" w:type="pct"/>
                  <w:tcBorders>
                    <w:tl2br w:val="nil"/>
                    <w:tr2bl w:val="nil"/>
                  </w:tcBorders>
                  <w:vAlign w:val="center"/>
                </w:tcPr>
                <w:p w14:paraId="75128C5B">
                  <w:pPr>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position w:val="1"/>
                      <w:sz w:val="21"/>
                      <w:szCs w:val="21"/>
                    </w:rPr>
                    <w:t>4</w:t>
                  </w:r>
                </w:p>
              </w:tc>
              <w:tc>
                <w:tcPr>
                  <w:tcW w:w="471" w:type="pct"/>
                  <w:tcBorders>
                    <w:tl2br w:val="nil"/>
                    <w:tr2bl w:val="nil"/>
                  </w:tcBorders>
                  <w:vAlign w:val="center"/>
                </w:tcPr>
                <w:p w14:paraId="47B1E8EE">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二氧化</w:t>
                  </w:r>
                  <w:r>
                    <w:rPr>
                      <w:rFonts w:hint="default" w:ascii="Times New Roman" w:hAnsi="Times New Roman" w:eastAsia="宋体" w:cs="Times New Roman"/>
                      <w:color w:val="auto"/>
                      <w:sz w:val="21"/>
                      <w:szCs w:val="21"/>
                    </w:rPr>
                    <w:t>碳</w:t>
                  </w:r>
                </w:p>
              </w:tc>
              <w:tc>
                <w:tcPr>
                  <w:tcW w:w="2417" w:type="pct"/>
                  <w:tcBorders>
                    <w:tl2br w:val="nil"/>
                    <w:tr2bl w:val="nil"/>
                  </w:tcBorders>
                  <w:vAlign w:val="center"/>
                </w:tcPr>
                <w:p w14:paraId="5B359DD8">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化学式</w:t>
                  </w:r>
                  <w:r>
                    <w:rPr>
                      <w:rFonts w:hint="default" w:ascii="Times New Roman" w:hAnsi="Times New Roman" w:eastAsia="宋体" w:cs="Times New Roman"/>
                      <w:color w:val="auto"/>
                      <w:sz w:val="21"/>
                      <w:szCs w:val="21"/>
                    </w:rPr>
                    <w:t>CO</w:t>
                  </w:r>
                  <w:r>
                    <w:rPr>
                      <w:rFonts w:hint="default" w:ascii="Times New Roman" w:hAnsi="Times New Roman" w:eastAsia="宋体" w:cs="Times New Roman"/>
                      <w:color w:val="auto"/>
                      <w:spacing w:val="4"/>
                      <w:position w:val="-1"/>
                      <w:sz w:val="21"/>
                      <w:szCs w:val="21"/>
                      <w:vertAlign w:val="subscript"/>
                    </w:rPr>
                    <w:t>2</w:t>
                  </w:r>
                  <w:r>
                    <w:rPr>
                      <w:rFonts w:hint="default" w:ascii="Times New Roman" w:hAnsi="Times New Roman" w:eastAsia="宋体" w:cs="Times New Roman"/>
                      <w:color w:val="auto"/>
                      <w:spacing w:val="4"/>
                      <w:sz w:val="21"/>
                      <w:szCs w:val="21"/>
                    </w:rPr>
                    <w:t>、分子量44.0095，</w:t>
                  </w:r>
                  <w:r>
                    <w:rPr>
                      <w:rFonts w:hint="default" w:ascii="Times New Roman" w:hAnsi="Times New Roman" w:eastAsia="宋体" w:cs="Times New Roman"/>
                      <w:color w:val="auto"/>
                      <w:sz w:val="21"/>
                      <w:szCs w:val="21"/>
                    </w:rPr>
                    <w:t>CAS</w:t>
                  </w:r>
                  <w:r>
                    <w:rPr>
                      <w:rFonts w:hint="default" w:ascii="Times New Roman" w:hAnsi="Times New Roman" w:eastAsia="宋体" w:cs="Times New Roman"/>
                      <w:color w:val="auto"/>
                      <w:spacing w:val="4"/>
                      <w:sz w:val="21"/>
                      <w:szCs w:val="21"/>
                    </w:rPr>
                    <w:t>登录</w:t>
                  </w:r>
                  <w:r>
                    <w:rPr>
                      <w:rFonts w:hint="default" w:ascii="Times New Roman" w:hAnsi="Times New Roman" w:eastAsia="宋体" w:cs="Times New Roman"/>
                      <w:color w:val="auto"/>
                      <w:spacing w:val="2"/>
                      <w:sz w:val="21"/>
                      <w:szCs w:val="21"/>
                    </w:rPr>
                    <w:t>号124-38-9，</w:t>
                  </w:r>
                  <w:r>
                    <w:rPr>
                      <w:rFonts w:hint="default" w:ascii="Times New Roman" w:hAnsi="Times New Roman" w:eastAsia="宋体" w:cs="Times New Roman"/>
                      <w:color w:val="auto"/>
                      <w:sz w:val="21"/>
                      <w:szCs w:val="21"/>
                    </w:rPr>
                    <w:t>EINECS</w:t>
                  </w:r>
                  <w:r>
                    <w:rPr>
                      <w:rFonts w:hint="default" w:ascii="Times New Roman" w:hAnsi="Times New Roman" w:eastAsia="宋体" w:cs="Times New Roman"/>
                      <w:color w:val="auto"/>
                      <w:spacing w:val="2"/>
                      <w:sz w:val="21"/>
                      <w:szCs w:val="21"/>
                    </w:rPr>
                    <w:t>登录号204-696-9，</w:t>
                  </w:r>
                  <w:r>
                    <w:rPr>
                      <w:rFonts w:hint="default" w:ascii="Times New Roman" w:hAnsi="Times New Roman" w:eastAsia="宋体" w:cs="Times New Roman"/>
                      <w:color w:val="auto"/>
                      <w:spacing w:val="9"/>
                      <w:sz w:val="21"/>
                      <w:szCs w:val="21"/>
                    </w:rPr>
                    <w:t>常温常压下是一种无色无味或无色无嗅</w:t>
                  </w:r>
                  <w:r>
                    <w:rPr>
                      <w:rFonts w:hint="default" w:ascii="Times New Roman" w:hAnsi="Times New Roman" w:eastAsia="宋体" w:cs="Times New Roman"/>
                      <w:color w:val="auto"/>
                      <w:spacing w:val="7"/>
                      <w:sz w:val="21"/>
                      <w:szCs w:val="21"/>
                    </w:rPr>
                    <w:t>而略有限味的气体，熔点-56.6℃</w:t>
                  </w:r>
                  <w:r>
                    <w:rPr>
                      <w:rFonts w:hint="default" w:ascii="Times New Roman" w:hAnsi="Times New Roman" w:eastAsia="宋体" w:cs="Times New Roman"/>
                      <w:color w:val="auto"/>
                      <w:spacing w:val="1"/>
                      <w:position w:val="2"/>
                      <w:sz w:val="21"/>
                      <w:szCs w:val="21"/>
                    </w:rPr>
                    <w:t>(527</w:t>
                  </w:r>
                  <w:r>
                    <w:rPr>
                      <w:rFonts w:hint="default" w:ascii="Times New Roman" w:hAnsi="Times New Roman" w:eastAsia="宋体" w:cs="Times New Roman"/>
                      <w:color w:val="auto"/>
                      <w:position w:val="2"/>
                      <w:sz w:val="21"/>
                      <w:szCs w:val="21"/>
                    </w:rPr>
                    <w:t>kPa</w:t>
                  </w:r>
                  <w:r>
                    <w:rPr>
                      <w:rFonts w:hint="default" w:ascii="Times New Roman" w:hAnsi="Times New Roman" w:eastAsia="宋体" w:cs="Times New Roman"/>
                      <w:color w:val="auto"/>
                      <w:spacing w:val="1"/>
                      <w:position w:val="2"/>
                      <w:sz w:val="21"/>
                      <w:szCs w:val="21"/>
                    </w:rPr>
                    <w:t>)，沸点-78.5℃,水溶性</w:t>
                  </w:r>
                  <w:r>
                    <w:rPr>
                      <w:rFonts w:hint="default" w:ascii="Times New Roman" w:hAnsi="Times New Roman" w:eastAsia="宋体" w:cs="Times New Roman"/>
                      <w:color w:val="auto"/>
                      <w:sz w:val="21"/>
                      <w:szCs w:val="21"/>
                    </w:rPr>
                    <w:t>&lt;0.05%(22.9℃)，液</w:t>
                  </w:r>
                  <w:r>
                    <w:rPr>
                      <w:rFonts w:hint="eastAsia" w:ascii="Times New Roman" w:hAnsi="Times New Roman" w:cs="Times New Roman"/>
                      <w:color w:val="auto"/>
                      <w:sz w:val="21"/>
                      <w:szCs w:val="21"/>
                      <w:lang w:val="en-US" w:eastAsia="zh-CN"/>
                    </w:rPr>
                    <w:t>体</w:t>
                  </w:r>
                  <w:r>
                    <w:rPr>
                      <w:rFonts w:hint="default" w:ascii="Times New Roman" w:hAnsi="Times New Roman" w:eastAsia="宋体" w:cs="Times New Roman"/>
                      <w:color w:val="auto"/>
                      <w:sz w:val="21"/>
                      <w:szCs w:val="21"/>
                    </w:rPr>
                    <w:t>密度0.9295</w:t>
                  </w:r>
                  <w:r>
                    <w:rPr>
                      <w:rFonts w:hint="default" w:ascii="Times New Roman" w:hAnsi="Times New Roman" w:eastAsia="宋体" w:cs="Times New Roman"/>
                      <w:color w:val="auto"/>
                      <w:spacing w:val="-1"/>
                      <w:sz w:val="21"/>
                      <w:szCs w:val="21"/>
                    </w:rPr>
                    <w:t>k/L(0℃,</w:t>
                  </w:r>
                  <w:r>
                    <w:rPr>
                      <w:rFonts w:hint="default" w:ascii="Times New Roman" w:hAnsi="Times New Roman" w:eastAsia="宋体" w:cs="Times New Roman"/>
                      <w:color w:val="auto"/>
                      <w:spacing w:val="1"/>
                      <w:sz w:val="21"/>
                      <w:szCs w:val="21"/>
                    </w:rPr>
                    <w:t>101.3486</w:t>
                  </w:r>
                  <w:r>
                    <w:rPr>
                      <w:rFonts w:hint="default" w:ascii="Times New Roman" w:hAnsi="Times New Roman" w:eastAsia="宋体" w:cs="Times New Roman"/>
                      <w:color w:val="auto"/>
                      <w:sz w:val="21"/>
                      <w:szCs w:val="21"/>
                    </w:rPr>
                    <w:t>kPa</w:t>
                  </w:r>
                  <w:r>
                    <w:rPr>
                      <w:rFonts w:hint="default" w:ascii="Times New Roman" w:hAnsi="Times New Roman" w:eastAsia="宋体" w:cs="Times New Roman"/>
                      <w:color w:val="auto"/>
                      <w:spacing w:val="1"/>
                      <w:sz w:val="21"/>
                      <w:szCs w:val="21"/>
                    </w:rPr>
                    <w:t>)，气体密度1.977g/</w:t>
                  </w:r>
                  <w:r>
                    <w:rPr>
                      <w:rFonts w:hint="default" w:ascii="Times New Roman" w:hAnsi="Times New Roman" w:eastAsia="宋体" w:cs="Times New Roman"/>
                      <w:color w:val="auto"/>
                      <w:sz w:val="21"/>
                      <w:szCs w:val="21"/>
                    </w:rPr>
                    <w:t>L(O℃,</w:t>
                  </w:r>
                  <w:r>
                    <w:rPr>
                      <w:rFonts w:hint="default" w:ascii="Times New Roman" w:hAnsi="Times New Roman" w:eastAsia="宋体" w:cs="Times New Roman"/>
                      <w:color w:val="auto"/>
                      <w:spacing w:val="2"/>
                      <w:sz w:val="21"/>
                      <w:szCs w:val="21"/>
                    </w:rPr>
                    <w:t>101.325</w:t>
                  </w:r>
                  <w:r>
                    <w:rPr>
                      <w:rFonts w:hint="default" w:ascii="Times New Roman" w:hAnsi="Times New Roman" w:eastAsia="宋体" w:cs="Times New Roman"/>
                      <w:color w:val="auto"/>
                      <w:sz w:val="21"/>
                      <w:szCs w:val="21"/>
                    </w:rPr>
                    <w:t>kPa</w:t>
                  </w:r>
                  <w:r>
                    <w:rPr>
                      <w:rFonts w:hint="default" w:ascii="Times New Roman" w:hAnsi="Times New Roman" w:eastAsia="宋体" w:cs="Times New Roman"/>
                      <w:color w:val="auto"/>
                      <w:spacing w:val="2"/>
                      <w:sz w:val="21"/>
                      <w:szCs w:val="21"/>
                    </w:rPr>
                    <w:t>)。</w:t>
                  </w:r>
                </w:p>
              </w:tc>
              <w:tc>
                <w:tcPr>
                  <w:tcW w:w="764" w:type="pct"/>
                  <w:tcBorders>
                    <w:tl2br w:val="nil"/>
                    <w:tr2bl w:val="nil"/>
                  </w:tcBorders>
                  <w:vAlign w:val="center"/>
                </w:tcPr>
                <w:p w14:paraId="2C2CD6A5">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不易燃，爆炸极限无意</w:t>
                  </w:r>
                  <w:r>
                    <w:rPr>
                      <w:rFonts w:hint="default" w:ascii="Times New Roman" w:hAnsi="Times New Roman" w:eastAsia="宋体" w:cs="Times New Roman"/>
                      <w:color w:val="auto"/>
                      <w:sz w:val="21"/>
                      <w:szCs w:val="21"/>
                    </w:rPr>
                    <w:t>义</w:t>
                  </w:r>
                </w:p>
              </w:tc>
              <w:tc>
                <w:tcPr>
                  <w:tcW w:w="861" w:type="pct"/>
                  <w:tcBorders>
                    <w:tl2br w:val="nil"/>
                    <w:tr2bl w:val="nil"/>
                  </w:tcBorders>
                  <w:vAlign w:val="center"/>
                </w:tcPr>
                <w:p w14:paraId="0208D066">
                  <w:pPr>
                    <w:pStyle w:val="76"/>
                    <w:keepNext w:val="0"/>
                    <w:keepLines w:val="0"/>
                    <w:pageBreakBefore w:val="0"/>
                    <w:widowControl w:val="0"/>
                    <w:kinsoku/>
                    <w:wordWrap/>
                    <w:overflowPunct/>
                    <w:topLinePunct w:val="0"/>
                    <w:autoSpaceDE/>
                    <w:autoSpaceDN/>
                    <w:bidi w:val="0"/>
                    <w:adjustRightInd w:val="0"/>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无毒</w:t>
                  </w:r>
                </w:p>
              </w:tc>
            </w:tr>
          </w:tbl>
          <w:p w14:paraId="58F373E7">
            <w:pPr>
              <w:pStyle w:val="76"/>
              <w:spacing w:before="180" w:line="221" w:lineRule="auto"/>
              <w:ind w:firstLine="470" w:firstLineChars="200"/>
              <w:outlineLvl w:val="2"/>
              <w:rPr>
                <w:color w:val="auto"/>
                <w:sz w:val="24"/>
                <w:szCs w:val="24"/>
              </w:rPr>
            </w:pPr>
            <w:r>
              <w:rPr>
                <w:b/>
                <w:bCs/>
                <w:color w:val="auto"/>
                <w:spacing w:val="-3"/>
                <w:sz w:val="24"/>
                <w:szCs w:val="24"/>
              </w:rPr>
              <w:t>物料平衡</w:t>
            </w:r>
          </w:p>
          <w:p w14:paraId="62D6EAD6">
            <w:pPr>
              <w:adjustRightInd w:val="0"/>
              <w:snapToGrid w:val="0"/>
              <w:spacing w:line="520" w:lineRule="exact"/>
              <w:ind w:firstLine="480" w:firstLineChars="200"/>
              <w:rPr>
                <w:color w:val="auto"/>
                <w:spacing w:val="-4"/>
                <w:sz w:val="24"/>
                <w:szCs w:val="24"/>
              </w:rPr>
            </w:pPr>
            <w:r>
              <w:rPr>
                <w:color w:val="auto"/>
                <w:sz w:val="24"/>
                <w:szCs w:val="24"/>
              </w:rPr>
              <w:t>根据建设单位提供的材料，本项目主要是碳元素转化过程，碳物料平衡</w:t>
            </w:r>
            <w:r>
              <w:rPr>
                <w:color w:val="auto"/>
                <w:spacing w:val="13"/>
                <w:sz w:val="24"/>
                <w:szCs w:val="24"/>
              </w:rPr>
              <w:t xml:space="preserve"> </w:t>
            </w:r>
            <w:r>
              <w:rPr>
                <w:color w:val="auto"/>
                <w:spacing w:val="-4"/>
                <w:sz w:val="24"/>
                <w:szCs w:val="24"/>
              </w:rPr>
              <w:t>见表</w:t>
            </w:r>
            <w:r>
              <w:rPr>
                <w:color w:val="auto"/>
                <w:spacing w:val="-51"/>
                <w:sz w:val="24"/>
                <w:szCs w:val="24"/>
              </w:rPr>
              <w:t xml:space="preserve"> </w:t>
            </w:r>
            <w:r>
              <w:rPr>
                <w:rFonts w:ascii="Times New Roman" w:hAnsi="Times New Roman" w:eastAsia="Times New Roman" w:cs="Times New Roman"/>
                <w:color w:val="auto"/>
                <w:spacing w:val="-4"/>
                <w:sz w:val="24"/>
                <w:szCs w:val="24"/>
              </w:rPr>
              <w:t>2-</w:t>
            </w:r>
            <w:r>
              <w:rPr>
                <w:rFonts w:hint="eastAsia" w:eastAsia="宋体" w:cs="Times New Roman"/>
                <w:color w:val="auto"/>
                <w:spacing w:val="-4"/>
                <w:sz w:val="24"/>
                <w:szCs w:val="24"/>
                <w:lang w:val="en-US" w:eastAsia="zh-CN"/>
              </w:rPr>
              <w:t>5</w:t>
            </w:r>
            <w:r>
              <w:rPr>
                <w:color w:val="auto"/>
                <w:spacing w:val="-4"/>
                <w:sz w:val="24"/>
                <w:szCs w:val="24"/>
              </w:rPr>
              <w:t>。</w:t>
            </w:r>
          </w:p>
          <w:p w14:paraId="04F98163">
            <w:pPr>
              <w:pStyle w:val="9"/>
              <w:jc w:val="center"/>
              <w:rPr>
                <w:rFonts w:ascii="Times New Roman" w:hAnsi="Times New Roman" w:eastAsia="Times New Roman" w:cs="Times New Roman"/>
                <w:b/>
                <w:bCs/>
                <w:color w:val="auto"/>
                <w:spacing w:val="-2"/>
                <w:sz w:val="24"/>
                <w:szCs w:val="24"/>
              </w:rPr>
            </w:pPr>
            <w:r>
              <w:rPr>
                <w:b/>
                <w:bCs/>
                <w:color w:val="auto"/>
                <w:spacing w:val="-2"/>
                <w:sz w:val="24"/>
                <w:szCs w:val="24"/>
              </w:rPr>
              <w:t>表</w:t>
            </w:r>
            <w:r>
              <w:rPr>
                <w:color w:val="auto"/>
                <w:spacing w:val="-43"/>
                <w:sz w:val="24"/>
                <w:szCs w:val="24"/>
              </w:rPr>
              <w:t xml:space="preserve"> </w:t>
            </w:r>
            <w:r>
              <w:rPr>
                <w:rFonts w:ascii="Times New Roman" w:hAnsi="Times New Roman" w:eastAsia="Times New Roman" w:cs="Times New Roman"/>
                <w:b/>
                <w:bCs/>
                <w:color w:val="auto"/>
                <w:spacing w:val="-2"/>
                <w:sz w:val="24"/>
                <w:szCs w:val="24"/>
              </w:rPr>
              <w:t>2</w:t>
            </w:r>
            <w:r>
              <w:rPr>
                <w:rFonts w:hint="eastAsia" w:eastAsia="宋体" w:cs="Times New Roman"/>
                <w:b/>
                <w:bCs/>
                <w:color w:val="auto"/>
                <w:spacing w:val="-2"/>
                <w:sz w:val="24"/>
                <w:szCs w:val="24"/>
                <w:lang w:val="en-US" w:eastAsia="zh-CN"/>
              </w:rPr>
              <w:t>-5</w:t>
            </w:r>
            <w:r>
              <w:rPr>
                <w:rFonts w:ascii="Times New Roman" w:hAnsi="Times New Roman" w:eastAsia="Times New Roman" w:cs="Times New Roman"/>
                <w:b/>
                <w:bCs/>
                <w:color w:val="auto"/>
                <w:spacing w:val="-2"/>
                <w:sz w:val="24"/>
                <w:szCs w:val="24"/>
              </w:rPr>
              <w:t xml:space="preserve">  </w:t>
            </w:r>
            <w:r>
              <w:rPr>
                <w:b/>
                <w:bCs/>
                <w:color w:val="auto"/>
                <w:spacing w:val="-2"/>
                <w:sz w:val="24"/>
                <w:szCs w:val="24"/>
              </w:rPr>
              <w:t>本项目碳平衡表</w:t>
            </w:r>
            <w:r>
              <w:rPr>
                <w:color w:val="auto"/>
                <w:spacing w:val="-2"/>
                <w:sz w:val="24"/>
                <w:szCs w:val="24"/>
              </w:rPr>
              <w:t xml:space="preserve">  </w:t>
            </w:r>
            <w:r>
              <w:rPr>
                <w:b/>
                <w:bCs/>
                <w:color w:val="auto"/>
                <w:spacing w:val="-2"/>
                <w:sz w:val="24"/>
                <w:szCs w:val="24"/>
              </w:rPr>
              <w:t>单位：</w:t>
            </w:r>
            <w:r>
              <w:rPr>
                <w:rFonts w:ascii="Times New Roman" w:hAnsi="Times New Roman" w:eastAsia="Times New Roman" w:cs="Times New Roman"/>
                <w:b/>
                <w:bCs/>
                <w:color w:val="auto"/>
                <w:spacing w:val="-2"/>
                <w:sz w:val="24"/>
                <w:szCs w:val="24"/>
              </w:rPr>
              <w:t>kg/a</w:t>
            </w:r>
          </w:p>
          <w:tbl>
            <w:tblPr>
              <w:tblStyle w:val="74"/>
              <w:tblW w:w="78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96"/>
              <w:gridCol w:w="844"/>
              <w:gridCol w:w="927"/>
              <w:gridCol w:w="825"/>
              <w:gridCol w:w="1453"/>
              <w:gridCol w:w="1312"/>
              <w:gridCol w:w="1586"/>
            </w:tblGrid>
            <w:tr w14:paraId="250FC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2226" w:type="pct"/>
                  <w:gridSpan w:val="4"/>
                  <w:tcBorders>
                    <w:top w:val="single" w:color="000000" w:sz="10" w:space="0"/>
                    <w:left w:val="single" w:color="000000" w:sz="10" w:space="0"/>
                  </w:tcBorders>
                  <w:vAlign w:val="center"/>
                </w:tcPr>
                <w:p w14:paraId="6F27D96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投入</w:t>
                  </w:r>
                </w:p>
              </w:tc>
              <w:tc>
                <w:tcPr>
                  <w:tcW w:w="2773" w:type="pct"/>
                  <w:gridSpan w:val="3"/>
                  <w:tcBorders>
                    <w:top w:val="single" w:color="000000" w:sz="10" w:space="0"/>
                    <w:right w:val="single" w:color="000000" w:sz="10" w:space="0"/>
                  </w:tcBorders>
                  <w:vAlign w:val="center"/>
                </w:tcPr>
                <w:p w14:paraId="0075826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4"/>
                      <w:sz w:val="21"/>
                      <w:szCs w:val="21"/>
                    </w:rPr>
                    <w:t>产出</w:t>
                  </w:r>
                </w:p>
              </w:tc>
            </w:tr>
            <w:tr w14:paraId="59A09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71" w:type="pct"/>
                  <w:tcBorders>
                    <w:left w:val="single" w:color="000000" w:sz="10" w:space="0"/>
                  </w:tcBorders>
                  <w:vAlign w:val="center"/>
                </w:tcPr>
                <w:p w14:paraId="512C859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名称</w:t>
                  </w:r>
                </w:p>
              </w:tc>
              <w:tc>
                <w:tcPr>
                  <w:tcW w:w="538" w:type="pct"/>
                  <w:vAlign w:val="center"/>
                </w:tcPr>
                <w:p w14:paraId="382606F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投入</w:t>
                  </w:r>
                </w:p>
              </w:tc>
              <w:tc>
                <w:tcPr>
                  <w:tcW w:w="590" w:type="pct"/>
                  <w:vAlign w:val="center"/>
                </w:tcPr>
                <w:p w14:paraId="757E3EB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含碳量</w:t>
                  </w:r>
                </w:p>
              </w:tc>
              <w:tc>
                <w:tcPr>
                  <w:tcW w:w="525" w:type="pct"/>
                  <w:vAlign w:val="center"/>
                </w:tcPr>
                <w:p w14:paraId="40D4A47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折算</w:t>
                  </w:r>
                </w:p>
              </w:tc>
              <w:tc>
                <w:tcPr>
                  <w:tcW w:w="926" w:type="pct"/>
                  <w:vAlign w:val="center"/>
                </w:tcPr>
                <w:p w14:paraId="388D4B3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名称</w:t>
                  </w:r>
                </w:p>
              </w:tc>
              <w:tc>
                <w:tcPr>
                  <w:tcW w:w="836" w:type="pct"/>
                  <w:vAlign w:val="center"/>
                </w:tcPr>
                <w:p w14:paraId="0B524E5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lang w:eastAsia="zh-CN"/>
                    </w:rPr>
                  </w:pPr>
                  <w:r>
                    <w:rPr>
                      <w:color w:val="auto"/>
                      <w:spacing w:val="4"/>
                      <w:sz w:val="21"/>
                      <w:szCs w:val="21"/>
                    </w:rPr>
                    <w:t>产量</w:t>
                  </w:r>
                  <w:r>
                    <w:rPr>
                      <w:rFonts w:hint="eastAsia"/>
                      <w:color w:val="auto"/>
                      <w:spacing w:val="4"/>
                      <w:sz w:val="21"/>
                      <w:szCs w:val="21"/>
                      <w:lang w:eastAsia="zh-CN"/>
                    </w:rPr>
                    <w:t>（</w:t>
                  </w:r>
                  <w:r>
                    <w:rPr>
                      <w:rFonts w:hint="eastAsia"/>
                      <w:color w:val="auto"/>
                      <w:spacing w:val="4"/>
                      <w:sz w:val="21"/>
                      <w:szCs w:val="21"/>
                      <w:lang w:val="en-US" w:eastAsia="zh-CN"/>
                    </w:rPr>
                    <w:t>以碳计</w:t>
                  </w:r>
                  <w:r>
                    <w:rPr>
                      <w:rFonts w:hint="eastAsia"/>
                      <w:color w:val="auto"/>
                      <w:spacing w:val="4"/>
                      <w:sz w:val="21"/>
                      <w:szCs w:val="21"/>
                      <w:lang w:eastAsia="zh-CN"/>
                    </w:rPr>
                    <w:t>）</w:t>
                  </w:r>
                </w:p>
              </w:tc>
              <w:tc>
                <w:tcPr>
                  <w:tcW w:w="1011" w:type="pct"/>
                  <w:tcBorders>
                    <w:right w:val="single" w:color="000000" w:sz="10" w:space="0"/>
                  </w:tcBorders>
                  <w:vAlign w:val="center"/>
                </w:tcPr>
                <w:p w14:paraId="4D22FB2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lang w:eastAsia="zh-CN"/>
                    </w:rPr>
                  </w:pPr>
                  <w:r>
                    <w:rPr>
                      <w:rFonts w:hint="eastAsia"/>
                      <w:color w:val="auto"/>
                      <w:spacing w:val="3"/>
                      <w:sz w:val="21"/>
                      <w:szCs w:val="21"/>
                      <w:lang w:val="en-US" w:eastAsia="zh-CN"/>
                    </w:rPr>
                    <w:t>环节</w:t>
                  </w:r>
                </w:p>
              </w:tc>
            </w:tr>
            <w:tr w14:paraId="10E8C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71" w:type="pct"/>
                  <w:tcBorders>
                    <w:left w:val="single" w:color="000000" w:sz="10" w:space="0"/>
                  </w:tcBorders>
                  <w:vAlign w:val="center"/>
                </w:tcPr>
                <w:p w14:paraId="10A3455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9"/>
                      <w:sz w:val="21"/>
                      <w:szCs w:val="21"/>
                    </w:rPr>
                    <w:t>甲烷</w:t>
                  </w:r>
                </w:p>
              </w:tc>
              <w:tc>
                <w:tcPr>
                  <w:tcW w:w="538" w:type="pct"/>
                  <w:vAlign w:val="center"/>
                </w:tcPr>
                <w:p w14:paraId="72337BB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pacing w:val="-1"/>
                      <w:position w:val="2"/>
                      <w:sz w:val="21"/>
                      <w:szCs w:val="21"/>
                      <w:lang w:val="en-US" w:eastAsia="zh-CN"/>
                    </w:rPr>
                    <w:t>2998.8</w:t>
                  </w:r>
                </w:p>
              </w:tc>
              <w:tc>
                <w:tcPr>
                  <w:tcW w:w="590" w:type="pct"/>
                  <w:vAlign w:val="center"/>
                </w:tcPr>
                <w:p w14:paraId="0C1B44E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2"/>
                      <w:sz w:val="21"/>
                      <w:szCs w:val="21"/>
                    </w:rPr>
                    <w:t>0.75</w:t>
                  </w:r>
                </w:p>
              </w:tc>
              <w:tc>
                <w:tcPr>
                  <w:tcW w:w="525" w:type="pct"/>
                  <w:vAlign w:val="center"/>
                </w:tcPr>
                <w:p w14:paraId="0F7230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pacing w:val="1"/>
                      <w:position w:val="2"/>
                      <w:sz w:val="21"/>
                      <w:szCs w:val="21"/>
                      <w:lang w:val="en-US" w:eastAsia="zh-CN"/>
                    </w:rPr>
                    <w:t>2249.1</w:t>
                  </w:r>
                </w:p>
              </w:tc>
              <w:tc>
                <w:tcPr>
                  <w:tcW w:w="926" w:type="pct"/>
                  <w:vAlign w:val="center"/>
                </w:tcPr>
                <w:p w14:paraId="0283CE1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highlight w:val="yellow"/>
                    </w:rPr>
                  </w:pPr>
                  <w:r>
                    <w:rPr>
                      <w:rFonts w:hint="eastAsia"/>
                      <w:color w:val="auto"/>
                      <w:spacing w:val="4"/>
                      <w:sz w:val="21"/>
                      <w:szCs w:val="21"/>
                      <w:highlight w:val="none"/>
                      <w:lang w:val="en-US" w:eastAsia="zh-CN"/>
                    </w:rPr>
                    <w:t>单晶金刚石</w:t>
                  </w:r>
                  <w:r>
                    <w:rPr>
                      <w:color w:val="auto"/>
                      <w:spacing w:val="4"/>
                      <w:sz w:val="21"/>
                      <w:szCs w:val="21"/>
                      <w:highlight w:val="none"/>
                    </w:rPr>
                    <w:t>产品</w:t>
                  </w:r>
                </w:p>
              </w:tc>
              <w:tc>
                <w:tcPr>
                  <w:tcW w:w="836" w:type="pct"/>
                  <w:vAlign w:val="center"/>
                </w:tcPr>
                <w:p w14:paraId="509128C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pacing w:val="2"/>
                      <w:position w:val="2"/>
                      <w:sz w:val="21"/>
                      <w:szCs w:val="21"/>
                      <w:lang w:val="en-US" w:eastAsia="zh-CN"/>
                    </w:rPr>
                    <w:t>25.1</w:t>
                  </w:r>
                </w:p>
              </w:tc>
              <w:tc>
                <w:tcPr>
                  <w:tcW w:w="1011" w:type="pct"/>
                  <w:tcBorders>
                    <w:right w:val="single" w:color="000000" w:sz="10" w:space="0"/>
                  </w:tcBorders>
                  <w:vAlign w:val="center"/>
                </w:tcPr>
                <w:p w14:paraId="264485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eastAsia="宋体"/>
                      <w:color w:val="auto"/>
                      <w:sz w:val="21"/>
                      <w:szCs w:val="21"/>
                      <w:lang w:val="en-US" w:eastAsia="zh-CN"/>
                    </w:rPr>
                  </w:pPr>
                  <w:r>
                    <w:rPr>
                      <w:rFonts w:hint="eastAsia" w:ascii="Arial"/>
                      <w:color w:val="auto"/>
                      <w:sz w:val="21"/>
                      <w:szCs w:val="21"/>
                      <w:lang w:val="en-US" w:eastAsia="zh-CN"/>
                    </w:rPr>
                    <w:t>产品</w:t>
                  </w:r>
                </w:p>
              </w:tc>
            </w:tr>
            <w:tr w14:paraId="7DCCC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571" w:type="pct"/>
                  <w:tcBorders>
                    <w:left w:val="single" w:color="000000" w:sz="10" w:space="0"/>
                  </w:tcBorders>
                  <w:vAlign w:val="center"/>
                </w:tcPr>
                <w:p w14:paraId="422F980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金刚石</w:t>
                  </w:r>
                  <w:r>
                    <w:rPr>
                      <w:color w:val="auto"/>
                      <w:sz w:val="21"/>
                      <w:szCs w:val="21"/>
                    </w:rPr>
                    <w:t xml:space="preserve"> </w:t>
                  </w:r>
                  <w:r>
                    <w:rPr>
                      <w:color w:val="auto"/>
                      <w:spacing w:val="-5"/>
                      <w:sz w:val="21"/>
                      <w:szCs w:val="21"/>
                    </w:rPr>
                    <w:t>晶种</w:t>
                  </w:r>
                </w:p>
              </w:tc>
              <w:tc>
                <w:tcPr>
                  <w:tcW w:w="538" w:type="pct"/>
                  <w:vAlign w:val="center"/>
                </w:tcPr>
                <w:p w14:paraId="0FA99E3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2"/>
                      <w:sz w:val="21"/>
                      <w:szCs w:val="21"/>
                    </w:rPr>
                    <w:t>0.2</w:t>
                  </w:r>
                </w:p>
              </w:tc>
              <w:tc>
                <w:tcPr>
                  <w:tcW w:w="590" w:type="pct"/>
                  <w:vAlign w:val="center"/>
                </w:tcPr>
                <w:p w14:paraId="018AC86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1</w:t>
                  </w:r>
                </w:p>
              </w:tc>
              <w:tc>
                <w:tcPr>
                  <w:tcW w:w="525" w:type="pct"/>
                  <w:vAlign w:val="center"/>
                </w:tcPr>
                <w:p w14:paraId="4ADEE02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2"/>
                      <w:sz w:val="21"/>
                      <w:szCs w:val="21"/>
                    </w:rPr>
                    <w:t>0.2</w:t>
                  </w:r>
                </w:p>
              </w:tc>
              <w:tc>
                <w:tcPr>
                  <w:tcW w:w="926" w:type="pct"/>
                  <w:vAlign w:val="center"/>
                </w:tcPr>
                <w:p w14:paraId="4466CF8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合成钻石边角料</w:t>
                  </w:r>
                </w:p>
              </w:tc>
              <w:tc>
                <w:tcPr>
                  <w:tcW w:w="836" w:type="pct"/>
                  <w:vAlign w:val="center"/>
                </w:tcPr>
                <w:p w14:paraId="59A4F0B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pacing w:val="3"/>
                      <w:position w:val="2"/>
                      <w:sz w:val="21"/>
                      <w:szCs w:val="21"/>
                      <w:highlight w:val="none"/>
                      <w:lang w:val="en-US" w:eastAsia="zh-CN"/>
                    </w:rPr>
                    <w:t>5</w:t>
                  </w:r>
                </w:p>
              </w:tc>
              <w:tc>
                <w:tcPr>
                  <w:tcW w:w="1011" w:type="pct"/>
                  <w:tcBorders>
                    <w:right w:val="single" w:color="000000" w:sz="10" w:space="0"/>
                  </w:tcBorders>
                  <w:vAlign w:val="center"/>
                </w:tcPr>
                <w:p w14:paraId="36955A5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eastAsia="宋体"/>
                      <w:color w:val="auto"/>
                      <w:sz w:val="21"/>
                      <w:szCs w:val="21"/>
                      <w:highlight w:val="none"/>
                      <w:lang w:val="en-US" w:eastAsia="zh-CN"/>
                    </w:rPr>
                  </w:pPr>
                  <w:r>
                    <w:rPr>
                      <w:rFonts w:hint="eastAsia" w:ascii="Arial"/>
                      <w:color w:val="auto"/>
                      <w:sz w:val="21"/>
                      <w:szCs w:val="21"/>
                      <w:highlight w:val="none"/>
                      <w:lang w:val="en-US" w:eastAsia="zh-CN"/>
                    </w:rPr>
                    <w:t>激光切割</w:t>
                  </w:r>
                  <w:r>
                    <w:rPr>
                      <w:rFonts w:hint="eastAsia" w:ascii="Times New Roman" w:hAnsi="Times New Roman" w:eastAsia="宋体" w:cs="Times New Roman"/>
                      <w:color w:val="auto"/>
                      <w:spacing w:val="3"/>
                      <w:position w:val="2"/>
                      <w:sz w:val="21"/>
                      <w:szCs w:val="21"/>
                      <w:highlight w:val="none"/>
                      <w:lang w:val="en-US" w:eastAsia="zh-CN"/>
                    </w:rPr>
                    <w:t>CVD</w:t>
                  </w:r>
                  <w:r>
                    <w:rPr>
                      <w:rFonts w:hint="eastAsia" w:ascii="Arial"/>
                      <w:color w:val="auto"/>
                      <w:sz w:val="21"/>
                      <w:szCs w:val="21"/>
                      <w:highlight w:val="none"/>
                      <w:lang w:val="en-US" w:eastAsia="zh-CN"/>
                    </w:rPr>
                    <w:t>钻石表面的多余和不规整的地方</w:t>
                  </w:r>
                </w:p>
              </w:tc>
            </w:tr>
            <w:tr w14:paraId="17C9F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 w:type="pct"/>
                  <w:tcBorders>
                    <w:left w:val="single" w:color="000000" w:sz="10" w:space="0"/>
                  </w:tcBorders>
                  <w:vAlign w:val="center"/>
                </w:tcPr>
                <w:p w14:paraId="441884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38" w:type="pct"/>
                  <w:vAlign w:val="center"/>
                </w:tcPr>
                <w:p w14:paraId="0E470F2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90" w:type="pct"/>
                  <w:vAlign w:val="center"/>
                </w:tcPr>
                <w:p w14:paraId="4FDFDEF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25" w:type="pct"/>
                  <w:vAlign w:val="center"/>
                </w:tcPr>
                <w:p w14:paraId="03F85E8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926" w:type="pct"/>
                  <w:vAlign w:val="center"/>
                </w:tcPr>
                <w:p w14:paraId="6C75958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不合格品</w:t>
                  </w:r>
                </w:p>
              </w:tc>
              <w:tc>
                <w:tcPr>
                  <w:tcW w:w="836" w:type="pct"/>
                  <w:vAlign w:val="center"/>
                </w:tcPr>
                <w:p w14:paraId="78B7E8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pacing w:val="3"/>
                      <w:position w:val="2"/>
                      <w:sz w:val="21"/>
                      <w:szCs w:val="21"/>
                      <w:highlight w:val="none"/>
                      <w:lang w:val="en-US" w:eastAsia="zh-CN"/>
                    </w:rPr>
                    <w:t>45.2</w:t>
                  </w:r>
                </w:p>
              </w:tc>
              <w:tc>
                <w:tcPr>
                  <w:tcW w:w="1011" w:type="pct"/>
                  <w:tcBorders>
                    <w:right w:val="single" w:color="000000" w:sz="10" w:space="0"/>
                  </w:tcBorders>
                  <w:vAlign w:val="center"/>
                </w:tcPr>
                <w:p w14:paraId="76419E1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Arial" w:eastAsia="宋体"/>
                      <w:color w:val="auto"/>
                      <w:sz w:val="21"/>
                      <w:szCs w:val="21"/>
                      <w:highlight w:val="none"/>
                      <w:lang w:val="en-US" w:eastAsia="zh-CN"/>
                    </w:rPr>
                  </w:pPr>
                  <w:r>
                    <w:rPr>
                      <w:rFonts w:hint="eastAsia" w:ascii="Arial"/>
                      <w:color w:val="auto"/>
                      <w:sz w:val="21"/>
                      <w:szCs w:val="21"/>
                      <w:highlight w:val="none"/>
                      <w:lang w:val="en-US" w:eastAsia="zh-CN"/>
                    </w:rPr>
                    <w:t>检验出的合格品以外产品</w:t>
                  </w:r>
                </w:p>
              </w:tc>
            </w:tr>
            <w:tr w14:paraId="31F07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571" w:type="pct"/>
                  <w:tcBorders>
                    <w:left w:val="single" w:color="000000" w:sz="10" w:space="0"/>
                  </w:tcBorders>
                  <w:vAlign w:val="center"/>
                </w:tcPr>
                <w:p w14:paraId="5C2E90B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38" w:type="pct"/>
                  <w:vAlign w:val="center"/>
                </w:tcPr>
                <w:p w14:paraId="52798E3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90" w:type="pct"/>
                  <w:vAlign w:val="center"/>
                </w:tcPr>
                <w:p w14:paraId="7A630A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25" w:type="pct"/>
                  <w:vAlign w:val="center"/>
                </w:tcPr>
                <w:p w14:paraId="2B7C72F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926" w:type="pct"/>
                  <w:vAlign w:val="center"/>
                </w:tcPr>
                <w:p w14:paraId="30CCA6B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highlight w:val="none"/>
                      <w:lang w:val="en-US" w:eastAsia="zh-CN"/>
                    </w:rPr>
                  </w:pPr>
                  <w:r>
                    <w:rPr>
                      <w:rFonts w:hint="eastAsia"/>
                      <w:color w:val="auto"/>
                      <w:spacing w:val="6"/>
                      <w:sz w:val="21"/>
                      <w:szCs w:val="21"/>
                      <w:highlight w:val="none"/>
                      <w:lang w:val="en-US" w:eastAsia="zh-CN"/>
                    </w:rPr>
                    <w:t>单质碳颗粒</w:t>
                  </w:r>
                </w:p>
              </w:tc>
              <w:tc>
                <w:tcPr>
                  <w:tcW w:w="836" w:type="pct"/>
                  <w:vAlign w:val="center"/>
                </w:tcPr>
                <w:p w14:paraId="2C84BFD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3"/>
                      <w:position w:val="2"/>
                      <w:sz w:val="21"/>
                      <w:szCs w:val="21"/>
                      <w:highlight w:val="none"/>
                      <w:lang w:val="en-US" w:eastAsia="zh-CN"/>
                    </w:rPr>
                    <w:t>224.91</w:t>
                  </w:r>
                </w:p>
              </w:tc>
              <w:tc>
                <w:tcPr>
                  <w:tcW w:w="1011" w:type="pct"/>
                  <w:tcBorders>
                    <w:right w:val="single" w:color="000000" w:sz="10" w:space="0"/>
                  </w:tcBorders>
                  <w:vAlign w:val="center"/>
                </w:tcPr>
                <w:p w14:paraId="4FDA2A2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Arial" w:eastAsia="宋体"/>
                      <w:color w:val="auto"/>
                      <w:sz w:val="21"/>
                      <w:szCs w:val="21"/>
                      <w:highlight w:val="none"/>
                      <w:lang w:val="en-US" w:eastAsia="zh-CN"/>
                    </w:rPr>
                  </w:pPr>
                  <w:r>
                    <w:rPr>
                      <w:rFonts w:hint="eastAsia" w:ascii="Arial"/>
                      <w:color w:val="auto"/>
                      <w:sz w:val="21"/>
                      <w:szCs w:val="21"/>
                      <w:highlight w:val="none"/>
                      <w:lang w:val="en-US" w:eastAsia="zh-CN"/>
                    </w:rPr>
                    <w:t>甲烷等离子化产生，未沉积的碳</w:t>
                  </w:r>
                </w:p>
              </w:tc>
            </w:tr>
            <w:tr w14:paraId="7F5D1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 w:type="pct"/>
                  <w:tcBorders>
                    <w:left w:val="single" w:color="000000" w:sz="10" w:space="0"/>
                  </w:tcBorders>
                  <w:vAlign w:val="center"/>
                </w:tcPr>
                <w:p w14:paraId="19365CB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38" w:type="pct"/>
                  <w:vAlign w:val="center"/>
                </w:tcPr>
                <w:p w14:paraId="38FCAE6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90" w:type="pct"/>
                  <w:vAlign w:val="center"/>
                </w:tcPr>
                <w:p w14:paraId="7E50D49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25" w:type="pct"/>
                  <w:vAlign w:val="center"/>
                </w:tcPr>
                <w:p w14:paraId="44BBEFC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926" w:type="pct"/>
                  <w:vAlign w:val="center"/>
                </w:tcPr>
                <w:p w14:paraId="67C7B5C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MPCVD</w:t>
                  </w:r>
                </w:p>
                <w:p w14:paraId="28E6993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highlight w:val="none"/>
                      <w:lang w:val="en-US" w:eastAsia="zh-CN"/>
                    </w:rPr>
                  </w:pPr>
                  <w:r>
                    <w:rPr>
                      <w:color w:val="auto"/>
                      <w:spacing w:val="4"/>
                      <w:sz w:val="21"/>
                      <w:szCs w:val="21"/>
                    </w:rPr>
                    <w:t>沉积</w:t>
                  </w:r>
                  <w:r>
                    <w:rPr>
                      <w:rFonts w:hint="eastAsia"/>
                      <w:color w:val="auto"/>
                      <w:spacing w:val="4"/>
                      <w:sz w:val="21"/>
                      <w:szCs w:val="21"/>
                      <w:lang w:val="en-US" w:eastAsia="zh-CN"/>
                    </w:rPr>
                    <w:t>碳</w:t>
                  </w:r>
                </w:p>
              </w:tc>
              <w:tc>
                <w:tcPr>
                  <w:tcW w:w="836" w:type="pct"/>
                  <w:vAlign w:val="center"/>
                </w:tcPr>
                <w:p w14:paraId="44BCF8B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1011" w:type="pct"/>
                  <w:tcBorders>
                    <w:right w:val="single" w:color="000000" w:sz="10" w:space="0"/>
                  </w:tcBorders>
                  <w:vAlign w:val="center"/>
                </w:tcPr>
                <w:p w14:paraId="256E211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eastAsia="宋体"/>
                      <w:color w:val="auto"/>
                      <w:sz w:val="21"/>
                      <w:szCs w:val="21"/>
                      <w:highlight w:val="none"/>
                      <w:lang w:val="en-US" w:eastAsia="zh-CN"/>
                    </w:rPr>
                  </w:pPr>
                  <w:r>
                    <w:rPr>
                      <w:rFonts w:hint="eastAsia" w:ascii="Arial"/>
                      <w:color w:val="auto"/>
                      <w:sz w:val="21"/>
                      <w:szCs w:val="21"/>
                      <w:highlight w:val="none"/>
                      <w:lang w:val="en-US" w:eastAsia="zh-CN"/>
                    </w:rPr>
                    <w:t>甲烷等离子化产生，未沉积于晶种上的碳</w:t>
                  </w:r>
                </w:p>
              </w:tc>
            </w:tr>
            <w:tr w14:paraId="1263B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 w:type="pct"/>
                  <w:tcBorders>
                    <w:left w:val="single" w:color="000000" w:sz="10" w:space="0"/>
                  </w:tcBorders>
                  <w:vAlign w:val="center"/>
                </w:tcPr>
                <w:p w14:paraId="2EED2AD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38" w:type="pct"/>
                  <w:vAlign w:val="center"/>
                </w:tcPr>
                <w:p w14:paraId="5AABD19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90" w:type="pct"/>
                  <w:vAlign w:val="center"/>
                </w:tcPr>
                <w:p w14:paraId="55E7A5C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525" w:type="pct"/>
                  <w:vAlign w:val="center"/>
                </w:tcPr>
                <w:p w14:paraId="5D2C7A8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926" w:type="pct"/>
                  <w:vAlign w:val="center"/>
                </w:tcPr>
                <w:p w14:paraId="30B7A6B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color w:val="auto"/>
                      <w:spacing w:val="6"/>
                      <w:sz w:val="21"/>
                      <w:szCs w:val="21"/>
                      <w:highlight w:val="none"/>
                      <w:lang w:val="en-US" w:eastAsia="zh-CN"/>
                    </w:rPr>
                  </w:pPr>
                  <w:r>
                    <w:rPr>
                      <w:rFonts w:hint="eastAsia"/>
                      <w:color w:val="auto"/>
                      <w:spacing w:val="6"/>
                      <w:sz w:val="21"/>
                      <w:szCs w:val="21"/>
                      <w:highlight w:val="none"/>
                      <w:lang w:val="en-US" w:eastAsia="zh-CN"/>
                    </w:rPr>
                    <w:t>沉积尾气</w:t>
                  </w:r>
                </w:p>
              </w:tc>
              <w:tc>
                <w:tcPr>
                  <w:tcW w:w="836" w:type="pct"/>
                  <w:vAlign w:val="center"/>
                </w:tcPr>
                <w:p w14:paraId="4D1025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s="Times New Roman"/>
                      <w:color w:val="auto"/>
                      <w:spacing w:val="3"/>
                      <w:position w:val="2"/>
                      <w:sz w:val="21"/>
                      <w:szCs w:val="21"/>
                      <w:highlight w:val="none"/>
                      <w:lang w:val="en-US" w:eastAsia="zh-CN"/>
                    </w:rPr>
                  </w:pPr>
                  <w:r>
                    <w:rPr>
                      <w:rFonts w:hint="eastAsia" w:cs="Times New Roman"/>
                      <w:color w:val="auto"/>
                      <w:spacing w:val="3"/>
                      <w:position w:val="2"/>
                      <w:sz w:val="21"/>
                      <w:szCs w:val="21"/>
                      <w:highlight w:val="none"/>
                      <w:lang w:val="en-US" w:eastAsia="zh-CN"/>
                    </w:rPr>
                    <w:t>1939.09</w:t>
                  </w:r>
                </w:p>
              </w:tc>
              <w:tc>
                <w:tcPr>
                  <w:tcW w:w="1011" w:type="pct"/>
                  <w:tcBorders>
                    <w:right w:val="single" w:color="000000" w:sz="10" w:space="0"/>
                  </w:tcBorders>
                  <w:vAlign w:val="center"/>
                </w:tcPr>
                <w:p w14:paraId="2B1A944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Arial" w:eastAsia="宋体"/>
                      <w:color w:val="auto"/>
                      <w:sz w:val="21"/>
                      <w:szCs w:val="21"/>
                      <w:highlight w:val="none"/>
                      <w:lang w:val="en-US" w:eastAsia="zh-CN"/>
                    </w:rPr>
                  </w:pPr>
                  <w:r>
                    <w:rPr>
                      <w:rFonts w:hint="eastAsia" w:ascii="Arial"/>
                      <w:color w:val="auto"/>
                      <w:sz w:val="21"/>
                      <w:szCs w:val="21"/>
                      <w:highlight w:val="none"/>
                      <w:lang w:val="en-US" w:eastAsia="zh-CN"/>
                    </w:rPr>
                    <w:t>未分解的甲烷</w:t>
                  </w:r>
                </w:p>
              </w:tc>
            </w:tr>
            <w:tr w14:paraId="46742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700" w:type="pct"/>
                  <w:gridSpan w:val="3"/>
                  <w:tcBorders>
                    <w:left w:val="single" w:color="000000" w:sz="10" w:space="0"/>
                    <w:bottom w:val="single" w:color="000000" w:sz="10" w:space="0"/>
                  </w:tcBorders>
                  <w:vAlign w:val="center"/>
                </w:tcPr>
                <w:p w14:paraId="440C4D1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4"/>
                      <w:sz w:val="21"/>
                      <w:szCs w:val="21"/>
                    </w:rPr>
                    <w:t>合计</w:t>
                  </w:r>
                </w:p>
              </w:tc>
              <w:tc>
                <w:tcPr>
                  <w:tcW w:w="525" w:type="pct"/>
                  <w:tcBorders>
                    <w:bottom w:val="single" w:color="000000" w:sz="10" w:space="0"/>
                  </w:tcBorders>
                  <w:vAlign w:val="center"/>
                </w:tcPr>
                <w:p w14:paraId="79B9DAA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pacing w:val="1"/>
                      <w:position w:val="2"/>
                      <w:sz w:val="21"/>
                      <w:szCs w:val="21"/>
                      <w:lang w:val="en-US" w:eastAsia="zh-CN"/>
                    </w:rPr>
                    <w:t>2249.3</w:t>
                  </w:r>
                </w:p>
              </w:tc>
              <w:tc>
                <w:tcPr>
                  <w:tcW w:w="926" w:type="pct"/>
                  <w:tcBorders>
                    <w:bottom w:val="single" w:color="000000" w:sz="10" w:space="0"/>
                  </w:tcBorders>
                  <w:vAlign w:val="center"/>
                </w:tcPr>
                <w:p w14:paraId="6F8EB91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4"/>
                      <w:sz w:val="21"/>
                      <w:szCs w:val="21"/>
                    </w:rPr>
                    <w:t>合计</w:t>
                  </w:r>
                </w:p>
              </w:tc>
              <w:tc>
                <w:tcPr>
                  <w:tcW w:w="836" w:type="pct"/>
                  <w:tcBorders>
                    <w:bottom w:val="single" w:color="000000" w:sz="10" w:space="0"/>
                  </w:tcBorders>
                  <w:vAlign w:val="center"/>
                </w:tcPr>
                <w:p w14:paraId="4DC0F7D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eastAsia="宋体" w:cs="Times New Roman"/>
                      <w:color w:val="auto"/>
                      <w:spacing w:val="1"/>
                      <w:position w:val="2"/>
                      <w:sz w:val="21"/>
                      <w:szCs w:val="21"/>
                      <w:lang w:val="en-US" w:eastAsia="zh-CN"/>
                    </w:rPr>
                    <w:t>2249.3</w:t>
                  </w:r>
                </w:p>
              </w:tc>
              <w:tc>
                <w:tcPr>
                  <w:tcW w:w="1011" w:type="pct"/>
                  <w:tcBorders>
                    <w:bottom w:val="single" w:color="000000" w:sz="10" w:space="0"/>
                    <w:right w:val="single" w:color="000000" w:sz="10" w:space="0"/>
                  </w:tcBorders>
                  <w:vAlign w:val="center"/>
                </w:tcPr>
                <w:p w14:paraId="6A5E85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r>
          </w:tbl>
          <w:p w14:paraId="4BD93536">
            <w:pPr>
              <w:rPr>
                <w:rFonts w:hint="default"/>
                <w:color w:val="auto"/>
                <w:lang w:val="en-US" w:eastAsia="zh-CN"/>
              </w:rPr>
            </w:pPr>
          </w:p>
          <w:p w14:paraId="656DDF0A">
            <w:pPr>
              <w:adjustRightInd w:val="0"/>
              <w:snapToGrid w:val="0"/>
              <w:spacing w:line="520" w:lineRule="exact"/>
              <w:rPr>
                <w:b/>
                <w:color w:val="auto"/>
                <w:sz w:val="24"/>
                <w:highlight w:val="none"/>
              </w:rPr>
            </w:pPr>
            <w:r>
              <w:rPr>
                <w:rFonts w:hint="eastAsia"/>
                <w:b/>
                <w:color w:val="auto"/>
                <w:sz w:val="24"/>
                <w:highlight w:val="none"/>
              </w:rPr>
              <w:t>5产品方案</w:t>
            </w:r>
          </w:p>
          <w:p w14:paraId="4EB70E56">
            <w:pPr>
              <w:adjustRightInd w:val="0"/>
              <w:snapToGrid w:val="0"/>
              <w:spacing w:line="520" w:lineRule="exact"/>
              <w:ind w:firstLine="480" w:firstLineChars="200"/>
              <w:rPr>
                <w:color w:val="auto"/>
                <w:kern w:val="0"/>
                <w:sz w:val="24"/>
                <w:highlight w:val="none"/>
              </w:rPr>
            </w:pPr>
            <w:r>
              <w:rPr>
                <w:color w:val="auto"/>
                <w:kern w:val="0"/>
                <w:sz w:val="24"/>
                <w:highlight w:val="none"/>
              </w:rPr>
              <w:t>本项目建成后可实现年产</w:t>
            </w:r>
            <w:r>
              <w:rPr>
                <w:rFonts w:hint="eastAsia"/>
                <w:color w:val="auto"/>
                <w:kern w:val="0"/>
                <w:sz w:val="24"/>
                <w:highlight w:val="none"/>
                <w:lang w:val="en-US" w:eastAsia="zh-CN"/>
              </w:rPr>
              <w:t>年产125500克拉高品质CVD金刚石</w:t>
            </w:r>
            <w:r>
              <w:rPr>
                <w:rFonts w:hint="eastAsia"/>
                <w:color w:val="auto"/>
                <w:kern w:val="0"/>
                <w:sz w:val="24"/>
                <w:highlight w:val="none"/>
                <w:lang w:eastAsia="zh-CN"/>
              </w:rPr>
              <w:t>，</w:t>
            </w:r>
            <w:r>
              <w:rPr>
                <w:rFonts w:hint="eastAsia"/>
                <w:color w:val="auto"/>
                <w:kern w:val="0"/>
                <w:sz w:val="24"/>
                <w:highlight w:val="none"/>
              </w:rPr>
              <w:t>产品方案详见表</w:t>
            </w:r>
            <w:r>
              <w:rPr>
                <w:rFonts w:hint="eastAsia"/>
                <w:color w:val="auto"/>
                <w:kern w:val="0"/>
                <w:sz w:val="24"/>
                <w:highlight w:val="none"/>
                <w:lang w:val="en-US" w:eastAsia="zh-CN"/>
              </w:rPr>
              <w:t>2-6</w:t>
            </w:r>
            <w:r>
              <w:rPr>
                <w:rFonts w:hint="eastAsia"/>
                <w:color w:val="auto"/>
                <w:kern w:val="0"/>
                <w:sz w:val="24"/>
                <w:highlight w:val="none"/>
              </w:rPr>
              <w:t>。</w:t>
            </w:r>
          </w:p>
          <w:p w14:paraId="318596AA">
            <w:pPr>
              <w:pStyle w:val="48"/>
              <w:spacing w:line="520" w:lineRule="exact"/>
              <w:ind w:firstLine="0" w:firstLineChars="0"/>
              <w:rPr>
                <w:color w:val="auto"/>
                <w:highlight w:val="none"/>
              </w:rPr>
            </w:pPr>
            <w:r>
              <w:rPr>
                <w:rFonts w:hint="eastAsia"/>
                <w:color w:val="auto"/>
                <w:highlight w:val="none"/>
              </w:rPr>
              <w:t>表</w:t>
            </w:r>
            <w:r>
              <w:rPr>
                <w:rFonts w:hint="eastAsia"/>
                <w:color w:val="auto"/>
                <w:highlight w:val="none"/>
                <w:lang w:val="en-US" w:eastAsia="zh-CN"/>
              </w:rPr>
              <w:t xml:space="preserve">2-6 </w:t>
            </w:r>
            <w:r>
              <w:rPr>
                <w:rFonts w:hint="eastAsia"/>
                <w:color w:val="auto"/>
                <w:highlight w:val="none"/>
              </w:rPr>
              <w:t>本项目产品及产量</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2769"/>
              <w:gridCol w:w="2812"/>
              <w:gridCol w:w="1109"/>
            </w:tblGrid>
            <w:tr w14:paraId="6B4A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pct"/>
                  <w:shd w:val="clear" w:color="auto" w:fill="auto"/>
                </w:tcPr>
                <w:p w14:paraId="70D2E530">
                  <w:pPr>
                    <w:pStyle w:val="47"/>
                    <w:ind w:firstLine="0" w:firstLineChars="0"/>
                    <w:rPr>
                      <w:b/>
                      <w:bCs w:val="0"/>
                      <w:color w:val="auto"/>
                      <w:highlight w:val="none"/>
                    </w:rPr>
                  </w:pPr>
                  <w:r>
                    <w:rPr>
                      <w:rFonts w:hint="eastAsia"/>
                      <w:b/>
                      <w:bCs w:val="0"/>
                      <w:color w:val="auto"/>
                      <w:highlight w:val="none"/>
                    </w:rPr>
                    <w:t>序号</w:t>
                  </w:r>
                </w:p>
              </w:tc>
              <w:tc>
                <w:tcPr>
                  <w:tcW w:w="1766" w:type="pct"/>
                  <w:shd w:val="clear" w:color="auto" w:fill="auto"/>
                </w:tcPr>
                <w:p w14:paraId="72594ADE">
                  <w:pPr>
                    <w:pStyle w:val="47"/>
                    <w:ind w:firstLine="0" w:firstLineChars="0"/>
                    <w:rPr>
                      <w:b/>
                      <w:bCs w:val="0"/>
                      <w:color w:val="auto"/>
                      <w:highlight w:val="none"/>
                    </w:rPr>
                  </w:pPr>
                  <w:r>
                    <w:rPr>
                      <w:rFonts w:hint="eastAsia"/>
                      <w:b/>
                      <w:bCs w:val="0"/>
                      <w:color w:val="auto"/>
                      <w:highlight w:val="none"/>
                    </w:rPr>
                    <w:t>产品</w:t>
                  </w:r>
                </w:p>
              </w:tc>
              <w:tc>
                <w:tcPr>
                  <w:tcW w:w="1793" w:type="pct"/>
                  <w:shd w:val="clear" w:color="auto" w:fill="auto"/>
                </w:tcPr>
                <w:p w14:paraId="7E02D5A9">
                  <w:pPr>
                    <w:pStyle w:val="47"/>
                    <w:ind w:firstLine="0" w:firstLineChars="0"/>
                    <w:rPr>
                      <w:b/>
                      <w:bCs w:val="0"/>
                      <w:color w:val="auto"/>
                      <w:highlight w:val="none"/>
                    </w:rPr>
                  </w:pPr>
                  <w:r>
                    <w:rPr>
                      <w:rFonts w:hint="eastAsia"/>
                      <w:b/>
                      <w:bCs w:val="0"/>
                      <w:color w:val="auto"/>
                      <w:highlight w:val="none"/>
                    </w:rPr>
                    <w:t>产量</w:t>
                  </w:r>
                </w:p>
              </w:tc>
              <w:tc>
                <w:tcPr>
                  <w:tcW w:w="707" w:type="pct"/>
                  <w:shd w:val="clear" w:color="auto" w:fill="auto"/>
                </w:tcPr>
                <w:p w14:paraId="32AD7F42">
                  <w:pPr>
                    <w:pStyle w:val="47"/>
                    <w:ind w:firstLine="0" w:firstLineChars="0"/>
                    <w:rPr>
                      <w:b/>
                      <w:bCs w:val="0"/>
                      <w:color w:val="auto"/>
                      <w:highlight w:val="none"/>
                    </w:rPr>
                  </w:pPr>
                  <w:r>
                    <w:rPr>
                      <w:rFonts w:hint="eastAsia"/>
                      <w:b/>
                      <w:bCs w:val="0"/>
                      <w:color w:val="auto"/>
                      <w:highlight w:val="none"/>
                    </w:rPr>
                    <w:t>备注</w:t>
                  </w:r>
                </w:p>
              </w:tc>
            </w:tr>
            <w:tr w14:paraId="6501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732" w:type="pct"/>
                  <w:tcBorders>
                    <w:tl2br w:val="nil"/>
                    <w:tr2bl w:val="nil"/>
                  </w:tcBorders>
                  <w:shd w:val="clear" w:color="auto" w:fill="auto"/>
                </w:tcPr>
                <w:p w14:paraId="1F5C0024">
                  <w:pPr>
                    <w:pStyle w:val="47"/>
                    <w:ind w:firstLine="0" w:firstLineChars="0"/>
                    <w:rPr>
                      <w:color w:val="auto"/>
                      <w:highlight w:val="none"/>
                    </w:rPr>
                  </w:pPr>
                  <w:r>
                    <w:rPr>
                      <w:rFonts w:hint="eastAsia"/>
                      <w:color w:val="auto"/>
                      <w:highlight w:val="none"/>
                    </w:rPr>
                    <w:t>1</w:t>
                  </w:r>
                </w:p>
              </w:tc>
              <w:tc>
                <w:tcPr>
                  <w:tcW w:w="1766" w:type="pct"/>
                  <w:tcBorders>
                    <w:tl2br w:val="nil"/>
                    <w:tr2bl w:val="nil"/>
                  </w:tcBorders>
                  <w:shd w:val="clear" w:color="auto" w:fill="auto"/>
                </w:tcPr>
                <w:p w14:paraId="304DC19D">
                  <w:pPr>
                    <w:pStyle w:val="47"/>
                    <w:ind w:firstLine="0" w:firstLineChars="0"/>
                    <w:rPr>
                      <w:rFonts w:hint="eastAsia" w:eastAsia="宋体"/>
                      <w:color w:val="auto"/>
                      <w:highlight w:val="none"/>
                      <w:lang w:eastAsia="zh-CN"/>
                    </w:rPr>
                  </w:pPr>
                  <w:r>
                    <w:rPr>
                      <w:rFonts w:hint="eastAsia" w:eastAsia="宋体"/>
                      <w:color w:val="auto"/>
                      <w:highlight w:val="none"/>
                      <w:lang w:val="en-US" w:eastAsia="zh-CN"/>
                    </w:rPr>
                    <w:t>CVD金刚石</w:t>
                  </w:r>
                </w:p>
              </w:tc>
              <w:tc>
                <w:tcPr>
                  <w:tcW w:w="1793" w:type="pct"/>
                  <w:tcBorders>
                    <w:tl2br w:val="nil"/>
                    <w:tr2bl w:val="nil"/>
                  </w:tcBorders>
                  <w:shd w:val="clear" w:color="auto" w:fill="auto"/>
                </w:tcPr>
                <w:p w14:paraId="600FE4F7">
                  <w:pPr>
                    <w:pStyle w:val="47"/>
                    <w:ind w:firstLine="0" w:firstLineChars="0"/>
                    <w:rPr>
                      <w:rFonts w:hint="default" w:eastAsia="宋体"/>
                      <w:color w:val="auto"/>
                      <w:highlight w:val="none"/>
                      <w:lang w:val="en-US" w:eastAsia="zh-CN"/>
                    </w:rPr>
                  </w:pPr>
                  <w:r>
                    <w:rPr>
                      <w:rFonts w:hint="eastAsia"/>
                      <w:color w:val="auto"/>
                      <w:highlight w:val="none"/>
                      <w:lang w:val="en-US" w:eastAsia="zh-CN"/>
                    </w:rPr>
                    <w:t>125500CT/a</w:t>
                  </w:r>
                </w:p>
              </w:tc>
              <w:tc>
                <w:tcPr>
                  <w:tcW w:w="707" w:type="pct"/>
                  <w:tcBorders>
                    <w:tl2br w:val="nil"/>
                    <w:tr2bl w:val="nil"/>
                  </w:tcBorders>
                  <w:shd w:val="clear" w:color="auto" w:fill="auto"/>
                </w:tcPr>
                <w:p w14:paraId="30860917">
                  <w:pPr>
                    <w:pStyle w:val="47"/>
                    <w:ind w:firstLine="0" w:firstLineChars="0"/>
                    <w:rPr>
                      <w:rFonts w:hint="default" w:eastAsia="宋体"/>
                      <w:color w:val="auto"/>
                      <w:highlight w:val="none"/>
                      <w:lang w:val="en-US" w:eastAsia="zh-CN"/>
                    </w:rPr>
                  </w:pPr>
                  <w:r>
                    <w:rPr>
                      <w:rFonts w:hint="eastAsia"/>
                      <w:color w:val="auto"/>
                      <w:highlight w:val="none"/>
                      <w:lang w:val="en-US" w:eastAsia="zh-CN"/>
                    </w:rPr>
                    <w:t>25.1kg/a</w:t>
                  </w:r>
                </w:p>
              </w:tc>
            </w:tr>
          </w:tbl>
          <w:p w14:paraId="543FBE74">
            <w:pPr>
              <w:adjustRightInd w:val="0"/>
              <w:snapToGrid w:val="0"/>
              <w:spacing w:line="520" w:lineRule="exact"/>
              <w:rPr>
                <w:b/>
                <w:color w:val="auto"/>
                <w:sz w:val="24"/>
                <w:highlight w:val="none"/>
              </w:rPr>
            </w:pPr>
            <w:r>
              <w:rPr>
                <w:rFonts w:hint="eastAsia"/>
                <w:b/>
                <w:color w:val="auto"/>
                <w:sz w:val="24"/>
                <w:highlight w:val="none"/>
              </w:rPr>
              <w:t>6</w:t>
            </w:r>
            <w:r>
              <w:rPr>
                <w:b/>
                <w:color w:val="auto"/>
                <w:sz w:val="24"/>
                <w:highlight w:val="none"/>
              </w:rPr>
              <w:t>劳动定员及工作制度</w:t>
            </w:r>
          </w:p>
          <w:p w14:paraId="24D04399">
            <w:pPr>
              <w:adjustRightInd w:val="0"/>
              <w:snapToGrid w:val="0"/>
              <w:spacing w:line="520" w:lineRule="exact"/>
              <w:ind w:firstLine="480" w:firstLineChars="200"/>
              <w:rPr>
                <w:bCs/>
                <w:color w:val="auto"/>
                <w:sz w:val="24"/>
                <w:highlight w:val="none"/>
              </w:rPr>
            </w:pPr>
            <w:r>
              <w:rPr>
                <w:color w:val="auto"/>
                <w:kern w:val="0"/>
                <w:sz w:val="24"/>
                <w:highlight w:val="none"/>
              </w:rPr>
              <w:t>项目</w:t>
            </w:r>
            <w:r>
              <w:rPr>
                <w:rFonts w:hint="eastAsia"/>
                <w:color w:val="auto"/>
                <w:kern w:val="0"/>
                <w:sz w:val="24"/>
                <w:highlight w:val="none"/>
              </w:rPr>
              <w:t>劳动</w:t>
            </w:r>
            <w:r>
              <w:rPr>
                <w:color w:val="auto"/>
                <w:kern w:val="0"/>
                <w:sz w:val="24"/>
                <w:highlight w:val="none"/>
              </w:rPr>
              <w:t>定员</w:t>
            </w:r>
            <w:r>
              <w:rPr>
                <w:rFonts w:hint="eastAsia"/>
                <w:color w:val="auto"/>
                <w:kern w:val="0"/>
                <w:sz w:val="24"/>
                <w:highlight w:val="none"/>
                <w:lang w:val="en-US" w:eastAsia="zh-CN"/>
              </w:rPr>
              <w:t>68</w:t>
            </w:r>
            <w:r>
              <w:rPr>
                <w:color w:val="auto"/>
                <w:kern w:val="0"/>
                <w:sz w:val="24"/>
                <w:highlight w:val="none"/>
              </w:rPr>
              <w:t>人</w:t>
            </w:r>
            <w:r>
              <w:rPr>
                <w:rFonts w:hint="eastAsia"/>
                <w:color w:val="auto"/>
                <w:kern w:val="0"/>
                <w:sz w:val="24"/>
                <w:highlight w:val="none"/>
              </w:rPr>
              <w:t>，</w:t>
            </w:r>
            <w:r>
              <w:rPr>
                <w:rFonts w:hint="eastAsia"/>
                <w:color w:val="auto"/>
                <w:kern w:val="0"/>
                <w:sz w:val="24"/>
                <w:highlight w:val="none"/>
                <w:lang w:val="en-US" w:eastAsia="zh-CN"/>
              </w:rPr>
              <w:t>年工作365天，每天3班，每班8小时</w:t>
            </w:r>
            <w:r>
              <w:rPr>
                <w:rFonts w:hint="eastAsia"/>
                <w:color w:val="auto"/>
                <w:kern w:val="0"/>
                <w:sz w:val="24"/>
                <w:highlight w:val="none"/>
              </w:rPr>
              <w:t>。</w:t>
            </w:r>
          </w:p>
          <w:p w14:paraId="480B2030">
            <w:pPr>
              <w:adjustRightInd w:val="0"/>
              <w:snapToGrid w:val="0"/>
              <w:spacing w:line="520" w:lineRule="exact"/>
              <w:rPr>
                <w:b/>
                <w:color w:val="auto"/>
                <w:sz w:val="24"/>
                <w:highlight w:val="none"/>
              </w:rPr>
            </w:pPr>
            <w:r>
              <w:rPr>
                <w:rFonts w:hint="eastAsia"/>
                <w:b/>
                <w:color w:val="auto"/>
                <w:sz w:val="24"/>
                <w:highlight w:val="none"/>
              </w:rPr>
              <w:t>7公用</w:t>
            </w:r>
            <w:r>
              <w:rPr>
                <w:b/>
                <w:color w:val="auto"/>
                <w:sz w:val="24"/>
                <w:highlight w:val="none"/>
              </w:rPr>
              <w:t>工程</w:t>
            </w:r>
          </w:p>
          <w:p w14:paraId="0DFB6B0B">
            <w:pPr>
              <w:pStyle w:val="76"/>
              <w:spacing w:before="193" w:line="220" w:lineRule="auto"/>
              <w:ind w:left="586"/>
              <w:outlineLvl w:val="2"/>
              <w:rPr>
                <w:color w:val="auto"/>
                <w:sz w:val="24"/>
                <w:szCs w:val="24"/>
              </w:rPr>
            </w:pPr>
            <w:r>
              <w:rPr>
                <w:rFonts w:ascii="Times New Roman" w:hAnsi="Times New Roman" w:eastAsia="Times New Roman" w:cs="Times New Roman"/>
                <w:b/>
                <w:bCs/>
                <w:color w:val="auto"/>
                <w:spacing w:val="-5"/>
                <w:sz w:val="24"/>
                <w:szCs w:val="24"/>
              </w:rPr>
              <w:t>2.1</w:t>
            </w:r>
            <w:r>
              <w:rPr>
                <w:b/>
                <w:bCs/>
                <w:color w:val="auto"/>
                <w:spacing w:val="-5"/>
                <w:sz w:val="24"/>
                <w:szCs w:val="24"/>
              </w:rPr>
              <w:t>给水</w:t>
            </w:r>
          </w:p>
          <w:p w14:paraId="6FC6E82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color w:val="auto"/>
                <w:sz w:val="24"/>
                <w:szCs w:val="24"/>
              </w:rPr>
            </w:pPr>
            <w:r>
              <w:rPr>
                <w:color w:val="auto"/>
                <w:spacing w:val="-5"/>
                <w:sz w:val="24"/>
                <w:szCs w:val="24"/>
              </w:rPr>
              <w:t>本项目用水主要为生活用水。用水来源为园区给水管</w:t>
            </w:r>
            <w:r>
              <w:rPr>
                <w:color w:val="auto"/>
                <w:spacing w:val="-6"/>
                <w:sz w:val="24"/>
                <w:szCs w:val="24"/>
              </w:rPr>
              <w:t>网提供，</w:t>
            </w:r>
            <w:r>
              <w:rPr>
                <w:color w:val="auto"/>
                <w:spacing w:val="-1"/>
                <w:sz w:val="24"/>
                <w:szCs w:val="24"/>
              </w:rPr>
              <w:t>水质和水量均能满足本项目需要。</w:t>
            </w:r>
          </w:p>
          <w:p w14:paraId="0504C08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1</w:t>
            </w:r>
            <w:r>
              <w:rPr>
                <w:color w:val="auto"/>
                <w:spacing w:val="-3"/>
                <w:position w:val="2"/>
                <w:sz w:val="24"/>
                <w:szCs w:val="24"/>
              </w:rPr>
              <w:t>）生活用水</w:t>
            </w:r>
          </w:p>
          <w:p w14:paraId="693A85CD">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本项目生活用水根据《新疆维吾尔自治区工业和生活用水定额》和《建</w:t>
            </w:r>
            <w:r>
              <w:rPr>
                <w:color w:val="auto"/>
                <w:spacing w:val="-1"/>
                <w:sz w:val="24"/>
                <w:szCs w:val="24"/>
              </w:rPr>
              <w:t>筑给水排水设计规范》的要求，生活用水定额按</w:t>
            </w:r>
            <w:r>
              <w:rPr>
                <w:rFonts w:hint="eastAsia" w:ascii="Times New Roman" w:hAnsi="Times New Roman" w:eastAsia="宋体" w:cs="Times New Roman"/>
                <w:color w:val="auto"/>
                <w:spacing w:val="-2"/>
                <w:sz w:val="24"/>
                <w:szCs w:val="24"/>
                <w:lang w:val="en-US" w:eastAsia="zh-CN"/>
              </w:rPr>
              <w:t>5</w:t>
            </w:r>
            <w:r>
              <w:rPr>
                <w:rFonts w:ascii="Times New Roman" w:hAnsi="Times New Roman" w:eastAsia="Times New Roman" w:cs="Times New Roman"/>
                <w:color w:val="auto"/>
                <w:spacing w:val="-2"/>
                <w:sz w:val="24"/>
                <w:szCs w:val="24"/>
              </w:rPr>
              <w:t>0L/</w:t>
            </w:r>
            <w:r>
              <w:rPr>
                <w:color w:val="auto"/>
                <w:spacing w:val="-2"/>
                <w:sz w:val="24"/>
                <w:szCs w:val="24"/>
              </w:rPr>
              <w:t>人</w:t>
            </w:r>
            <w:r>
              <w:rPr>
                <w:rFonts w:ascii="Times New Roman" w:hAnsi="Times New Roman" w:eastAsia="Times New Roman" w:cs="Times New Roman"/>
                <w:color w:val="auto"/>
                <w:spacing w:val="-2"/>
                <w:sz w:val="24"/>
                <w:szCs w:val="24"/>
              </w:rPr>
              <w:t>/d</w:t>
            </w:r>
            <w:r>
              <w:rPr>
                <w:color w:val="auto"/>
                <w:spacing w:val="-2"/>
                <w:sz w:val="24"/>
                <w:szCs w:val="24"/>
              </w:rPr>
              <w:t>计，劳动定员</w:t>
            </w:r>
            <w:r>
              <w:rPr>
                <w:rFonts w:hint="eastAsia" w:ascii="Times New Roman" w:hAnsi="Times New Roman" w:eastAsia="宋体" w:cs="Times New Roman"/>
                <w:color w:val="auto"/>
                <w:spacing w:val="-2"/>
                <w:sz w:val="24"/>
                <w:szCs w:val="24"/>
                <w:lang w:val="en-US" w:eastAsia="zh-CN"/>
              </w:rPr>
              <w:t>68</w:t>
            </w:r>
            <w:r>
              <w:rPr>
                <w:color w:val="auto"/>
                <w:spacing w:val="-1"/>
                <w:sz w:val="24"/>
                <w:szCs w:val="24"/>
              </w:rPr>
              <w:t>人，则生活用</w:t>
            </w:r>
            <w:r>
              <w:rPr>
                <w:rFonts w:hint="default" w:ascii="Times New Roman" w:hAnsi="Times New Roman" w:cs="Times New Roman"/>
                <w:color w:val="auto"/>
                <w:spacing w:val="-1"/>
                <w:sz w:val="24"/>
                <w:szCs w:val="24"/>
              </w:rPr>
              <w:t>水</w:t>
            </w:r>
            <w:r>
              <w:rPr>
                <w:rFonts w:hint="default" w:ascii="Times New Roman" w:hAnsi="Times New Roman" w:cs="Times New Roman"/>
                <w:color w:val="auto"/>
                <w:spacing w:val="-1"/>
                <w:sz w:val="24"/>
                <w:szCs w:val="24"/>
                <w:lang w:val="en-US" w:eastAsia="zh-CN"/>
              </w:rPr>
              <w:t>3.4</w:t>
            </w:r>
            <w:r>
              <w:rPr>
                <w:rFonts w:hint="default" w:ascii="Times New Roman" w:hAnsi="Times New Roman" w:cs="Times New Roman"/>
                <w:color w:val="auto"/>
                <w:spacing w:val="-1"/>
                <w:sz w:val="24"/>
                <w:szCs w:val="24"/>
              </w:rPr>
              <w:t>m</w:t>
            </w:r>
            <w:r>
              <w:rPr>
                <w:rFonts w:hint="default" w:ascii="Times New Roman" w:hAnsi="Times New Roman" w:cs="Times New Roman"/>
                <w:color w:val="auto"/>
                <w:spacing w:val="-1"/>
                <w:sz w:val="24"/>
                <w:szCs w:val="24"/>
                <w:vertAlign w:val="superscript"/>
              </w:rPr>
              <w:t>3</w:t>
            </w:r>
            <w:r>
              <w:rPr>
                <w:rFonts w:hint="default" w:ascii="Times New Roman" w:hAnsi="Times New Roman" w:cs="Times New Roman"/>
                <w:color w:val="auto"/>
                <w:spacing w:val="-1"/>
                <w:sz w:val="24"/>
                <w:szCs w:val="24"/>
              </w:rPr>
              <w:t>/d（</w:t>
            </w:r>
            <w:r>
              <w:rPr>
                <w:rFonts w:hint="default" w:ascii="Times New Roman" w:hAnsi="Times New Roman" w:cs="Times New Roman"/>
                <w:color w:val="auto"/>
                <w:spacing w:val="-1"/>
                <w:sz w:val="24"/>
                <w:szCs w:val="24"/>
                <w:lang w:val="en-US" w:eastAsia="zh-CN"/>
              </w:rPr>
              <w:t>1241</w:t>
            </w:r>
            <w:r>
              <w:rPr>
                <w:rFonts w:hint="default" w:ascii="Times New Roman" w:hAnsi="Times New Roman" w:cs="Times New Roman"/>
                <w:color w:val="auto"/>
                <w:spacing w:val="-1"/>
                <w:sz w:val="24"/>
                <w:szCs w:val="24"/>
              </w:rPr>
              <w:t>m</w:t>
            </w:r>
            <w:r>
              <w:rPr>
                <w:rFonts w:hint="default" w:ascii="Times New Roman" w:hAnsi="Times New Roman" w:cs="Times New Roman"/>
                <w:color w:val="auto"/>
                <w:spacing w:val="-1"/>
                <w:sz w:val="24"/>
                <w:szCs w:val="24"/>
                <w:vertAlign w:val="superscript"/>
              </w:rPr>
              <w:t>3</w:t>
            </w:r>
            <w:r>
              <w:rPr>
                <w:rFonts w:hint="default" w:ascii="Times New Roman" w:hAnsi="Times New Roman" w:cs="Times New Roman"/>
                <w:color w:val="auto"/>
                <w:spacing w:val="-1"/>
                <w:sz w:val="24"/>
                <w:szCs w:val="24"/>
              </w:rPr>
              <w:t>/a）</w:t>
            </w:r>
            <w:r>
              <w:rPr>
                <w:color w:val="auto"/>
                <w:spacing w:val="-1"/>
                <w:sz w:val="24"/>
                <w:szCs w:val="24"/>
              </w:rPr>
              <w:t>。</w:t>
            </w:r>
          </w:p>
          <w:p w14:paraId="170D706C">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2</w:t>
            </w: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激光切割冷却水</w:t>
            </w:r>
          </w:p>
          <w:p w14:paraId="6F4FD3D8">
            <w:pPr>
              <w:pStyle w:val="76"/>
              <w:keepNext w:val="0"/>
              <w:keepLines w:val="0"/>
              <w:pageBreakBefore w:val="0"/>
              <w:widowControl w:val="0"/>
              <w:kinsoku/>
              <w:wordWrap/>
              <w:overflowPunct/>
              <w:topLinePunct w:val="0"/>
              <w:autoSpaceDE/>
              <w:autoSpaceDN/>
              <w:bidi w:val="0"/>
              <w:adjustRightInd/>
              <w:snapToGrid/>
              <w:spacing w:line="360" w:lineRule="auto"/>
              <w:ind w:firstLine="460" w:firstLineChars="200"/>
              <w:textAlignment w:val="auto"/>
              <w:outlineLvl w:val="2"/>
              <w:rPr>
                <w:rFonts w:hint="default" w:ascii="Times New Roman" w:hAnsi="Times New Roman" w:eastAsia="宋体" w:cs="Times New Roman"/>
                <w:b w:val="0"/>
                <w:bCs w:val="0"/>
                <w:color w:val="auto"/>
                <w:spacing w:val="-5"/>
                <w:sz w:val="24"/>
                <w:szCs w:val="24"/>
                <w:vertAlign w:val="baseline"/>
                <w:lang w:val="en-US" w:eastAsia="zh-CN"/>
              </w:rPr>
            </w:pPr>
            <w:r>
              <w:rPr>
                <w:rFonts w:hint="eastAsia" w:ascii="Times New Roman" w:hAnsi="Times New Roman" w:cs="Times New Roman"/>
                <w:b w:val="0"/>
                <w:bCs w:val="0"/>
                <w:color w:val="auto"/>
                <w:spacing w:val="-5"/>
                <w:sz w:val="24"/>
                <w:szCs w:val="24"/>
                <w:lang w:val="en-US" w:eastAsia="zh-CN"/>
              </w:rPr>
              <w:t>本项目激光切割过程中，切割设备中的激光发生器需采用制冷机冷却，制冷机内通入纯水进行冷却，冷却水于设备内部循环使用，不与产品直接接触，且不外排。激光切割设备66台，每台设备用水量约8L，则激光切割冷却水使用量为0.528m</w:t>
            </w:r>
            <w:r>
              <w:rPr>
                <w:rFonts w:hint="eastAsia" w:ascii="Times New Roman" w:hAnsi="Times New Roman" w:cs="Times New Roman"/>
                <w:b w:val="0"/>
                <w:bCs w:val="0"/>
                <w:color w:val="auto"/>
                <w:spacing w:val="-5"/>
                <w:sz w:val="24"/>
                <w:szCs w:val="24"/>
                <w:vertAlign w:val="superscript"/>
                <w:lang w:val="en-US" w:eastAsia="zh-CN"/>
              </w:rPr>
              <w:t>3</w:t>
            </w:r>
            <w:r>
              <w:rPr>
                <w:rFonts w:hint="eastAsia" w:ascii="Times New Roman" w:hAnsi="Times New Roman" w:cs="Times New Roman"/>
                <w:b w:val="0"/>
                <w:bCs w:val="0"/>
                <w:color w:val="auto"/>
                <w:spacing w:val="-5"/>
                <w:sz w:val="24"/>
                <w:szCs w:val="24"/>
                <w:vertAlign w:val="baseline"/>
                <w:lang w:val="en-US" w:eastAsia="zh-CN"/>
              </w:rPr>
              <w:t>/a。</w:t>
            </w:r>
          </w:p>
          <w:p w14:paraId="68513F24">
            <w:pPr>
              <w:pStyle w:val="76"/>
              <w:keepNext w:val="0"/>
              <w:keepLines w:val="0"/>
              <w:pageBreakBefore w:val="0"/>
              <w:widowControl w:val="0"/>
              <w:kinsoku/>
              <w:wordWrap/>
              <w:overflowPunct/>
              <w:topLinePunct w:val="0"/>
              <w:autoSpaceDE/>
              <w:autoSpaceDN/>
              <w:bidi w:val="0"/>
              <w:adjustRightInd/>
              <w:snapToGrid/>
              <w:spacing w:line="360" w:lineRule="auto"/>
              <w:ind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3</w:t>
            </w:r>
            <w:r>
              <w:rPr>
                <w:rFonts w:hint="default" w:ascii="Times New Roman" w:hAnsi="Times New Roman" w:eastAsia="宋体" w:cs="Times New Roman"/>
                <w:b w:val="0"/>
                <w:bCs w:val="0"/>
                <w:color w:val="auto"/>
                <w:spacing w:val="-5"/>
                <w:sz w:val="24"/>
                <w:szCs w:val="24"/>
                <w:lang w:eastAsia="zh-CN"/>
              </w:rPr>
              <w:t>）</w:t>
            </w:r>
            <w:r>
              <w:rPr>
                <w:rFonts w:hint="default" w:ascii="Times New Roman" w:hAnsi="Times New Roman" w:eastAsia="宋体" w:cs="Times New Roman"/>
                <w:b w:val="0"/>
                <w:bCs w:val="0"/>
                <w:color w:val="auto"/>
                <w:spacing w:val="-5"/>
                <w:sz w:val="24"/>
                <w:szCs w:val="24"/>
                <w:lang w:val="en-US" w:eastAsia="zh-CN"/>
              </w:rPr>
              <w:t>清洗用水</w:t>
            </w:r>
          </w:p>
          <w:p w14:paraId="160FDA87">
            <w:pPr>
              <w:pStyle w:val="7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b w:val="0"/>
                <w:bCs w:val="0"/>
                <w:color w:val="auto"/>
                <w:spacing w:val="-5"/>
                <w:sz w:val="24"/>
                <w:szCs w:val="24"/>
                <w:vertAlign w:val="baseline"/>
                <w:lang w:val="en-US" w:eastAsia="zh-CN"/>
              </w:rPr>
            </w:pPr>
            <w:r>
              <w:rPr>
                <w:rFonts w:hint="default" w:ascii="Times New Roman" w:hAnsi="Times New Roman" w:cs="Times New Roman"/>
                <w:color w:val="auto"/>
                <w:sz w:val="24"/>
                <w:szCs w:val="24"/>
                <w:lang w:val="en-US" w:eastAsia="zh-CN"/>
              </w:rPr>
              <w:t>晶种在</w:t>
            </w:r>
            <w:r>
              <w:rPr>
                <w:rFonts w:hint="default" w:ascii="Times New Roman" w:hAnsi="Times New Roman" w:cs="Times New Roman"/>
                <w:color w:val="auto"/>
                <w:sz w:val="24"/>
                <w:szCs w:val="24"/>
              </w:rPr>
              <w:t>放入</w:t>
            </w:r>
            <w:r>
              <w:rPr>
                <w:rFonts w:hint="default" w:ascii="Times New Roman" w:hAnsi="Times New Roman" w:cs="Times New Roman"/>
                <w:color w:val="auto"/>
                <w:sz w:val="24"/>
                <w:szCs w:val="24"/>
                <w:lang w:val="en-US" w:eastAsia="zh-CN"/>
              </w:rPr>
              <w:t>设备</w:t>
            </w:r>
            <w:r>
              <w:rPr>
                <w:rFonts w:hint="default" w:ascii="Times New Roman" w:hAnsi="Times New Roman" w:eastAsia="Times New Roman" w:cs="Times New Roman"/>
                <w:color w:val="auto"/>
                <w:sz w:val="24"/>
                <w:szCs w:val="24"/>
              </w:rPr>
              <w:t>CVD</w:t>
            </w:r>
            <w:r>
              <w:rPr>
                <w:rFonts w:hint="default" w:ascii="Times New Roman" w:hAnsi="Times New Roman" w:cs="Times New Roman"/>
                <w:color w:val="auto"/>
                <w:sz w:val="24"/>
                <w:szCs w:val="24"/>
              </w:rPr>
              <w:t>沉积腔体进行沉积</w:t>
            </w:r>
            <w:r>
              <w:rPr>
                <w:rFonts w:hint="default" w:ascii="Times New Roman" w:hAnsi="Times New Roman" w:cs="Times New Roman"/>
                <w:color w:val="auto"/>
                <w:sz w:val="24"/>
                <w:szCs w:val="24"/>
                <w:lang w:val="en-US" w:eastAsia="zh-CN"/>
              </w:rPr>
              <w:t>之前，需</w:t>
            </w:r>
            <w:r>
              <w:rPr>
                <w:rFonts w:hint="default" w:ascii="Times New Roman" w:hAnsi="Times New Roman" w:cs="Times New Roman"/>
                <w:color w:val="auto"/>
                <w:sz w:val="24"/>
                <w:szCs w:val="24"/>
              </w:rPr>
              <w:t>通过超声波清洗机</w:t>
            </w:r>
            <w:r>
              <w:rPr>
                <w:rFonts w:hint="default" w:ascii="Times New Roman" w:hAnsi="Times New Roman" w:cs="Times New Roman"/>
                <w:color w:val="auto"/>
                <w:sz w:val="24"/>
                <w:szCs w:val="24"/>
                <w:lang w:val="en-US" w:eastAsia="zh-CN"/>
              </w:rPr>
              <w:t>进行</w:t>
            </w:r>
            <w:r>
              <w:rPr>
                <w:rFonts w:hint="default" w:ascii="Times New Roman" w:hAnsi="Times New Roman" w:cs="Times New Roman"/>
                <w:color w:val="auto"/>
                <w:sz w:val="24"/>
                <w:szCs w:val="24"/>
              </w:rPr>
              <w:t>清洗</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根据业主提供资料，清洗用水约1L/片</w:t>
            </w:r>
            <w:r>
              <w:rPr>
                <w:rFonts w:hint="eastAsia" w:ascii="Times New Roman" w:hAnsi="Times New Roman" w:cs="Times New Roman"/>
                <w:color w:val="auto"/>
                <w:sz w:val="24"/>
                <w:szCs w:val="24"/>
                <w:lang w:val="en-US" w:eastAsia="zh-CN"/>
              </w:rPr>
              <w:t>金刚石</w:t>
            </w:r>
            <w:r>
              <w:rPr>
                <w:rFonts w:hint="default" w:ascii="Times New Roman" w:hAnsi="Times New Roman" w:cs="Times New Roman"/>
                <w:color w:val="auto"/>
                <w:sz w:val="24"/>
                <w:szCs w:val="24"/>
                <w:lang w:val="en-US" w:eastAsia="zh-CN"/>
              </w:rPr>
              <w:t>晶种，本项目原料晶种1500片，则清洗用水为1.5m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w:t>
            </w:r>
          </w:p>
          <w:p w14:paraId="51D76768">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4</w:t>
            </w: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p>
          <w:p w14:paraId="5C89622D">
            <w:pPr>
              <w:pStyle w:val="7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2"/>
              <w:rPr>
                <w:rFonts w:hint="default" w:ascii="Times New Roman" w:hAnsi="Times New Roman" w:cs="Times New Roman"/>
                <w:b w:val="0"/>
                <w:bCs w:val="0"/>
                <w:color w:val="auto"/>
                <w:spacing w:val="-5"/>
                <w:sz w:val="24"/>
                <w:szCs w:val="24"/>
                <w:vertAlign w:val="baseline"/>
                <w:lang w:val="en-US" w:eastAsia="zh-CN"/>
              </w:rPr>
            </w:pPr>
            <w:r>
              <w:rPr>
                <w:color w:val="auto"/>
                <w:sz w:val="24"/>
                <w:szCs w:val="24"/>
              </w:rPr>
              <w:t>经检验结果为单晶金刚石的合成钻石满足产品需求，通过专用</w:t>
            </w:r>
            <w:r>
              <w:rPr>
                <w:color w:val="auto"/>
                <w:spacing w:val="2"/>
                <w:sz w:val="24"/>
                <w:szCs w:val="24"/>
              </w:rPr>
              <w:t>抛光机，抛光做成合成钻石成品，</w:t>
            </w:r>
            <w:r>
              <w:rPr>
                <w:rFonts w:hint="eastAsia"/>
                <w:color w:val="auto"/>
                <w:spacing w:val="2"/>
                <w:sz w:val="24"/>
                <w:szCs w:val="24"/>
                <w:lang w:val="en-US" w:eastAsia="zh-CN"/>
              </w:rPr>
              <w:t>抛光时需要持续用水冷却，</w:t>
            </w:r>
            <w:r>
              <w:rPr>
                <w:rFonts w:hint="eastAsia"/>
                <w:color w:val="auto"/>
                <w:spacing w:val="2"/>
                <w:sz w:val="24"/>
                <w:szCs w:val="24"/>
                <w:highlight w:val="none"/>
                <w:lang w:val="en-US" w:eastAsia="zh-CN"/>
              </w:rPr>
              <w:t>且抛光用水对水质要求较高，采用外购桶装</w:t>
            </w:r>
            <w:r>
              <w:rPr>
                <w:rFonts w:hint="default" w:ascii="Times New Roman" w:hAnsi="Times New Roman" w:cs="Times New Roman"/>
                <w:color w:val="auto"/>
                <w:spacing w:val="2"/>
                <w:sz w:val="24"/>
                <w:szCs w:val="24"/>
                <w:highlight w:val="none"/>
                <w:lang w:val="en-US" w:eastAsia="zh-CN"/>
              </w:rPr>
              <w:t>纯水（10L/桶）</w:t>
            </w:r>
            <w:r>
              <w:rPr>
                <w:rFonts w:hint="eastAsia"/>
                <w:color w:val="auto"/>
                <w:spacing w:val="2"/>
                <w:sz w:val="24"/>
                <w:szCs w:val="24"/>
                <w:highlight w:val="none"/>
                <w:lang w:val="en-US" w:eastAsia="zh-CN"/>
              </w:rPr>
              <w:t>，此过程</w:t>
            </w:r>
            <w:r>
              <w:rPr>
                <w:rFonts w:hint="default" w:ascii="Times New Roman" w:hAnsi="Times New Roman" w:cs="Times New Roman"/>
                <w:color w:val="auto"/>
                <w:sz w:val="24"/>
                <w:szCs w:val="24"/>
                <w:highlight w:val="none"/>
                <w:lang w:val="en-US" w:eastAsia="zh-CN"/>
              </w:rPr>
              <w:t>每台设备每月用水量为7~8L</w:t>
            </w:r>
            <w:r>
              <w:rPr>
                <w:rFonts w:hint="eastAsia" w:ascii="Times New Roman" w:hAnsi="Times New Roman" w:cs="Times New Roman"/>
                <w:color w:val="auto"/>
                <w:sz w:val="24"/>
                <w:szCs w:val="24"/>
                <w:highlight w:val="none"/>
                <w:lang w:val="en-US" w:eastAsia="zh-CN"/>
              </w:rPr>
              <w:t>，取8L，抛光设备为20台，则</w:t>
            </w:r>
            <w:r>
              <w:rPr>
                <w:rFonts w:hint="eastAsia" w:ascii="Times New Roman" w:hAnsi="Times New Roman" w:eastAsia="宋体" w:cs="Times New Roman"/>
                <w:b w:val="0"/>
                <w:bCs w:val="0"/>
                <w:color w:val="auto"/>
                <w:spacing w:val="-5"/>
                <w:sz w:val="24"/>
                <w:szCs w:val="24"/>
                <w:highlight w:val="none"/>
                <w:lang w:val="en-US" w:eastAsia="zh-CN"/>
              </w:rPr>
              <w:t>抛光</w:t>
            </w:r>
            <w:r>
              <w:rPr>
                <w:rFonts w:hint="default" w:ascii="Times New Roman" w:hAnsi="Times New Roman" w:eastAsia="宋体" w:cs="Times New Roman"/>
                <w:b w:val="0"/>
                <w:bCs w:val="0"/>
                <w:color w:val="auto"/>
                <w:spacing w:val="-5"/>
                <w:sz w:val="24"/>
                <w:szCs w:val="24"/>
                <w:highlight w:val="none"/>
                <w:lang w:val="en-US" w:eastAsia="zh-CN"/>
              </w:rPr>
              <w:t>冷却水</w:t>
            </w:r>
            <w:r>
              <w:rPr>
                <w:rFonts w:hint="eastAsia" w:ascii="Times New Roman" w:hAnsi="Times New Roman" w:cs="Times New Roman"/>
                <w:b w:val="0"/>
                <w:bCs w:val="0"/>
                <w:color w:val="auto"/>
                <w:spacing w:val="-5"/>
                <w:sz w:val="24"/>
                <w:szCs w:val="24"/>
                <w:highlight w:val="none"/>
                <w:lang w:val="en-US" w:eastAsia="zh-CN"/>
              </w:rPr>
              <w:t>用量为1.92m</w:t>
            </w:r>
            <w:r>
              <w:rPr>
                <w:rFonts w:hint="eastAsia" w:ascii="Times New Roman" w:hAnsi="Times New Roman" w:cs="Times New Roman"/>
                <w:b w:val="0"/>
                <w:bCs w:val="0"/>
                <w:color w:val="auto"/>
                <w:spacing w:val="-5"/>
                <w:sz w:val="24"/>
                <w:szCs w:val="24"/>
                <w:highlight w:val="none"/>
                <w:vertAlign w:val="superscript"/>
                <w:lang w:val="en-US" w:eastAsia="zh-CN"/>
              </w:rPr>
              <w:t>3</w:t>
            </w:r>
            <w:r>
              <w:rPr>
                <w:rFonts w:hint="eastAsia" w:ascii="Times New Roman" w:hAnsi="Times New Roman" w:cs="Times New Roman"/>
                <w:b w:val="0"/>
                <w:bCs w:val="0"/>
                <w:color w:val="auto"/>
                <w:spacing w:val="-5"/>
                <w:sz w:val="24"/>
                <w:szCs w:val="24"/>
                <w:highlight w:val="none"/>
                <w:vertAlign w:val="baseline"/>
                <w:lang w:val="en-US" w:eastAsia="zh-CN"/>
              </w:rPr>
              <w:t>/a。</w:t>
            </w:r>
          </w:p>
          <w:p w14:paraId="2F876A78">
            <w:pPr>
              <w:pStyle w:val="76"/>
              <w:spacing w:before="157" w:line="220" w:lineRule="auto"/>
              <w:ind w:left="586"/>
              <w:outlineLvl w:val="2"/>
              <w:rPr>
                <w:color w:val="auto"/>
                <w:sz w:val="24"/>
                <w:szCs w:val="24"/>
              </w:rPr>
            </w:pPr>
            <w:r>
              <w:rPr>
                <w:rFonts w:ascii="Times New Roman" w:hAnsi="Times New Roman" w:eastAsia="Times New Roman" w:cs="Times New Roman"/>
                <w:b/>
                <w:bCs/>
                <w:color w:val="auto"/>
                <w:spacing w:val="-5"/>
                <w:sz w:val="24"/>
                <w:szCs w:val="24"/>
              </w:rPr>
              <w:t>2.2</w:t>
            </w:r>
            <w:r>
              <w:rPr>
                <w:b/>
                <w:bCs/>
                <w:color w:val="auto"/>
                <w:spacing w:val="-5"/>
                <w:sz w:val="24"/>
                <w:szCs w:val="24"/>
              </w:rPr>
              <w:t>排水</w:t>
            </w:r>
          </w:p>
          <w:p w14:paraId="4745C64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pacing w:val="-1"/>
                <w:sz w:val="24"/>
                <w:szCs w:val="24"/>
              </w:rPr>
            </w:pPr>
            <w:r>
              <w:rPr>
                <w:color w:val="auto"/>
                <w:sz w:val="24"/>
                <w:szCs w:val="24"/>
              </w:rPr>
              <w:t>本</w:t>
            </w:r>
            <w:r>
              <w:rPr>
                <w:color w:val="auto"/>
                <w:spacing w:val="-1"/>
                <w:sz w:val="24"/>
                <w:szCs w:val="24"/>
              </w:rPr>
              <w:t>项目运营过程中仅</w:t>
            </w:r>
            <w:r>
              <w:rPr>
                <w:rFonts w:hint="eastAsia"/>
                <w:color w:val="auto"/>
                <w:spacing w:val="-1"/>
                <w:sz w:val="24"/>
                <w:szCs w:val="24"/>
                <w:lang w:val="en-US" w:eastAsia="zh-CN"/>
              </w:rPr>
              <w:t>产生</w:t>
            </w:r>
            <w:r>
              <w:rPr>
                <w:color w:val="auto"/>
                <w:spacing w:val="-1"/>
                <w:sz w:val="24"/>
                <w:szCs w:val="24"/>
              </w:rPr>
              <w:t>生活污水、</w:t>
            </w:r>
            <w:r>
              <w:rPr>
                <w:rFonts w:hint="default" w:ascii="Times New Roman" w:hAnsi="Times New Roman" w:eastAsia="宋体" w:cs="Times New Roman"/>
                <w:b w:val="0"/>
                <w:bCs w:val="0"/>
                <w:color w:val="auto"/>
                <w:spacing w:val="-5"/>
                <w:sz w:val="24"/>
                <w:szCs w:val="24"/>
                <w:lang w:val="en-US" w:eastAsia="zh-CN"/>
              </w:rPr>
              <w:t>清洗用水</w:t>
            </w:r>
            <w:r>
              <w:rPr>
                <w:color w:val="auto"/>
                <w:spacing w:val="-1"/>
                <w:sz w:val="24"/>
                <w:szCs w:val="24"/>
              </w:rPr>
              <w:t>和</w:t>
            </w: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r>
              <w:rPr>
                <w:color w:val="auto"/>
                <w:spacing w:val="-1"/>
                <w:sz w:val="24"/>
                <w:szCs w:val="24"/>
              </w:rPr>
              <w:t>。</w:t>
            </w:r>
          </w:p>
          <w:p w14:paraId="1642ECB8">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（1）生活污水</w:t>
            </w:r>
          </w:p>
          <w:p w14:paraId="666D0793">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生活污水排放系数按用水量的</w:t>
            </w:r>
            <w:r>
              <w:rPr>
                <w:rFonts w:hint="eastAsia" w:ascii="Times New Roman" w:hAnsi="Times New Roman" w:cs="Times New Roman"/>
                <w:color w:val="auto"/>
                <w:spacing w:val="-1"/>
                <w:sz w:val="24"/>
                <w:szCs w:val="24"/>
                <w:lang w:val="en-US" w:eastAsia="zh-CN"/>
              </w:rPr>
              <w:t>80%</w:t>
            </w:r>
            <w:r>
              <w:rPr>
                <w:rFonts w:hint="default" w:ascii="Times New Roman" w:hAnsi="Times New Roman" w:cs="Times New Roman"/>
                <w:color w:val="auto"/>
                <w:spacing w:val="-1"/>
                <w:sz w:val="24"/>
                <w:szCs w:val="24"/>
              </w:rPr>
              <w:t>计，则排放量为</w:t>
            </w:r>
            <w:r>
              <w:rPr>
                <w:rFonts w:hint="eastAsia" w:ascii="Times New Roman" w:hAnsi="Times New Roman" w:cs="Times New Roman"/>
                <w:color w:val="auto"/>
                <w:spacing w:val="-1"/>
                <w:sz w:val="24"/>
                <w:szCs w:val="24"/>
                <w:lang w:val="en-US" w:eastAsia="zh-CN"/>
              </w:rPr>
              <w:t>2.7</w:t>
            </w:r>
            <w:r>
              <w:rPr>
                <w:rFonts w:hint="default" w:ascii="Times New Roman" w:hAnsi="Times New Roman" w:cs="Times New Roman"/>
                <w:color w:val="auto"/>
                <w:spacing w:val="-1"/>
                <w:sz w:val="24"/>
                <w:szCs w:val="24"/>
              </w:rPr>
              <w:t>m</w:t>
            </w:r>
            <w:r>
              <w:rPr>
                <w:rFonts w:hint="default" w:ascii="Times New Roman" w:hAnsi="Times New Roman" w:cs="Times New Roman"/>
                <w:color w:val="auto"/>
                <w:spacing w:val="-1"/>
                <w:sz w:val="24"/>
                <w:szCs w:val="24"/>
                <w:vertAlign w:val="superscript"/>
              </w:rPr>
              <w:t>3</w:t>
            </w:r>
            <w:r>
              <w:rPr>
                <w:rFonts w:hint="default" w:ascii="Times New Roman" w:hAnsi="Times New Roman" w:cs="Times New Roman"/>
                <w:color w:val="auto"/>
                <w:spacing w:val="-1"/>
                <w:sz w:val="24"/>
                <w:szCs w:val="24"/>
              </w:rPr>
              <w:t>/d（</w:t>
            </w:r>
            <w:r>
              <w:rPr>
                <w:rFonts w:hint="eastAsia" w:ascii="Times New Roman" w:hAnsi="Times New Roman" w:cs="Times New Roman"/>
                <w:color w:val="auto"/>
                <w:spacing w:val="-1"/>
                <w:sz w:val="24"/>
                <w:szCs w:val="24"/>
                <w:lang w:val="en-US" w:eastAsia="zh-CN"/>
              </w:rPr>
              <w:t>992.8</w:t>
            </w:r>
            <w:r>
              <w:rPr>
                <w:rFonts w:hint="default" w:ascii="Times New Roman" w:hAnsi="Times New Roman" w:cs="Times New Roman"/>
                <w:color w:val="auto"/>
                <w:spacing w:val="-1"/>
                <w:sz w:val="24"/>
                <w:szCs w:val="24"/>
              </w:rPr>
              <w:t>m</w:t>
            </w:r>
            <w:r>
              <w:rPr>
                <w:rFonts w:hint="default" w:ascii="Times New Roman" w:hAnsi="Times New Roman" w:cs="Times New Roman"/>
                <w:color w:val="auto"/>
                <w:spacing w:val="-1"/>
                <w:sz w:val="24"/>
                <w:szCs w:val="24"/>
                <w:vertAlign w:val="superscript"/>
              </w:rPr>
              <w:t>3</w:t>
            </w:r>
            <w:r>
              <w:rPr>
                <w:rFonts w:hint="default" w:ascii="Times New Roman" w:hAnsi="Times New Roman" w:cs="Times New Roman"/>
                <w:color w:val="auto"/>
                <w:spacing w:val="-1"/>
                <w:sz w:val="24"/>
                <w:szCs w:val="24"/>
              </w:rPr>
              <w:t>/a），生活污水</w:t>
            </w:r>
            <w:r>
              <w:rPr>
                <w:rFonts w:hint="default" w:ascii="Times New Roman" w:hAnsi="Times New Roman" w:cs="Times New Roman"/>
                <w:color w:val="auto"/>
                <w:spacing w:val="-1"/>
                <w:sz w:val="24"/>
                <w:szCs w:val="24"/>
                <w:lang w:val="en-US" w:eastAsia="zh-CN"/>
              </w:rPr>
              <w:t>经隔油池处理后</w:t>
            </w:r>
            <w:r>
              <w:rPr>
                <w:rFonts w:hint="eastAsia" w:ascii="Times New Roman" w:hAnsi="Times New Roman" w:cs="Times New Roman"/>
                <w:color w:val="auto"/>
                <w:spacing w:val="-1"/>
                <w:sz w:val="24"/>
                <w:szCs w:val="24"/>
                <w:lang w:val="en-US" w:eastAsia="zh-CN"/>
              </w:rPr>
              <w:t>，</w:t>
            </w:r>
            <w:r>
              <w:rPr>
                <w:rFonts w:hint="default" w:ascii="Times New Roman" w:hAnsi="Times New Roman" w:cs="Times New Roman"/>
                <w:color w:val="auto"/>
                <w:spacing w:val="-1"/>
                <w:sz w:val="24"/>
                <w:szCs w:val="24"/>
              </w:rPr>
              <w:t>排入园区下水管网，最终进入</w:t>
            </w:r>
            <w:r>
              <w:rPr>
                <w:rFonts w:hint="eastAsia" w:ascii="Times New Roman" w:hAnsi="Times New Roman" w:cs="Times New Roman"/>
                <w:color w:val="auto"/>
                <w:spacing w:val="-1"/>
                <w:sz w:val="24"/>
                <w:szCs w:val="24"/>
                <w:lang w:val="en-US" w:eastAsia="zh-CN"/>
              </w:rPr>
              <w:t>民生工业园区污水处理厂</w:t>
            </w:r>
            <w:r>
              <w:rPr>
                <w:rFonts w:hint="default" w:ascii="Times New Roman" w:hAnsi="Times New Roman" w:cs="Times New Roman"/>
                <w:color w:val="auto"/>
                <w:spacing w:val="-1"/>
                <w:sz w:val="24"/>
                <w:szCs w:val="24"/>
              </w:rPr>
              <w:t>。</w:t>
            </w:r>
          </w:p>
          <w:p w14:paraId="5E090392">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2</w:t>
            </w: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激光切割冷却水</w:t>
            </w:r>
          </w:p>
          <w:p w14:paraId="479B691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outlineLvl w:val="2"/>
              <w:rPr>
                <w:rFonts w:hint="default" w:ascii="Times New Roman" w:hAnsi="Times New Roman" w:eastAsia="宋体" w:cs="Times New Roman"/>
                <w:b w:val="0"/>
                <w:bCs w:val="0"/>
                <w:color w:val="auto"/>
                <w:spacing w:val="-5"/>
                <w:sz w:val="24"/>
                <w:szCs w:val="24"/>
                <w:lang w:eastAsia="zh-CN"/>
              </w:rPr>
            </w:pPr>
            <w:r>
              <w:rPr>
                <w:rFonts w:hint="eastAsia" w:ascii="Times New Roman" w:hAnsi="Times New Roman" w:cs="Times New Roman"/>
                <w:b w:val="0"/>
                <w:bCs w:val="0"/>
                <w:color w:val="auto"/>
                <w:spacing w:val="-5"/>
                <w:sz w:val="24"/>
                <w:szCs w:val="24"/>
                <w:lang w:val="en-US" w:eastAsia="zh-CN"/>
              </w:rPr>
              <w:t>本项目激光切割过程中，切割设备中的激光发生器需采用制冷机冷却，制冷机内通入纯水进行冷却，冷却水于设备内部循环使用，不与产品直接接触，且不外排。</w:t>
            </w:r>
          </w:p>
          <w:p w14:paraId="1909651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3</w:t>
            </w:r>
            <w:r>
              <w:rPr>
                <w:rFonts w:hint="default" w:ascii="Times New Roman" w:hAnsi="Times New Roman" w:eastAsia="宋体" w:cs="Times New Roman"/>
                <w:b w:val="0"/>
                <w:bCs w:val="0"/>
                <w:color w:val="auto"/>
                <w:spacing w:val="-5"/>
                <w:sz w:val="24"/>
                <w:szCs w:val="24"/>
                <w:lang w:eastAsia="zh-CN"/>
              </w:rPr>
              <w:t>）</w:t>
            </w:r>
            <w:r>
              <w:rPr>
                <w:rFonts w:hint="default" w:ascii="Times New Roman" w:hAnsi="Times New Roman" w:eastAsia="宋体" w:cs="Times New Roman"/>
                <w:b w:val="0"/>
                <w:bCs w:val="0"/>
                <w:color w:val="auto"/>
                <w:spacing w:val="-5"/>
                <w:sz w:val="24"/>
                <w:szCs w:val="24"/>
                <w:lang w:val="en-US" w:eastAsia="zh-CN"/>
              </w:rPr>
              <w:t>清洗用水</w:t>
            </w:r>
          </w:p>
          <w:p w14:paraId="141D488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2"/>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清洗用水使用后直接排入园区下水管网，因用水量较少，损耗可忽略不急，因此排放量与使用量相同，为</w:t>
            </w:r>
            <w:r>
              <w:rPr>
                <w:rFonts w:hint="default" w:ascii="Times New Roman" w:hAnsi="Times New Roman" w:cs="Times New Roman"/>
                <w:color w:val="auto"/>
                <w:sz w:val="24"/>
                <w:szCs w:val="24"/>
                <w:lang w:val="en-US" w:eastAsia="zh-CN"/>
              </w:rPr>
              <w:t>1.5m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w:t>
            </w:r>
          </w:p>
          <w:p w14:paraId="0BD447A2">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4</w:t>
            </w: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p>
          <w:p w14:paraId="38335C2D">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outlineLvl w:val="2"/>
              <w:rPr>
                <w:color w:val="auto"/>
                <w:sz w:val="24"/>
                <w:szCs w:val="24"/>
              </w:rPr>
            </w:pP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r>
              <w:rPr>
                <w:rFonts w:hint="eastAsia" w:ascii="Times New Roman" w:hAnsi="Times New Roman" w:cs="Times New Roman"/>
                <w:color w:val="auto"/>
                <w:sz w:val="24"/>
                <w:szCs w:val="24"/>
                <w:lang w:val="en-US" w:eastAsia="zh-CN"/>
              </w:rPr>
              <w:t>使用后直接排入园区下水管网，因</w:t>
            </w: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r>
              <w:rPr>
                <w:rFonts w:hint="eastAsia" w:ascii="Times New Roman" w:hAnsi="Times New Roman" w:cs="Times New Roman"/>
                <w:b w:val="0"/>
                <w:bCs w:val="0"/>
                <w:color w:val="auto"/>
                <w:spacing w:val="-5"/>
                <w:sz w:val="24"/>
                <w:szCs w:val="24"/>
                <w:lang w:val="en-US" w:eastAsia="zh-CN"/>
              </w:rPr>
              <w:t>使用量较小过程中损耗忽略不计</w:t>
            </w:r>
            <w:r>
              <w:rPr>
                <w:rFonts w:hint="eastAsia" w:ascii="Times New Roman" w:hAnsi="Times New Roman" w:cs="Times New Roman"/>
                <w:color w:val="auto"/>
                <w:sz w:val="24"/>
                <w:szCs w:val="24"/>
                <w:lang w:val="en-US" w:eastAsia="zh-CN"/>
              </w:rPr>
              <w:t>，使用量为1.92</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，则</w:t>
            </w:r>
            <w:r>
              <w:rPr>
                <w:rFonts w:hint="eastAsia" w:ascii="Times New Roman" w:hAnsi="Times New Roman" w:cs="Times New Roman"/>
                <w:color w:val="auto"/>
                <w:sz w:val="24"/>
                <w:szCs w:val="24"/>
                <w:lang w:val="en-US" w:eastAsia="zh-CN"/>
              </w:rPr>
              <w:t>排放量为</w:t>
            </w:r>
            <w:r>
              <w:rPr>
                <w:rFonts w:hint="eastAsia" w:ascii="Times New Roman" w:hAnsi="Times New Roman" w:cs="Times New Roman"/>
                <w:b w:val="0"/>
                <w:bCs w:val="0"/>
                <w:color w:val="auto"/>
                <w:spacing w:val="-5"/>
                <w:sz w:val="24"/>
                <w:szCs w:val="24"/>
                <w:lang w:val="en-US" w:eastAsia="zh-CN"/>
              </w:rPr>
              <w:t>1.92</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w:t>
            </w:r>
          </w:p>
          <w:p w14:paraId="5CC6D9F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本项目水平衡图详见图</w:t>
            </w:r>
            <w:r>
              <w:rPr>
                <w:rFonts w:hint="default" w:ascii="Times New Roman" w:hAnsi="Times New Roman" w:cs="Times New Roman"/>
                <w:color w:val="auto"/>
                <w:spacing w:val="-1"/>
                <w:sz w:val="24"/>
                <w:szCs w:val="24"/>
                <w:lang w:val="en-US" w:eastAsia="zh-CN"/>
              </w:rPr>
              <w:t>4</w:t>
            </w:r>
            <w:r>
              <w:rPr>
                <w:rFonts w:hint="default" w:ascii="Times New Roman" w:hAnsi="Times New Roman" w:cs="Times New Roman"/>
                <w:color w:val="auto"/>
                <w:spacing w:val="-1"/>
                <w:sz w:val="24"/>
                <w:szCs w:val="24"/>
              </w:rPr>
              <w:t>。</w:t>
            </w:r>
          </w:p>
          <w:p w14:paraId="5BD0D7C1">
            <w:pPr>
              <w:pStyle w:val="76"/>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color w:val="auto"/>
                <w:sz w:val="24"/>
                <w:highlight w:val="none"/>
              </w:rPr>
            </w:pPr>
            <w:r>
              <w:rPr>
                <w:rFonts w:hint="eastAsia" w:ascii="Times New Roman" w:hAnsi="Times New Roman" w:eastAsia="宋体" w:cs="Times New Roman"/>
                <w:color w:val="auto"/>
                <w:spacing w:val="-1"/>
                <w:sz w:val="24"/>
                <w:szCs w:val="24"/>
                <w:lang w:eastAsia="zh-CN"/>
              </w:rPr>
              <w:drawing>
                <wp:inline distT="0" distB="0" distL="114300" distR="114300">
                  <wp:extent cx="4247515" cy="2833370"/>
                  <wp:effectExtent l="0" t="0" r="0" b="0"/>
                  <wp:docPr id="21" name="ECB019B1-382A-4266-B25C-5B523AA43C14-1" descr="C:/Users/哥哥/AppData/Local/Temp/wps.eybUx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CB019B1-382A-4266-B25C-5B523AA43C14-1" descr="C:/Users/哥哥/AppData/Local/Temp/wps.eybUxzwps"/>
                          <pic:cNvPicPr>
                            <a:picLocks noChangeAspect="1"/>
                          </pic:cNvPicPr>
                        </pic:nvPicPr>
                        <pic:blipFill>
                          <a:blip r:embed="rId9"/>
                          <a:stretch>
                            <a:fillRect/>
                          </a:stretch>
                        </pic:blipFill>
                        <pic:spPr>
                          <a:xfrm>
                            <a:off x="0" y="0"/>
                            <a:ext cx="4247515" cy="2833370"/>
                          </a:xfrm>
                          <a:prstGeom prst="rect">
                            <a:avLst/>
                          </a:prstGeom>
                        </pic:spPr>
                      </pic:pic>
                    </a:graphicData>
                  </a:graphic>
                </wp:inline>
              </w:drawing>
            </w:r>
          </w:p>
          <w:p w14:paraId="7403C0A8">
            <w:pPr>
              <w:pStyle w:val="48"/>
              <w:spacing w:line="520" w:lineRule="exact"/>
              <w:ind w:firstLine="0" w:firstLineChars="0"/>
              <w:rPr>
                <w:rFonts w:hint="eastAsia" w:eastAsia="宋体"/>
                <w:color w:val="auto"/>
                <w:highlight w:val="none"/>
                <w:lang w:val="en-US" w:eastAsia="zh-CN"/>
              </w:rPr>
            </w:pPr>
            <w:r>
              <w:rPr>
                <w:rFonts w:hint="eastAsia"/>
                <w:color w:val="auto"/>
                <w:highlight w:val="none"/>
              </w:rPr>
              <w:t>图</w:t>
            </w:r>
            <w:r>
              <w:rPr>
                <w:rFonts w:hint="eastAsia"/>
                <w:color w:val="auto"/>
                <w:highlight w:val="none"/>
                <w:lang w:val="en-US" w:eastAsia="zh-CN"/>
              </w:rPr>
              <w:t>4</w:t>
            </w:r>
            <w:r>
              <w:rPr>
                <w:rFonts w:hint="eastAsia"/>
                <w:color w:val="auto"/>
                <w:highlight w:val="none"/>
              </w:rPr>
              <w:t>本项目水平衡图单位：m</w:t>
            </w:r>
            <w:r>
              <w:rPr>
                <w:rFonts w:hint="eastAsia"/>
                <w:color w:val="auto"/>
                <w:highlight w:val="none"/>
                <w:vertAlign w:val="superscript"/>
              </w:rPr>
              <w:t>3</w:t>
            </w:r>
            <w:r>
              <w:rPr>
                <w:rFonts w:hint="eastAsia"/>
                <w:color w:val="auto"/>
                <w:highlight w:val="none"/>
              </w:rPr>
              <w:t>/</w:t>
            </w:r>
            <w:r>
              <w:rPr>
                <w:rFonts w:hint="eastAsia"/>
                <w:color w:val="auto"/>
                <w:highlight w:val="none"/>
                <w:lang w:val="en-US" w:eastAsia="zh-CN"/>
              </w:rPr>
              <w:t>a</w:t>
            </w:r>
          </w:p>
          <w:p w14:paraId="7B1ED28E">
            <w:pPr>
              <w:spacing w:line="520" w:lineRule="exact"/>
              <w:ind w:firstLine="480" w:firstLineChars="200"/>
              <w:rPr>
                <w:color w:val="auto"/>
                <w:sz w:val="24"/>
                <w:highlight w:val="none"/>
              </w:rPr>
            </w:pPr>
            <w:r>
              <w:rPr>
                <w:color w:val="auto"/>
                <w:sz w:val="24"/>
                <w:highlight w:val="none"/>
              </w:rPr>
              <w:t>（</w:t>
            </w:r>
            <w:r>
              <w:rPr>
                <w:rFonts w:hint="eastAsia"/>
                <w:color w:val="auto"/>
                <w:sz w:val="24"/>
                <w:highlight w:val="none"/>
              </w:rPr>
              <w:t>2</w:t>
            </w:r>
            <w:r>
              <w:rPr>
                <w:color w:val="auto"/>
                <w:sz w:val="24"/>
                <w:highlight w:val="none"/>
              </w:rPr>
              <w:t>）供电</w:t>
            </w:r>
          </w:p>
          <w:p w14:paraId="7BF9DC41">
            <w:pPr>
              <w:spacing w:line="520" w:lineRule="exact"/>
              <w:ind w:firstLine="480" w:firstLineChars="200"/>
              <w:rPr>
                <w:color w:val="auto"/>
                <w:sz w:val="24"/>
                <w:highlight w:val="none"/>
              </w:rPr>
            </w:pPr>
            <w:r>
              <w:rPr>
                <w:rFonts w:hint="eastAsia"/>
                <w:color w:val="auto"/>
                <w:sz w:val="24"/>
                <w:highlight w:val="none"/>
              </w:rPr>
              <w:t>本</w:t>
            </w:r>
            <w:r>
              <w:rPr>
                <w:color w:val="auto"/>
                <w:sz w:val="24"/>
                <w:highlight w:val="none"/>
              </w:rPr>
              <w:t>项目用电</w:t>
            </w:r>
            <w:r>
              <w:rPr>
                <w:rFonts w:hint="eastAsia"/>
                <w:color w:val="auto"/>
                <w:sz w:val="24"/>
                <w:highlight w:val="none"/>
              </w:rPr>
              <w:t>由园区供电管网提供，</w:t>
            </w:r>
            <w:r>
              <w:rPr>
                <w:color w:val="auto"/>
                <w:sz w:val="24"/>
                <w:highlight w:val="none"/>
              </w:rPr>
              <w:t>可满足项目用电负荷及对供电可靠性的要求。</w:t>
            </w:r>
          </w:p>
          <w:p w14:paraId="70BD914C">
            <w:pPr>
              <w:spacing w:line="520" w:lineRule="exact"/>
              <w:ind w:firstLine="480" w:firstLineChars="200"/>
              <w:rPr>
                <w:color w:val="auto"/>
                <w:sz w:val="24"/>
                <w:highlight w:val="none"/>
              </w:rPr>
            </w:pPr>
            <w:r>
              <w:rPr>
                <w:color w:val="auto"/>
                <w:sz w:val="24"/>
                <w:highlight w:val="none"/>
              </w:rPr>
              <w:t>（</w:t>
            </w:r>
            <w:r>
              <w:rPr>
                <w:rFonts w:hint="eastAsia"/>
                <w:color w:val="auto"/>
                <w:sz w:val="24"/>
                <w:highlight w:val="none"/>
              </w:rPr>
              <w:t>3</w:t>
            </w:r>
            <w:r>
              <w:rPr>
                <w:color w:val="auto"/>
                <w:sz w:val="24"/>
                <w:highlight w:val="none"/>
              </w:rPr>
              <w:t>）供</w:t>
            </w:r>
            <w:r>
              <w:rPr>
                <w:rFonts w:hint="eastAsia"/>
                <w:color w:val="auto"/>
                <w:sz w:val="24"/>
                <w:highlight w:val="none"/>
              </w:rPr>
              <w:t>热</w:t>
            </w:r>
          </w:p>
          <w:p w14:paraId="4E065193">
            <w:pPr>
              <w:spacing w:line="520" w:lineRule="exact"/>
              <w:ind w:firstLine="480" w:firstLineChars="200"/>
              <w:rPr>
                <w:color w:val="auto"/>
                <w:sz w:val="24"/>
                <w:highlight w:val="none"/>
              </w:rPr>
            </w:pPr>
            <w:r>
              <w:rPr>
                <w:rFonts w:hint="eastAsia"/>
                <w:color w:val="auto"/>
                <w:sz w:val="24"/>
                <w:highlight w:val="none"/>
              </w:rPr>
              <w:t>本项目</w:t>
            </w:r>
            <w:r>
              <w:rPr>
                <w:rFonts w:hint="eastAsia"/>
                <w:color w:val="auto"/>
                <w:sz w:val="24"/>
                <w:highlight w:val="none"/>
                <w:lang w:val="en-US" w:eastAsia="zh-CN"/>
              </w:rPr>
              <w:t>生活供热由园区集中供热</w:t>
            </w:r>
            <w:r>
              <w:rPr>
                <w:rFonts w:hint="eastAsia"/>
                <w:color w:val="auto"/>
                <w:sz w:val="24"/>
                <w:highlight w:val="none"/>
              </w:rPr>
              <w:t>。</w:t>
            </w:r>
          </w:p>
          <w:p w14:paraId="588F4AA9">
            <w:pPr>
              <w:spacing w:line="520" w:lineRule="exact"/>
              <w:rPr>
                <w:b/>
                <w:color w:val="auto"/>
                <w:sz w:val="24"/>
                <w:highlight w:val="none"/>
              </w:rPr>
            </w:pPr>
            <w:r>
              <w:rPr>
                <w:rFonts w:hint="eastAsia"/>
                <w:b/>
                <w:color w:val="auto"/>
                <w:sz w:val="24"/>
                <w:highlight w:val="none"/>
                <w:lang w:val="en-US" w:eastAsia="zh-CN"/>
              </w:rPr>
              <w:t>8</w:t>
            </w:r>
            <w:r>
              <w:rPr>
                <w:b/>
                <w:bCs/>
                <w:color w:val="auto"/>
                <w:sz w:val="24"/>
                <w:highlight w:val="none"/>
              </w:rPr>
              <w:t>厂</w:t>
            </w:r>
            <w:r>
              <w:rPr>
                <w:b/>
                <w:color w:val="auto"/>
                <w:sz w:val="24"/>
                <w:highlight w:val="none"/>
              </w:rPr>
              <w:t>区平面布置</w:t>
            </w:r>
          </w:p>
          <w:p w14:paraId="01BCD97A">
            <w:pPr>
              <w:spacing w:line="520" w:lineRule="exact"/>
              <w:ind w:firstLine="480" w:firstLineChars="200"/>
              <w:rPr>
                <w:color w:val="auto"/>
                <w:sz w:val="24"/>
                <w:szCs w:val="20"/>
                <w:highlight w:val="none"/>
                <w:lang w:bidi="ar"/>
              </w:rPr>
            </w:pPr>
            <w:r>
              <w:rPr>
                <w:rFonts w:hint="eastAsia"/>
                <w:color w:val="auto"/>
                <w:sz w:val="24"/>
                <w:szCs w:val="20"/>
                <w:highlight w:val="none"/>
                <w:lang w:bidi="ar"/>
              </w:rPr>
              <w:t>本项目总占地面积</w:t>
            </w:r>
            <w:r>
              <w:rPr>
                <w:rFonts w:hint="eastAsia"/>
                <w:color w:val="auto"/>
                <w:sz w:val="24"/>
                <w:szCs w:val="20"/>
                <w:highlight w:val="none"/>
                <w:lang w:val="en-US" w:eastAsia="zh-CN" w:bidi="ar"/>
              </w:rPr>
              <w:t>40006</w:t>
            </w:r>
            <w:r>
              <w:rPr>
                <w:rFonts w:hint="eastAsia"/>
                <w:color w:val="auto"/>
                <w:sz w:val="24"/>
                <w:szCs w:val="20"/>
                <w:highlight w:val="none"/>
                <w:lang w:bidi="ar"/>
              </w:rPr>
              <w:t>m</w:t>
            </w:r>
            <w:r>
              <w:rPr>
                <w:rFonts w:hint="eastAsia"/>
                <w:color w:val="auto"/>
                <w:sz w:val="24"/>
                <w:szCs w:val="20"/>
                <w:highlight w:val="none"/>
                <w:vertAlign w:val="superscript"/>
                <w:lang w:bidi="ar"/>
              </w:rPr>
              <w:t>2</w:t>
            </w:r>
            <w:r>
              <w:rPr>
                <w:rFonts w:hint="eastAsia"/>
                <w:color w:val="auto"/>
                <w:sz w:val="24"/>
                <w:szCs w:val="20"/>
                <w:highlight w:val="none"/>
                <w:vertAlign w:val="baseline"/>
                <w:lang w:eastAsia="zh-CN" w:bidi="ar"/>
              </w:rPr>
              <w:t>（</w:t>
            </w:r>
            <w:r>
              <w:rPr>
                <w:rFonts w:hint="eastAsia"/>
                <w:color w:val="auto"/>
                <w:sz w:val="24"/>
                <w:szCs w:val="20"/>
                <w:highlight w:val="none"/>
                <w:vertAlign w:val="baseline"/>
                <w:lang w:val="en-US" w:eastAsia="zh-CN" w:bidi="ar"/>
              </w:rPr>
              <w:t>约60亩</w:t>
            </w:r>
            <w:r>
              <w:rPr>
                <w:rFonts w:hint="eastAsia"/>
                <w:color w:val="auto"/>
                <w:sz w:val="24"/>
                <w:szCs w:val="20"/>
                <w:highlight w:val="none"/>
                <w:vertAlign w:val="baseline"/>
                <w:lang w:eastAsia="zh-CN" w:bidi="ar"/>
              </w:rPr>
              <w:t>）</w:t>
            </w:r>
            <w:r>
              <w:rPr>
                <w:rFonts w:hint="eastAsia"/>
                <w:color w:val="auto"/>
                <w:sz w:val="24"/>
                <w:szCs w:val="20"/>
                <w:highlight w:val="none"/>
                <w:lang w:bidi="ar"/>
              </w:rPr>
              <w:t>。各车间按照生产工序循序由西向东、由南向北布置，各个分区间以道路相隔，即相对独立又不失紧凑。将主要辅助设施靠近负荷中心布置，尽量节省运营费用，节省投资。</w:t>
            </w:r>
          </w:p>
          <w:p w14:paraId="7F478414">
            <w:pPr>
              <w:spacing w:line="520" w:lineRule="exact"/>
              <w:ind w:firstLine="480" w:firstLineChars="200"/>
              <w:rPr>
                <w:color w:val="auto"/>
                <w:sz w:val="24"/>
                <w:szCs w:val="20"/>
                <w:highlight w:val="none"/>
                <w:lang w:bidi="ar"/>
              </w:rPr>
            </w:pPr>
            <w:r>
              <w:rPr>
                <w:rFonts w:hint="eastAsia"/>
                <w:color w:val="auto"/>
                <w:sz w:val="24"/>
                <w:szCs w:val="20"/>
                <w:highlight w:val="none"/>
                <w:lang w:bidi="ar"/>
              </w:rPr>
              <w:t>从厂区内部的布局上来看，高噪声设备集中于</w:t>
            </w:r>
            <w:r>
              <w:rPr>
                <w:rFonts w:hint="eastAsia"/>
                <w:color w:val="auto"/>
                <w:sz w:val="24"/>
                <w:szCs w:val="20"/>
                <w:highlight w:val="none"/>
                <w:lang w:val="en-US" w:eastAsia="zh-CN" w:bidi="ar"/>
              </w:rPr>
              <w:t>东南</w:t>
            </w:r>
            <w:r>
              <w:rPr>
                <w:rFonts w:hint="eastAsia"/>
                <w:color w:val="auto"/>
                <w:sz w:val="24"/>
                <w:szCs w:val="20"/>
                <w:highlight w:val="none"/>
                <w:lang w:bidi="ar"/>
              </w:rPr>
              <w:t>侧，尽量避免了噪声的影响。总体上来看，厂区内的布设泾渭分明，层次明显，便于管理，为环保设施的布设预留了充足的空间，一定程度上降低了环境管理的难度，为各项环保设施的正常运行和风险防范措施的有效实施创造了条件。</w:t>
            </w:r>
          </w:p>
          <w:p w14:paraId="628D201C">
            <w:pPr>
              <w:spacing w:line="520" w:lineRule="exact"/>
              <w:ind w:firstLine="480" w:firstLineChars="200"/>
              <w:rPr>
                <w:bCs/>
                <w:color w:val="auto"/>
                <w:sz w:val="24"/>
                <w:highlight w:val="none"/>
              </w:rPr>
            </w:pPr>
            <w:r>
              <w:rPr>
                <w:rFonts w:hint="eastAsia"/>
                <w:color w:val="auto"/>
                <w:sz w:val="24"/>
                <w:szCs w:val="20"/>
                <w:highlight w:val="none"/>
                <w:lang w:bidi="ar"/>
              </w:rPr>
              <w:t>综上所述，环评认为从环保角度分析项目的总图布置合理。项目平面布置图见附图</w:t>
            </w:r>
            <w:r>
              <w:rPr>
                <w:rFonts w:hint="eastAsia"/>
                <w:color w:val="auto"/>
                <w:sz w:val="24"/>
                <w:szCs w:val="20"/>
                <w:highlight w:val="none"/>
                <w:lang w:val="en-US" w:eastAsia="zh-CN" w:bidi="ar"/>
              </w:rPr>
              <w:t>4</w:t>
            </w:r>
            <w:r>
              <w:rPr>
                <w:rFonts w:hint="eastAsia"/>
                <w:color w:val="auto"/>
                <w:sz w:val="24"/>
                <w:szCs w:val="20"/>
                <w:highlight w:val="none"/>
                <w:lang w:bidi="ar"/>
              </w:rPr>
              <w:t>。</w:t>
            </w:r>
          </w:p>
        </w:tc>
      </w:tr>
      <w:tr w14:paraId="25C2DD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4" w:hRule="atLeast"/>
          <w:jc w:val="center"/>
        </w:trPr>
        <w:tc>
          <w:tcPr>
            <w:tcW w:w="445" w:type="pct"/>
            <w:vAlign w:val="center"/>
          </w:tcPr>
          <w:p w14:paraId="19A2BCD3">
            <w:pPr>
              <w:pStyle w:val="26"/>
              <w:adjustRightInd w:val="0"/>
              <w:snapToGrid w:val="0"/>
              <w:spacing w:before="0" w:beforeAutospacing="0" w:after="0" w:afterAutospacing="0"/>
              <w:jc w:val="center"/>
              <w:rPr>
                <w:rFonts w:ascii="Times New Roman" w:hAnsi="Times New Roman"/>
                <w:color w:val="auto"/>
                <w:szCs w:val="24"/>
                <w:highlight w:val="none"/>
              </w:rPr>
            </w:pPr>
            <w:r>
              <w:rPr>
                <w:rFonts w:ascii="Times New Roman" w:hAnsi="Times New Roman"/>
                <w:color w:val="auto"/>
                <w:szCs w:val="24"/>
                <w:highlight w:val="none"/>
              </w:rPr>
              <w:t>工艺流程和产排污环节</w:t>
            </w:r>
          </w:p>
        </w:tc>
        <w:tc>
          <w:tcPr>
            <w:tcW w:w="4554" w:type="pct"/>
          </w:tcPr>
          <w:p w14:paraId="0522A86A">
            <w:pPr>
              <w:adjustRightInd w:val="0"/>
              <w:snapToGrid w:val="0"/>
              <w:spacing w:line="520" w:lineRule="exact"/>
              <w:ind w:left="-3"/>
              <w:rPr>
                <w:b/>
                <w:color w:val="auto"/>
                <w:sz w:val="24"/>
                <w:highlight w:val="none"/>
              </w:rPr>
            </w:pPr>
            <w:r>
              <w:rPr>
                <w:rFonts w:hint="eastAsia"/>
                <w:b/>
                <w:color w:val="auto"/>
                <w:sz w:val="24"/>
                <w:highlight w:val="none"/>
              </w:rPr>
              <w:t>1施工期工艺流程及产污环节</w:t>
            </w:r>
          </w:p>
          <w:p w14:paraId="4E0C5F4F">
            <w:pPr>
              <w:adjustRightInd w:val="0"/>
              <w:snapToGrid w:val="0"/>
              <w:spacing w:line="520" w:lineRule="exact"/>
              <w:ind w:left="-3"/>
              <w:rPr>
                <w:rFonts w:hint="default"/>
                <w:b/>
                <w:color w:val="auto"/>
                <w:sz w:val="24"/>
                <w:highlight w:val="none"/>
                <w:lang w:val="en-US" w:eastAsia="zh-CN"/>
              </w:rPr>
            </w:pPr>
            <w:r>
              <w:rPr>
                <w:rFonts w:hint="eastAsia"/>
                <w:b/>
                <w:color w:val="auto"/>
                <w:sz w:val="24"/>
                <w:highlight w:val="none"/>
                <w:lang w:val="en-US" w:eastAsia="zh-CN"/>
              </w:rPr>
              <w:t>1.1</w:t>
            </w:r>
            <w:r>
              <w:rPr>
                <w:rFonts w:hint="eastAsia"/>
                <w:b/>
                <w:color w:val="auto"/>
                <w:sz w:val="24"/>
                <w:highlight w:val="none"/>
              </w:rPr>
              <w:t>施工期工艺流程</w:t>
            </w:r>
          </w:p>
          <w:p w14:paraId="507511B0">
            <w:pPr>
              <w:spacing w:line="520" w:lineRule="exact"/>
              <w:ind w:firstLine="480" w:firstLineChars="200"/>
              <w:rPr>
                <w:color w:val="auto"/>
                <w:sz w:val="24"/>
                <w:szCs w:val="32"/>
                <w:highlight w:val="none"/>
              </w:rPr>
            </w:pPr>
            <w:r>
              <w:rPr>
                <w:rFonts w:hint="eastAsia"/>
                <w:color w:val="auto"/>
                <w:sz w:val="24"/>
                <w:szCs w:val="32"/>
                <w:highlight w:val="none"/>
              </w:rPr>
              <w:t>本项目现状为空地。施工期工程内容主要包括地表处理和基础开挖、库房、办公楼建筑物的施工、设备的安装。施工期工艺流程及产污环节如图</w:t>
            </w:r>
            <w:r>
              <w:rPr>
                <w:rFonts w:hint="eastAsia"/>
                <w:color w:val="auto"/>
                <w:sz w:val="24"/>
                <w:szCs w:val="32"/>
                <w:highlight w:val="none"/>
                <w:lang w:val="en-US" w:eastAsia="zh-CN"/>
              </w:rPr>
              <w:t>5</w:t>
            </w:r>
            <w:r>
              <w:rPr>
                <w:rFonts w:hint="eastAsia"/>
                <w:color w:val="auto"/>
                <w:sz w:val="24"/>
                <w:szCs w:val="32"/>
                <w:highlight w:val="none"/>
              </w:rPr>
              <w:t>所示。</w:t>
            </w:r>
          </w:p>
          <w:p w14:paraId="73FAED2C">
            <w:pPr>
              <w:jc w:val="left"/>
              <w:rPr>
                <w:color w:val="auto"/>
                <w:highlight w:val="none"/>
              </w:rPr>
            </w:pPr>
            <w:r>
              <w:rPr>
                <w:color w:val="auto"/>
                <w:sz w:val="24"/>
                <w:highlight w:val="none"/>
              </w:rPr>
              <mc:AlternateContent>
                <mc:Choice Requires="wpc">
                  <w:drawing>
                    <wp:inline distT="0" distB="0" distL="114300" distR="114300">
                      <wp:extent cx="4464685" cy="2506980"/>
                      <wp:effectExtent l="0" t="0" r="0" b="6350"/>
                      <wp:docPr id="52" name="画布 52"/>
                      <wp:cNvGraphicFramePr/>
                      <a:graphic xmlns:a="http://schemas.openxmlformats.org/drawingml/2006/main">
                        <a:graphicData uri="http://schemas.microsoft.com/office/word/2010/wordprocessingCanvas">
                          <wpc:wpc>
                            <wpc:bg>
                              <a:noFill/>
                            </wpc:bg>
                            <wpc:whole>
                              <a:ln>
                                <a:noFill/>
                              </a:ln>
                            </wpc:whole>
                            <wps:wsp>
                              <wps:cNvPr id="3" name="矩形 2"/>
                              <wps:cNvSpPr/>
                              <wps:spPr>
                                <a:xfrm>
                                  <a:off x="484505" y="850900"/>
                                  <a:ext cx="3131821" cy="764540"/>
                                </a:xfrm>
                                <a:prstGeom prst="rect">
                                  <a:avLst/>
                                </a:prstGeom>
                                <a:noFill/>
                                <a:ln w="9525" cap="rnd" cmpd="sng">
                                  <a:solidFill>
                                    <a:srgbClr val="000000"/>
                                  </a:solidFill>
                                  <a:prstDash val="sysDot"/>
                                  <a:miter/>
                                  <a:headEnd type="none" w="med" len="med"/>
                                  <a:tailEnd type="none" w="med" len="med"/>
                                </a:ln>
                              </wps:spPr>
                              <wps:bodyPr upright="1"/>
                            </wps:wsp>
                            <wps:wsp>
                              <wps:cNvPr id="7" name="文本框 3"/>
                              <wps:cNvSpPr txBox="1"/>
                              <wps:spPr>
                                <a:xfrm>
                                  <a:off x="1104265" y="179705"/>
                                  <a:ext cx="1484630" cy="259715"/>
                                </a:xfrm>
                                <a:prstGeom prst="rect">
                                  <a:avLst/>
                                </a:prstGeom>
                                <a:noFill/>
                                <a:ln>
                                  <a:noFill/>
                                </a:ln>
                              </wps:spPr>
                              <wps:txbx>
                                <w:txbxContent>
                                  <w:p w14:paraId="63765349">
                                    <w:pPr>
                                      <w:ind w:firstLine="708" w:firstLineChars="392"/>
                                      <w:rPr>
                                        <w:rFonts w:eastAsia="仿宋体"/>
                                        <w:b/>
                                        <w:sz w:val="18"/>
                                      </w:rPr>
                                    </w:pPr>
                                    <w:r>
                                      <w:rPr>
                                        <w:rFonts w:hint="eastAsia" w:eastAsia="仿宋体"/>
                                        <w:b/>
                                        <w:sz w:val="18"/>
                                      </w:rPr>
                                      <w:t>噪声、扬尘</w:t>
                                    </w:r>
                                  </w:p>
                                </w:txbxContent>
                              </wps:txbx>
                              <wps:bodyPr lIns="0" tIns="0" rIns="0" bIns="0" upright="1"/>
                            </wps:wsp>
                            <wps:wsp>
                              <wps:cNvPr id="8" name="直接连接符 12"/>
                              <wps:cNvCnPr/>
                              <wps:spPr>
                                <a:xfrm>
                                  <a:off x="712470" y="744855"/>
                                  <a:ext cx="2396491" cy="0"/>
                                </a:xfrm>
                                <a:prstGeom prst="line">
                                  <a:avLst/>
                                </a:prstGeom>
                                <a:ln w="9525" cap="flat" cmpd="sng">
                                  <a:solidFill>
                                    <a:srgbClr val="000000"/>
                                  </a:solidFill>
                                  <a:prstDash val="solid"/>
                                  <a:headEnd type="none" w="med" len="med"/>
                                  <a:tailEnd type="none" w="med" len="med"/>
                                </a:ln>
                              </wps:spPr>
                              <wps:bodyPr/>
                            </wps:wsp>
                            <wps:wsp>
                              <wps:cNvPr id="9" name="直接连接符 15"/>
                              <wps:cNvCnPr/>
                              <wps:spPr>
                                <a:xfrm flipV="1">
                                  <a:off x="1853565" y="340995"/>
                                  <a:ext cx="635" cy="393700"/>
                                </a:xfrm>
                                <a:prstGeom prst="line">
                                  <a:avLst/>
                                </a:prstGeom>
                                <a:ln w="9525" cap="flat" cmpd="sng">
                                  <a:solidFill>
                                    <a:srgbClr val="000000"/>
                                  </a:solidFill>
                                  <a:prstDash val="solid"/>
                                  <a:headEnd type="none" w="med" len="med"/>
                                  <a:tailEnd type="arrow" w="sm" len="lg"/>
                                </a:ln>
                              </wps:spPr>
                              <wps:bodyPr/>
                            </wps:wsp>
                            <wps:wsp>
                              <wps:cNvPr id="10" name="直接连接符 17"/>
                              <wps:cNvCnPr/>
                              <wps:spPr>
                                <a:xfrm flipV="1">
                                  <a:off x="3100706" y="732155"/>
                                  <a:ext cx="0" cy="330200"/>
                                </a:xfrm>
                                <a:prstGeom prst="line">
                                  <a:avLst/>
                                </a:prstGeom>
                                <a:ln w="6350" cap="flat" cmpd="sng">
                                  <a:solidFill>
                                    <a:srgbClr val="000000"/>
                                  </a:solidFill>
                                  <a:prstDash val="solid"/>
                                  <a:headEnd type="none" w="med" len="med"/>
                                  <a:tailEnd type="stealth" w="sm" len="lg"/>
                                </a:ln>
                              </wps:spPr>
                              <wps:bodyPr/>
                            </wps:wsp>
                            <wps:wsp>
                              <wps:cNvPr id="11" name="直接连接符 33"/>
                              <wps:cNvCnPr/>
                              <wps:spPr>
                                <a:xfrm flipV="1">
                                  <a:off x="1614805" y="735330"/>
                                  <a:ext cx="0" cy="330200"/>
                                </a:xfrm>
                                <a:prstGeom prst="line">
                                  <a:avLst/>
                                </a:prstGeom>
                                <a:ln w="6350" cap="flat" cmpd="sng">
                                  <a:solidFill>
                                    <a:srgbClr val="000000"/>
                                  </a:solidFill>
                                  <a:prstDash val="solid"/>
                                  <a:headEnd type="none" w="med" len="med"/>
                                  <a:tailEnd type="stealth" w="sm" len="lg"/>
                                </a:ln>
                              </wps:spPr>
                              <wps:bodyPr/>
                            </wps:wsp>
                            <wps:wsp>
                              <wps:cNvPr id="12" name="直接连接符 42"/>
                              <wps:cNvCnPr/>
                              <wps:spPr>
                                <a:xfrm flipV="1">
                                  <a:off x="738505" y="732155"/>
                                  <a:ext cx="0" cy="330200"/>
                                </a:xfrm>
                                <a:prstGeom prst="line">
                                  <a:avLst/>
                                </a:prstGeom>
                                <a:ln w="6350" cap="flat" cmpd="sng">
                                  <a:solidFill>
                                    <a:srgbClr val="000000"/>
                                  </a:solidFill>
                                  <a:prstDash val="solid"/>
                                  <a:headEnd type="none" w="med" len="med"/>
                                  <a:tailEnd type="stealth" w="sm" len="lg"/>
                                </a:ln>
                              </wps:spPr>
                              <wps:bodyPr/>
                            </wps:wsp>
                            <wps:wsp>
                              <wps:cNvPr id="13" name="文本框 45"/>
                              <wps:cNvSpPr txBox="1"/>
                              <wps:spPr>
                                <a:xfrm>
                                  <a:off x="3653156" y="938530"/>
                                  <a:ext cx="431800" cy="444500"/>
                                </a:xfrm>
                                <a:prstGeom prst="rect">
                                  <a:avLst/>
                                </a:prstGeom>
                                <a:noFill/>
                                <a:ln w="9525" cap="flat" cmpd="sng">
                                  <a:solidFill>
                                    <a:srgbClr val="000000"/>
                                  </a:solidFill>
                                  <a:prstDash val="solid"/>
                                  <a:miter/>
                                  <a:headEnd type="none" w="med" len="med"/>
                                  <a:tailEnd type="none" w="med" len="med"/>
                                </a:ln>
                              </wps:spPr>
                              <wps:txbx>
                                <w:txbxContent>
                                  <w:p w14:paraId="32445804">
                                    <w:pPr>
                                      <w:jc w:val="center"/>
                                    </w:pPr>
                                    <w:r>
                                      <w:rPr>
                                        <w:rFonts w:hint="eastAsia"/>
                                      </w:rPr>
                                      <w:t>工程</w:t>
                                    </w:r>
                                  </w:p>
                                  <w:p w14:paraId="66651817">
                                    <w:pPr>
                                      <w:jc w:val="center"/>
                                    </w:pPr>
                                    <w:r>
                                      <w:rPr>
                                        <w:rFonts w:hint="eastAsia"/>
                                      </w:rPr>
                                      <w:t>营运</w:t>
                                    </w:r>
                                  </w:p>
                                </w:txbxContent>
                              </wps:txbx>
                              <wps:bodyPr lIns="0" tIns="0" rIns="0" bIns="0" upright="1"/>
                            </wps:wsp>
                            <wpg:wgp>
                              <wpg:cNvPr id="14" name="组合 51"/>
                              <wpg:cNvGrpSpPr/>
                              <wpg:grpSpPr>
                                <a:xfrm>
                                  <a:off x="2859406" y="1052830"/>
                                  <a:ext cx="749300" cy="203200"/>
                                  <a:chOff x="0" y="0"/>
                                  <a:chExt cx="1185" cy="326"/>
                                </a:xfrm>
                              </wpg:grpSpPr>
                              <wps:wsp>
                                <wps:cNvPr id="15" name="文本框 48"/>
                                <wps:cNvSpPr txBox="1"/>
                                <wps:spPr>
                                  <a:xfrm>
                                    <a:off x="0" y="0"/>
                                    <a:ext cx="960" cy="326"/>
                                  </a:xfrm>
                                  <a:prstGeom prst="rect">
                                    <a:avLst/>
                                  </a:prstGeom>
                                  <a:noFill/>
                                  <a:ln w="9525" cap="flat" cmpd="sng">
                                    <a:solidFill>
                                      <a:srgbClr val="000000"/>
                                    </a:solidFill>
                                    <a:prstDash val="solid"/>
                                    <a:miter/>
                                    <a:headEnd type="none" w="med" len="med"/>
                                    <a:tailEnd type="none" w="med" len="med"/>
                                  </a:ln>
                                </wps:spPr>
                                <wps:txbx>
                                  <w:txbxContent>
                                    <w:p w14:paraId="09491437">
                                      <w:pPr>
                                        <w:jc w:val="center"/>
                                      </w:pPr>
                                      <w:r>
                                        <w:rPr>
                                          <w:rFonts w:hint="eastAsia"/>
                                        </w:rPr>
                                        <w:t>工程验收</w:t>
                                      </w:r>
                                    </w:p>
                                  </w:txbxContent>
                                </wps:txbx>
                                <wps:bodyPr lIns="0" tIns="0" rIns="0" bIns="0" upright="1"/>
                              </wps:wsp>
                              <wps:wsp>
                                <wps:cNvPr id="16" name="直接连接符 49"/>
                                <wps:cNvCnPr/>
                                <wps:spPr>
                                  <a:xfrm>
                                    <a:off x="945" y="163"/>
                                    <a:ext cx="240" cy="0"/>
                                  </a:xfrm>
                                  <a:prstGeom prst="line">
                                    <a:avLst/>
                                  </a:prstGeom>
                                  <a:ln w="9525" cap="flat" cmpd="sng">
                                    <a:solidFill>
                                      <a:srgbClr val="000000"/>
                                    </a:solidFill>
                                    <a:prstDash val="solid"/>
                                    <a:headEnd type="none" w="med" len="med"/>
                                    <a:tailEnd type="triangle" w="med" len="med"/>
                                  </a:ln>
                                </wps:spPr>
                                <wps:bodyPr/>
                              </wps:wsp>
                            </wpg:wgp>
                            <wpg:wgp>
                              <wpg:cNvPr id="17" name="组合 56"/>
                              <wpg:cNvGrpSpPr/>
                              <wpg:grpSpPr>
                                <a:xfrm>
                                  <a:off x="2084705" y="1062355"/>
                                  <a:ext cx="762000" cy="203200"/>
                                  <a:chOff x="0" y="0"/>
                                  <a:chExt cx="1200" cy="326"/>
                                </a:xfrm>
                              </wpg:grpSpPr>
                              <wps:wsp>
                                <wps:cNvPr id="33" name="文本框 53"/>
                                <wps:cNvSpPr txBox="1"/>
                                <wps:spPr>
                                  <a:xfrm>
                                    <a:off x="0" y="0"/>
                                    <a:ext cx="960" cy="326"/>
                                  </a:xfrm>
                                  <a:prstGeom prst="rect">
                                    <a:avLst/>
                                  </a:prstGeom>
                                  <a:noFill/>
                                  <a:ln w="9525" cap="flat" cmpd="sng">
                                    <a:solidFill>
                                      <a:srgbClr val="000000"/>
                                    </a:solidFill>
                                    <a:prstDash val="solid"/>
                                    <a:miter/>
                                    <a:headEnd type="none" w="med" len="med"/>
                                    <a:tailEnd type="none" w="med" len="med"/>
                                  </a:ln>
                                </wps:spPr>
                                <wps:txbx>
                                  <w:txbxContent>
                                    <w:p w14:paraId="7CF2C477">
                                      <w:pPr>
                                        <w:jc w:val="center"/>
                                      </w:pPr>
                                      <w:r>
                                        <w:rPr>
                                          <w:rFonts w:hint="eastAsia"/>
                                        </w:rPr>
                                        <w:t>安装工程</w:t>
                                      </w:r>
                                    </w:p>
                                  </w:txbxContent>
                                </wps:txbx>
                                <wps:bodyPr lIns="0" tIns="0" rIns="0" bIns="0" upright="1"/>
                              </wps:wsp>
                              <wps:wsp>
                                <wps:cNvPr id="42" name="直接连接符 55"/>
                                <wps:cNvCnPr/>
                                <wps:spPr>
                                  <a:xfrm>
                                    <a:off x="960" y="130"/>
                                    <a:ext cx="240" cy="0"/>
                                  </a:xfrm>
                                  <a:prstGeom prst="line">
                                    <a:avLst/>
                                  </a:prstGeom>
                                  <a:ln w="9525" cap="flat" cmpd="sng">
                                    <a:solidFill>
                                      <a:srgbClr val="000000"/>
                                    </a:solidFill>
                                    <a:prstDash val="solid"/>
                                    <a:headEnd type="none" w="med" len="med"/>
                                    <a:tailEnd type="triangle" w="med" len="med"/>
                                  </a:ln>
                                </wps:spPr>
                                <wps:bodyPr/>
                              </wps:wsp>
                            </wpg:wgp>
                            <wpg:wgp>
                              <wpg:cNvPr id="45" name="组合 59"/>
                              <wpg:cNvGrpSpPr/>
                              <wpg:grpSpPr>
                                <a:xfrm>
                                  <a:off x="1303655" y="1059180"/>
                                  <a:ext cx="774700" cy="203200"/>
                                  <a:chOff x="0" y="0"/>
                                  <a:chExt cx="1230" cy="326"/>
                                </a:xfrm>
                              </wpg:grpSpPr>
                              <wps:wsp>
                                <wps:cNvPr id="48" name="文本框 57"/>
                                <wps:cNvSpPr txBox="1"/>
                                <wps:spPr>
                                  <a:xfrm>
                                    <a:off x="0" y="0"/>
                                    <a:ext cx="960" cy="326"/>
                                  </a:xfrm>
                                  <a:prstGeom prst="rect">
                                    <a:avLst/>
                                  </a:prstGeom>
                                  <a:noFill/>
                                  <a:ln w="9525" cap="flat" cmpd="sng">
                                    <a:solidFill>
                                      <a:srgbClr val="000000"/>
                                    </a:solidFill>
                                    <a:prstDash val="solid"/>
                                    <a:miter/>
                                    <a:headEnd type="none" w="med" len="med"/>
                                    <a:tailEnd type="none" w="med" len="med"/>
                                  </a:ln>
                                </wps:spPr>
                                <wps:txbx>
                                  <w:txbxContent>
                                    <w:p w14:paraId="00218B8C">
                                      <w:pPr>
                                        <w:jc w:val="center"/>
                                      </w:pPr>
                                      <w:r>
                                        <w:rPr>
                                          <w:rFonts w:hint="eastAsia"/>
                                        </w:rPr>
                                        <w:t>主体工程</w:t>
                                      </w:r>
                                    </w:p>
                                  </w:txbxContent>
                                </wps:txbx>
                                <wps:bodyPr lIns="0" tIns="0" rIns="0" bIns="0" upright="1"/>
                              </wps:wsp>
                              <wps:wsp>
                                <wps:cNvPr id="49" name="直接连接符 58"/>
                                <wps:cNvCnPr/>
                                <wps:spPr>
                                  <a:xfrm>
                                    <a:off x="990" y="163"/>
                                    <a:ext cx="240" cy="0"/>
                                  </a:xfrm>
                                  <a:prstGeom prst="line">
                                    <a:avLst/>
                                  </a:prstGeom>
                                  <a:ln w="9525" cap="flat" cmpd="sng">
                                    <a:solidFill>
                                      <a:srgbClr val="000000"/>
                                    </a:solidFill>
                                    <a:prstDash val="solid"/>
                                    <a:headEnd type="none" w="med" len="med"/>
                                    <a:tailEnd type="triangle" w="med" len="med"/>
                                  </a:ln>
                                </wps:spPr>
                                <wps:bodyPr/>
                              </wps:wsp>
                            </wpg:wgp>
                            <wpg:wgp>
                              <wpg:cNvPr id="50" name="组合 62"/>
                              <wpg:cNvGrpSpPr/>
                              <wpg:grpSpPr>
                                <a:xfrm>
                                  <a:off x="528955" y="1062355"/>
                                  <a:ext cx="762000" cy="203200"/>
                                  <a:chOff x="0" y="0"/>
                                  <a:chExt cx="1200" cy="326"/>
                                </a:xfrm>
                              </wpg:grpSpPr>
                              <wps:wsp>
                                <wps:cNvPr id="51" name="文本框 60"/>
                                <wps:cNvSpPr txBox="1"/>
                                <wps:spPr>
                                  <a:xfrm>
                                    <a:off x="0" y="0"/>
                                    <a:ext cx="960" cy="326"/>
                                  </a:xfrm>
                                  <a:prstGeom prst="rect">
                                    <a:avLst/>
                                  </a:prstGeom>
                                  <a:noFill/>
                                  <a:ln w="9525" cap="flat" cmpd="sng">
                                    <a:solidFill>
                                      <a:srgbClr val="000000"/>
                                    </a:solidFill>
                                    <a:prstDash val="solid"/>
                                    <a:miter/>
                                    <a:headEnd type="none" w="med" len="med"/>
                                    <a:tailEnd type="none" w="med" len="med"/>
                                  </a:ln>
                                </wps:spPr>
                                <wps:txbx>
                                  <w:txbxContent>
                                    <w:p w14:paraId="22A4FD1C">
                                      <w:pPr>
                                        <w:jc w:val="center"/>
                                      </w:pPr>
                                      <w:r>
                                        <w:rPr>
                                          <w:rFonts w:hint="eastAsia"/>
                                        </w:rPr>
                                        <w:t>基础工程</w:t>
                                      </w:r>
                                    </w:p>
                                  </w:txbxContent>
                                </wps:txbx>
                                <wps:bodyPr lIns="0" tIns="0" rIns="0" bIns="0" upright="1"/>
                              </wps:wsp>
                              <wps:wsp>
                                <wps:cNvPr id="53" name="直接连接符 61"/>
                                <wps:cNvCnPr/>
                                <wps:spPr>
                                  <a:xfrm>
                                    <a:off x="960" y="163"/>
                                    <a:ext cx="240" cy="0"/>
                                  </a:xfrm>
                                  <a:prstGeom prst="line">
                                    <a:avLst/>
                                  </a:prstGeom>
                                  <a:ln w="9525" cap="flat" cmpd="sng">
                                    <a:solidFill>
                                      <a:srgbClr val="000000"/>
                                    </a:solidFill>
                                    <a:prstDash val="solid"/>
                                    <a:headEnd type="none" w="med" len="med"/>
                                    <a:tailEnd type="triangle" w="med" len="med"/>
                                  </a:ln>
                                </wps:spPr>
                                <wps:bodyPr/>
                              </wps:wsp>
                            </wpg:wgp>
                            <wps:wsp>
                              <wps:cNvPr id="55" name="直接连接符 63"/>
                              <wps:cNvCnPr/>
                              <wps:spPr>
                                <a:xfrm>
                                  <a:off x="2322831" y="1627505"/>
                                  <a:ext cx="0" cy="203200"/>
                                </a:xfrm>
                                <a:prstGeom prst="line">
                                  <a:avLst/>
                                </a:prstGeom>
                                <a:ln w="9525" cap="rnd" cmpd="sng">
                                  <a:solidFill>
                                    <a:srgbClr val="000000"/>
                                  </a:solidFill>
                                  <a:prstDash val="sysDot"/>
                                  <a:headEnd type="none" w="med" len="med"/>
                                  <a:tailEnd type="arrow" w="sm" len="med"/>
                                </a:ln>
                              </wps:spPr>
                              <wps:bodyPr/>
                            </wps:wsp>
                            <wps:wsp>
                              <wps:cNvPr id="56" name="直接连接符 64"/>
                              <wps:cNvCnPr/>
                              <wps:spPr>
                                <a:xfrm flipV="1">
                                  <a:off x="3643631" y="2326005"/>
                                  <a:ext cx="584200" cy="0"/>
                                </a:xfrm>
                                <a:prstGeom prst="line">
                                  <a:avLst/>
                                </a:prstGeom>
                                <a:ln w="9525" cap="flat" cmpd="sng">
                                  <a:solidFill>
                                    <a:srgbClr val="000000"/>
                                  </a:solidFill>
                                  <a:prstDash val="dash"/>
                                  <a:headEnd type="triangle" w="med" len="med"/>
                                  <a:tailEnd type="triangle" w="med" len="med"/>
                                </a:ln>
                              </wps:spPr>
                              <wps:bodyPr/>
                            </wps:wsp>
                            <wps:wsp>
                              <wps:cNvPr id="57" name="直接连接符 65"/>
                              <wps:cNvCnPr/>
                              <wps:spPr>
                                <a:xfrm>
                                  <a:off x="3621406" y="2205355"/>
                                  <a:ext cx="0" cy="254000"/>
                                </a:xfrm>
                                <a:prstGeom prst="line">
                                  <a:avLst/>
                                </a:prstGeom>
                                <a:ln w="9525" cap="flat" cmpd="sng">
                                  <a:solidFill>
                                    <a:srgbClr val="000000"/>
                                  </a:solidFill>
                                  <a:prstDash val="solid"/>
                                  <a:headEnd type="none" w="med" len="med"/>
                                  <a:tailEnd type="none" w="med" len="med"/>
                                </a:ln>
                              </wps:spPr>
                              <wps:bodyPr/>
                            </wps:wsp>
                            <wps:wsp>
                              <wps:cNvPr id="58" name="直接连接符 66"/>
                              <wps:cNvCnPr/>
                              <wps:spPr>
                                <a:xfrm flipV="1">
                                  <a:off x="478155" y="2310765"/>
                                  <a:ext cx="3154046" cy="8890"/>
                                </a:xfrm>
                                <a:prstGeom prst="line">
                                  <a:avLst/>
                                </a:prstGeom>
                                <a:ln w="9525" cap="flat" cmpd="sng">
                                  <a:solidFill>
                                    <a:srgbClr val="000000"/>
                                  </a:solidFill>
                                  <a:prstDash val="dash"/>
                                  <a:headEnd type="triangle" w="med" len="med"/>
                                  <a:tailEnd type="triangle" w="med" len="med"/>
                                </a:ln>
                              </wps:spPr>
                              <wps:bodyPr/>
                            </wps:wsp>
                            <wps:wsp>
                              <wps:cNvPr id="59" name="直接连接符 67"/>
                              <wps:cNvCnPr/>
                              <wps:spPr>
                                <a:xfrm>
                                  <a:off x="484505" y="2218055"/>
                                  <a:ext cx="0" cy="190500"/>
                                </a:xfrm>
                                <a:prstGeom prst="line">
                                  <a:avLst/>
                                </a:prstGeom>
                                <a:ln w="9525" cap="flat" cmpd="sng">
                                  <a:solidFill>
                                    <a:srgbClr val="000000"/>
                                  </a:solidFill>
                                  <a:prstDash val="solid"/>
                                  <a:headEnd type="none" w="med" len="med"/>
                                  <a:tailEnd type="none" w="med" len="med"/>
                                </a:ln>
                              </wps:spPr>
                              <wps:bodyPr/>
                            </wps:wsp>
                            <wps:wsp>
                              <wps:cNvPr id="60" name="直接连接符 68"/>
                              <wps:cNvCnPr/>
                              <wps:spPr>
                                <a:xfrm>
                                  <a:off x="4218306" y="2218055"/>
                                  <a:ext cx="0" cy="254000"/>
                                </a:xfrm>
                                <a:prstGeom prst="line">
                                  <a:avLst/>
                                </a:prstGeom>
                                <a:ln w="9525" cap="flat" cmpd="sng">
                                  <a:solidFill>
                                    <a:srgbClr val="000000"/>
                                  </a:solidFill>
                                  <a:prstDash val="solid"/>
                                  <a:headEnd type="none" w="med" len="med"/>
                                  <a:tailEnd type="none" w="med" len="med"/>
                                </a:ln>
                              </wps:spPr>
                              <wps:bodyPr/>
                            </wps:wsp>
                            <wps:wsp>
                              <wps:cNvPr id="61" name="文本框 69"/>
                              <wps:cNvSpPr txBox="1"/>
                              <wps:spPr>
                                <a:xfrm>
                                  <a:off x="1084580" y="1713230"/>
                                  <a:ext cx="2400301" cy="317500"/>
                                </a:xfrm>
                                <a:prstGeom prst="rect">
                                  <a:avLst/>
                                </a:prstGeom>
                                <a:noFill/>
                                <a:ln>
                                  <a:noFill/>
                                </a:ln>
                              </wps:spPr>
                              <wps:txbx>
                                <w:txbxContent>
                                  <w:p w14:paraId="45CC2D4E">
                                    <w:pPr>
                                      <w:pStyle w:val="12"/>
                                      <w:spacing w:before="159" w:after="159"/>
                                      <w:ind w:firstLine="542" w:firstLineChars="300"/>
                                      <w:rPr>
                                        <w:rFonts w:ascii="宋体"/>
                                        <w:b/>
                                        <w:bCs/>
                                        <w:sz w:val="18"/>
                                        <w:szCs w:val="18"/>
                                      </w:rPr>
                                    </w:pPr>
                                    <w:r>
                                      <w:rPr>
                                        <w:rFonts w:hint="eastAsia" w:ascii="宋体"/>
                                        <w:b/>
                                        <w:bCs/>
                                        <w:sz w:val="18"/>
                                        <w:szCs w:val="18"/>
                                      </w:rPr>
                                      <w:t>施工废水、建筑垃圾、局部水土流失</w:t>
                                    </w:r>
                                  </w:p>
                                </w:txbxContent>
                              </wps:txbx>
                              <wps:bodyPr lIns="0" tIns="0" rIns="0" bIns="0" upright="1"/>
                            </wps:wsp>
                            <wps:wsp>
                              <wps:cNvPr id="62" name="文本框 70"/>
                              <wps:cNvSpPr txBox="1"/>
                              <wps:spPr>
                                <a:xfrm>
                                  <a:off x="1913255" y="2075180"/>
                                  <a:ext cx="609600" cy="254000"/>
                                </a:xfrm>
                                <a:prstGeom prst="rect">
                                  <a:avLst/>
                                </a:prstGeom>
                                <a:noFill/>
                                <a:ln>
                                  <a:noFill/>
                                </a:ln>
                              </wps:spPr>
                              <wps:txbx>
                                <w:txbxContent>
                                  <w:p w14:paraId="4285C706">
                                    <w:pPr>
                                      <w:rPr>
                                        <w:b/>
                                        <w:bCs/>
                                      </w:rPr>
                                    </w:pPr>
                                    <w:r>
                                      <w:rPr>
                                        <w:rFonts w:hint="eastAsia"/>
                                        <w:b/>
                                        <w:bCs/>
                                      </w:rPr>
                                      <w:t>施工期</w:t>
                                    </w:r>
                                  </w:p>
                                </w:txbxContent>
                              </wps:txbx>
                              <wps:bodyPr lIns="0" tIns="0" rIns="0" bIns="0" upright="1"/>
                            </wps:wsp>
                            <wps:wsp>
                              <wps:cNvPr id="63" name="文本框 71"/>
                              <wps:cNvSpPr txBox="1"/>
                              <wps:spPr>
                                <a:xfrm>
                                  <a:off x="3618230" y="2094230"/>
                                  <a:ext cx="584200" cy="254000"/>
                                </a:xfrm>
                                <a:prstGeom prst="rect">
                                  <a:avLst/>
                                </a:prstGeom>
                                <a:noFill/>
                                <a:ln>
                                  <a:noFill/>
                                </a:ln>
                              </wps:spPr>
                              <wps:txbx>
                                <w:txbxContent>
                                  <w:p w14:paraId="5424D7C6">
                                    <w:pPr>
                                      <w:jc w:val="center"/>
                                      <w:rPr>
                                        <w:b/>
                                        <w:bCs/>
                                      </w:rPr>
                                    </w:pPr>
                                    <w:r>
                                      <w:rPr>
                                        <w:rFonts w:hint="eastAsia"/>
                                        <w:b/>
                                        <w:bCs/>
                                      </w:rPr>
                                      <w:t>营运期</w:t>
                                    </w:r>
                                  </w:p>
                                </w:txbxContent>
                              </wps:txbx>
                              <wps:bodyPr lIns="0" tIns="0" rIns="0" bIns="0" upright="1"/>
                            </wps:wsp>
                          </wpc:wpc>
                        </a:graphicData>
                      </a:graphic>
                    </wp:inline>
                  </w:drawing>
                </mc:Choice>
                <mc:Fallback>
                  <w:pict>
                    <v:group id="_x0000_s1026" o:spid="_x0000_s1026" o:spt="203" style="height:197.4pt;width:351.55pt;" coordsize="4464685,2506980" editas="canvas" o:gfxdata="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">
                      <o:lock v:ext="edit" aspectratio="f"/>
                      <v:shape id="_x0000_s1026" o:spid="_x0000_s1026" style="position:absolute;left:0;top:0;height:2506980;width:4464685;" filled="f" stroked="f" coordsize="21600,21600" o:gfxdata="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">
                        <v:fill on="f" focussize="0,0"/>
                        <v:stroke on="f"/>
                        <v:imagedata o:title=""/>
                        <o:lock v:ext="edit" aspectratio="f"/>
                      </v:shape>
                      <v:rect id="矩形 2" o:spid="_x0000_s1026" o:spt="1" style="position:absolute;left:484505;top:850900;height:764540;width:3131821;" filled="f" stroked="t" coordsize="21600,21600" o:gfxdata="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wDINrVAAAABQEAAA8AAAAAAAAAAQAgAAAAIgAAAGRycy9k&#10;b3ducmV2LnhtbFBLAQIUABQAAAAIAIdO4kCEpIy8BQIAAP8DAAAOAAAAAAAAAAEAIAAAACQBAABk&#10;cnMvZTJvRG9jLnhtbFBLBQYAAAAABgAGAFkBAACbBQAAAAA=&#10;">
                        <v:fill on="f" focussize="0,0"/>
                        <v:stroke color="#000000" joinstyle="miter" dashstyle="1 1" endcap="round"/>
                        <v:imagedata o:title=""/>
                        <o:lock v:ext="edit" aspectratio="f"/>
                      </v:rect>
                      <v:shape id="文本框 3" o:spid="_x0000_s1026" o:spt="202" type="#_x0000_t202" style="position:absolute;left:1104265;top:179705;height:259715;width:1484630;" filled="f" stroked="f" coordsize="21600,21600" o:gfxdata="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uZfwV1gAAAAUBAAAPAAAAAAAAAAEAIAAAACIAAABkcnMvZG93bnJl&#10;di54bWxQSwECFAAUAAAACACHTuJAg68vIcYBAAB9AwAADgAAAAAAAAABACAAAAAlAQAAZHJzL2Uy&#10;b0RvYy54bWxQSwUGAAAAAAYABgBZAQAAXQUAAAAA&#10;">
                        <v:fill on="f" focussize="0,0"/>
                        <v:stroke on="f"/>
                        <v:imagedata o:title=""/>
                        <o:lock v:ext="edit" aspectratio="f"/>
                        <v:textbox inset="0mm,0mm,0mm,0mm">
                          <w:txbxContent>
                            <w:p w14:paraId="63765349">
                              <w:pPr>
                                <w:ind w:firstLine="708" w:firstLineChars="392"/>
                                <w:rPr>
                                  <w:rFonts w:eastAsia="仿宋体"/>
                                  <w:b/>
                                  <w:sz w:val="18"/>
                                </w:rPr>
                              </w:pPr>
                              <w:r>
                                <w:rPr>
                                  <w:rFonts w:hint="eastAsia" w:eastAsia="仿宋体"/>
                                  <w:b/>
                                  <w:sz w:val="18"/>
                                </w:rPr>
                                <w:t>噪声、扬尘</w:t>
                              </w:r>
                            </w:p>
                          </w:txbxContent>
                        </v:textbox>
                      </v:shape>
                      <v:line id="直接连接符 12" o:spid="_x0000_s1026" o:spt="20" style="position:absolute;left:712470;top:744855;height:0;width:2396491;" filled="f" stroked="t" coordsize="21600,21600" o:gfxdata="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QP7LtUAAAAFAQAADwAAAAAAAAABACAAAAAiAAAAZHJzL2Rvd25yZXYueG1s&#10;UEsBAhQAFAAAAAgAh07iQJzZByT7AQAA4wMAAA4AAAAAAAAAAQAgAAAAJAEAAGRycy9lMm9Eb2Mu&#10;eG1sUEsFBgAAAAAGAAYAWQEAAJEFAAAAAA==&#10;">
                        <v:fill on="f" focussize="0,0"/>
                        <v:stroke color="#000000" joinstyle="round"/>
                        <v:imagedata o:title=""/>
                        <o:lock v:ext="edit" aspectratio="f"/>
                      </v:line>
                      <v:line id="直接连接符 15" o:spid="_x0000_s1026" o:spt="20" style="position:absolute;left:1853565;top:340995;flip:y;height:393700;width:635;" filled="f" stroked="t" coordsize="21600,21600" o:gfxdata="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Z8ZOrUAAAABQEAAA8AAAAAAAAAAQAgAAAAIgAA&#10;AGRycy9kb3ducmV2LnhtbFBLAQIUABQAAAAIAIdO4kCsHT4cDAIAAO4DAAAOAAAAAAAAAAEAIAAA&#10;ACMBAABkcnMvZTJvRG9jLnhtbFBLBQYAAAAABgAGAFkBAAChBQAAAAA=&#10;">
                        <v:fill on="f" focussize="0,0"/>
                        <v:stroke color="#000000" joinstyle="round" endarrow="open" endarrowwidth="narrow" endarrowlength="long"/>
                        <v:imagedata o:title=""/>
                        <o:lock v:ext="edit" aspectratio="f"/>
                      </v:line>
                      <v:line id="直接连接符 17" o:spid="_x0000_s1026" o:spt="20" style="position:absolute;left:3100706;top:732155;flip:y;height:330200;width:0;" filled="f" stroked="t" coordsize="21600,21600" o:gfxdata="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82B1I1QAAAAUBAAAPAAAAAAAAAAEAIAAAACIAAABk&#10;cnMvZG93bnJldi54bWxQSwECFAAUAAAACACHTuJAO4v8gAkCAADvAwAADgAAAAAAAAABACAAAAAk&#10;AQAAZHJzL2Uyb0RvYy54bWxQSwUGAAAAAAYABgBZAQAAnwUAAAAA&#10;">
                        <v:fill on="f" focussize="0,0"/>
                        <v:stroke weight="0.5pt" color="#000000" joinstyle="round" endarrow="classic" endarrowwidth="narrow" endarrowlength="long"/>
                        <v:imagedata o:title=""/>
                        <o:lock v:ext="edit" aspectratio="f"/>
                      </v:line>
                      <v:line id="直接连接符 33" o:spid="_x0000_s1026" o:spt="20" style="position:absolute;left:1614805;top:735330;flip:y;height:330200;width:0;" filled="f" stroked="t" coordsize="21600,21600" o:gfxdata="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NgdSNUAAAAFAQAADwAAAAAAAAABACAAAAAiAAAAZHJz&#10;L2Rvd25yZXYueG1sUEsBAhQAFAAAAAgAh07iQLYeZ/UHAgAA7wMAAA4AAAAAAAAAAQAgAAAAJAEA&#10;AGRycy9lMm9Eb2MueG1sUEsFBgAAAAAGAAYAWQEAAJ0FAAAAAA==&#10;">
                        <v:fill on="f" focussize="0,0"/>
                        <v:stroke weight="0.5pt" color="#000000" joinstyle="round" endarrow="classic" endarrowwidth="narrow" endarrowlength="long"/>
                        <v:imagedata o:title=""/>
                        <o:lock v:ext="edit" aspectratio="f"/>
                      </v:line>
                      <v:line id="直接连接符 42" o:spid="_x0000_s1026" o:spt="20" style="position:absolute;left:738505;top:732155;flip:y;height:330200;width:0;" filled="f" stroked="t" coordsize="21600,21600" o:gfxdata="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zYHUjVAAAABQEAAA8AAAAAAAAAAQAgAAAAIgAAAGRy&#10;cy9kb3ducmV2LnhtbFBLAQIUABQAAAAIAIdO4kC2AWqZCAIAAO4DAAAOAAAAAAAAAAEAIAAAACQB&#10;AABkcnMvZTJvRG9jLnhtbFBLBQYAAAAABgAGAFkBAACeBQAAAAA=&#10;">
                        <v:fill on="f" focussize="0,0"/>
                        <v:stroke weight="0.5pt" color="#000000" joinstyle="round" endarrow="classic" endarrowwidth="narrow" endarrowlength="long"/>
                        <v:imagedata o:title=""/>
                        <o:lock v:ext="edit" aspectratio="f"/>
                      </v:line>
                      <v:shape id="文本框 45" o:spid="_x0000_s1026" o:spt="202" type="#_x0000_t202" style="position:absolute;left:3653156;top:938530;height:444500;width:431800;" filled="f" stroked="t" coordsize="21600,21600" o:gfxdata="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06XvatYAAAAF&#10;AQAADwAAAAAAAAABACAAAAAiAAAAZHJzL2Rvd25yZXYueG1sUEsBAhQAFAAAAAgAh07iQLGZTJAe&#10;AgAAPQQAAA4AAAAAAAAAAQAgAAAAJQEAAGRycy9lMm9Eb2MueG1sUEsFBgAAAAAGAAYAWQEAALUF&#10;AAAAAA==&#10;">
                        <v:fill on="f" focussize="0,0"/>
                        <v:stroke color="#000000" joinstyle="miter"/>
                        <v:imagedata o:title=""/>
                        <o:lock v:ext="edit" aspectratio="f"/>
                        <v:textbox inset="0mm,0mm,0mm,0mm">
                          <w:txbxContent>
                            <w:p w14:paraId="32445804">
                              <w:pPr>
                                <w:jc w:val="center"/>
                              </w:pPr>
                              <w:r>
                                <w:rPr>
                                  <w:rFonts w:hint="eastAsia"/>
                                </w:rPr>
                                <w:t>工程</w:t>
                              </w:r>
                            </w:p>
                            <w:p w14:paraId="66651817">
                              <w:pPr>
                                <w:jc w:val="center"/>
                              </w:pPr>
                              <w:r>
                                <w:rPr>
                                  <w:rFonts w:hint="eastAsia"/>
                                </w:rPr>
                                <w:t>营运</w:t>
                              </w:r>
                            </w:p>
                          </w:txbxContent>
                        </v:textbox>
                      </v:shape>
                      <v:group id="组合 51" o:spid="_x0000_s1026" o:spt="203" style="position:absolute;left:2859406;top:1052830;height:203200;width:749300;" coordsize="1185,326" o:gfxdata="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OByEKtcAAAAFAQAADwAAAAAAAAABACAA&#10;AAAiAAAAZHJzL2Rvd25yZXYueG1sUEsBAhQAFAAAAAgAh07iQD1fyonyAgAAYgcAAA4AAAAAAAAA&#10;AQAgAAAAJgEAAGRycy9lMm9Eb2MueG1sUEsFBgAAAAAGAAYAWQEAAIoGAAAAAA==&#10;">
                        <o:lock v:ext="edit" aspectratio="f"/>
                        <v:shape id="文本框 48" o:spid="_x0000_s1026" o:spt="202" type="#_x0000_t202" style="position:absolute;left:0;top:0;height:326;width:960;" filled="f" stroked="t" coordsize="21600,21600" o:gfxdata="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Y77q8AAAA&#10;2wAAAA8AAAAAAAAAAQAgAAAAIgAAAGRycy9kb3ducmV2LnhtbFBLAQIUABQAAAAIAIdO4kAzLwWe&#10;OwAAADkAAAAQAAAAAAAAAAEAIAAAAAsBAABkcnMvc2hhcGV4bWwueG1sUEsFBgAAAAAGAAYAWwEA&#10;ALUDAAAAAA==&#10;">
                          <v:fill on="f" focussize="0,0"/>
                          <v:stroke color="#000000" joinstyle="miter"/>
                          <v:imagedata o:title=""/>
                          <o:lock v:ext="edit" aspectratio="f"/>
                          <v:textbox inset="0mm,0mm,0mm,0mm">
                            <w:txbxContent>
                              <w:p w14:paraId="09491437">
                                <w:pPr>
                                  <w:jc w:val="center"/>
                                </w:pPr>
                                <w:r>
                                  <w:rPr>
                                    <w:rFonts w:hint="eastAsia"/>
                                  </w:rPr>
                                  <w:t>工程验收</w:t>
                                </w:r>
                              </w:p>
                            </w:txbxContent>
                          </v:textbox>
                        </v:shape>
                        <v:line id="直接连接符 49" o:spid="_x0000_s1026" o:spt="20" style="position:absolute;left:945;top:163;height:0;width:240;" filled="f" stroked="t" coordsize="21600,21600" o:gfxdata="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zBR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group>
                      <v:group id="组合 56" o:spid="_x0000_s1026" o:spt="203" style="position:absolute;left:2084705;top:1062355;height:203200;width:762000;" coordsize="1200,326" o:gfxdata="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">
                        <o:lock v:ext="edit" aspectratio="f"/>
                        <v:shape id="文本框 53" o:spid="_x0000_s1026" o:spt="202" type="#_x0000_t202" style="position:absolute;left:0;top:0;height:326;width:960;" filled="f" stroked="t" coordsize="21600,21600" o:gfxdata="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iON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inset="0mm,0mm,0mm,0mm">
                            <w:txbxContent>
                              <w:p w14:paraId="7CF2C477">
                                <w:pPr>
                                  <w:jc w:val="center"/>
                                </w:pPr>
                                <w:r>
                                  <w:rPr>
                                    <w:rFonts w:hint="eastAsia"/>
                                  </w:rPr>
                                  <w:t>安装工程</w:t>
                                </w:r>
                              </w:p>
                            </w:txbxContent>
                          </v:textbox>
                        </v:shape>
                        <v:line id="直接连接符 55" o:spid="_x0000_s1026" o:spt="20" style="position:absolute;left:960;top:130;height:0;width:240;" filled="f" stroked="t" coordsize="21600,21600" o:gfxdata="UEsDBAoAAAAAAIdO4kAAAAAAAAAAAAAAAAAEAAAAZHJzL1BLAwQUAAAACACHTuJA5YToWr8AAADb&#10;AAAADwAAAGRycy9kb3ducmV2LnhtbEWPT2vCQBTE7wW/w/IEb3UTk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E6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id="组合 59" o:spid="_x0000_s1026" o:spt="203" style="position:absolute;left:1303655;top:1059180;height:203200;width:774700;" coordsize="1230,326" o:gfxdata="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A4HIQq1wAAAAUBAAAPAAAAAAAAAAEAIAAAACIA&#10;AABkcnMvZG93bnJldi54bWxQSwECFAAUAAAACACHTuJA3zrmS+4CAABiBwAADgAAAAAAAAABACAA&#10;AAAmAQAAZHJzL2Uyb0RvYy54bWxQSwUGAAAAAAYABgBZAQAAhgYAAAAA&#10;">
                        <o:lock v:ext="edit" aspectratio="f"/>
                        <v:shape id="文本框 57" o:spid="_x0000_s1026" o:spt="202" type="#_x0000_t202" style="position:absolute;left:0;top:0;height:326;width:960;" filled="f" stroked="t" coordsize="21600,21600" o:gfxdata="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Km85ugAAANs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0218B8C">
                                <w:pPr>
                                  <w:jc w:val="center"/>
                                </w:pPr>
                                <w:r>
                                  <w:rPr>
                                    <w:rFonts w:hint="eastAsia"/>
                                  </w:rPr>
                                  <w:t>主体工程</w:t>
                                </w:r>
                              </w:p>
                            </w:txbxContent>
                          </v:textbox>
                        </v:shape>
                        <v:line id="直接连接符 58" o:spid="_x0000_s1026" o:spt="20" style="position:absolute;left:990;top:163;height:0;width:240;" filled="f" stroked="t" coordsize="21600,21600" o:gfxdata="UEsDBAoAAAAAAIdO4kAAAAAAAAAAAAAAAAAEAAAAZHJzL1BLAwQUAAAACACHTuJA6yB6K78AAADb&#10;AAAADwAAAGRycy9kb3ducmV2LnhtbEWPT2vCQBTE7wW/w/KE3uomUkq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gei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id="组合 62" o:spid="_x0000_s1026" o:spt="203" style="position:absolute;left:528955;top:1062355;height:203200;width:762000;" coordsize="1200,326" o:gfxdata="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OByEKtcAAAAFAQAADwAAAAAAAAABACAAAAAiAAAAZHJzL2Rvd25y&#10;ZXYueG1sUEsBAhQAFAAAAAgAh07iQEmp1HvjAgAAYQcAAA4AAAAAAAAAAQAgAAAAJgEAAGRycy9l&#10;Mm9Eb2MueG1sUEsFBgAAAAAGAAYAWQEAAHsGAAAAAA==&#10;">
                        <o:lock v:ext="edit" aspectratio="f"/>
                        <v:shape id="文本框 60" o:spid="_x0000_s1026" o:spt="202" type="#_x0000_t202" style="position:absolute;left:0;top:0;height:326;width:960;" filled="f" stroked="t" coordsize="21600,21600" o:gfxdata="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lQe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inset="0mm,0mm,0mm,0mm">
                            <w:txbxContent>
                              <w:p w14:paraId="22A4FD1C">
                                <w:pPr>
                                  <w:jc w:val="center"/>
                                </w:pPr>
                                <w:r>
                                  <w:rPr>
                                    <w:rFonts w:hint="eastAsia"/>
                                  </w:rPr>
                                  <w:t>基础工程</w:t>
                                </w:r>
                              </w:p>
                            </w:txbxContent>
                          </v:textbox>
                        </v:shape>
                        <v:line id="直接连接符 61" o:spid="_x0000_s1026" o:spt="20" style="position:absolute;left:960;top:163;height:0;width:24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line id="直接连接符 63" o:spid="_x0000_s1026" o:spt="20" style="position:absolute;left:2322831;top:1627505;height:203200;width:0;" filled="f" stroked="t" coordsize="21600,21600" o:gfxdata="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4JVE1QAAAAUBAAAPAAAAAAAAAAEAIAAAACIAAABkcnMvZG93&#10;bnJldi54bWxQSwECFAAUAAAACACHTuJA9RFFAwMCAADlAwAADgAAAAAAAAABACAAAAAkAQAAZHJz&#10;L2Uyb0RvYy54bWxQSwUGAAAAAAYABgBZAQAAmQUAAAAA&#10;">
                        <v:fill on="f" focussize="0,0"/>
                        <v:stroke color="#000000" joinstyle="round" dashstyle="1 1" endcap="round" endarrow="open" endarrowwidth="narrow"/>
                        <v:imagedata o:title=""/>
                        <o:lock v:ext="edit" aspectratio="f"/>
                      </v:line>
                      <v:line id="直接连接符 64" o:spid="_x0000_s1026" o:spt="20" style="position:absolute;left:3643631;top:2326005;flip:y;height:0;width:584200;" filled="f" stroked="t" coordsize="21600,21600" o:gfxdata="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J1G0+1wAAAAUBAAAPAAAAAAAAAAEAIAAAACIAAABk&#10;cnMvZG93bnJldi54bWxQSwECFAAUAAAACACHTuJAwpCHegcCAAD2AwAADgAAAAAAAAABACAAAAAm&#10;AQAAZHJzL2Uyb0RvYy54bWxQSwUGAAAAAAYABgBZAQAAnwUAAAAA&#10;">
                        <v:fill on="f" focussize="0,0"/>
                        <v:stroke color="#000000" joinstyle="round" dashstyle="dash" startarrow="block" endarrow="block"/>
                        <v:imagedata o:title=""/>
                        <o:lock v:ext="edit" aspectratio="f"/>
                      </v:line>
                      <v:line id="直接连接符 65" o:spid="_x0000_s1026" o:spt="20" style="position:absolute;left:3621406;top:2205355;height:254000;width:0;" filled="f" stroked="t" coordsize="21600,21600" o:gfxdata="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RA/su1QAAAAUBAAAPAAAAAAAAAAEAIAAAACIAAABkcnMvZG93bnJldi54&#10;bWxQSwECFAAUAAAACACHTuJAucPR5v0BAADlAwAADgAAAAAAAAABACAAAAAkAQAAZHJzL2Uyb0Rv&#10;Yy54bWxQSwUGAAAAAAYABgBZAQAAkwUAAAAA&#10;">
                        <v:fill on="f" focussize="0,0"/>
                        <v:stroke color="#000000" joinstyle="round"/>
                        <v:imagedata o:title=""/>
                        <o:lock v:ext="edit" aspectratio="f"/>
                      </v:line>
                      <v:line id="直接连接符 66" o:spid="_x0000_s1026" o:spt="20" style="position:absolute;left:478155;top:2310765;flip:y;height:8890;width:3154046;" filled="f" stroked="t" coordsize="21600,21600" o:gfxdata="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nUbT7XAAAABQEAAA8AAAAAAAAAAQAgAAAA&#10;IgAAAGRycy9kb3ducmV2LnhtbFBLAQIUABQAAAAIAIdO4kB0G3/jDAIAAPkDAAAOAAAAAAAAAAEA&#10;IAAAACYBAABkcnMvZTJvRG9jLnhtbFBLBQYAAAAABgAGAFkBAACkBQAAAAA=&#10;">
                        <v:fill on="f" focussize="0,0"/>
                        <v:stroke color="#000000" joinstyle="round" dashstyle="dash" startarrow="block" endarrow="block"/>
                        <v:imagedata o:title=""/>
                        <o:lock v:ext="edit" aspectratio="f"/>
                      </v:line>
                      <v:line id="直接连接符 67" o:spid="_x0000_s1026" o:spt="20" style="position:absolute;left:484505;top:2218055;height:190500;width:0;" filled="f" stroked="t" coordsize="21600,21600" o:gfxdata="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ED+y7VAAAABQEAAA8AAAAAAAAAAQAgAAAAIgAAAGRycy9kb3ducmV2Lnht&#10;bFBLAQIUABQAAAAIAIdO4kB/xQYT/AEAAOQDAAAOAAAAAAAAAAEAIAAAACQBAABkcnMvZTJvRG9j&#10;LnhtbFBLBQYAAAAABgAGAFkBAACSBQAAAAA=&#10;">
                        <v:fill on="f" focussize="0,0"/>
                        <v:stroke color="#000000" joinstyle="round"/>
                        <v:imagedata o:title=""/>
                        <o:lock v:ext="edit" aspectratio="f"/>
                      </v:line>
                      <v:line id="直接连接符 68" o:spid="_x0000_s1026" o:spt="20" style="position:absolute;left:4218306;top:2218055;height:254000;width:0;" filled="f" stroked="t" coordsize="21600,21600" o:gfxdata="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QP7LtUAAAAFAQAADwAAAAAAAAABACAAAAAiAAAAZHJzL2Rvd25yZXYueG1s&#10;UEsBAhQAFAAAAAgAh07iQAoFxAf7AQAA5QMAAA4AAAAAAAAAAQAgAAAAJAEAAGRycy9lMm9Eb2Mu&#10;eG1sUEsFBgAAAAAGAAYAWQEAAJEFAAAAAA==&#10;">
                        <v:fill on="f" focussize="0,0"/>
                        <v:stroke color="#000000" joinstyle="round"/>
                        <v:imagedata o:title=""/>
                        <o:lock v:ext="edit" aspectratio="f"/>
                      </v:line>
                      <v:shape id="文本框 69" o:spid="_x0000_s1026" o:spt="202" type="#_x0000_t202" style="position:absolute;left:1084580;top:1713230;height:317500;width:2400301;" filled="f" stroked="f" coordsize="21600,21600" o:gfxdata="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LmX8FdYAAAAFAQAADwAAAAAAAAABACAAAAAiAAAAZHJzL2Rvd25y&#10;ZXYueG1sUEsBAhQAFAAAAAgAh07iQNJk9n/HAQAAgAMAAA4AAAAAAAAAAQAgAAAAJQEAAGRycy9l&#10;Mm9Eb2MueG1sUEsFBgAAAAAGAAYAWQEAAF4FAAAAAA==&#10;">
                        <v:fill on="f" focussize="0,0"/>
                        <v:stroke on="f"/>
                        <v:imagedata o:title=""/>
                        <o:lock v:ext="edit" aspectratio="f"/>
                        <v:textbox inset="0mm,0mm,0mm,0mm">
                          <w:txbxContent>
                            <w:p w14:paraId="45CC2D4E">
                              <w:pPr>
                                <w:pStyle w:val="12"/>
                                <w:spacing w:before="159" w:after="159"/>
                                <w:ind w:firstLine="542" w:firstLineChars="300"/>
                                <w:rPr>
                                  <w:rFonts w:ascii="宋体"/>
                                  <w:b/>
                                  <w:bCs/>
                                  <w:sz w:val="18"/>
                                  <w:szCs w:val="18"/>
                                </w:rPr>
                              </w:pPr>
                              <w:r>
                                <w:rPr>
                                  <w:rFonts w:hint="eastAsia" w:ascii="宋体"/>
                                  <w:b/>
                                  <w:bCs/>
                                  <w:sz w:val="18"/>
                                  <w:szCs w:val="18"/>
                                </w:rPr>
                                <w:t>施工废水、建筑垃圾、局部水土流失</w:t>
                              </w:r>
                            </w:p>
                          </w:txbxContent>
                        </v:textbox>
                      </v:shape>
                      <v:shape id="文本框 70" o:spid="_x0000_s1026" o:spt="202" type="#_x0000_t202" style="position:absolute;left:1913255;top:2075180;height:254000;width:609600;" filled="f" stroked="f" coordsize="21600,21600" o:gfxdata="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5l/BXWAAAABQEAAA8AAAAAAAAAAQAgAAAAIgAAAGRycy9kb3ducmV2&#10;LnhtbFBLAQIUABQAAAAIAIdO4kAmPOWoxQEAAH8DAAAOAAAAAAAAAAEAIAAAACUBAABkcnMvZTJv&#10;RG9jLnhtbFBLBQYAAAAABgAGAFkBAABcBQAAAAA=&#10;">
                        <v:fill on="f" focussize="0,0"/>
                        <v:stroke on="f"/>
                        <v:imagedata o:title=""/>
                        <o:lock v:ext="edit" aspectratio="f"/>
                        <v:textbox inset="0mm,0mm,0mm,0mm">
                          <w:txbxContent>
                            <w:p w14:paraId="4285C706">
                              <w:pPr>
                                <w:rPr>
                                  <w:b/>
                                  <w:bCs/>
                                </w:rPr>
                              </w:pPr>
                              <w:r>
                                <w:rPr>
                                  <w:rFonts w:hint="eastAsia"/>
                                  <w:b/>
                                  <w:bCs/>
                                </w:rPr>
                                <w:t>施工期</w:t>
                              </w:r>
                            </w:p>
                          </w:txbxContent>
                        </v:textbox>
                      </v:shape>
                      <v:shape id="文本框 71" o:spid="_x0000_s1026" o:spt="202" type="#_x0000_t202" style="position:absolute;left:3618230;top:2094230;height:254000;width:584200;" filled="f" stroked="f" coordsize="21600,21600" o:gfxdata="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LmX8FdYAAAAFAQAADwAAAAAAAAABACAAAAAiAAAAZHJzL2Rvd25y&#10;ZXYueG1sUEsBAhQAFAAAAAgAh07iQNj3Y2fHAQAAfwMAAA4AAAAAAAAAAQAgAAAAJQEAAGRycy9l&#10;Mm9Eb2MueG1sUEsFBgAAAAAGAAYAWQEAAF4FAAAAAA==&#10;">
                        <v:fill on="f" focussize="0,0"/>
                        <v:stroke on="f"/>
                        <v:imagedata o:title=""/>
                        <o:lock v:ext="edit" aspectratio="f"/>
                        <v:textbox inset="0mm,0mm,0mm,0mm">
                          <w:txbxContent>
                            <w:p w14:paraId="5424D7C6">
                              <w:pPr>
                                <w:jc w:val="center"/>
                                <w:rPr>
                                  <w:b/>
                                  <w:bCs/>
                                </w:rPr>
                              </w:pPr>
                              <w:r>
                                <w:rPr>
                                  <w:rFonts w:hint="eastAsia"/>
                                  <w:b/>
                                  <w:bCs/>
                                </w:rPr>
                                <w:t>营运期</w:t>
                              </w:r>
                            </w:p>
                          </w:txbxContent>
                        </v:textbox>
                      </v:shape>
                      <w10:wrap type="none"/>
                      <w10:anchorlock/>
                    </v:group>
                  </w:pict>
                </mc:Fallback>
              </mc:AlternateContent>
            </w:r>
          </w:p>
          <w:p w14:paraId="4345019B">
            <w:pPr>
              <w:adjustRightInd w:val="0"/>
              <w:snapToGrid w:val="0"/>
              <w:spacing w:line="520" w:lineRule="exact"/>
              <w:jc w:val="center"/>
              <w:rPr>
                <w:b/>
                <w:color w:val="auto"/>
                <w:szCs w:val="21"/>
                <w:highlight w:val="none"/>
              </w:rPr>
            </w:pPr>
            <w:r>
              <w:rPr>
                <w:b/>
                <w:color w:val="auto"/>
                <w:szCs w:val="21"/>
                <w:highlight w:val="none"/>
              </w:rPr>
              <w:t>图</w:t>
            </w:r>
            <w:r>
              <w:rPr>
                <w:rFonts w:hint="eastAsia"/>
                <w:b/>
                <w:color w:val="auto"/>
                <w:szCs w:val="21"/>
                <w:highlight w:val="none"/>
                <w:lang w:val="en-US" w:eastAsia="zh-CN"/>
              </w:rPr>
              <w:t>5</w:t>
            </w:r>
            <w:r>
              <w:rPr>
                <w:rFonts w:hint="eastAsia"/>
                <w:b/>
                <w:color w:val="auto"/>
                <w:szCs w:val="21"/>
                <w:highlight w:val="none"/>
              </w:rPr>
              <w:t>施工期工艺流程及产污环节图</w:t>
            </w:r>
          </w:p>
          <w:p w14:paraId="1EB70194">
            <w:pPr>
              <w:spacing w:line="520" w:lineRule="exact"/>
              <w:ind w:firstLine="482" w:firstLineChars="200"/>
              <w:rPr>
                <w:color w:val="auto"/>
                <w:sz w:val="24"/>
                <w:highlight w:val="none"/>
              </w:rPr>
            </w:pPr>
            <w:r>
              <w:rPr>
                <w:b/>
                <w:bCs/>
                <w:color w:val="auto"/>
                <w:sz w:val="24"/>
                <w:szCs w:val="32"/>
                <w:highlight w:val="none"/>
              </w:rPr>
              <w:t>工艺流程说明：</w:t>
            </w:r>
            <w:r>
              <w:rPr>
                <w:color w:val="auto"/>
                <w:sz w:val="24"/>
                <w:highlight w:val="none"/>
              </w:rPr>
              <w:t>项目在施工期以施工噪声、施工扬尘、废弃材料</w:t>
            </w:r>
            <w:r>
              <w:rPr>
                <w:rFonts w:hint="eastAsia"/>
                <w:color w:val="auto"/>
                <w:sz w:val="24"/>
                <w:highlight w:val="none"/>
              </w:rPr>
              <w:t>（</w:t>
            </w:r>
            <w:r>
              <w:rPr>
                <w:color w:val="auto"/>
                <w:sz w:val="24"/>
                <w:highlight w:val="none"/>
              </w:rPr>
              <w:t>建筑弃渣及其它废料</w:t>
            </w:r>
            <w:r>
              <w:rPr>
                <w:rFonts w:hint="eastAsia"/>
                <w:color w:val="auto"/>
                <w:sz w:val="24"/>
                <w:highlight w:val="none"/>
              </w:rPr>
              <w:t>）</w:t>
            </w:r>
            <w:r>
              <w:rPr>
                <w:color w:val="auto"/>
                <w:sz w:val="24"/>
                <w:highlight w:val="none"/>
              </w:rPr>
              <w:t>和废水为主要污染物。</w:t>
            </w:r>
          </w:p>
          <w:p w14:paraId="41155363">
            <w:pPr>
              <w:spacing w:line="520" w:lineRule="exact"/>
              <w:ind w:firstLine="480" w:firstLineChars="200"/>
              <w:rPr>
                <w:color w:val="auto"/>
                <w:sz w:val="24"/>
                <w:highlight w:val="none"/>
              </w:rPr>
            </w:pPr>
            <w:r>
              <w:rPr>
                <w:rFonts w:hint="eastAsia"/>
                <w:color w:val="auto"/>
                <w:sz w:val="24"/>
                <w:highlight w:val="none"/>
              </w:rPr>
              <w:t>（1）</w:t>
            </w:r>
            <w:r>
              <w:rPr>
                <w:color w:val="auto"/>
                <w:sz w:val="24"/>
                <w:highlight w:val="none"/>
              </w:rPr>
              <w:t>基础工程施工</w:t>
            </w:r>
          </w:p>
          <w:p w14:paraId="35382E2E">
            <w:pPr>
              <w:spacing w:line="520" w:lineRule="exact"/>
              <w:ind w:firstLine="480" w:firstLineChars="200"/>
              <w:rPr>
                <w:color w:val="auto"/>
                <w:sz w:val="24"/>
                <w:highlight w:val="none"/>
              </w:rPr>
            </w:pPr>
            <w:r>
              <w:rPr>
                <w:color w:val="auto"/>
                <w:sz w:val="24"/>
                <w:highlight w:val="none"/>
              </w:rPr>
              <w:t>在地表清理、基础开挖与地基处理过程中，打桩机、夯实机等施工机械的运行将产生一定的噪声、废气及扬尘</w:t>
            </w:r>
            <w:r>
              <w:rPr>
                <w:rFonts w:hint="eastAsia"/>
                <w:color w:val="auto"/>
                <w:sz w:val="24"/>
                <w:highlight w:val="none"/>
              </w:rPr>
              <w:t>；</w:t>
            </w:r>
            <w:r>
              <w:rPr>
                <w:color w:val="auto"/>
                <w:sz w:val="24"/>
                <w:highlight w:val="none"/>
              </w:rPr>
              <w:t>运输车辆行驶将产生一定的噪声、废气及扬尘</w:t>
            </w:r>
            <w:r>
              <w:rPr>
                <w:rFonts w:hint="eastAsia"/>
                <w:color w:val="auto"/>
                <w:sz w:val="24"/>
                <w:highlight w:val="none"/>
              </w:rPr>
              <w:t>；</w:t>
            </w:r>
            <w:r>
              <w:rPr>
                <w:color w:val="auto"/>
                <w:sz w:val="24"/>
                <w:highlight w:val="none"/>
              </w:rPr>
              <w:t>施工人员会产生生活污水及生活垃圾。</w:t>
            </w:r>
          </w:p>
          <w:p w14:paraId="435DC764">
            <w:pPr>
              <w:spacing w:line="520" w:lineRule="exact"/>
              <w:ind w:firstLine="480" w:firstLineChars="200"/>
              <w:rPr>
                <w:color w:val="auto"/>
                <w:sz w:val="24"/>
                <w:highlight w:val="none"/>
              </w:rPr>
            </w:pPr>
            <w:r>
              <w:rPr>
                <w:rFonts w:hint="eastAsia"/>
                <w:color w:val="auto"/>
                <w:sz w:val="24"/>
                <w:highlight w:val="none"/>
              </w:rPr>
              <w:t>（2）</w:t>
            </w:r>
            <w:r>
              <w:rPr>
                <w:color w:val="auto"/>
                <w:sz w:val="24"/>
                <w:highlight w:val="none"/>
              </w:rPr>
              <w:t>主体工程施工</w:t>
            </w:r>
          </w:p>
          <w:p w14:paraId="454987F1">
            <w:pPr>
              <w:spacing w:line="520" w:lineRule="exact"/>
              <w:ind w:firstLine="480" w:firstLineChars="200"/>
              <w:rPr>
                <w:color w:val="auto"/>
                <w:sz w:val="24"/>
                <w:highlight w:val="none"/>
              </w:rPr>
            </w:pPr>
            <w:r>
              <w:rPr>
                <w:color w:val="auto"/>
                <w:sz w:val="24"/>
                <w:highlight w:val="none"/>
              </w:rPr>
              <w:t>挖掘机、打夯机、装载汽车等运行时会产生噪声、废气及扬尘</w:t>
            </w:r>
            <w:r>
              <w:rPr>
                <w:rFonts w:hint="eastAsia"/>
                <w:color w:val="auto"/>
                <w:sz w:val="24"/>
                <w:highlight w:val="none"/>
              </w:rPr>
              <w:t>；</w:t>
            </w:r>
            <w:r>
              <w:rPr>
                <w:color w:val="auto"/>
                <w:sz w:val="24"/>
                <w:highlight w:val="none"/>
              </w:rPr>
              <w:t>施工人员会产生生活污水及生活垃圾。</w:t>
            </w:r>
          </w:p>
          <w:p w14:paraId="209D9A59">
            <w:pPr>
              <w:spacing w:line="520" w:lineRule="exact"/>
              <w:ind w:firstLine="480" w:firstLineChars="200"/>
              <w:rPr>
                <w:color w:val="auto"/>
                <w:sz w:val="24"/>
                <w:highlight w:val="none"/>
              </w:rPr>
            </w:pPr>
            <w:r>
              <w:rPr>
                <w:rFonts w:hint="eastAsia"/>
                <w:color w:val="auto"/>
                <w:sz w:val="24"/>
                <w:highlight w:val="none"/>
              </w:rPr>
              <w:t>（3）</w:t>
            </w:r>
            <w:r>
              <w:rPr>
                <w:color w:val="auto"/>
                <w:sz w:val="24"/>
                <w:highlight w:val="none"/>
              </w:rPr>
              <w:t>装饰工程施工</w:t>
            </w:r>
          </w:p>
          <w:p w14:paraId="5D200A4A">
            <w:pPr>
              <w:spacing w:line="520" w:lineRule="exact"/>
              <w:ind w:firstLine="480" w:firstLineChars="200"/>
              <w:rPr>
                <w:color w:val="auto"/>
                <w:sz w:val="24"/>
                <w:highlight w:val="none"/>
              </w:rPr>
            </w:pPr>
            <w:r>
              <w:rPr>
                <w:color w:val="auto"/>
                <w:sz w:val="24"/>
                <w:highlight w:val="none"/>
              </w:rPr>
              <w:t>对构筑物的室内外进行装修过程中，钻机、电锤等机械产生噪声</w:t>
            </w:r>
            <w:r>
              <w:rPr>
                <w:rFonts w:hint="eastAsia"/>
                <w:color w:val="auto"/>
                <w:sz w:val="24"/>
                <w:highlight w:val="none"/>
              </w:rPr>
              <w:t>，</w:t>
            </w:r>
            <w:r>
              <w:rPr>
                <w:color w:val="auto"/>
                <w:sz w:val="24"/>
                <w:highlight w:val="none"/>
              </w:rPr>
              <w:t>油漆和喷涂产生废气、废弃材料及污水</w:t>
            </w:r>
            <w:r>
              <w:rPr>
                <w:rFonts w:hint="eastAsia"/>
                <w:color w:val="auto"/>
                <w:sz w:val="24"/>
                <w:highlight w:val="none"/>
              </w:rPr>
              <w:t>。</w:t>
            </w:r>
          </w:p>
          <w:p w14:paraId="0D315618">
            <w:pPr>
              <w:topLinePunct/>
              <w:spacing w:line="520" w:lineRule="exact"/>
              <w:rPr>
                <w:rFonts w:hint="default" w:eastAsia="宋体"/>
                <w:b/>
                <w:color w:val="auto"/>
                <w:sz w:val="24"/>
                <w:highlight w:val="none"/>
                <w:lang w:val="en-US" w:eastAsia="zh-CN"/>
              </w:rPr>
            </w:pPr>
            <w:r>
              <w:rPr>
                <w:rFonts w:hint="eastAsia"/>
                <w:b/>
                <w:color w:val="auto"/>
                <w:sz w:val="24"/>
                <w:highlight w:val="none"/>
                <w:lang w:val="en-US" w:eastAsia="zh-CN"/>
              </w:rPr>
              <w:t>1.2</w:t>
            </w:r>
            <w:r>
              <w:rPr>
                <w:rFonts w:hint="eastAsia"/>
                <w:b/>
                <w:color w:val="auto"/>
                <w:sz w:val="24"/>
                <w:highlight w:val="none"/>
              </w:rPr>
              <w:t>施工期产污环节</w:t>
            </w:r>
          </w:p>
          <w:p w14:paraId="6C4788B2">
            <w:pPr>
              <w:pStyle w:val="76"/>
              <w:spacing w:before="157" w:line="361" w:lineRule="exact"/>
              <w:ind w:left="601"/>
              <w:rPr>
                <w:color w:val="auto"/>
                <w:sz w:val="24"/>
                <w:szCs w:val="24"/>
              </w:rPr>
            </w:pPr>
            <w:r>
              <w:rPr>
                <w:color w:val="auto"/>
                <w:spacing w:val="-5"/>
                <w:position w:val="2"/>
                <w:sz w:val="24"/>
                <w:szCs w:val="24"/>
              </w:rPr>
              <w:t>（</w:t>
            </w:r>
            <w:r>
              <w:rPr>
                <w:rFonts w:ascii="Times New Roman" w:hAnsi="Times New Roman" w:eastAsia="Times New Roman" w:cs="Times New Roman"/>
                <w:color w:val="auto"/>
                <w:spacing w:val="-5"/>
                <w:position w:val="2"/>
                <w:sz w:val="24"/>
                <w:szCs w:val="24"/>
              </w:rPr>
              <w:t>1</w:t>
            </w:r>
            <w:r>
              <w:rPr>
                <w:color w:val="auto"/>
                <w:spacing w:val="-5"/>
                <w:position w:val="2"/>
                <w:sz w:val="24"/>
                <w:szCs w:val="24"/>
              </w:rPr>
              <w:t>）废气</w:t>
            </w:r>
          </w:p>
          <w:p w14:paraId="37751AF6">
            <w:pPr>
              <w:pStyle w:val="76"/>
              <w:spacing w:before="154" w:line="218" w:lineRule="auto"/>
              <w:ind w:left="588"/>
              <w:rPr>
                <w:color w:val="auto"/>
                <w:sz w:val="24"/>
                <w:szCs w:val="24"/>
              </w:rPr>
            </w:pPr>
            <w:r>
              <w:rPr>
                <w:color w:val="auto"/>
                <w:spacing w:val="-2"/>
                <w:sz w:val="24"/>
                <w:szCs w:val="24"/>
              </w:rPr>
              <w:t>①施工扬尘</w:t>
            </w:r>
          </w:p>
          <w:p w14:paraId="6D18DCDC">
            <w:pPr>
              <w:pStyle w:val="76"/>
              <w:spacing w:before="197" w:line="369" w:lineRule="auto"/>
              <w:ind w:left="108" w:right="102" w:firstLine="480"/>
              <w:jc w:val="both"/>
              <w:rPr>
                <w:color w:val="auto"/>
                <w:sz w:val="24"/>
                <w:szCs w:val="24"/>
              </w:rPr>
            </w:pPr>
            <w:r>
              <w:rPr>
                <w:color w:val="auto"/>
                <w:sz w:val="24"/>
                <w:szCs w:val="24"/>
              </w:rPr>
              <w:t>基础开挖、施工渣土堆场、进出车辆带泥砂量、水泥搬运，砂石、混凝土等建筑材料运输、装卸等均可能产生扬尘，要求建设单位施工期间应严格遵守《防治城市扬尘污染技术规范》（</w:t>
            </w:r>
            <w:r>
              <w:rPr>
                <w:rFonts w:ascii="Times New Roman" w:hAnsi="Times New Roman" w:eastAsia="Times New Roman" w:cs="Times New Roman"/>
                <w:color w:val="auto"/>
                <w:sz w:val="24"/>
                <w:szCs w:val="24"/>
              </w:rPr>
              <w:t>HJ/T39</w:t>
            </w:r>
            <w:r>
              <w:rPr>
                <w:rFonts w:ascii="Times New Roman" w:hAnsi="Times New Roman" w:eastAsia="Times New Roman" w:cs="Times New Roman"/>
                <w:color w:val="auto"/>
                <w:spacing w:val="-1"/>
                <w:sz w:val="24"/>
                <w:szCs w:val="24"/>
              </w:rPr>
              <w:t>3-2007</w:t>
            </w:r>
            <w:r>
              <w:rPr>
                <w:color w:val="auto"/>
                <w:spacing w:val="-1"/>
                <w:sz w:val="24"/>
                <w:szCs w:val="24"/>
              </w:rPr>
              <w:t>）的要求。</w:t>
            </w:r>
          </w:p>
          <w:p w14:paraId="409AD2C6">
            <w:pPr>
              <w:pStyle w:val="76"/>
              <w:spacing w:before="2" w:line="217" w:lineRule="auto"/>
              <w:ind w:left="587"/>
              <w:rPr>
                <w:color w:val="auto"/>
                <w:sz w:val="24"/>
                <w:szCs w:val="24"/>
              </w:rPr>
            </w:pPr>
            <w:r>
              <w:rPr>
                <w:color w:val="auto"/>
                <w:spacing w:val="-2"/>
                <w:sz w:val="24"/>
                <w:szCs w:val="24"/>
              </w:rPr>
              <w:t>②机械尾气</w:t>
            </w:r>
          </w:p>
          <w:p w14:paraId="56456E21">
            <w:pPr>
              <w:pStyle w:val="76"/>
              <w:spacing w:before="195" w:line="356" w:lineRule="auto"/>
              <w:ind w:left="110" w:right="102" w:firstLine="478"/>
              <w:rPr>
                <w:color w:val="auto"/>
                <w:sz w:val="24"/>
                <w:szCs w:val="24"/>
              </w:rPr>
            </w:pPr>
            <w:r>
              <w:rPr>
                <w:color w:val="auto"/>
                <w:sz w:val="24"/>
                <w:szCs w:val="24"/>
              </w:rPr>
              <w:t>施工期运输机械运行时会产生一定量的尾气，其主要污染物为烃类、一</w:t>
            </w:r>
            <w:r>
              <w:rPr>
                <w:color w:val="auto"/>
                <w:spacing w:val="-2"/>
                <w:sz w:val="24"/>
                <w:szCs w:val="24"/>
              </w:rPr>
              <w:t>氧化碳及氮氧化物等。</w:t>
            </w:r>
          </w:p>
          <w:p w14:paraId="52F1BC12">
            <w:pPr>
              <w:pStyle w:val="76"/>
              <w:spacing w:before="1" w:line="369" w:lineRule="auto"/>
              <w:ind w:left="107" w:right="102" w:firstLine="483"/>
              <w:jc w:val="both"/>
              <w:rPr>
                <w:color w:val="auto"/>
                <w:sz w:val="24"/>
                <w:szCs w:val="24"/>
              </w:rPr>
            </w:pPr>
            <w:r>
              <w:rPr>
                <w:color w:val="auto"/>
                <w:spacing w:val="3"/>
                <w:sz w:val="24"/>
                <w:szCs w:val="24"/>
              </w:rPr>
              <w:t>经现场踏勘，本项目</w:t>
            </w:r>
            <w:r>
              <w:rPr>
                <w:rFonts w:ascii="Times New Roman" w:hAnsi="Times New Roman" w:eastAsia="Times New Roman" w:cs="Times New Roman"/>
                <w:color w:val="auto"/>
                <w:spacing w:val="3"/>
                <w:sz w:val="24"/>
                <w:szCs w:val="24"/>
              </w:rPr>
              <w:t>200m</w:t>
            </w:r>
            <w:r>
              <w:rPr>
                <w:color w:val="auto"/>
                <w:spacing w:val="3"/>
                <w:sz w:val="24"/>
                <w:szCs w:val="24"/>
              </w:rPr>
              <w:t>范围内无村庄等敏感点。工程施工期间的施</w:t>
            </w:r>
            <w:r>
              <w:rPr>
                <w:color w:val="auto"/>
                <w:sz w:val="24"/>
                <w:szCs w:val="24"/>
              </w:rPr>
              <w:t>工扬尘对周围环境空气质量影响是暂时的，随着施工结束，施工扬尘影响也</w:t>
            </w:r>
            <w:r>
              <w:rPr>
                <w:color w:val="auto"/>
                <w:spacing w:val="-2"/>
                <w:sz w:val="24"/>
                <w:szCs w:val="24"/>
              </w:rPr>
              <w:t>将消失。</w:t>
            </w:r>
          </w:p>
          <w:p w14:paraId="255714B2">
            <w:pPr>
              <w:pStyle w:val="76"/>
              <w:spacing w:line="361" w:lineRule="exact"/>
              <w:ind w:left="601"/>
              <w:rPr>
                <w:color w:val="auto"/>
                <w:sz w:val="24"/>
                <w:szCs w:val="24"/>
              </w:rPr>
            </w:pPr>
            <w:r>
              <w:rPr>
                <w:color w:val="auto"/>
                <w:spacing w:val="-5"/>
                <w:position w:val="2"/>
                <w:sz w:val="24"/>
                <w:szCs w:val="24"/>
              </w:rPr>
              <w:t>（</w:t>
            </w:r>
            <w:r>
              <w:rPr>
                <w:rFonts w:ascii="Times New Roman" w:hAnsi="Times New Roman" w:eastAsia="Times New Roman" w:cs="Times New Roman"/>
                <w:color w:val="auto"/>
                <w:spacing w:val="-5"/>
                <w:position w:val="2"/>
                <w:sz w:val="24"/>
                <w:szCs w:val="24"/>
              </w:rPr>
              <w:t>2</w:t>
            </w:r>
            <w:r>
              <w:rPr>
                <w:color w:val="auto"/>
                <w:spacing w:val="-5"/>
                <w:position w:val="2"/>
                <w:sz w:val="24"/>
                <w:szCs w:val="24"/>
              </w:rPr>
              <w:t>）废水</w:t>
            </w:r>
          </w:p>
          <w:p w14:paraId="6BB70F37">
            <w:pPr>
              <w:pStyle w:val="76"/>
              <w:spacing w:before="154" w:line="218" w:lineRule="auto"/>
              <w:ind w:left="588"/>
              <w:rPr>
                <w:color w:val="auto"/>
                <w:sz w:val="24"/>
                <w:szCs w:val="24"/>
              </w:rPr>
            </w:pPr>
            <w:r>
              <w:rPr>
                <w:color w:val="auto"/>
                <w:spacing w:val="-2"/>
                <w:sz w:val="24"/>
                <w:szCs w:val="24"/>
              </w:rPr>
              <w:t>①施工废水</w:t>
            </w:r>
          </w:p>
          <w:p w14:paraId="10BBB8F4">
            <w:pPr>
              <w:pStyle w:val="76"/>
              <w:spacing w:before="199" w:line="369" w:lineRule="auto"/>
              <w:ind w:left="108" w:right="102" w:firstLine="480"/>
              <w:rPr>
                <w:color w:val="auto"/>
                <w:sz w:val="24"/>
                <w:szCs w:val="24"/>
              </w:rPr>
            </w:pPr>
            <w:r>
              <w:rPr>
                <w:color w:val="auto"/>
                <w:sz w:val="24"/>
                <w:szCs w:val="24"/>
              </w:rPr>
              <w:t>施工期产生的废水包括修建基础设施时地基的开挖、混凝土料的备制、建筑时砂石料冲洗及机械清洗等废水。项目施工产生的污水中主要是泥沙悬浮物含量较大。为此可以修建沉砂池沉淀后回用于施工过程。施工机械设备冲洗、施工车辆冲洗废水中主要污染物为石油类和悬浮物，沉淀后用于施工</w:t>
            </w:r>
            <w:r>
              <w:rPr>
                <w:color w:val="auto"/>
                <w:spacing w:val="-2"/>
                <w:sz w:val="24"/>
                <w:szCs w:val="24"/>
              </w:rPr>
              <w:t>场地抑尘。</w:t>
            </w:r>
          </w:p>
          <w:p w14:paraId="1B0501F1">
            <w:pPr>
              <w:pStyle w:val="76"/>
              <w:spacing w:before="1" w:line="217" w:lineRule="auto"/>
              <w:ind w:left="587"/>
              <w:rPr>
                <w:color w:val="auto"/>
                <w:sz w:val="24"/>
                <w:szCs w:val="24"/>
              </w:rPr>
            </w:pPr>
            <w:r>
              <w:rPr>
                <w:color w:val="auto"/>
                <w:spacing w:val="-2"/>
                <w:sz w:val="24"/>
                <w:szCs w:val="24"/>
              </w:rPr>
              <w:t>②生活污水</w:t>
            </w:r>
          </w:p>
          <w:p w14:paraId="0731A3B5">
            <w:pPr>
              <w:pStyle w:val="76"/>
              <w:spacing w:before="160" w:line="361" w:lineRule="auto"/>
              <w:ind w:left="108" w:right="102" w:firstLine="484"/>
              <w:rPr>
                <w:color w:val="auto"/>
                <w:sz w:val="24"/>
                <w:szCs w:val="24"/>
              </w:rPr>
            </w:pPr>
            <w:r>
              <w:rPr>
                <w:color w:val="auto"/>
                <w:spacing w:val="-4"/>
                <w:sz w:val="24"/>
                <w:szCs w:val="24"/>
              </w:rPr>
              <w:t>项目施工现场设施工营地。项目施工高峰期按施工人数</w:t>
            </w:r>
            <w:r>
              <w:rPr>
                <w:rFonts w:ascii="Times New Roman" w:hAnsi="Times New Roman" w:eastAsia="Times New Roman" w:cs="Times New Roman"/>
                <w:color w:val="auto"/>
                <w:spacing w:val="-4"/>
                <w:sz w:val="24"/>
                <w:szCs w:val="24"/>
              </w:rPr>
              <w:t>50</w:t>
            </w:r>
            <w:r>
              <w:rPr>
                <w:color w:val="auto"/>
                <w:spacing w:val="-4"/>
                <w:sz w:val="24"/>
                <w:szCs w:val="24"/>
              </w:rPr>
              <w:t>人计，生活用</w:t>
            </w:r>
            <w:r>
              <w:rPr>
                <w:color w:val="auto"/>
                <w:spacing w:val="-2"/>
                <w:sz w:val="24"/>
                <w:szCs w:val="24"/>
              </w:rPr>
              <w:t>水定额</w:t>
            </w:r>
            <w:r>
              <w:rPr>
                <w:rFonts w:ascii="Times New Roman" w:hAnsi="Times New Roman" w:eastAsia="Times New Roman" w:cs="Times New Roman"/>
                <w:color w:val="auto"/>
                <w:spacing w:val="-2"/>
                <w:sz w:val="24"/>
                <w:szCs w:val="24"/>
              </w:rPr>
              <w:t>50L/</w:t>
            </w:r>
            <w:r>
              <w:rPr>
                <w:color w:val="auto"/>
                <w:spacing w:val="-2"/>
                <w:sz w:val="24"/>
                <w:szCs w:val="24"/>
              </w:rPr>
              <w:t>人</w:t>
            </w:r>
            <w:r>
              <w:rPr>
                <w:rFonts w:ascii="Times New Roman" w:hAnsi="Times New Roman" w:eastAsia="Times New Roman" w:cs="Times New Roman"/>
                <w:color w:val="auto"/>
                <w:spacing w:val="-2"/>
                <w:sz w:val="24"/>
                <w:szCs w:val="24"/>
              </w:rPr>
              <w:t>.d</w:t>
            </w:r>
            <w:r>
              <w:rPr>
                <w:color w:val="auto"/>
                <w:spacing w:val="-2"/>
                <w:sz w:val="24"/>
                <w:szCs w:val="24"/>
              </w:rPr>
              <w:t>计取，生活污水按用水量的</w:t>
            </w:r>
            <w:r>
              <w:rPr>
                <w:rFonts w:ascii="Times New Roman" w:hAnsi="Times New Roman" w:eastAsia="Times New Roman" w:cs="Times New Roman"/>
                <w:color w:val="auto"/>
                <w:spacing w:val="-2"/>
                <w:sz w:val="24"/>
                <w:szCs w:val="24"/>
              </w:rPr>
              <w:t>80%</w:t>
            </w:r>
            <w:r>
              <w:rPr>
                <w:color w:val="auto"/>
                <w:spacing w:val="-2"/>
                <w:sz w:val="24"/>
                <w:szCs w:val="24"/>
              </w:rPr>
              <w:t>计，则施工期间产生的</w:t>
            </w:r>
            <w:r>
              <w:rPr>
                <w:rFonts w:hint="eastAsia"/>
                <w:color w:val="auto"/>
                <w:spacing w:val="-2"/>
                <w:sz w:val="24"/>
                <w:szCs w:val="24"/>
                <w:lang w:eastAsia="zh-CN"/>
              </w:rPr>
              <w:t>生活污水</w:t>
            </w:r>
            <w:r>
              <w:rPr>
                <w:color w:val="auto"/>
                <w:spacing w:val="-1"/>
                <w:sz w:val="24"/>
                <w:szCs w:val="24"/>
              </w:rPr>
              <w:t>为</w:t>
            </w:r>
            <w:r>
              <w:rPr>
                <w:rFonts w:ascii="Times New Roman" w:hAnsi="Times New Roman" w:eastAsia="Times New Roman" w:cs="Times New Roman"/>
                <w:color w:val="auto"/>
                <w:spacing w:val="-1"/>
                <w:sz w:val="24"/>
                <w:szCs w:val="24"/>
              </w:rPr>
              <w:t>Q=50</w:t>
            </w:r>
            <w:r>
              <w:rPr>
                <w:color w:val="auto"/>
                <w:spacing w:val="-1"/>
                <w:sz w:val="24"/>
                <w:szCs w:val="24"/>
              </w:rPr>
              <w:t>人×</w:t>
            </w:r>
            <w:r>
              <w:rPr>
                <w:rFonts w:ascii="Times New Roman" w:hAnsi="Times New Roman" w:eastAsia="Times New Roman" w:cs="Times New Roman"/>
                <w:color w:val="auto"/>
                <w:spacing w:val="-1"/>
                <w:sz w:val="24"/>
                <w:szCs w:val="24"/>
              </w:rPr>
              <w:t>50L/</w:t>
            </w:r>
            <w:r>
              <w:rPr>
                <w:color w:val="auto"/>
                <w:spacing w:val="-1"/>
                <w:sz w:val="24"/>
                <w:szCs w:val="24"/>
              </w:rPr>
              <w:t>人</w:t>
            </w:r>
            <w:r>
              <w:rPr>
                <w:rFonts w:ascii="Times New Roman" w:hAnsi="Times New Roman" w:eastAsia="Times New Roman" w:cs="Times New Roman"/>
                <w:color w:val="auto"/>
                <w:spacing w:val="-1"/>
                <w:sz w:val="24"/>
                <w:szCs w:val="24"/>
              </w:rPr>
              <w:t>.d</w:t>
            </w:r>
            <w:r>
              <w:rPr>
                <w:color w:val="auto"/>
                <w:spacing w:val="-1"/>
                <w:sz w:val="24"/>
                <w:szCs w:val="24"/>
              </w:rPr>
              <w:t>×</w:t>
            </w:r>
            <w:r>
              <w:rPr>
                <w:rFonts w:ascii="Times New Roman" w:hAnsi="Times New Roman" w:eastAsia="Times New Roman" w:cs="Times New Roman"/>
                <w:color w:val="auto"/>
                <w:spacing w:val="-1"/>
                <w:sz w:val="24"/>
                <w:szCs w:val="24"/>
              </w:rPr>
              <w:t>0.80=2m</w:t>
            </w:r>
            <w:r>
              <w:rPr>
                <w:rFonts w:ascii="Times New Roman" w:hAnsi="Times New Roman" w:eastAsia="Times New Roman" w:cs="Times New Roman"/>
                <w:color w:val="auto"/>
                <w:spacing w:val="-1"/>
                <w:position w:val="7"/>
                <w:sz w:val="15"/>
                <w:szCs w:val="15"/>
              </w:rPr>
              <w:t>3</w:t>
            </w:r>
            <w:r>
              <w:rPr>
                <w:rFonts w:ascii="Times New Roman" w:hAnsi="Times New Roman" w:eastAsia="Times New Roman" w:cs="Times New Roman"/>
                <w:color w:val="auto"/>
                <w:spacing w:val="-1"/>
                <w:sz w:val="24"/>
                <w:szCs w:val="24"/>
              </w:rPr>
              <w:t>/d</w:t>
            </w:r>
            <w:r>
              <w:rPr>
                <w:rFonts w:hint="eastAsia" w:ascii="Times New Roman" w:hAnsi="Times New Roman" w:eastAsia="宋体" w:cs="Times New Roman"/>
                <w:color w:val="auto"/>
                <w:spacing w:val="-1"/>
                <w:sz w:val="24"/>
                <w:szCs w:val="24"/>
                <w:lang w:eastAsia="zh-CN"/>
              </w:rPr>
              <w:t>，</w:t>
            </w:r>
            <w:r>
              <w:rPr>
                <w:color w:val="auto"/>
                <w:spacing w:val="-1"/>
                <w:sz w:val="24"/>
                <w:szCs w:val="24"/>
              </w:rPr>
              <w:t>施工期生活污水排入</w:t>
            </w:r>
            <w:r>
              <w:rPr>
                <w:rFonts w:hint="eastAsia"/>
                <w:color w:val="auto"/>
                <w:spacing w:val="-1"/>
                <w:sz w:val="24"/>
                <w:szCs w:val="24"/>
                <w:lang w:val="en-US" w:eastAsia="zh-CN"/>
              </w:rPr>
              <w:t>就近园区</w:t>
            </w:r>
            <w:r>
              <w:rPr>
                <w:color w:val="auto"/>
                <w:spacing w:val="-1"/>
                <w:sz w:val="24"/>
                <w:szCs w:val="24"/>
              </w:rPr>
              <w:t>污水</w:t>
            </w:r>
            <w:r>
              <w:rPr>
                <w:rFonts w:hint="eastAsia"/>
                <w:color w:val="auto"/>
                <w:spacing w:val="-1"/>
                <w:sz w:val="24"/>
                <w:szCs w:val="24"/>
                <w:lang w:val="en-US" w:eastAsia="zh-CN"/>
              </w:rPr>
              <w:t>管网</w:t>
            </w:r>
            <w:r>
              <w:rPr>
                <w:color w:val="auto"/>
                <w:spacing w:val="-5"/>
                <w:sz w:val="24"/>
                <w:szCs w:val="24"/>
              </w:rPr>
              <w:t>。</w:t>
            </w:r>
          </w:p>
          <w:p w14:paraId="66F11BBF">
            <w:pPr>
              <w:pStyle w:val="76"/>
              <w:spacing w:before="44" w:line="361" w:lineRule="exact"/>
              <w:ind w:left="601"/>
              <w:rPr>
                <w:color w:val="auto"/>
                <w:sz w:val="24"/>
                <w:szCs w:val="24"/>
              </w:rPr>
            </w:pPr>
            <w:r>
              <w:rPr>
                <w:color w:val="auto"/>
                <w:spacing w:val="-5"/>
                <w:position w:val="2"/>
                <w:sz w:val="24"/>
                <w:szCs w:val="24"/>
              </w:rPr>
              <w:t>（</w:t>
            </w:r>
            <w:r>
              <w:rPr>
                <w:rFonts w:ascii="Times New Roman" w:hAnsi="Times New Roman" w:eastAsia="Times New Roman" w:cs="Times New Roman"/>
                <w:color w:val="auto"/>
                <w:spacing w:val="-5"/>
                <w:position w:val="2"/>
                <w:sz w:val="24"/>
                <w:szCs w:val="24"/>
              </w:rPr>
              <w:t>3</w:t>
            </w:r>
            <w:r>
              <w:rPr>
                <w:color w:val="auto"/>
                <w:spacing w:val="-5"/>
                <w:position w:val="2"/>
                <w:sz w:val="24"/>
                <w:szCs w:val="24"/>
              </w:rPr>
              <w:t>）噪声</w:t>
            </w:r>
          </w:p>
          <w:p w14:paraId="7E915A88">
            <w:pPr>
              <w:pStyle w:val="76"/>
              <w:spacing w:before="182" w:line="356" w:lineRule="auto"/>
              <w:ind w:left="110" w:right="102" w:firstLine="2"/>
              <w:rPr>
                <w:color w:val="auto"/>
                <w:sz w:val="24"/>
                <w:szCs w:val="24"/>
              </w:rPr>
            </w:pPr>
            <w:r>
              <w:rPr>
                <w:color w:val="auto"/>
                <w:sz w:val="24"/>
                <w:szCs w:val="24"/>
              </w:rPr>
              <w:t>工程施工中的噪声源可分为连续噪声源和流动噪声源。连续噪声源主要是砂石料加工、空压机、搅拌机及其他各类机泵产生的噪声；流动噪声源主</w:t>
            </w:r>
            <w:r>
              <w:rPr>
                <w:color w:val="auto"/>
                <w:spacing w:val="-1"/>
                <w:sz w:val="24"/>
                <w:szCs w:val="24"/>
              </w:rPr>
              <w:t>要是机动车辆、挖掘机及其他作业设备产生的噪声。</w:t>
            </w:r>
          </w:p>
          <w:p w14:paraId="75651375">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rPr>
                <w:color w:val="auto"/>
                <w:sz w:val="24"/>
                <w:szCs w:val="24"/>
              </w:rPr>
            </w:pPr>
            <w:r>
              <w:rPr>
                <w:color w:val="auto"/>
                <w:spacing w:val="-5"/>
                <w:position w:val="2"/>
                <w:sz w:val="24"/>
                <w:szCs w:val="24"/>
              </w:rPr>
              <w:t>（</w:t>
            </w:r>
            <w:r>
              <w:rPr>
                <w:rFonts w:ascii="Times New Roman" w:hAnsi="Times New Roman" w:eastAsia="Times New Roman" w:cs="Times New Roman"/>
                <w:color w:val="auto"/>
                <w:spacing w:val="-5"/>
                <w:position w:val="2"/>
                <w:sz w:val="24"/>
                <w:szCs w:val="24"/>
              </w:rPr>
              <w:t>4</w:t>
            </w:r>
            <w:r>
              <w:rPr>
                <w:color w:val="auto"/>
                <w:spacing w:val="-5"/>
                <w:position w:val="2"/>
                <w:sz w:val="24"/>
                <w:szCs w:val="24"/>
              </w:rPr>
              <w:t>）固废</w:t>
            </w:r>
          </w:p>
          <w:p w14:paraId="6C825AF2">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b/>
                <w:color w:val="auto"/>
                <w:sz w:val="24"/>
                <w:highlight w:val="none"/>
              </w:rPr>
            </w:pPr>
            <w:r>
              <w:rPr>
                <w:color w:val="auto"/>
                <w:sz w:val="24"/>
                <w:szCs w:val="24"/>
              </w:rPr>
              <w:t>施工期固废主要是施工建筑垃圾、工人产生的生活垃圾等。其中可回收固废集中收集后进行回用；必须外运的弃土以及建筑废料应运至专门的建筑垃圾堆放场。生活垃圾由建设单位在施工区设垃圾箱</w:t>
            </w:r>
            <w:r>
              <w:rPr>
                <w:color w:val="auto"/>
                <w:spacing w:val="-1"/>
                <w:sz w:val="24"/>
                <w:szCs w:val="24"/>
              </w:rPr>
              <w:t>收集后，统一运送至生活垃圾填埋场卫生填埋。</w:t>
            </w:r>
          </w:p>
          <w:p w14:paraId="0A87C190">
            <w:pPr>
              <w:keepNext w:val="0"/>
              <w:keepLines w:val="0"/>
              <w:pageBreakBefore w:val="0"/>
              <w:widowControl w:val="0"/>
              <w:kinsoku/>
              <w:wordWrap/>
              <w:overflowPunct/>
              <w:topLinePunct/>
              <w:autoSpaceDE/>
              <w:autoSpaceDN/>
              <w:bidi w:val="0"/>
              <w:adjustRightInd/>
              <w:snapToGrid/>
              <w:spacing w:line="360" w:lineRule="auto"/>
              <w:ind w:right="0"/>
              <w:textAlignment w:val="auto"/>
              <w:rPr>
                <w:color w:val="auto"/>
                <w:sz w:val="24"/>
                <w:highlight w:val="none"/>
              </w:rPr>
            </w:pPr>
            <w:r>
              <w:rPr>
                <w:rFonts w:hint="eastAsia"/>
                <w:b/>
                <w:color w:val="auto"/>
                <w:sz w:val="24"/>
                <w:highlight w:val="none"/>
              </w:rPr>
              <w:t>2运营期工艺流程及产污环节</w:t>
            </w:r>
          </w:p>
          <w:p w14:paraId="38B8640C">
            <w:pPr>
              <w:topLinePunct/>
              <w:spacing w:line="520" w:lineRule="exact"/>
              <w:rPr>
                <w:b/>
                <w:bCs/>
                <w:color w:val="auto"/>
                <w:sz w:val="24"/>
                <w:highlight w:val="none"/>
              </w:rPr>
            </w:pPr>
            <w:r>
              <w:rPr>
                <w:rFonts w:hint="eastAsia"/>
                <w:b/>
                <w:bCs/>
                <w:color w:val="auto"/>
                <w:sz w:val="24"/>
                <w:highlight w:val="none"/>
              </w:rPr>
              <w:t>2.1运营期生产工艺流程</w:t>
            </w:r>
          </w:p>
          <w:p w14:paraId="63BB7527">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rFonts w:ascii="Times New Roman" w:hAnsi="Times New Roman" w:eastAsia="Times New Roman" w:cs="Times New Roman"/>
                <w:color w:val="auto"/>
                <w:spacing w:val="-2"/>
                <w:position w:val="2"/>
                <w:sz w:val="24"/>
                <w:szCs w:val="24"/>
              </w:rPr>
              <w:t>MPCVD</w:t>
            </w:r>
            <w:r>
              <w:rPr>
                <w:color w:val="auto"/>
                <w:spacing w:val="-2"/>
                <w:position w:val="2"/>
                <w:sz w:val="24"/>
                <w:szCs w:val="24"/>
              </w:rPr>
              <w:t>金刚石生产系统</w:t>
            </w:r>
          </w:p>
          <w:p w14:paraId="507B1F8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rFonts w:ascii="Times New Roman" w:hAnsi="Times New Roman" w:eastAsia="Times New Roman" w:cs="Times New Roman"/>
                <w:color w:val="auto"/>
                <w:spacing w:val="-2"/>
                <w:position w:val="2"/>
                <w:sz w:val="24"/>
                <w:szCs w:val="24"/>
              </w:rPr>
              <w:t>1</w:t>
            </w:r>
            <w:r>
              <w:rPr>
                <w:color w:val="auto"/>
                <w:spacing w:val="-2"/>
                <w:position w:val="2"/>
                <w:sz w:val="24"/>
                <w:szCs w:val="24"/>
              </w:rPr>
              <w:t>）微波等离子体化学气相沉积法介绍</w:t>
            </w:r>
          </w:p>
          <w:p w14:paraId="527FFDC2">
            <w:pPr>
              <w:pStyle w:val="76"/>
              <w:keepNext w:val="0"/>
              <w:keepLines w:val="0"/>
              <w:pageBreakBefore w:val="0"/>
              <w:widowControl w:val="0"/>
              <w:kinsoku/>
              <w:wordWrap/>
              <w:overflowPunct/>
              <w:topLinePunct w:val="0"/>
              <w:autoSpaceDE/>
              <w:autoSpaceDN/>
              <w:bidi w:val="0"/>
              <w:adjustRightInd/>
              <w:snapToGrid/>
              <w:spacing w:line="360" w:lineRule="auto"/>
              <w:ind w:left="0" w:right="0" w:firstLine="516" w:firstLineChars="200"/>
              <w:textAlignment w:val="auto"/>
              <w:rPr>
                <w:color w:val="auto"/>
                <w:spacing w:val="1"/>
                <w:sz w:val="24"/>
                <w:szCs w:val="24"/>
              </w:rPr>
            </w:pPr>
            <w:r>
              <w:rPr>
                <w:color w:val="auto"/>
                <w:spacing w:val="9"/>
                <w:sz w:val="24"/>
                <w:szCs w:val="24"/>
              </w:rPr>
              <w:t>微波等离子体化学气相沉积法合成金刚石是指在压力</w:t>
            </w:r>
            <w:r>
              <w:rPr>
                <w:rFonts w:ascii="Times New Roman" w:hAnsi="Times New Roman" w:eastAsia="Times New Roman" w:cs="Times New Roman"/>
                <w:color w:val="auto"/>
                <w:spacing w:val="9"/>
                <w:sz w:val="24"/>
                <w:szCs w:val="24"/>
              </w:rPr>
              <w:t>≤100</w:t>
            </w:r>
            <w:r>
              <w:rPr>
                <w:rFonts w:ascii="Times New Roman" w:hAnsi="Times New Roman" w:eastAsia="Times New Roman" w:cs="Times New Roman"/>
                <w:color w:val="auto"/>
                <w:sz w:val="24"/>
                <w:szCs w:val="24"/>
              </w:rPr>
              <w:t>kPa</w:t>
            </w:r>
            <w:r>
              <w:rPr>
                <w:color w:val="auto"/>
                <w:spacing w:val="9"/>
                <w:sz w:val="24"/>
                <w:szCs w:val="24"/>
              </w:rPr>
              <w:t>和温度</w:t>
            </w:r>
            <w:r>
              <w:rPr>
                <w:rFonts w:ascii="Times New Roman" w:hAnsi="Times New Roman" w:eastAsia="Times New Roman" w:cs="Times New Roman"/>
                <w:color w:val="auto"/>
                <w:sz w:val="24"/>
                <w:szCs w:val="24"/>
              </w:rPr>
              <w:t>800~1000</w:t>
            </w:r>
            <w:r>
              <w:rPr>
                <w:color w:val="auto"/>
                <w:sz w:val="24"/>
                <w:szCs w:val="24"/>
              </w:rPr>
              <w:t>℃的反应条件下，在真空反应舱内用微波将甲烷（</w:t>
            </w:r>
            <w:r>
              <w:rPr>
                <w:rFonts w:ascii="Times New Roman" w:hAnsi="Times New Roman" w:eastAsia="Times New Roman" w:cs="Times New Roman"/>
                <w:color w:val="auto"/>
                <w:sz w:val="24"/>
                <w:szCs w:val="24"/>
              </w:rPr>
              <w:t>CH</w:t>
            </w:r>
            <w:r>
              <w:rPr>
                <w:rFonts w:ascii="Times New Roman" w:hAnsi="Times New Roman" w:eastAsia="Times New Roman" w:cs="Times New Roman"/>
                <w:color w:val="auto"/>
                <w:sz w:val="24"/>
                <w:szCs w:val="24"/>
                <w:vertAlign w:val="subscript"/>
              </w:rPr>
              <w:t>4</w:t>
            </w:r>
            <w:r>
              <w:rPr>
                <w:color w:val="auto"/>
                <w:sz w:val="24"/>
                <w:szCs w:val="24"/>
              </w:rPr>
              <w:t>）生</w:t>
            </w:r>
            <w:r>
              <w:rPr>
                <w:color w:val="auto"/>
                <w:spacing w:val="1"/>
                <w:sz w:val="24"/>
                <w:szCs w:val="24"/>
              </w:rPr>
              <w:t>成等离子体</w:t>
            </w:r>
            <w:r>
              <w:rPr>
                <w:rFonts w:ascii="Times New Roman" w:hAnsi="Times New Roman" w:eastAsia="Times New Roman" w:cs="Times New Roman"/>
                <w:color w:val="auto"/>
                <w:sz w:val="24"/>
                <w:szCs w:val="24"/>
              </w:rPr>
              <w:t>，C从</w:t>
            </w:r>
            <w:r>
              <w:rPr>
                <w:color w:val="auto"/>
                <w:spacing w:val="1"/>
                <w:sz w:val="24"/>
                <w:szCs w:val="24"/>
              </w:rPr>
              <w:t>气体化合物的状态分解成单独游离的原子态，经过扩散和对流，使其中的碳原子在基底（晶种）上过饱和沉积、生长成金刚石。碳源气体被激活和碳原子的沉积过程伴随着一系列化学反应，因此这种合成金刚石的方法被称为化学气相沉积法。</w:t>
            </w:r>
          </w:p>
          <w:p w14:paraId="690E046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由于CH</w:t>
            </w:r>
            <w:r>
              <w:rPr>
                <w:rFonts w:hint="default" w:ascii="Times New Roman" w:hAnsi="Times New Roman" w:cs="Times New Roman"/>
                <w:color w:val="auto"/>
                <w:spacing w:val="1"/>
                <w:sz w:val="24"/>
                <w:szCs w:val="24"/>
                <w:vertAlign w:val="subscript"/>
              </w:rPr>
              <w:t>3</w:t>
            </w:r>
            <w:r>
              <w:rPr>
                <w:rFonts w:hint="default" w:ascii="Times New Roman" w:hAnsi="Times New Roman" w:cs="Times New Roman"/>
                <w:color w:val="auto"/>
                <w:spacing w:val="1"/>
                <w:sz w:val="24"/>
                <w:szCs w:val="24"/>
              </w:rPr>
              <w:t>·具有金刚石结构，而其悬挂键又被大量的氢原子所饱和，因此，金刚石膜表面就保持了稳定的sp3杂化结构，即金刚石的四面体结构。若其上沉积新的碳原子，就可能与其键合形成sp3杂化键，从而形成金刚石晶体，如此循环反复即可得到金刚石膜。MPCVD金刚石膜生长过程中sp3结构碳生成的具体过程如下图所示。</w:t>
            </w:r>
          </w:p>
          <w:p w14:paraId="70D75C88">
            <w:pPr>
              <w:spacing w:line="5251" w:lineRule="exact"/>
              <w:ind w:firstLine="100"/>
              <w:rPr>
                <w:color w:val="auto"/>
              </w:rPr>
            </w:pPr>
            <w:r>
              <w:rPr>
                <w:color w:val="auto"/>
                <w:position w:val="-105"/>
              </w:rPr>
              <w:drawing>
                <wp:inline distT="0" distB="0" distL="0" distR="0">
                  <wp:extent cx="4943475" cy="3334385"/>
                  <wp:effectExtent l="0" t="0" r="9525" b="3175"/>
                  <wp:docPr id="2" name="IM 18"/>
                  <wp:cNvGraphicFramePr/>
                  <a:graphic xmlns:a="http://schemas.openxmlformats.org/drawingml/2006/main">
                    <a:graphicData uri="http://schemas.openxmlformats.org/drawingml/2006/picture">
                      <pic:pic xmlns:pic="http://schemas.openxmlformats.org/drawingml/2006/picture">
                        <pic:nvPicPr>
                          <pic:cNvPr id="2" name="IM 18"/>
                          <pic:cNvPicPr/>
                        </pic:nvPicPr>
                        <pic:blipFill>
                          <a:blip r:embed="rId10"/>
                          <a:stretch>
                            <a:fillRect/>
                          </a:stretch>
                        </pic:blipFill>
                        <pic:spPr>
                          <a:xfrm>
                            <a:off x="0" y="0"/>
                            <a:ext cx="4943855" cy="3334511"/>
                          </a:xfrm>
                          <a:prstGeom prst="rect">
                            <a:avLst/>
                          </a:prstGeom>
                        </pic:spPr>
                      </pic:pic>
                    </a:graphicData>
                  </a:graphic>
                </wp:inline>
              </w:drawing>
            </w:r>
          </w:p>
          <w:p w14:paraId="10B8009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要实现金刚石的化学气相沉积有几个必要条件：</w:t>
            </w:r>
          </w:p>
          <w:p w14:paraId="5D4E59B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color w:val="auto"/>
                <w:sz w:val="24"/>
                <w:szCs w:val="24"/>
              </w:rPr>
            </w:pPr>
            <w:r>
              <w:rPr>
                <w:color w:val="auto"/>
                <w:spacing w:val="1"/>
                <w:sz w:val="24"/>
                <w:szCs w:val="24"/>
              </w:rPr>
              <w:t>①有碳源气体和激活碳源气体的能量，将碳原子从碳源气体中</w:t>
            </w:r>
            <w:r>
              <w:rPr>
                <w:rFonts w:ascii="Times New Roman" w:hAnsi="Times New Roman" w:eastAsia="Times New Roman" w:cs="Times New Roman"/>
                <w:color w:val="auto"/>
                <w:spacing w:val="1"/>
                <w:sz w:val="24"/>
                <w:szCs w:val="24"/>
              </w:rPr>
              <w:t>“</w:t>
            </w:r>
            <w:r>
              <w:rPr>
                <w:color w:val="auto"/>
                <w:spacing w:val="1"/>
                <w:sz w:val="24"/>
                <w:szCs w:val="24"/>
              </w:rPr>
              <w:t>剥离</w:t>
            </w:r>
            <w:r>
              <w:rPr>
                <w:rFonts w:ascii="Times New Roman" w:hAnsi="Times New Roman" w:eastAsia="Times New Roman" w:cs="Times New Roman"/>
                <w:color w:val="auto"/>
                <w:spacing w:val="1"/>
                <w:sz w:val="24"/>
                <w:szCs w:val="24"/>
              </w:rPr>
              <w:t>”</w:t>
            </w:r>
            <w:r>
              <w:rPr>
                <w:color w:val="auto"/>
                <w:spacing w:val="1"/>
                <w:sz w:val="24"/>
                <w:szCs w:val="24"/>
              </w:rPr>
              <w:t>出</w:t>
            </w:r>
            <w:r>
              <w:rPr>
                <w:color w:val="auto"/>
                <w:spacing w:val="-6"/>
                <w:sz w:val="24"/>
                <w:szCs w:val="24"/>
              </w:rPr>
              <w:t>来；</w:t>
            </w:r>
          </w:p>
          <w:p w14:paraId="40170F4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color w:val="auto"/>
                <w:sz w:val="24"/>
                <w:szCs w:val="24"/>
              </w:rPr>
            </w:pPr>
            <w:r>
              <w:rPr>
                <w:color w:val="auto"/>
                <w:spacing w:val="3"/>
                <w:sz w:val="24"/>
                <w:szCs w:val="24"/>
              </w:rPr>
              <w:t>②有供</w:t>
            </w:r>
            <w:r>
              <w:rPr>
                <w:rFonts w:ascii="Times New Roman" w:hAnsi="Times New Roman" w:eastAsia="Times New Roman" w:cs="Times New Roman"/>
                <w:color w:val="auto"/>
                <w:sz w:val="24"/>
                <w:szCs w:val="24"/>
              </w:rPr>
              <w:t>CVD</w:t>
            </w:r>
            <w:r>
              <w:rPr>
                <w:color w:val="auto"/>
                <w:spacing w:val="3"/>
                <w:sz w:val="24"/>
                <w:szCs w:val="24"/>
              </w:rPr>
              <w:t>金刚石生长的物理空间，即基底，或称种晶，根据实验目</w:t>
            </w:r>
            <w:r>
              <w:rPr>
                <w:color w:val="auto"/>
                <w:spacing w:val="-9"/>
                <w:sz w:val="24"/>
                <w:szCs w:val="24"/>
              </w:rPr>
              <w:t>的的不同可选用不同的基底，常用作基底的材料有硅、钨、钼</w:t>
            </w:r>
            <w:r>
              <w:rPr>
                <w:color w:val="auto"/>
                <w:spacing w:val="-10"/>
                <w:sz w:val="24"/>
                <w:szCs w:val="24"/>
              </w:rPr>
              <w:t>等，但目前</w:t>
            </w:r>
            <w:r>
              <w:rPr>
                <w:rFonts w:ascii="Times New Roman" w:hAnsi="Times New Roman" w:eastAsia="Times New Roman" w:cs="Times New Roman"/>
                <w:color w:val="auto"/>
                <w:spacing w:val="-10"/>
                <w:sz w:val="24"/>
                <w:szCs w:val="24"/>
              </w:rPr>
              <w:t>CVD</w:t>
            </w:r>
            <w:r>
              <w:rPr>
                <w:color w:val="auto"/>
                <w:spacing w:val="5"/>
                <w:sz w:val="24"/>
                <w:szCs w:val="24"/>
              </w:rPr>
              <w:t>法合成单晶金刚石必须采用金刚石作种晶，才能实现单晶</w:t>
            </w:r>
            <w:r>
              <w:rPr>
                <w:rFonts w:ascii="Times New Roman" w:hAnsi="Times New Roman" w:eastAsia="Times New Roman" w:cs="Times New Roman"/>
                <w:color w:val="auto"/>
                <w:sz w:val="24"/>
                <w:szCs w:val="24"/>
              </w:rPr>
              <w:t>CVD</w:t>
            </w:r>
            <w:r>
              <w:rPr>
                <w:color w:val="auto"/>
                <w:spacing w:val="5"/>
                <w:sz w:val="24"/>
                <w:szCs w:val="24"/>
              </w:rPr>
              <w:t>金刚石的同</w:t>
            </w:r>
            <w:r>
              <w:rPr>
                <w:color w:val="auto"/>
                <w:spacing w:val="-2"/>
                <w:sz w:val="24"/>
                <w:szCs w:val="24"/>
              </w:rPr>
              <w:t>质外延生长；</w:t>
            </w:r>
          </w:p>
          <w:p w14:paraId="0C9F069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③有供化学气相沉积反应发生的生长室，且有配套设施提供生长所需的</w:t>
            </w:r>
            <w:r>
              <w:rPr>
                <w:color w:val="auto"/>
                <w:spacing w:val="-2"/>
                <w:sz w:val="24"/>
                <w:szCs w:val="24"/>
              </w:rPr>
              <w:t>低压环境；</w:t>
            </w:r>
          </w:p>
          <w:p w14:paraId="47B4EEB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color w:val="auto"/>
                <w:sz w:val="24"/>
                <w:szCs w:val="24"/>
              </w:rPr>
            </w:pPr>
            <w:r>
              <w:rPr>
                <w:color w:val="auto"/>
                <w:spacing w:val="3"/>
                <w:sz w:val="24"/>
                <w:szCs w:val="24"/>
              </w:rPr>
              <w:t>④有氢气，碳原子的激活和沉积，以及</w:t>
            </w:r>
            <w:r>
              <w:rPr>
                <w:rFonts w:ascii="Times New Roman" w:hAnsi="Times New Roman" w:eastAsia="Times New Roman" w:cs="Times New Roman"/>
                <w:color w:val="auto"/>
                <w:sz w:val="24"/>
                <w:szCs w:val="24"/>
              </w:rPr>
              <w:t>CVD</w:t>
            </w:r>
            <w:r>
              <w:rPr>
                <w:color w:val="auto"/>
                <w:spacing w:val="3"/>
                <w:sz w:val="24"/>
                <w:szCs w:val="24"/>
              </w:rPr>
              <w:t>金刚石的生长必须在高浓</w:t>
            </w:r>
            <w:r>
              <w:rPr>
                <w:color w:val="auto"/>
                <w:spacing w:val="-1"/>
                <w:sz w:val="24"/>
                <w:szCs w:val="24"/>
              </w:rPr>
              <w:t>度的氢气中进行，抑制碳原子不形成石墨，保持电中性。</w:t>
            </w:r>
          </w:p>
          <w:p w14:paraId="65A2B158">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color w:val="auto"/>
                <w:spacing w:val="-2"/>
                <w:position w:val="2"/>
                <w:sz w:val="24"/>
                <w:szCs w:val="24"/>
              </w:rPr>
              <w:t>本项目原料气体为氢气、甲烷、二氧化碳、氩气，在反应压力</w:t>
            </w:r>
            <w:r>
              <w:rPr>
                <w:rFonts w:ascii="Times New Roman" w:hAnsi="Times New Roman" w:eastAsia="Times New Roman" w:cs="Times New Roman"/>
                <w:color w:val="auto"/>
                <w:spacing w:val="-2"/>
                <w:position w:val="2"/>
                <w:sz w:val="24"/>
                <w:szCs w:val="24"/>
              </w:rPr>
              <w:t>≤100kPa</w:t>
            </w:r>
            <w:r>
              <w:rPr>
                <w:rFonts w:hint="eastAsia" w:eastAsia="宋体" w:cs="Times New Roman"/>
                <w:color w:val="auto"/>
                <w:spacing w:val="-2"/>
                <w:position w:val="2"/>
                <w:sz w:val="24"/>
                <w:szCs w:val="24"/>
                <w:lang w:eastAsia="zh-CN"/>
              </w:rPr>
              <w:t>，</w:t>
            </w:r>
            <w:r>
              <w:rPr>
                <w:color w:val="auto"/>
                <w:spacing w:val="-3"/>
                <w:sz w:val="24"/>
                <w:szCs w:val="24"/>
              </w:rPr>
              <w:t>温度</w:t>
            </w:r>
            <w:r>
              <w:rPr>
                <w:rFonts w:ascii="Times New Roman" w:hAnsi="Times New Roman" w:eastAsia="Times New Roman" w:cs="Times New Roman"/>
                <w:color w:val="auto"/>
                <w:spacing w:val="-3"/>
                <w:sz w:val="24"/>
                <w:szCs w:val="24"/>
              </w:rPr>
              <w:t>800~1000</w:t>
            </w:r>
            <w:r>
              <w:rPr>
                <w:color w:val="auto"/>
                <w:spacing w:val="-3"/>
                <w:sz w:val="24"/>
                <w:szCs w:val="24"/>
              </w:rPr>
              <w:t>℃条件下，高浓度氢气提供还原氛围，氩气为保护气体，不参</w:t>
            </w:r>
            <w:r>
              <w:rPr>
                <w:color w:val="auto"/>
                <w:spacing w:val="-1"/>
                <w:sz w:val="24"/>
                <w:szCs w:val="24"/>
              </w:rPr>
              <w:t>与气体反应，气体间发生的反应如下：</w:t>
            </w:r>
          </w:p>
          <w:p w14:paraId="1BB2E782">
            <w:pPr>
              <w:spacing w:before="18" w:line="315" w:lineRule="exact"/>
              <w:ind w:left="589"/>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1"/>
                <w:position w:val="4"/>
                <w:sz w:val="24"/>
                <w:szCs w:val="24"/>
              </w:rPr>
              <w:t>CH</w:t>
            </w:r>
            <w:r>
              <w:rPr>
                <w:rFonts w:ascii="Times New Roman" w:hAnsi="Times New Roman" w:eastAsia="Times New Roman" w:cs="Times New Roman"/>
                <w:color w:val="auto"/>
                <w:spacing w:val="-1"/>
                <w:position w:val="3"/>
                <w:sz w:val="15"/>
                <w:szCs w:val="15"/>
              </w:rPr>
              <w:t>4</w:t>
            </w:r>
            <w:r>
              <w:rPr>
                <w:rFonts w:ascii="Times New Roman" w:hAnsi="Times New Roman" w:eastAsia="Times New Roman" w:cs="Times New Roman"/>
                <w:color w:val="auto"/>
                <w:spacing w:val="-1"/>
                <w:position w:val="4"/>
                <w:sz w:val="24"/>
                <w:szCs w:val="24"/>
              </w:rPr>
              <w:t>→C+2H</w:t>
            </w:r>
            <w:r>
              <w:rPr>
                <w:rFonts w:ascii="Times New Roman" w:hAnsi="Times New Roman" w:eastAsia="Times New Roman" w:cs="Times New Roman"/>
                <w:color w:val="auto"/>
                <w:spacing w:val="-1"/>
                <w:position w:val="3"/>
                <w:sz w:val="15"/>
                <w:szCs w:val="15"/>
              </w:rPr>
              <w:t>2</w:t>
            </w:r>
            <w:r>
              <w:rPr>
                <w:rFonts w:ascii="Times New Roman" w:hAnsi="Times New Roman" w:eastAsia="Times New Roman" w:cs="Times New Roman"/>
                <w:color w:val="auto"/>
                <w:spacing w:val="-1"/>
                <w:position w:val="4"/>
                <w:sz w:val="24"/>
                <w:szCs w:val="24"/>
              </w:rPr>
              <w:t>↑</w:t>
            </w:r>
          </w:p>
          <w:p w14:paraId="4BCB8FC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rFonts w:ascii="Times New Roman" w:hAnsi="Times New Roman" w:eastAsia="Times New Roman" w:cs="Times New Roman"/>
                <w:color w:val="auto"/>
                <w:spacing w:val="-1"/>
                <w:position w:val="2"/>
                <w:sz w:val="24"/>
                <w:szCs w:val="24"/>
              </w:rPr>
              <w:t>2</w:t>
            </w:r>
            <w:r>
              <w:rPr>
                <w:color w:val="auto"/>
                <w:spacing w:val="-1"/>
                <w:position w:val="2"/>
                <w:sz w:val="24"/>
                <w:szCs w:val="24"/>
              </w:rPr>
              <w:t>）生产工艺说明如下：</w:t>
            </w:r>
          </w:p>
          <w:p w14:paraId="470ADA77">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4" w:firstLineChars="200"/>
              <w:jc w:val="both"/>
              <w:textAlignment w:val="auto"/>
              <w:rPr>
                <w:color w:val="auto"/>
                <w:sz w:val="24"/>
                <w:szCs w:val="24"/>
              </w:rPr>
            </w:pPr>
            <w:r>
              <w:rPr>
                <w:rFonts w:ascii="Times New Roman" w:hAnsi="Times New Roman" w:eastAsia="Times New Roman" w:cs="Times New Roman"/>
                <w:color w:val="auto"/>
                <w:spacing w:val="-4"/>
                <w:sz w:val="24"/>
                <w:szCs w:val="24"/>
              </w:rPr>
              <w:t>MPCVD</w:t>
            </w:r>
            <w:r>
              <w:rPr>
                <w:color w:val="auto"/>
                <w:spacing w:val="-4"/>
                <w:sz w:val="24"/>
                <w:szCs w:val="24"/>
              </w:rPr>
              <w:t>（微波等离子体化学气相沉积法）原理：是将微波发生器产生的微波用波导管经隔离器进入反应器，并通入</w:t>
            </w:r>
            <w:r>
              <w:rPr>
                <w:rFonts w:ascii="Times New Roman" w:hAnsi="Times New Roman" w:eastAsia="Times New Roman" w:cs="Times New Roman"/>
                <w:color w:val="auto"/>
                <w:spacing w:val="-4"/>
                <w:sz w:val="24"/>
                <w:szCs w:val="24"/>
              </w:rPr>
              <w:t>H</w:t>
            </w:r>
            <w:r>
              <w:rPr>
                <w:rFonts w:ascii="Times New Roman" w:hAnsi="Times New Roman" w:eastAsia="Times New Roman" w:cs="Times New Roman"/>
                <w:color w:val="auto"/>
                <w:spacing w:val="-4"/>
                <w:position w:val="-1"/>
                <w:sz w:val="15"/>
                <w:szCs w:val="15"/>
              </w:rPr>
              <w:t>2</w:t>
            </w:r>
            <w:r>
              <w:rPr>
                <w:color w:val="auto"/>
                <w:spacing w:val="-4"/>
                <w:sz w:val="24"/>
                <w:szCs w:val="24"/>
              </w:rPr>
              <w:t>、</w:t>
            </w:r>
            <w:r>
              <w:rPr>
                <w:rFonts w:ascii="Times New Roman" w:hAnsi="Times New Roman" w:eastAsia="Times New Roman" w:cs="Times New Roman"/>
                <w:color w:val="auto"/>
                <w:spacing w:val="-4"/>
                <w:sz w:val="24"/>
                <w:szCs w:val="24"/>
              </w:rPr>
              <w:t>CH</w:t>
            </w:r>
            <w:r>
              <w:rPr>
                <w:rFonts w:ascii="Times New Roman" w:hAnsi="Times New Roman" w:eastAsia="Times New Roman" w:cs="Times New Roman"/>
                <w:color w:val="auto"/>
                <w:spacing w:val="-4"/>
                <w:position w:val="-1"/>
                <w:sz w:val="15"/>
                <w:szCs w:val="15"/>
              </w:rPr>
              <w:t>4</w:t>
            </w:r>
            <w:r>
              <w:rPr>
                <w:color w:val="auto"/>
                <w:spacing w:val="-4"/>
                <w:sz w:val="24"/>
                <w:szCs w:val="24"/>
              </w:rPr>
              <w:t>和</w:t>
            </w:r>
            <w:r>
              <w:rPr>
                <w:rFonts w:ascii="Times New Roman" w:hAnsi="Times New Roman" w:eastAsia="Times New Roman" w:cs="Times New Roman"/>
                <w:color w:val="auto"/>
                <w:spacing w:val="-4"/>
                <w:sz w:val="24"/>
                <w:szCs w:val="24"/>
              </w:rPr>
              <w:t>CO</w:t>
            </w:r>
            <w:r>
              <w:rPr>
                <w:rFonts w:ascii="Times New Roman" w:hAnsi="Times New Roman" w:eastAsia="Times New Roman" w:cs="Times New Roman"/>
                <w:color w:val="auto"/>
                <w:spacing w:val="-4"/>
                <w:position w:val="-1"/>
                <w:sz w:val="15"/>
                <w:szCs w:val="15"/>
              </w:rPr>
              <w:t>2</w:t>
            </w:r>
            <w:r>
              <w:rPr>
                <w:color w:val="auto"/>
                <w:spacing w:val="-4"/>
                <w:sz w:val="24"/>
                <w:szCs w:val="24"/>
              </w:rPr>
              <w:t>的混合气体，在</w:t>
            </w:r>
            <w:r>
              <w:rPr>
                <w:color w:val="auto"/>
                <w:sz w:val="24"/>
                <w:szCs w:val="24"/>
              </w:rPr>
              <w:t>微波的激励下，在反应室内产生辉光放电，使反应的气体分子化，产生等离</w:t>
            </w:r>
            <w:r>
              <w:rPr>
                <w:color w:val="auto"/>
                <w:spacing w:val="-5"/>
                <w:sz w:val="24"/>
                <w:szCs w:val="24"/>
              </w:rPr>
              <w:t>子体，在衬底上沉积得到金刚石膜。甲烷气体是主要参与生成金刚石的原料，</w:t>
            </w:r>
            <w:r>
              <w:rPr>
                <w:color w:val="auto"/>
                <w:sz w:val="24"/>
                <w:szCs w:val="24"/>
              </w:rPr>
              <w:t>二氧化碳的加入主要控制碳沉积形成金刚石而非其他形态同素异形体，氢气</w:t>
            </w:r>
            <w:r>
              <w:rPr>
                <w:color w:val="auto"/>
                <w:spacing w:val="-1"/>
                <w:sz w:val="24"/>
                <w:szCs w:val="24"/>
              </w:rPr>
              <w:t>充当还原性氛围的保护气体：</w:t>
            </w:r>
          </w:p>
          <w:p w14:paraId="7F8E5CE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rFonts w:ascii="Times New Roman" w:hAnsi="Times New Roman" w:eastAsia="Times New Roman" w:cs="Times New Roman"/>
                <w:color w:val="auto"/>
                <w:spacing w:val="-1"/>
                <w:position w:val="2"/>
                <w:sz w:val="24"/>
                <w:szCs w:val="24"/>
              </w:rPr>
              <w:t>CH</w:t>
            </w:r>
            <w:r>
              <w:rPr>
                <w:rFonts w:ascii="Times New Roman" w:hAnsi="Times New Roman" w:eastAsia="Times New Roman" w:cs="Times New Roman"/>
                <w:color w:val="auto"/>
                <w:spacing w:val="-1"/>
                <w:position w:val="1"/>
                <w:sz w:val="15"/>
                <w:szCs w:val="15"/>
              </w:rPr>
              <w:t>4</w:t>
            </w:r>
            <w:r>
              <w:rPr>
                <w:color w:val="auto"/>
                <w:spacing w:val="-1"/>
                <w:position w:val="2"/>
                <w:sz w:val="24"/>
                <w:szCs w:val="24"/>
              </w:rPr>
              <w:t>（活化）</w:t>
            </w:r>
            <w:r>
              <w:rPr>
                <w:rFonts w:ascii="Times New Roman" w:hAnsi="Times New Roman" w:eastAsia="Times New Roman" w:cs="Times New Roman"/>
                <w:color w:val="auto"/>
                <w:spacing w:val="-1"/>
                <w:position w:val="2"/>
                <w:sz w:val="24"/>
                <w:szCs w:val="24"/>
              </w:rPr>
              <w:t>→C</w:t>
            </w:r>
            <w:r>
              <w:rPr>
                <w:color w:val="auto"/>
                <w:spacing w:val="-1"/>
                <w:position w:val="2"/>
                <w:sz w:val="24"/>
                <w:szCs w:val="24"/>
              </w:rPr>
              <w:t>（金刚石）</w:t>
            </w:r>
            <w:r>
              <w:rPr>
                <w:rFonts w:ascii="Times New Roman" w:hAnsi="Times New Roman" w:eastAsia="Times New Roman" w:cs="Times New Roman"/>
                <w:color w:val="auto"/>
                <w:spacing w:val="-1"/>
                <w:position w:val="2"/>
                <w:sz w:val="24"/>
                <w:szCs w:val="24"/>
              </w:rPr>
              <w:t>+2H</w:t>
            </w:r>
            <w:r>
              <w:rPr>
                <w:rFonts w:ascii="Times New Roman" w:hAnsi="Times New Roman" w:eastAsia="Times New Roman" w:cs="Times New Roman"/>
                <w:color w:val="auto"/>
                <w:spacing w:val="-1"/>
                <w:position w:val="1"/>
                <w:sz w:val="15"/>
                <w:szCs w:val="15"/>
              </w:rPr>
              <w:t>2</w:t>
            </w:r>
            <w:r>
              <w:rPr>
                <w:color w:val="auto"/>
                <w:spacing w:val="-1"/>
                <w:position w:val="2"/>
                <w:sz w:val="24"/>
                <w:szCs w:val="24"/>
              </w:rPr>
              <w:t>（气相）</w:t>
            </w:r>
          </w:p>
          <w:p w14:paraId="30E36C6D">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①清洗：通过超声波清洗机清洗原料体。此过</w:t>
            </w:r>
            <w:r>
              <w:rPr>
                <w:color w:val="auto"/>
                <w:spacing w:val="-2"/>
                <w:sz w:val="24"/>
                <w:szCs w:val="24"/>
              </w:rPr>
              <w:t>程会产生噪声</w:t>
            </w:r>
            <w:r>
              <w:rPr>
                <w:rFonts w:hint="eastAsia"/>
                <w:color w:val="auto"/>
                <w:spacing w:val="-2"/>
                <w:sz w:val="24"/>
                <w:szCs w:val="24"/>
                <w:lang w:val="en-US" w:eastAsia="zh-CN"/>
              </w:rPr>
              <w:t>和废水</w:t>
            </w:r>
            <w:r>
              <w:rPr>
                <w:color w:val="auto"/>
                <w:spacing w:val="-2"/>
                <w:sz w:val="24"/>
                <w:szCs w:val="24"/>
              </w:rPr>
              <w:t>；</w:t>
            </w:r>
          </w:p>
          <w:p w14:paraId="79604B9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②</w:t>
            </w:r>
            <w:r>
              <w:rPr>
                <w:rFonts w:ascii="Times New Roman" w:hAnsi="Times New Roman" w:eastAsia="Times New Roman" w:cs="Times New Roman"/>
                <w:color w:val="auto"/>
                <w:sz w:val="24"/>
                <w:szCs w:val="24"/>
              </w:rPr>
              <w:t>CVD</w:t>
            </w:r>
            <w:r>
              <w:rPr>
                <w:color w:val="auto"/>
                <w:sz w:val="24"/>
                <w:szCs w:val="24"/>
              </w:rPr>
              <w:t>沉积：清洗之后的基体放入</w:t>
            </w:r>
            <w:r>
              <w:rPr>
                <w:rFonts w:ascii="Times New Roman" w:hAnsi="Times New Roman" w:eastAsia="Times New Roman" w:cs="Times New Roman"/>
                <w:color w:val="auto"/>
                <w:sz w:val="24"/>
                <w:szCs w:val="24"/>
              </w:rPr>
              <w:t>CVD</w:t>
            </w:r>
            <w:r>
              <w:rPr>
                <w:color w:val="auto"/>
                <w:sz w:val="24"/>
                <w:szCs w:val="24"/>
              </w:rPr>
              <w:t>沉积腔体进行沉积，沉积过程</w:t>
            </w:r>
            <w:r>
              <w:rPr>
                <w:color w:val="auto"/>
                <w:spacing w:val="-6"/>
                <w:sz w:val="24"/>
                <w:szCs w:val="24"/>
              </w:rPr>
              <w:t>中通入氢气、甲烷、二氧化碳等气体，在工作温度</w:t>
            </w:r>
            <w:r>
              <w:rPr>
                <w:rFonts w:ascii="Times New Roman" w:hAnsi="Times New Roman" w:eastAsia="Times New Roman" w:cs="Times New Roman"/>
                <w:color w:val="auto"/>
                <w:spacing w:val="-6"/>
                <w:sz w:val="24"/>
                <w:szCs w:val="24"/>
              </w:rPr>
              <w:t>800</w:t>
            </w:r>
            <w:r>
              <w:rPr>
                <w:color w:val="auto"/>
                <w:spacing w:val="-6"/>
                <w:sz w:val="24"/>
                <w:szCs w:val="24"/>
              </w:rPr>
              <w:t>℃</w:t>
            </w:r>
            <w:r>
              <w:rPr>
                <w:rFonts w:ascii="Times New Roman" w:hAnsi="Times New Roman" w:eastAsia="Times New Roman" w:cs="Times New Roman"/>
                <w:color w:val="auto"/>
                <w:spacing w:val="-6"/>
                <w:sz w:val="24"/>
                <w:szCs w:val="24"/>
              </w:rPr>
              <w:t>~1500</w:t>
            </w:r>
            <w:r>
              <w:rPr>
                <w:color w:val="auto"/>
                <w:spacing w:val="-6"/>
                <w:sz w:val="24"/>
                <w:szCs w:val="24"/>
              </w:rPr>
              <w:t>℃、</w:t>
            </w:r>
            <w:r>
              <w:rPr>
                <w:rFonts w:ascii="Times New Roman" w:hAnsi="Times New Roman" w:eastAsia="Times New Roman" w:cs="Times New Roman"/>
                <w:color w:val="auto"/>
                <w:spacing w:val="-6"/>
                <w:sz w:val="24"/>
                <w:szCs w:val="24"/>
              </w:rPr>
              <w:t>50~100kpa</w:t>
            </w:r>
            <w:r>
              <w:rPr>
                <w:color w:val="auto"/>
                <w:spacing w:val="8"/>
                <w:sz w:val="24"/>
                <w:szCs w:val="24"/>
              </w:rPr>
              <w:t>的工作条件下让合成钻石种子生长，气相沉积腔密闭良好。此过程会</w:t>
            </w:r>
            <w:r>
              <w:rPr>
                <w:color w:val="auto"/>
                <w:spacing w:val="7"/>
                <w:sz w:val="24"/>
                <w:szCs w:val="24"/>
              </w:rPr>
              <w:t>产生</w:t>
            </w:r>
            <w:r>
              <w:rPr>
                <w:rFonts w:ascii="Times New Roman" w:hAnsi="Times New Roman" w:eastAsia="Times New Roman" w:cs="Times New Roman"/>
                <w:color w:val="auto"/>
                <w:spacing w:val="-4"/>
                <w:sz w:val="24"/>
                <w:szCs w:val="24"/>
              </w:rPr>
              <w:t>CVD</w:t>
            </w:r>
            <w:r>
              <w:rPr>
                <w:color w:val="auto"/>
                <w:spacing w:val="-4"/>
                <w:sz w:val="24"/>
                <w:szCs w:val="24"/>
              </w:rPr>
              <w:t>沉积尾气</w:t>
            </w:r>
            <w:r>
              <w:rPr>
                <w:rFonts w:hint="eastAsia"/>
                <w:color w:val="auto"/>
                <w:spacing w:val="-4"/>
                <w:sz w:val="24"/>
                <w:szCs w:val="24"/>
                <w:lang w:eastAsia="zh-CN"/>
              </w:rPr>
              <w:t>、</w:t>
            </w:r>
            <w:r>
              <w:rPr>
                <w:rFonts w:hint="eastAsia"/>
                <w:color w:val="auto"/>
                <w:spacing w:val="-4"/>
                <w:sz w:val="24"/>
                <w:szCs w:val="24"/>
                <w:lang w:val="en-US" w:eastAsia="zh-CN"/>
              </w:rPr>
              <w:t>固废</w:t>
            </w:r>
            <w:r>
              <w:rPr>
                <w:color w:val="auto"/>
                <w:spacing w:val="-4"/>
                <w:sz w:val="24"/>
                <w:szCs w:val="24"/>
              </w:rPr>
              <w:t>；</w:t>
            </w:r>
          </w:p>
          <w:p w14:paraId="4EE46ADD">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③切割成型：采用切割对长大后的合成钻石种子进行处理，把合成钻石表面的多余和不规整的地方切掉，</w:t>
            </w:r>
            <w:r>
              <w:rPr>
                <w:color w:val="auto"/>
                <w:spacing w:val="-2"/>
                <w:sz w:val="24"/>
                <w:szCs w:val="24"/>
              </w:rPr>
              <w:t>此过程会产生切割废气</w:t>
            </w:r>
            <w:r>
              <w:rPr>
                <w:rFonts w:ascii="Times New Roman" w:hAnsi="Times New Roman" w:eastAsia="Times New Roman" w:cs="Times New Roman"/>
                <w:color w:val="auto"/>
                <w:spacing w:val="-2"/>
                <w:sz w:val="24"/>
                <w:szCs w:val="24"/>
              </w:rPr>
              <w:t>G2</w:t>
            </w:r>
            <w:r>
              <w:rPr>
                <w:color w:val="auto"/>
                <w:spacing w:val="-2"/>
                <w:sz w:val="24"/>
                <w:szCs w:val="24"/>
              </w:rPr>
              <w:t>、废渣</w:t>
            </w:r>
            <w:r>
              <w:rPr>
                <w:rFonts w:ascii="Times New Roman" w:hAnsi="Times New Roman" w:eastAsia="Times New Roman" w:cs="Times New Roman"/>
                <w:color w:val="auto"/>
                <w:spacing w:val="-2"/>
                <w:sz w:val="24"/>
                <w:szCs w:val="24"/>
              </w:rPr>
              <w:t>S6</w:t>
            </w:r>
            <w:r>
              <w:rPr>
                <w:color w:val="auto"/>
                <w:spacing w:val="-2"/>
                <w:sz w:val="24"/>
                <w:szCs w:val="24"/>
              </w:rPr>
              <w:t>和</w:t>
            </w:r>
            <w:r>
              <w:rPr>
                <w:color w:val="auto"/>
                <w:spacing w:val="-3"/>
                <w:sz w:val="24"/>
                <w:szCs w:val="24"/>
              </w:rPr>
              <w:t>噪声；</w:t>
            </w:r>
          </w:p>
          <w:p w14:paraId="65C3F96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④检验：将成型的合成钻石通过光学放大镜投影仪检验晶体表面沉积情况，合格品</w:t>
            </w:r>
            <w:r>
              <w:rPr>
                <w:rFonts w:hint="eastAsia"/>
                <w:color w:val="auto"/>
                <w:sz w:val="24"/>
                <w:szCs w:val="24"/>
                <w:lang w:val="en-US" w:eastAsia="zh-CN"/>
              </w:rPr>
              <w:t>为</w:t>
            </w:r>
            <w:r>
              <w:rPr>
                <w:color w:val="auto"/>
                <w:sz w:val="24"/>
                <w:szCs w:val="24"/>
              </w:rPr>
              <w:t>单晶金刚石，不合格品为多晶或有缺陷的金刚石，检验出的合格品进入抛光工序，检验出的不合格品</w:t>
            </w:r>
            <w:r>
              <w:rPr>
                <w:rFonts w:hint="eastAsia"/>
                <w:color w:val="auto"/>
                <w:sz w:val="24"/>
                <w:szCs w:val="24"/>
                <w:lang w:val="en-US" w:eastAsia="zh-CN"/>
              </w:rPr>
              <w:t>外售</w:t>
            </w:r>
            <w:r>
              <w:rPr>
                <w:color w:val="auto"/>
                <w:spacing w:val="-1"/>
                <w:sz w:val="24"/>
                <w:szCs w:val="24"/>
              </w:rPr>
              <w:t>。此过程会产生噪声</w:t>
            </w:r>
            <w:r>
              <w:rPr>
                <w:rFonts w:hint="eastAsia"/>
                <w:color w:val="auto"/>
                <w:spacing w:val="-1"/>
                <w:sz w:val="24"/>
                <w:szCs w:val="24"/>
                <w:lang w:val="en-US" w:eastAsia="zh-CN"/>
              </w:rPr>
              <w:t>及固废</w:t>
            </w:r>
            <w:r>
              <w:rPr>
                <w:color w:val="auto"/>
                <w:spacing w:val="-1"/>
                <w:sz w:val="24"/>
                <w:szCs w:val="24"/>
              </w:rPr>
              <w:t>；</w:t>
            </w:r>
          </w:p>
          <w:p w14:paraId="05BB4E0B">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pacing w:val="-4"/>
                <w:sz w:val="24"/>
                <w:szCs w:val="24"/>
              </w:rPr>
            </w:pPr>
            <w:r>
              <w:rPr>
                <w:color w:val="auto"/>
                <w:sz w:val="24"/>
                <w:szCs w:val="24"/>
              </w:rPr>
              <w:t>⑤抛光：经检验结果为单晶金刚石的合成钻石满足产品需求，通过专用</w:t>
            </w:r>
            <w:r>
              <w:rPr>
                <w:color w:val="auto"/>
                <w:spacing w:val="2"/>
                <w:sz w:val="24"/>
                <w:szCs w:val="24"/>
              </w:rPr>
              <w:t>抛光机，抛光做成合成钻石成品，此过程会产生抛光废气</w:t>
            </w:r>
            <w:r>
              <w:rPr>
                <w:rFonts w:hint="eastAsia"/>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废水</w:t>
            </w:r>
            <w:r>
              <w:rPr>
                <w:color w:val="auto"/>
                <w:spacing w:val="2"/>
                <w:sz w:val="24"/>
                <w:szCs w:val="24"/>
              </w:rPr>
              <w:t>和</w:t>
            </w:r>
            <w:r>
              <w:rPr>
                <w:color w:val="auto"/>
                <w:spacing w:val="-4"/>
                <w:sz w:val="24"/>
                <w:szCs w:val="24"/>
              </w:rPr>
              <w:t>噪声；</w:t>
            </w:r>
          </w:p>
          <w:p w14:paraId="362D8C46">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⑥检验定级：抛光处理后的合成钻石经通过检验，合格品根据品质定级</w:t>
            </w:r>
            <w:r>
              <w:rPr>
                <w:color w:val="auto"/>
                <w:spacing w:val="-1"/>
                <w:sz w:val="24"/>
                <w:szCs w:val="24"/>
              </w:rPr>
              <w:t>后出厂，此过程会产生噪声；</w:t>
            </w:r>
          </w:p>
          <w:p w14:paraId="3EBEF60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⑦成品包装：将成品用包装材料包装入库，等待外售。</w:t>
            </w:r>
          </w:p>
          <w:p w14:paraId="37247C9E">
            <w:pPr>
              <w:topLinePunct/>
              <w:spacing w:line="520" w:lineRule="exact"/>
              <w:rPr>
                <w:b/>
                <w:bCs/>
                <w:color w:val="auto"/>
                <w:sz w:val="24"/>
                <w:highlight w:val="none"/>
              </w:rPr>
            </w:pPr>
            <w:r>
              <w:rPr>
                <w:rFonts w:hint="eastAsia"/>
                <w:b/>
                <w:bCs/>
                <w:color w:val="auto"/>
                <w:sz w:val="24"/>
                <w:highlight w:val="none"/>
              </w:rPr>
              <w:t>2.2运营期产排污节点</w:t>
            </w:r>
          </w:p>
          <w:p w14:paraId="3514BE4E">
            <w:pPr>
              <w:pStyle w:val="76"/>
              <w:spacing w:before="197" w:line="219" w:lineRule="auto"/>
              <w:ind w:left="590"/>
              <w:rPr>
                <w:color w:val="auto"/>
                <w:spacing w:val="-1"/>
                <w:sz w:val="24"/>
                <w:szCs w:val="24"/>
              </w:rPr>
            </w:pPr>
            <w:r>
              <w:rPr>
                <w:color w:val="auto"/>
                <w:spacing w:val="-1"/>
                <w:sz w:val="24"/>
                <w:szCs w:val="24"/>
              </w:rPr>
              <w:t>本项目运营期工艺流程及产污环节见下图</w:t>
            </w:r>
          </w:p>
          <w:p w14:paraId="3DCC35E7">
            <w:pPr>
              <w:pStyle w:val="76"/>
              <w:spacing w:before="197" w:line="219" w:lineRule="auto"/>
              <w:ind w:left="590"/>
              <w:jc w:val="center"/>
              <w:rPr>
                <w:color w:val="auto"/>
              </w:rPr>
            </w:pPr>
            <w:r>
              <w:rPr>
                <w:rFonts w:hint="eastAsia" w:eastAsia="宋体"/>
                <w:color w:val="auto"/>
                <w:spacing w:val="-1"/>
                <w:sz w:val="24"/>
                <w:szCs w:val="24"/>
                <w:lang w:eastAsia="zh-CN"/>
              </w:rPr>
              <w:drawing>
                <wp:inline distT="0" distB="0" distL="114300" distR="114300">
                  <wp:extent cx="4079875" cy="4811395"/>
                  <wp:effectExtent l="0" t="0" r="0" b="0"/>
                  <wp:docPr id="4" name="ECB019B1-382A-4266-B25C-5B523AA43C14-2" descr="C:/Users/哥哥/AppData/Local/Temp/wps.zCmFyw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2" descr="C:/Users/哥哥/AppData/Local/Temp/wps.zCmFywwps"/>
                          <pic:cNvPicPr>
                            <a:picLocks noChangeAspect="1"/>
                          </pic:cNvPicPr>
                        </pic:nvPicPr>
                        <pic:blipFill>
                          <a:blip r:embed="rId11"/>
                          <a:stretch>
                            <a:fillRect/>
                          </a:stretch>
                        </pic:blipFill>
                        <pic:spPr>
                          <a:xfrm>
                            <a:off x="0" y="0"/>
                            <a:ext cx="4079875" cy="4811395"/>
                          </a:xfrm>
                          <a:prstGeom prst="rect">
                            <a:avLst/>
                          </a:prstGeom>
                        </pic:spPr>
                      </pic:pic>
                    </a:graphicData>
                  </a:graphic>
                </wp:inline>
              </w:drawing>
            </w:r>
          </w:p>
          <w:p w14:paraId="2B5FE99F">
            <w:pPr>
              <w:spacing w:line="520" w:lineRule="exact"/>
              <w:ind w:firstLine="482" w:firstLineChars="200"/>
              <w:rPr>
                <w:rFonts w:hint="eastAsia" w:eastAsia="宋体"/>
                <w:color w:val="auto"/>
                <w:sz w:val="24"/>
                <w:highlight w:val="none"/>
                <w:lang w:val="en-US" w:eastAsia="zh-CN"/>
              </w:rPr>
            </w:pPr>
            <w:r>
              <w:rPr>
                <w:b/>
                <w:bCs/>
                <w:color w:val="auto"/>
                <w:sz w:val="24"/>
                <w:szCs w:val="24"/>
              </w:rPr>
              <w:t>图</w:t>
            </w:r>
            <w:r>
              <w:rPr>
                <w:rFonts w:hint="eastAsia"/>
                <w:b/>
                <w:bCs/>
                <w:color w:val="auto"/>
                <w:sz w:val="24"/>
                <w:szCs w:val="24"/>
                <w:lang w:val="en-US" w:eastAsia="zh-CN"/>
              </w:rPr>
              <w:t xml:space="preserve">6 </w:t>
            </w:r>
            <w:r>
              <w:rPr>
                <w:b/>
                <w:bCs/>
                <w:color w:val="auto"/>
                <w:sz w:val="24"/>
                <w:szCs w:val="24"/>
              </w:rPr>
              <w:t>本项目</w:t>
            </w:r>
            <w:r>
              <w:rPr>
                <w:rFonts w:ascii="Times New Roman" w:hAnsi="Times New Roman" w:eastAsia="Times New Roman" w:cs="Times New Roman"/>
                <w:b/>
                <w:bCs/>
                <w:color w:val="auto"/>
                <w:sz w:val="24"/>
                <w:szCs w:val="24"/>
              </w:rPr>
              <w:t>MPCVD</w:t>
            </w:r>
            <w:r>
              <w:rPr>
                <w:b/>
                <w:bCs/>
                <w:color w:val="auto"/>
                <w:sz w:val="24"/>
                <w:szCs w:val="24"/>
              </w:rPr>
              <w:t>金刚</w:t>
            </w:r>
            <w:r>
              <w:rPr>
                <w:b/>
                <w:bCs/>
                <w:color w:val="auto"/>
                <w:spacing w:val="-1"/>
                <w:sz w:val="24"/>
                <w:szCs w:val="24"/>
              </w:rPr>
              <w:t>石生产系统工艺流程及产污环节图</w:t>
            </w:r>
          </w:p>
          <w:p w14:paraId="4606E176">
            <w:pPr>
              <w:pStyle w:val="76"/>
              <w:spacing w:before="193" w:line="219" w:lineRule="auto"/>
              <w:ind w:firstLine="476" w:firstLineChars="200"/>
              <w:rPr>
                <w:color w:val="auto"/>
                <w:sz w:val="24"/>
                <w:szCs w:val="24"/>
              </w:rPr>
            </w:pPr>
            <w:r>
              <w:rPr>
                <w:color w:val="auto"/>
                <w:spacing w:val="-1"/>
                <w:sz w:val="24"/>
                <w:szCs w:val="24"/>
              </w:rPr>
              <w:t>本项目运营期产污环节见下表。</w:t>
            </w:r>
          </w:p>
          <w:p w14:paraId="221D8AAC">
            <w:pPr>
              <w:topLinePunct/>
              <w:spacing w:line="520" w:lineRule="exact"/>
              <w:jc w:val="center"/>
              <w:rPr>
                <w:b/>
                <w:bCs/>
                <w:color w:val="auto"/>
                <w:sz w:val="24"/>
                <w:highlight w:val="none"/>
              </w:rPr>
            </w:pPr>
            <w:r>
              <w:rPr>
                <w:b/>
                <w:bCs/>
                <w:color w:val="auto"/>
                <w:spacing w:val="-2"/>
                <w:sz w:val="24"/>
                <w:szCs w:val="24"/>
                <w:highlight w:val="none"/>
              </w:rPr>
              <w:t>表</w:t>
            </w:r>
            <w:r>
              <w:rPr>
                <w:rFonts w:ascii="Times New Roman" w:hAnsi="Times New Roman" w:eastAsia="Times New Roman" w:cs="Times New Roman"/>
                <w:b/>
                <w:bCs/>
                <w:color w:val="auto"/>
                <w:spacing w:val="-2"/>
                <w:sz w:val="24"/>
                <w:szCs w:val="24"/>
                <w:highlight w:val="none"/>
              </w:rPr>
              <w:t>2-</w:t>
            </w:r>
            <w:r>
              <w:rPr>
                <w:rFonts w:hint="eastAsia" w:eastAsia="宋体" w:cs="Times New Roman"/>
                <w:b/>
                <w:bCs/>
                <w:color w:val="auto"/>
                <w:spacing w:val="-2"/>
                <w:sz w:val="24"/>
                <w:szCs w:val="24"/>
                <w:highlight w:val="none"/>
                <w:lang w:val="en-US" w:eastAsia="zh-CN"/>
              </w:rPr>
              <w:t xml:space="preserve">7 </w:t>
            </w:r>
            <w:r>
              <w:rPr>
                <w:b/>
                <w:bCs/>
                <w:color w:val="auto"/>
                <w:spacing w:val="-2"/>
                <w:sz w:val="24"/>
                <w:szCs w:val="24"/>
                <w:highlight w:val="none"/>
              </w:rPr>
              <w:t>运营期产污环节一览表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1347"/>
              <w:gridCol w:w="1426"/>
              <w:gridCol w:w="920"/>
              <w:gridCol w:w="1787"/>
              <w:gridCol w:w="1407"/>
            </w:tblGrid>
            <w:tr w14:paraId="0E42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Align w:val="center"/>
                </w:tcPr>
                <w:p w14:paraId="4340805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3"/>
                      <w:sz w:val="21"/>
                      <w:szCs w:val="21"/>
                    </w:rPr>
                    <w:t>污染</w:t>
                  </w:r>
                  <w:r>
                    <w:rPr>
                      <w:rFonts w:hint="default" w:ascii="Times New Roman" w:hAnsi="Times New Roman" w:cs="Times New Roman"/>
                      <w:color w:val="auto"/>
                      <w:spacing w:val="1"/>
                      <w:sz w:val="21"/>
                      <w:szCs w:val="21"/>
                    </w:rPr>
                    <w:t>源</w:t>
                  </w:r>
                </w:p>
              </w:tc>
              <w:tc>
                <w:tcPr>
                  <w:tcW w:w="1347" w:type="dxa"/>
                  <w:vAlign w:val="center"/>
                </w:tcPr>
                <w:p w14:paraId="026CAC2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生产单元</w:t>
                  </w:r>
                </w:p>
              </w:tc>
              <w:tc>
                <w:tcPr>
                  <w:tcW w:w="1426" w:type="dxa"/>
                  <w:vAlign w:val="center"/>
                </w:tcPr>
                <w:p w14:paraId="760E4724">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污染源名称</w:t>
                  </w:r>
                </w:p>
              </w:tc>
              <w:tc>
                <w:tcPr>
                  <w:tcW w:w="920" w:type="dxa"/>
                  <w:vAlign w:val="center"/>
                </w:tcPr>
                <w:p w14:paraId="748B179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3"/>
                      <w:sz w:val="21"/>
                      <w:szCs w:val="21"/>
                    </w:rPr>
                    <w:t>编号</w:t>
                  </w:r>
                </w:p>
              </w:tc>
              <w:tc>
                <w:tcPr>
                  <w:tcW w:w="1787" w:type="dxa"/>
                  <w:vAlign w:val="center"/>
                </w:tcPr>
                <w:p w14:paraId="7E512AA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污染因子</w:t>
                  </w:r>
                </w:p>
              </w:tc>
              <w:tc>
                <w:tcPr>
                  <w:tcW w:w="1407" w:type="dxa"/>
                  <w:vAlign w:val="center"/>
                </w:tcPr>
                <w:p w14:paraId="3469539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处理措施</w:t>
                  </w:r>
                </w:p>
              </w:tc>
            </w:tr>
            <w:tr w14:paraId="5D31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Merge w:val="restart"/>
                  <w:vAlign w:val="center"/>
                </w:tcPr>
                <w:p w14:paraId="72ECD8B9">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5"/>
                      <w:sz w:val="21"/>
                      <w:szCs w:val="21"/>
                    </w:rPr>
                    <w:t>废气</w:t>
                  </w:r>
                </w:p>
              </w:tc>
              <w:tc>
                <w:tcPr>
                  <w:tcW w:w="1347" w:type="dxa"/>
                  <w:vMerge w:val="restart"/>
                  <w:vAlign w:val="center"/>
                </w:tcPr>
                <w:p w14:paraId="320F35D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6"/>
                      <w:sz w:val="21"/>
                      <w:szCs w:val="21"/>
                    </w:rPr>
                    <w:t>MPCVD</w:t>
                  </w:r>
                </w:p>
                <w:p w14:paraId="62607FE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金刚石生</w:t>
                  </w:r>
                </w:p>
                <w:p w14:paraId="205ADFB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产系统</w:t>
                  </w:r>
                </w:p>
              </w:tc>
              <w:tc>
                <w:tcPr>
                  <w:tcW w:w="1426" w:type="dxa"/>
                  <w:vAlign w:val="center"/>
                </w:tcPr>
                <w:p w14:paraId="1E5B41C5">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沉积尾气</w:t>
                  </w:r>
                </w:p>
              </w:tc>
              <w:tc>
                <w:tcPr>
                  <w:tcW w:w="920" w:type="dxa"/>
                  <w:vAlign w:val="center"/>
                </w:tcPr>
                <w:p w14:paraId="562CE28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eastAsia="Times New Roman" w:cs="Times New Roman"/>
                      <w:color w:val="auto"/>
                      <w:spacing w:val="11"/>
                      <w:position w:val="2"/>
                      <w:sz w:val="21"/>
                      <w:szCs w:val="21"/>
                    </w:rPr>
                    <w:t>G1</w:t>
                  </w:r>
                </w:p>
              </w:tc>
              <w:tc>
                <w:tcPr>
                  <w:tcW w:w="1787" w:type="dxa"/>
                  <w:vAlign w:val="center"/>
                </w:tcPr>
                <w:p w14:paraId="6124E28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color w:val="auto"/>
                      <w:spacing w:val="8"/>
                      <w:sz w:val="21"/>
                      <w:szCs w:val="21"/>
                    </w:rPr>
                    <w:t>氢气、二氧化</w:t>
                  </w:r>
                  <w:r>
                    <w:rPr>
                      <w:rFonts w:hint="default" w:ascii="Times New Roman" w:hAnsi="Times New Roman" w:cs="Times New Roman"/>
                      <w:color w:val="auto"/>
                      <w:spacing w:val="5"/>
                      <w:sz w:val="21"/>
                      <w:szCs w:val="21"/>
                    </w:rPr>
                    <w:t>碳、氩气、甲</w:t>
                  </w:r>
                  <w:r>
                    <w:rPr>
                      <w:rFonts w:hint="default" w:ascii="Times New Roman" w:hAnsi="Times New Roman" w:cs="Times New Roman"/>
                      <w:color w:val="auto"/>
                      <w:sz w:val="21"/>
                      <w:szCs w:val="21"/>
                    </w:rPr>
                    <w:t>烷</w:t>
                  </w:r>
                </w:p>
              </w:tc>
              <w:tc>
                <w:tcPr>
                  <w:tcW w:w="1407" w:type="dxa"/>
                  <w:vAlign w:val="center"/>
                </w:tcPr>
                <w:p w14:paraId="5413420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7"/>
                      <w:sz w:val="21"/>
                      <w:szCs w:val="21"/>
                      <w:lang w:val="en-US" w:eastAsia="zh-CN"/>
                    </w:rPr>
                    <w:t>有</w:t>
                  </w:r>
                  <w:r>
                    <w:rPr>
                      <w:rFonts w:hint="default" w:ascii="Times New Roman" w:hAnsi="Times New Roman" w:cs="Times New Roman"/>
                      <w:color w:val="auto"/>
                      <w:spacing w:val="7"/>
                      <w:sz w:val="21"/>
                      <w:szCs w:val="21"/>
                    </w:rPr>
                    <w:t>组织排放</w:t>
                  </w:r>
                </w:p>
              </w:tc>
            </w:tr>
            <w:tr w14:paraId="751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Merge w:val="continue"/>
                  <w:vAlign w:val="center"/>
                </w:tcPr>
                <w:p w14:paraId="4B2D518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347" w:type="dxa"/>
                  <w:vMerge w:val="continue"/>
                  <w:vAlign w:val="center"/>
                </w:tcPr>
                <w:p w14:paraId="75F1FAB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426" w:type="dxa"/>
                  <w:vAlign w:val="center"/>
                </w:tcPr>
                <w:p w14:paraId="4FAF14F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cs="Times New Roman"/>
                      <w:color w:val="auto"/>
                      <w:spacing w:val="7"/>
                      <w:sz w:val="21"/>
                      <w:szCs w:val="21"/>
                      <w:lang w:val="en-US" w:eastAsia="zh-CN"/>
                    </w:rPr>
                    <w:t>单质碳颗粒</w:t>
                  </w:r>
                </w:p>
              </w:tc>
              <w:tc>
                <w:tcPr>
                  <w:tcW w:w="920" w:type="dxa"/>
                  <w:vAlign w:val="center"/>
                </w:tcPr>
                <w:p w14:paraId="515E8B98">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eastAsia="Times New Roman" w:cs="Times New Roman"/>
                      <w:color w:val="auto"/>
                      <w:spacing w:val="1"/>
                      <w:position w:val="2"/>
                      <w:sz w:val="21"/>
                      <w:szCs w:val="21"/>
                    </w:rPr>
                    <w:t>G2</w:t>
                  </w:r>
                </w:p>
              </w:tc>
              <w:tc>
                <w:tcPr>
                  <w:tcW w:w="1787" w:type="dxa"/>
                  <w:vAlign w:val="center"/>
                </w:tcPr>
                <w:p w14:paraId="57D1D83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颗粒物</w:t>
                  </w:r>
                </w:p>
              </w:tc>
              <w:tc>
                <w:tcPr>
                  <w:tcW w:w="1407" w:type="dxa"/>
                  <w:vAlign w:val="center"/>
                </w:tcPr>
                <w:p w14:paraId="6B7FB4E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7"/>
                      <w:sz w:val="21"/>
                      <w:szCs w:val="21"/>
                      <w:lang w:val="en-US" w:eastAsia="zh-CN"/>
                    </w:rPr>
                    <w:t>有</w:t>
                  </w:r>
                  <w:r>
                    <w:rPr>
                      <w:rFonts w:hint="default" w:ascii="Times New Roman" w:hAnsi="Times New Roman" w:cs="Times New Roman"/>
                      <w:color w:val="auto"/>
                      <w:spacing w:val="8"/>
                      <w:sz w:val="21"/>
                      <w:szCs w:val="21"/>
                    </w:rPr>
                    <w:t>组</w:t>
                  </w:r>
                  <w:r>
                    <w:rPr>
                      <w:rFonts w:hint="default" w:ascii="Times New Roman" w:hAnsi="Times New Roman" w:cs="Times New Roman"/>
                      <w:color w:val="auto"/>
                      <w:spacing w:val="5"/>
                      <w:sz w:val="21"/>
                      <w:szCs w:val="21"/>
                    </w:rPr>
                    <w:t>织排放</w:t>
                  </w:r>
                </w:p>
              </w:tc>
            </w:tr>
            <w:tr w14:paraId="3747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Merge w:val="continue"/>
                  <w:vAlign w:val="center"/>
                </w:tcPr>
                <w:p w14:paraId="0E49174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347" w:type="dxa"/>
                  <w:vMerge w:val="continue"/>
                  <w:vAlign w:val="center"/>
                </w:tcPr>
                <w:p w14:paraId="3B0B72A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426" w:type="dxa"/>
                  <w:vAlign w:val="center"/>
                </w:tcPr>
                <w:p w14:paraId="64781EDD">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切割废气</w:t>
                  </w:r>
                </w:p>
              </w:tc>
              <w:tc>
                <w:tcPr>
                  <w:tcW w:w="920" w:type="dxa"/>
                  <w:vAlign w:val="center"/>
                </w:tcPr>
                <w:p w14:paraId="20F9198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eastAsia="Times New Roman" w:cs="Times New Roman"/>
                      <w:color w:val="auto"/>
                      <w:spacing w:val="1"/>
                      <w:position w:val="2"/>
                      <w:sz w:val="21"/>
                      <w:szCs w:val="21"/>
                    </w:rPr>
                    <w:t>G3</w:t>
                  </w:r>
                </w:p>
              </w:tc>
              <w:tc>
                <w:tcPr>
                  <w:tcW w:w="1787" w:type="dxa"/>
                  <w:vAlign w:val="center"/>
                </w:tcPr>
                <w:p w14:paraId="219B573D">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颗粒物</w:t>
                  </w:r>
                </w:p>
              </w:tc>
              <w:tc>
                <w:tcPr>
                  <w:tcW w:w="1407" w:type="dxa"/>
                  <w:vAlign w:val="center"/>
                </w:tcPr>
                <w:p w14:paraId="4FC26A8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7"/>
                      <w:sz w:val="21"/>
                      <w:szCs w:val="21"/>
                      <w:lang w:val="en-US" w:eastAsia="zh-CN"/>
                    </w:rPr>
                    <w:t>有</w:t>
                  </w:r>
                  <w:r>
                    <w:rPr>
                      <w:rFonts w:hint="default" w:ascii="Times New Roman" w:hAnsi="Times New Roman" w:cs="Times New Roman"/>
                      <w:color w:val="auto"/>
                      <w:spacing w:val="8"/>
                      <w:sz w:val="21"/>
                      <w:szCs w:val="21"/>
                    </w:rPr>
                    <w:t>组</w:t>
                  </w:r>
                  <w:r>
                    <w:rPr>
                      <w:rFonts w:hint="default" w:ascii="Times New Roman" w:hAnsi="Times New Roman" w:cs="Times New Roman"/>
                      <w:color w:val="auto"/>
                      <w:spacing w:val="5"/>
                      <w:sz w:val="21"/>
                      <w:szCs w:val="21"/>
                    </w:rPr>
                    <w:t>织排放</w:t>
                  </w:r>
                </w:p>
              </w:tc>
            </w:tr>
            <w:tr w14:paraId="1D2E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Merge w:val="continue"/>
                  <w:vAlign w:val="center"/>
                </w:tcPr>
                <w:p w14:paraId="56BCD1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347" w:type="dxa"/>
                  <w:vAlign w:val="center"/>
                </w:tcPr>
                <w:p w14:paraId="05FFBE48">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6"/>
                      <w:sz w:val="21"/>
                      <w:szCs w:val="21"/>
                      <w:lang w:val="en-US" w:eastAsia="zh-CN"/>
                    </w:rPr>
                    <w:t>食堂</w:t>
                  </w:r>
                  <w:r>
                    <w:rPr>
                      <w:rFonts w:hint="default" w:ascii="Times New Roman" w:hAnsi="Times New Roman" w:cs="Times New Roman"/>
                      <w:color w:val="auto"/>
                      <w:spacing w:val="6"/>
                      <w:sz w:val="21"/>
                      <w:szCs w:val="21"/>
                    </w:rPr>
                    <w:t>油烟</w:t>
                  </w:r>
                </w:p>
              </w:tc>
              <w:tc>
                <w:tcPr>
                  <w:tcW w:w="1426" w:type="dxa"/>
                  <w:vAlign w:val="center"/>
                </w:tcPr>
                <w:p w14:paraId="2D27A95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3"/>
                      <w:sz w:val="21"/>
                      <w:szCs w:val="21"/>
                    </w:rPr>
                    <w:t>油烟</w:t>
                  </w:r>
                </w:p>
              </w:tc>
              <w:tc>
                <w:tcPr>
                  <w:tcW w:w="920" w:type="dxa"/>
                  <w:vAlign w:val="center"/>
                </w:tcPr>
                <w:p w14:paraId="0BE35DA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Times New Roman" w:cs="Times New Roman"/>
                      <w:color w:val="auto"/>
                      <w:spacing w:val="1"/>
                      <w:sz w:val="21"/>
                      <w:szCs w:val="21"/>
                    </w:rPr>
                    <w:t>G</w:t>
                  </w:r>
                  <w:r>
                    <w:rPr>
                      <w:rFonts w:hint="eastAsia" w:ascii="Times New Roman" w:hAnsi="Times New Roman" w:eastAsia="宋体" w:cs="Times New Roman"/>
                      <w:color w:val="auto"/>
                      <w:spacing w:val="1"/>
                      <w:sz w:val="21"/>
                      <w:szCs w:val="21"/>
                      <w:lang w:val="en-US" w:eastAsia="zh-CN"/>
                    </w:rPr>
                    <w:t>4</w:t>
                  </w:r>
                </w:p>
              </w:tc>
              <w:tc>
                <w:tcPr>
                  <w:tcW w:w="1787" w:type="dxa"/>
                  <w:vAlign w:val="center"/>
                </w:tcPr>
                <w:p w14:paraId="73DC3AC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color w:val="auto"/>
                      <w:spacing w:val="3"/>
                      <w:sz w:val="21"/>
                      <w:szCs w:val="21"/>
                    </w:rPr>
                    <w:t>油烟</w:t>
                  </w:r>
                </w:p>
              </w:tc>
              <w:tc>
                <w:tcPr>
                  <w:tcW w:w="1407" w:type="dxa"/>
                  <w:vAlign w:val="center"/>
                </w:tcPr>
                <w:p w14:paraId="22FC0DF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油气净化器</w:t>
                  </w:r>
                </w:p>
              </w:tc>
            </w:tr>
            <w:tr w14:paraId="4D92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54" w:type="dxa"/>
                  <w:vMerge w:val="restart"/>
                  <w:vAlign w:val="center"/>
                </w:tcPr>
                <w:p w14:paraId="067A351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cs="Times New Roman"/>
                      <w:b w:val="0"/>
                      <w:bCs/>
                      <w:color w:val="auto"/>
                      <w:sz w:val="21"/>
                      <w:szCs w:val="21"/>
                      <w:highlight w:val="none"/>
                      <w:vertAlign w:val="baseline"/>
                      <w:lang w:val="en-US" w:eastAsia="zh-CN"/>
                    </w:rPr>
                    <w:t>废水</w:t>
                  </w:r>
                </w:p>
              </w:tc>
              <w:tc>
                <w:tcPr>
                  <w:tcW w:w="1347" w:type="dxa"/>
                  <w:vMerge w:val="restart"/>
                  <w:vAlign w:val="center"/>
                </w:tcPr>
                <w:p w14:paraId="3B02AB1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6"/>
                      <w:sz w:val="21"/>
                      <w:szCs w:val="21"/>
                    </w:rPr>
                    <w:t>MPCVD</w:t>
                  </w:r>
                </w:p>
                <w:p w14:paraId="65687BF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金刚石生</w:t>
                  </w:r>
                </w:p>
                <w:p w14:paraId="0F14321A">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产系统</w:t>
                  </w:r>
                </w:p>
              </w:tc>
              <w:tc>
                <w:tcPr>
                  <w:tcW w:w="1426" w:type="dxa"/>
                  <w:vAlign w:val="center"/>
                </w:tcPr>
                <w:p w14:paraId="141AC4BD">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6"/>
                      <w:sz w:val="21"/>
                      <w:szCs w:val="21"/>
                      <w:lang w:val="en-US" w:eastAsia="zh-CN"/>
                    </w:rPr>
                    <w:t>清洗废水</w:t>
                  </w:r>
                </w:p>
              </w:tc>
              <w:tc>
                <w:tcPr>
                  <w:tcW w:w="920" w:type="dxa"/>
                  <w:vAlign w:val="center"/>
                </w:tcPr>
                <w:p w14:paraId="49F1508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Times New Roman" w:cs="Times New Roman"/>
                      <w:color w:val="auto"/>
                      <w:spacing w:val="4"/>
                      <w:position w:val="2"/>
                      <w:sz w:val="21"/>
                      <w:szCs w:val="21"/>
                    </w:rPr>
                    <w:t>W</w:t>
                  </w:r>
                  <w:r>
                    <w:rPr>
                      <w:rFonts w:hint="eastAsia" w:ascii="Times New Roman" w:hAnsi="Times New Roman" w:eastAsia="宋体" w:cs="Times New Roman"/>
                      <w:color w:val="auto"/>
                      <w:spacing w:val="4"/>
                      <w:position w:val="2"/>
                      <w:sz w:val="21"/>
                      <w:szCs w:val="21"/>
                      <w:lang w:val="en-US" w:eastAsia="zh-CN"/>
                    </w:rPr>
                    <w:t>1</w:t>
                  </w:r>
                </w:p>
              </w:tc>
              <w:tc>
                <w:tcPr>
                  <w:tcW w:w="1787" w:type="dxa"/>
                  <w:vAlign w:val="center"/>
                </w:tcPr>
                <w:p w14:paraId="2EDB5134">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eastAsia="Times New Roman" w:cs="Times New Roman"/>
                      <w:color w:val="auto"/>
                      <w:sz w:val="21"/>
                      <w:szCs w:val="21"/>
                    </w:rPr>
                    <w:t>SS</w:t>
                  </w:r>
                </w:p>
              </w:tc>
              <w:tc>
                <w:tcPr>
                  <w:tcW w:w="1407" w:type="dxa"/>
                  <w:vMerge w:val="restart"/>
                  <w:vAlign w:val="center"/>
                </w:tcPr>
                <w:p w14:paraId="2E83B1B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r>
                    <w:rPr>
                      <w:color w:val="auto"/>
                      <w:spacing w:val="8"/>
                    </w:rPr>
                    <w:t>排入园区下水管网</w:t>
                  </w:r>
                </w:p>
              </w:tc>
            </w:tr>
            <w:tr w14:paraId="2C5A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54" w:type="dxa"/>
                  <w:vMerge w:val="continue"/>
                  <w:vAlign w:val="center"/>
                </w:tcPr>
                <w:p w14:paraId="7AF2261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p>
              </w:tc>
              <w:tc>
                <w:tcPr>
                  <w:tcW w:w="1347" w:type="dxa"/>
                  <w:vMerge w:val="continue"/>
                  <w:vAlign w:val="center"/>
                </w:tcPr>
                <w:p w14:paraId="58FCC99F">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p>
              </w:tc>
              <w:tc>
                <w:tcPr>
                  <w:tcW w:w="1426" w:type="dxa"/>
                  <w:vAlign w:val="center"/>
                </w:tcPr>
                <w:p w14:paraId="3E1F165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pacing w:val="6"/>
                      <w:sz w:val="21"/>
                      <w:szCs w:val="21"/>
                      <w:lang w:val="en-US" w:eastAsia="zh-CN"/>
                    </w:rPr>
                  </w:pPr>
                  <w:r>
                    <w:rPr>
                      <w:rFonts w:hint="eastAsia" w:ascii="Times New Roman" w:hAnsi="Times New Roman" w:cs="Times New Roman"/>
                      <w:color w:val="auto"/>
                      <w:spacing w:val="6"/>
                      <w:sz w:val="21"/>
                      <w:szCs w:val="21"/>
                      <w:lang w:val="en-US" w:eastAsia="zh-CN"/>
                    </w:rPr>
                    <w:t>抛光冷却水</w:t>
                  </w:r>
                </w:p>
              </w:tc>
              <w:tc>
                <w:tcPr>
                  <w:tcW w:w="920" w:type="dxa"/>
                  <w:vAlign w:val="center"/>
                </w:tcPr>
                <w:p w14:paraId="509922C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pacing w:val="6"/>
                      <w:sz w:val="21"/>
                      <w:szCs w:val="21"/>
                      <w:lang w:val="en-US" w:eastAsia="zh-CN"/>
                    </w:rPr>
                  </w:pPr>
                  <w:r>
                    <w:rPr>
                      <w:rFonts w:hint="default" w:ascii="Times New Roman" w:hAnsi="Times New Roman" w:eastAsia="Times New Roman" w:cs="Times New Roman"/>
                      <w:color w:val="auto"/>
                      <w:spacing w:val="4"/>
                      <w:position w:val="2"/>
                      <w:sz w:val="21"/>
                      <w:szCs w:val="21"/>
                    </w:rPr>
                    <w:t>W</w:t>
                  </w:r>
                  <w:r>
                    <w:rPr>
                      <w:rFonts w:hint="eastAsia" w:ascii="Times New Roman" w:hAnsi="Times New Roman" w:eastAsia="宋体" w:cs="Times New Roman"/>
                      <w:color w:val="auto"/>
                      <w:spacing w:val="4"/>
                      <w:position w:val="2"/>
                      <w:sz w:val="21"/>
                      <w:szCs w:val="21"/>
                      <w:lang w:val="en-US" w:eastAsia="zh-CN"/>
                    </w:rPr>
                    <w:t>2</w:t>
                  </w:r>
                </w:p>
              </w:tc>
              <w:tc>
                <w:tcPr>
                  <w:tcW w:w="1787" w:type="dxa"/>
                  <w:vAlign w:val="center"/>
                </w:tcPr>
                <w:p w14:paraId="25D64D8D">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pacing w:val="6"/>
                      <w:sz w:val="21"/>
                      <w:szCs w:val="21"/>
                      <w:lang w:val="en-US" w:eastAsia="zh-CN"/>
                    </w:rPr>
                  </w:pPr>
                  <w:r>
                    <w:rPr>
                      <w:rFonts w:hint="eastAsia" w:ascii="Times New Roman" w:hAnsi="Times New Roman" w:cs="Times New Roman"/>
                      <w:color w:val="auto"/>
                      <w:spacing w:val="6"/>
                      <w:sz w:val="21"/>
                      <w:szCs w:val="21"/>
                      <w:lang w:val="en-US" w:eastAsia="zh-CN"/>
                    </w:rPr>
                    <w:t>SS</w:t>
                  </w:r>
                </w:p>
              </w:tc>
              <w:tc>
                <w:tcPr>
                  <w:tcW w:w="1407" w:type="dxa"/>
                  <w:vMerge w:val="continue"/>
                  <w:vAlign w:val="center"/>
                </w:tcPr>
                <w:p w14:paraId="6E9A778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p>
              </w:tc>
            </w:tr>
            <w:tr w14:paraId="224B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54" w:type="dxa"/>
                  <w:vMerge w:val="continue"/>
                  <w:vAlign w:val="center"/>
                </w:tcPr>
                <w:p w14:paraId="123B73B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p>
              </w:tc>
              <w:tc>
                <w:tcPr>
                  <w:tcW w:w="1347" w:type="dxa"/>
                  <w:vAlign w:val="center"/>
                </w:tcPr>
                <w:p w14:paraId="7301FE1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r>
                    <w:rPr>
                      <w:rFonts w:hint="default" w:ascii="Times New Roman" w:hAnsi="Times New Roman" w:cs="Times New Roman"/>
                      <w:color w:val="auto"/>
                      <w:spacing w:val="6"/>
                      <w:sz w:val="21"/>
                      <w:szCs w:val="21"/>
                    </w:rPr>
                    <w:t>办公生活</w:t>
                  </w:r>
                </w:p>
              </w:tc>
              <w:tc>
                <w:tcPr>
                  <w:tcW w:w="1426" w:type="dxa"/>
                  <w:vAlign w:val="center"/>
                </w:tcPr>
                <w:p w14:paraId="4C6126CF">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pacing w:val="6"/>
                      <w:sz w:val="21"/>
                      <w:szCs w:val="21"/>
                      <w:lang w:val="en-US" w:eastAsia="zh-CN"/>
                    </w:rPr>
                  </w:pPr>
                  <w:r>
                    <w:rPr>
                      <w:rFonts w:hint="eastAsia" w:ascii="Times New Roman" w:hAnsi="Times New Roman" w:cs="Times New Roman"/>
                      <w:color w:val="auto"/>
                      <w:spacing w:val="6"/>
                      <w:sz w:val="21"/>
                      <w:szCs w:val="21"/>
                      <w:lang w:eastAsia="zh-CN"/>
                    </w:rPr>
                    <w:t>生活污水</w:t>
                  </w:r>
                </w:p>
              </w:tc>
              <w:tc>
                <w:tcPr>
                  <w:tcW w:w="920" w:type="dxa"/>
                  <w:vAlign w:val="center"/>
                </w:tcPr>
                <w:p w14:paraId="414EB11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Times New Roman" w:cs="Times New Roman"/>
                      <w:color w:val="auto"/>
                      <w:spacing w:val="4"/>
                      <w:position w:val="2"/>
                      <w:sz w:val="21"/>
                      <w:szCs w:val="21"/>
                    </w:rPr>
                  </w:pPr>
                  <w:r>
                    <w:rPr>
                      <w:rFonts w:hint="default" w:ascii="Times New Roman" w:hAnsi="Times New Roman" w:eastAsia="Times New Roman" w:cs="Times New Roman"/>
                      <w:color w:val="auto"/>
                      <w:spacing w:val="4"/>
                      <w:position w:val="2"/>
                      <w:sz w:val="21"/>
                      <w:szCs w:val="21"/>
                    </w:rPr>
                    <w:t>W</w:t>
                  </w:r>
                  <w:r>
                    <w:rPr>
                      <w:rFonts w:hint="eastAsia" w:ascii="Times New Roman" w:hAnsi="Times New Roman" w:eastAsia="宋体" w:cs="Times New Roman"/>
                      <w:color w:val="auto"/>
                      <w:spacing w:val="4"/>
                      <w:position w:val="2"/>
                      <w:sz w:val="21"/>
                      <w:szCs w:val="21"/>
                      <w:lang w:val="en-US" w:eastAsia="zh-CN"/>
                    </w:rPr>
                    <w:t>2</w:t>
                  </w:r>
                </w:p>
              </w:tc>
              <w:tc>
                <w:tcPr>
                  <w:tcW w:w="1787" w:type="dxa"/>
                  <w:vAlign w:val="center"/>
                </w:tcPr>
                <w:p w14:paraId="6B02F6F0">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r>
                    <w:rPr>
                      <w:rFonts w:hint="default" w:ascii="Times New Roman" w:hAnsi="Times New Roman" w:eastAsia="Times New Roman" w:cs="Times New Roman"/>
                      <w:color w:val="auto"/>
                      <w:spacing w:val="-1"/>
                      <w:sz w:val="21"/>
                      <w:szCs w:val="21"/>
                    </w:rPr>
                    <w:t>COD</w:t>
                  </w:r>
                  <w:r>
                    <w:rPr>
                      <w:rFonts w:hint="default" w:ascii="Times New Roman" w:hAnsi="Times New Roman" w:cs="Times New Roman"/>
                      <w:color w:val="auto"/>
                      <w:spacing w:val="-1"/>
                      <w:sz w:val="21"/>
                      <w:szCs w:val="21"/>
                    </w:rPr>
                    <w:t>、</w:t>
                  </w:r>
                  <w:r>
                    <w:rPr>
                      <w:rFonts w:hint="default" w:ascii="Times New Roman" w:hAnsi="Times New Roman" w:eastAsia="Times New Roman" w:cs="Times New Roman"/>
                      <w:color w:val="auto"/>
                      <w:spacing w:val="-1"/>
                      <w:sz w:val="21"/>
                      <w:szCs w:val="21"/>
                    </w:rPr>
                    <w:t>BOD</w:t>
                  </w:r>
                  <w:r>
                    <w:rPr>
                      <w:rFonts w:hint="default" w:ascii="Times New Roman" w:hAnsi="Times New Roman" w:cs="Times New Roman"/>
                      <w:color w:val="auto"/>
                      <w:spacing w:val="-1"/>
                      <w:sz w:val="21"/>
                      <w:szCs w:val="21"/>
                    </w:rPr>
                    <w:t>、</w:t>
                  </w:r>
                  <w:r>
                    <w:rPr>
                      <w:rFonts w:hint="default" w:ascii="Times New Roman" w:hAnsi="Times New Roman" w:eastAsia="Times New Roman" w:cs="Times New Roman"/>
                      <w:color w:val="auto"/>
                      <w:sz w:val="21"/>
                      <w:szCs w:val="21"/>
                    </w:rPr>
                    <w:t>SS</w:t>
                  </w:r>
                  <w:r>
                    <w:rPr>
                      <w:rFonts w:hint="default" w:ascii="Times New Roman" w:hAnsi="Times New Roman" w:cs="Times New Roman"/>
                      <w:color w:val="auto"/>
                      <w:spacing w:val="6"/>
                      <w:sz w:val="21"/>
                      <w:szCs w:val="21"/>
                    </w:rPr>
                    <w:t>等</w:t>
                  </w:r>
                </w:p>
              </w:tc>
              <w:tc>
                <w:tcPr>
                  <w:tcW w:w="1407" w:type="dxa"/>
                  <w:vMerge w:val="continue"/>
                  <w:vAlign w:val="center"/>
                </w:tcPr>
                <w:p w14:paraId="68040E8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6"/>
                      <w:sz w:val="21"/>
                      <w:szCs w:val="21"/>
                    </w:rPr>
                  </w:pPr>
                </w:p>
              </w:tc>
            </w:tr>
            <w:tr w14:paraId="678B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54" w:type="dxa"/>
                  <w:vMerge w:val="restart"/>
                  <w:vAlign w:val="center"/>
                </w:tcPr>
                <w:p w14:paraId="4F05442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cs="Times New Roman"/>
                      <w:b w:val="0"/>
                      <w:bCs/>
                      <w:color w:val="auto"/>
                      <w:sz w:val="21"/>
                      <w:szCs w:val="21"/>
                      <w:highlight w:val="none"/>
                      <w:vertAlign w:val="baseline"/>
                      <w:lang w:val="en-US" w:eastAsia="zh-CN"/>
                    </w:rPr>
                    <w:t>固废</w:t>
                  </w:r>
                </w:p>
              </w:tc>
              <w:tc>
                <w:tcPr>
                  <w:tcW w:w="1347" w:type="dxa"/>
                  <w:vMerge w:val="restart"/>
                  <w:vAlign w:val="center"/>
                </w:tcPr>
                <w:p w14:paraId="6AB0F89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6"/>
                      <w:sz w:val="21"/>
                      <w:szCs w:val="21"/>
                    </w:rPr>
                    <w:t>MPCVD</w:t>
                  </w:r>
                </w:p>
                <w:p w14:paraId="6C6D343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金刚石生</w:t>
                  </w:r>
                </w:p>
                <w:p w14:paraId="2462820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产系统</w:t>
                  </w:r>
                </w:p>
              </w:tc>
              <w:tc>
                <w:tcPr>
                  <w:tcW w:w="1426" w:type="dxa"/>
                  <w:vAlign w:val="center"/>
                </w:tcPr>
                <w:p w14:paraId="4E43B40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cs="Times New Roman"/>
                      <w:b w:val="0"/>
                      <w:bCs/>
                      <w:color w:val="auto"/>
                      <w:sz w:val="21"/>
                      <w:szCs w:val="21"/>
                      <w:highlight w:val="none"/>
                      <w:vertAlign w:val="baseline"/>
                      <w:lang w:val="en-US" w:eastAsia="zh-CN"/>
                    </w:rPr>
                    <w:t>沉积碳</w:t>
                  </w:r>
                </w:p>
              </w:tc>
              <w:tc>
                <w:tcPr>
                  <w:tcW w:w="920" w:type="dxa"/>
                  <w:vAlign w:val="center"/>
                </w:tcPr>
                <w:p w14:paraId="7132217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Times New Roman" w:cs="Times New Roman"/>
                      <w:color w:val="auto"/>
                      <w:spacing w:val="-3"/>
                      <w:sz w:val="21"/>
                      <w:szCs w:val="21"/>
                    </w:rPr>
                    <w:t>S</w:t>
                  </w:r>
                  <w:r>
                    <w:rPr>
                      <w:rFonts w:hint="eastAsia" w:ascii="Times New Roman" w:hAnsi="Times New Roman" w:eastAsia="宋体" w:cs="Times New Roman"/>
                      <w:color w:val="auto"/>
                      <w:spacing w:val="-3"/>
                      <w:sz w:val="21"/>
                      <w:szCs w:val="21"/>
                      <w:lang w:val="en-US" w:eastAsia="zh-CN"/>
                    </w:rPr>
                    <w:t>1</w:t>
                  </w:r>
                </w:p>
              </w:tc>
              <w:tc>
                <w:tcPr>
                  <w:tcW w:w="1787" w:type="dxa"/>
                  <w:vMerge w:val="restart"/>
                  <w:vAlign w:val="center"/>
                </w:tcPr>
                <w:p w14:paraId="7B4E9738">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6"/>
                      <w:sz w:val="21"/>
                      <w:szCs w:val="21"/>
                      <w:highlight w:val="none"/>
                      <w:lang w:val="en-US" w:eastAsia="zh-CN"/>
                    </w:rPr>
                    <w:t>不合格</w:t>
                  </w:r>
                  <w:r>
                    <w:rPr>
                      <w:rFonts w:hint="default" w:ascii="Times New Roman" w:hAnsi="Times New Roman" w:cs="Times New Roman"/>
                      <w:color w:val="auto"/>
                      <w:spacing w:val="6"/>
                      <w:sz w:val="21"/>
                      <w:szCs w:val="21"/>
                      <w:highlight w:val="none"/>
                    </w:rPr>
                    <w:t>金刚石</w:t>
                  </w:r>
                </w:p>
              </w:tc>
              <w:tc>
                <w:tcPr>
                  <w:tcW w:w="1407" w:type="dxa"/>
                  <w:vMerge w:val="restart"/>
                  <w:vAlign w:val="center"/>
                </w:tcPr>
                <w:p w14:paraId="3BCF886A">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5"/>
                      <w:sz w:val="21"/>
                      <w:szCs w:val="21"/>
                    </w:rPr>
                    <w:t>收集外售</w:t>
                  </w:r>
                </w:p>
              </w:tc>
            </w:tr>
            <w:tr w14:paraId="3B8D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54" w:type="dxa"/>
                  <w:vMerge w:val="continue"/>
                  <w:vAlign w:val="center"/>
                </w:tcPr>
                <w:p w14:paraId="369ECC74">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auto"/>
                    </w:rPr>
                  </w:pPr>
                </w:p>
              </w:tc>
              <w:tc>
                <w:tcPr>
                  <w:tcW w:w="1347" w:type="dxa"/>
                  <w:vMerge w:val="continue"/>
                  <w:vAlign w:val="center"/>
                </w:tcPr>
                <w:p w14:paraId="761A0B8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auto"/>
                    </w:rPr>
                  </w:pPr>
                </w:p>
              </w:tc>
              <w:tc>
                <w:tcPr>
                  <w:tcW w:w="1426" w:type="dxa"/>
                  <w:vAlign w:val="center"/>
                </w:tcPr>
                <w:p w14:paraId="2D558805">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5"/>
                      <w:sz w:val="21"/>
                      <w:szCs w:val="21"/>
                      <w:lang w:val="en-US" w:eastAsia="zh-CN"/>
                    </w:rPr>
                  </w:pPr>
                  <w:r>
                    <w:rPr>
                      <w:rFonts w:hint="eastAsia" w:ascii="Times New Roman" w:hAnsi="Times New Roman" w:cs="Times New Roman"/>
                      <w:color w:val="auto"/>
                      <w:spacing w:val="5"/>
                      <w:sz w:val="21"/>
                      <w:szCs w:val="21"/>
                      <w:lang w:val="en-US" w:eastAsia="zh-CN"/>
                    </w:rPr>
                    <w:t>边角料</w:t>
                  </w:r>
                </w:p>
              </w:tc>
              <w:tc>
                <w:tcPr>
                  <w:tcW w:w="920" w:type="dxa"/>
                  <w:vAlign w:val="center"/>
                </w:tcPr>
                <w:p w14:paraId="6DCE3D02">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5"/>
                      <w:sz w:val="21"/>
                      <w:szCs w:val="21"/>
                      <w:lang w:val="en-US" w:eastAsia="zh-CN"/>
                    </w:rPr>
                  </w:pPr>
                  <w:r>
                    <w:rPr>
                      <w:rFonts w:hint="eastAsia" w:ascii="Times New Roman" w:hAnsi="Times New Roman" w:cs="Times New Roman"/>
                      <w:color w:val="auto"/>
                      <w:spacing w:val="5"/>
                      <w:sz w:val="21"/>
                      <w:szCs w:val="21"/>
                      <w:lang w:val="en-US" w:eastAsia="zh-CN"/>
                    </w:rPr>
                    <w:t>S2</w:t>
                  </w:r>
                </w:p>
              </w:tc>
              <w:tc>
                <w:tcPr>
                  <w:tcW w:w="1787" w:type="dxa"/>
                  <w:vMerge w:val="continue"/>
                  <w:vAlign w:val="center"/>
                </w:tcPr>
                <w:p w14:paraId="0712464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color w:val="auto"/>
                      <w:spacing w:val="5"/>
                      <w:sz w:val="21"/>
                      <w:szCs w:val="21"/>
                      <w:lang w:val="en-US" w:eastAsia="zh-CN"/>
                    </w:rPr>
                  </w:pPr>
                </w:p>
              </w:tc>
              <w:tc>
                <w:tcPr>
                  <w:tcW w:w="1407" w:type="dxa"/>
                  <w:vMerge w:val="continue"/>
                  <w:vAlign w:val="center"/>
                </w:tcPr>
                <w:p w14:paraId="65294FEA">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color w:val="auto"/>
                      <w:spacing w:val="5"/>
                      <w:sz w:val="21"/>
                      <w:szCs w:val="21"/>
                      <w:lang w:val="en-US" w:eastAsia="zh-CN"/>
                    </w:rPr>
                  </w:pPr>
                </w:p>
              </w:tc>
            </w:tr>
            <w:tr w14:paraId="6A9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jc w:val="center"/>
              </w:trPr>
              <w:tc>
                <w:tcPr>
                  <w:tcW w:w="954" w:type="dxa"/>
                  <w:vMerge w:val="continue"/>
                  <w:vAlign w:val="center"/>
                </w:tcPr>
                <w:p w14:paraId="39A9944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auto"/>
                    </w:rPr>
                  </w:pPr>
                </w:p>
              </w:tc>
              <w:tc>
                <w:tcPr>
                  <w:tcW w:w="1347" w:type="dxa"/>
                  <w:vMerge w:val="continue"/>
                  <w:vAlign w:val="center"/>
                </w:tcPr>
                <w:p w14:paraId="19050915">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color w:val="auto"/>
                    </w:rPr>
                  </w:pPr>
                </w:p>
              </w:tc>
              <w:tc>
                <w:tcPr>
                  <w:tcW w:w="1426" w:type="dxa"/>
                  <w:vAlign w:val="center"/>
                </w:tcPr>
                <w:p w14:paraId="005AD79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color w:val="auto"/>
                      <w:spacing w:val="5"/>
                      <w:sz w:val="21"/>
                      <w:szCs w:val="21"/>
                      <w:lang w:val="en-US" w:eastAsia="zh-CN"/>
                    </w:rPr>
                  </w:pPr>
                  <w:r>
                    <w:rPr>
                      <w:rFonts w:hint="eastAsia" w:ascii="Times New Roman" w:hAnsi="Times New Roman" w:cs="Times New Roman"/>
                      <w:color w:val="auto"/>
                      <w:spacing w:val="5"/>
                      <w:sz w:val="21"/>
                      <w:szCs w:val="21"/>
                      <w:lang w:val="en-US" w:eastAsia="zh-CN"/>
                    </w:rPr>
                    <w:t>不合格产品</w:t>
                  </w:r>
                </w:p>
              </w:tc>
              <w:tc>
                <w:tcPr>
                  <w:tcW w:w="920" w:type="dxa"/>
                  <w:vAlign w:val="center"/>
                </w:tcPr>
                <w:p w14:paraId="1E0AE144">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color w:val="auto"/>
                      <w:spacing w:val="5"/>
                      <w:sz w:val="21"/>
                      <w:szCs w:val="21"/>
                      <w:lang w:val="en-US" w:eastAsia="zh-CN"/>
                    </w:rPr>
                  </w:pPr>
                  <w:r>
                    <w:rPr>
                      <w:rFonts w:hint="default" w:ascii="Times New Roman" w:hAnsi="Times New Roman" w:eastAsia="Times New Roman" w:cs="Times New Roman"/>
                      <w:color w:val="auto"/>
                      <w:spacing w:val="-3"/>
                      <w:sz w:val="21"/>
                      <w:szCs w:val="21"/>
                    </w:rPr>
                    <w:t>S</w:t>
                  </w:r>
                  <w:r>
                    <w:rPr>
                      <w:rFonts w:hint="eastAsia" w:ascii="Times New Roman" w:hAnsi="Times New Roman" w:eastAsia="宋体" w:cs="Times New Roman"/>
                      <w:color w:val="auto"/>
                      <w:spacing w:val="-3"/>
                      <w:sz w:val="21"/>
                      <w:szCs w:val="21"/>
                      <w:lang w:val="en-US" w:eastAsia="zh-CN"/>
                    </w:rPr>
                    <w:t>3</w:t>
                  </w:r>
                </w:p>
              </w:tc>
              <w:tc>
                <w:tcPr>
                  <w:tcW w:w="1787" w:type="dxa"/>
                  <w:vMerge w:val="continue"/>
                  <w:vAlign w:val="center"/>
                </w:tcPr>
                <w:p w14:paraId="64BD4C8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color w:val="auto"/>
                      <w:spacing w:val="5"/>
                      <w:sz w:val="21"/>
                      <w:szCs w:val="21"/>
                      <w:lang w:val="en-US" w:eastAsia="zh-CN"/>
                    </w:rPr>
                  </w:pPr>
                </w:p>
              </w:tc>
              <w:tc>
                <w:tcPr>
                  <w:tcW w:w="1407" w:type="dxa"/>
                  <w:vMerge w:val="continue"/>
                  <w:vAlign w:val="center"/>
                </w:tcPr>
                <w:p w14:paraId="2546F3C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cs="Times New Roman"/>
                      <w:color w:val="auto"/>
                      <w:spacing w:val="5"/>
                      <w:sz w:val="21"/>
                      <w:szCs w:val="21"/>
                      <w:lang w:val="en-US" w:eastAsia="zh-CN"/>
                    </w:rPr>
                  </w:pPr>
                </w:p>
              </w:tc>
            </w:tr>
            <w:tr w14:paraId="699C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Merge w:val="continue"/>
                  <w:vAlign w:val="center"/>
                </w:tcPr>
                <w:p w14:paraId="75448E3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val="0"/>
                      <w:bCs/>
                      <w:color w:val="auto"/>
                      <w:sz w:val="21"/>
                      <w:szCs w:val="21"/>
                      <w:highlight w:val="none"/>
                      <w:vertAlign w:val="baseline"/>
                    </w:rPr>
                  </w:pPr>
                </w:p>
              </w:tc>
              <w:tc>
                <w:tcPr>
                  <w:tcW w:w="1347" w:type="dxa"/>
                  <w:vAlign w:val="center"/>
                </w:tcPr>
                <w:p w14:paraId="358BF63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办公生活</w:t>
                  </w:r>
                </w:p>
              </w:tc>
              <w:tc>
                <w:tcPr>
                  <w:tcW w:w="1426" w:type="dxa"/>
                  <w:vAlign w:val="center"/>
                </w:tcPr>
                <w:p w14:paraId="48FF50D0">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生活垃圾</w:t>
                  </w:r>
                </w:p>
              </w:tc>
              <w:tc>
                <w:tcPr>
                  <w:tcW w:w="920" w:type="dxa"/>
                  <w:vAlign w:val="center"/>
                </w:tcPr>
                <w:p w14:paraId="6239C6C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Times New Roman" w:cs="Times New Roman"/>
                      <w:color w:val="auto"/>
                      <w:spacing w:val="-3"/>
                      <w:sz w:val="21"/>
                      <w:szCs w:val="21"/>
                    </w:rPr>
                    <w:t>S</w:t>
                  </w:r>
                  <w:r>
                    <w:rPr>
                      <w:rFonts w:hint="eastAsia" w:eastAsia="宋体" w:cs="Times New Roman"/>
                      <w:color w:val="auto"/>
                      <w:spacing w:val="-3"/>
                      <w:sz w:val="21"/>
                      <w:szCs w:val="21"/>
                      <w:lang w:val="en-US" w:eastAsia="zh-CN"/>
                    </w:rPr>
                    <w:t>4</w:t>
                  </w:r>
                </w:p>
              </w:tc>
              <w:tc>
                <w:tcPr>
                  <w:tcW w:w="1787" w:type="dxa"/>
                  <w:vAlign w:val="center"/>
                </w:tcPr>
                <w:p w14:paraId="7D00BB72">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生活垃圾</w:t>
                  </w:r>
                </w:p>
              </w:tc>
              <w:tc>
                <w:tcPr>
                  <w:tcW w:w="1407" w:type="dxa"/>
                  <w:vAlign w:val="center"/>
                </w:tcPr>
                <w:p w14:paraId="59C3B1A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由环卫部门运送至垃圾</w:t>
                  </w:r>
                  <w:r>
                    <w:rPr>
                      <w:rFonts w:hint="default" w:ascii="Times New Roman" w:hAnsi="Times New Roman" w:cs="Times New Roman"/>
                      <w:color w:val="auto"/>
                      <w:spacing w:val="7"/>
                      <w:sz w:val="21"/>
                      <w:szCs w:val="21"/>
                    </w:rPr>
                    <w:t>填埋场填埋</w:t>
                  </w:r>
                </w:p>
              </w:tc>
            </w:tr>
            <w:tr w14:paraId="68A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dxa"/>
                  <w:vAlign w:val="center"/>
                </w:tcPr>
                <w:p w14:paraId="391FB6A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1"/>
                      <w:sz w:val="21"/>
                      <w:szCs w:val="21"/>
                    </w:rPr>
                    <w:t>噪声</w:t>
                  </w:r>
                </w:p>
              </w:tc>
              <w:tc>
                <w:tcPr>
                  <w:tcW w:w="1347" w:type="dxa"/>
                  <w:vAlign w:val="center"/>
                </w:tcPr>
                <w:p w14:paraId="65573A8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6"/>
                      <w:sz w:val="21"/>
                      <w:szCs w:val="21"/>
                    </w:rPr>
                    <w:t>生产设备</w:t>
                  </w:r>
                </w:p>
              </w:tc>
              <w:tc>
                <w:tcPr>
                  <w:tcW w:w="1426" w:type="dxa"/>
                  <w:vAlign w:val="center"/>
                </w:tcPr>
                <w:p w14:paraId="7317551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设备机械噪声</w:t>
                  </w:r>
                </w:p>
              </w:tc>
              <w:tc>
                <w:tcPr>
                  <w:tcW w:w="920" w:type="dxa"/>
                  <w:vAlign w:val="center"/>
                </w:tcPr>
                <w:p w14:paraId="041712B5">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eastAsia="Times New Roman" w:cs="Times New Roman"/>
                      <w:color w:val="auto"/>
                      <w:spacing w:val="8"/>
                      <w:sz w:val="21"/>
                      <w:szCs w:val="21"/>
                    </w:rPr>
                    <w:t>N</w:t>
                  </w:r>
                </w:p>
              </w:tc>
              <w:tc>
                <w:tcPr>
                  <w:tcW w:w="1787" w:type="dxa"/>
                  <w:vAlign w:val="center"/>
                </w:tcPr>
                <w:p w14:paraId="48775255">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default" w:ascii="Times New Roman" w:hAnsi="Times New Roman" w:cs="Times New Roman"/>
                      <w:color w:val="auto"/>
                      <w:spacing w:val="7"/>
                      <w:sz w:val="21"/>
                      <w:szCs w:val="21"/>
                    </w:rPr>
                    <w:t>机械噪声</w:t>
                  </w:r>
                </w:p>
              </w:tc>
              <w:tc>
                <w:tcPr>
                  <w:tcW w:w="1407" w:type="dxa"/>
                  <w:vAlign w:val="center"/>
                </w:tcPr>
                <w:p w14:paraId="1551B91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cs="Times New Roman"/>
                      <w:b w:val="0"/>
                      <w:bCs/>
                      <w:color w:val="auto"/>
                      <w:sz w:val="21"/>
                      <w:szCs w:val="21"/>
                      <w:highlight w:val="none"/>
                      <w:vertAlign w:val="baseline"/>
                    </w:rPr>
                  </w:pPr>
                  <w:r>
                    <w:rPr>
                      <w:rFonts w:hint="eastAsia" w:ascii="Times New Roman" w:hAnsi="Times New Roman" w:cs="Times New Roman"/>
                      <w:color w:val="auto"/>
                      <w:spacing w:val="8"/>
                      <w:sz w:val="21"/>
                      <w:szCs w:val="21"/>
                      <w:lang w:eastAsia="zh-CN"/>
                    </w:rPr>
                    <w:t>基础减振</w:t>
                  </w:r>
                  <w:r>
                    <w:rPr>
                      <w:rFonts w:hint="default" w:ascii="Times New Roman" w:hAnsi="Times New Roman" w:cs="Times New Roman"/>
                      <w:color w:val="auto"/>
                      <w:spacing w:val="8"/>
                      <w:sz w:val="21"/>
                      <w:szCs w:val="21"/>
                    </w:rPr>
                    <w:t>、隔音等</w:t>
                  </w:r>
                </w:p>
              </w:tc>
            </w:tr>
          </w:tbl>
          <w:p w14:paraId="4FEFB6C7">
            <w:pPr>
              <w:spacing w:line="360" w:lineRule="auto"/>
              <w:rPr>
                <w:color w:val="auto"/>
                <w:sz w:val="24"/>
                <w:szCs w:val="20"/>
                <w:highlight w:val="none"/>
                <w:lang w:bidi="ar"/>
              </w:rPr>
            </w:pPr>
          </w:p>
        </w:tc>
      </w:tr>
      <w:tr w14:paraId="14F06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7" w:hRule="atLeast"/>
          <w:jc w:val="center"/>
        </w:trPr>
        <w:tc>
          <w:tcPr>
            <w:tcW w:w="445" w:type="pct"/>
            <w:vAlign w:val="center"/>
          </w:tcPr>
          <w:p w14:paraId="3AB95535">
            <w:pPr>
              <w:pStyle w:val="26"/>
              <w:adjustRightInd w:val="0"/>
              <w:snapToGrid w:val="0"/>
              <w:spacing w:before="0" w:beforeAutospacing="0" w:after="0" w:afterAutospacing="0"/>
              <w:jc w:val="center"/>
              <w:rPr>
                <w:rFonts w:cs="宋体"/>
                <w:color w:val="auto"/>
                <w:sz w:val="21"/>
                <w:szCs w:val="21"/>
                <w:highlight w:val="none"/>
              </w:rPr>
            </w:pPr>
            <w:r>
              <w:rPr>
                <w:rFonts w:hint="eastAsia" w:ascii="Times New Roman" w:hAnsi="Times New Roman"/>
                <w:bCs/>
                <w:color w:val="auto"/>
                <w:kern w:val="2"/>
                <w:szCs w:val="24"/>
                <w:highlight w:val="none"/>
              </w:rPr>
              <w:t>与项目有关的原有环境污染问题</w:t>
            </w:r>
          </w:p>
        </w:tc>
        <w:tc>
          <w:tcPr>
            <w:tcW w:w="4554" w:type="pct"/>
            <w:vAlign w:val="center"/>
          </w:tcPr>
          <w:p w14:paraId="338B61B8">
            <w:pPr>
              <w:topLinePunct/>
              <w:adjustRightInd w:val="0"/>
              <w:snapToGrid w:val="0"/>
              <w:spacing w:line="360" w:lineRule="auto"/>
              <w:ind w:firstLine="480" w:firstLineChars="200"/>
              <w:rPr>
                <w:rFonts w:ascii="宋体" w:hAnsi="宋体"/>
                <w:bCs/>
                <w:color w:val="auto"/>
                <w:szCs w:val="21"/>
                <w:highlight w:val="none"/>
              </w:rPr>
            </w:pPr>
            <w:r>
              <w:rPr>
                <w:bCs/>
                <w:color w:val="auto"/>
                <w:sz w:val="24"/>
                <w:highlight w:val="none"/>
              </w:rPr>
              <w:t>本项目为新建项目，项目用地目前为空地，不存在原有污染情况和环境问题</w:t>
            </w:r>
            <w:r>
              <w:rPr>
                <w:rFonts w:hint="eastAsia"/>
                <w:bCs/>
                <w:color w:val="auto"/>
                <w:sz w:val="24"/>
                <w:highlight w:val="none"/>
              </w:rPr>
              <w:t>。</w:t>
            </w:r>
          </w:p>
        </w:tc>
      </w:tr>
    </w:tbl>
    <w:p w14:paraId="194B3096">
      <w:pPr>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br w:type="page"/>
      </w:r>
    </w:p>
    <w:p w14:paraId="5B07405B">
      <w:pPr>
        <w:pStyle w:val="26"/>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三、区域环境质量现状、环境保护目标及评价标准</w:t>
      </w:r>
    </w:p>
    <w:tbl>
      <w:tblPr>
        <w:tblStyle w:val="29"/>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49"/>
      </w:tblGrid>
      <w:tr w14:paraId="0B39C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6" w:hRule="atLeast"/>
          <w:jc w:val="center"/>
        </w:trPr>
        <w:tc>
          <w:tcPr>
            <w:tcW w:w="800" w:type="dxa"/>
            <w:vAlign w:val="center"/>
          </w:tcPr>
          <w:p w14:paraId="0C3BFFC2">
            <w:pPr>
              <w:adjustRightInd w:val="0"/>
              <w:snapToGrid w:val="0"/>
              <w:jc w:val="center"/>
              <w:rPr>
                <w:color w:val="auto"/>
                <w:kern w:val="0"/>
                <w:sz w:val="24"/>
                <w:highlight w:val="none"/>
              </w:rPr>
            </w:pPr>
            <w:r>
              <w:rPr>
                <w:color w:val="auto"/>
                <w:kern w:val="0"/>
                <w:sz w:val="24"/>
                <w:highlight w:val="none"/>
              </w:rPr>
              <w:t>区域</w:t>
            </w:r>
          </w:p>
          <w:p w14:paraId="072D78E7">
            <w:pPr>
              <w:adjustRightInd w:val="0"/>
              <w:snapToGrid w:val="0"/>
              <w:jc w:val="center"/>
              <w:rPr>
                <w:color w:val="auto"/>
                <w:kern w:val="0"/>
                <w:sz w:val="24"/>
                <w:highlight w:val="none"/>
              </w:rPr>
            </w:pPr>
            <w:r>
              <w:rPr>
                <w:color w:val="auto"/>
                <w:kern w:val="0"/>
                <w:sz w:val="24"/>
                <w:highlight w:val="none"/>
              </w:rPr>
              <w:t>环境</w:t>
            </w:r>
          </w:p>
          <w:p w14:paraId="11966515">
            <w:pPr>
              <w:adjustRightInd w:val="0"/>
              <w:snapToGrid w:val="0"/>
              <w:jc w:val="center"/>
              <w:rPr>
                <w:color w:val="auto"/>
                <w:kern w:val="0"/>
                <w:sz w:val="24"/>
                <w:highlight w:val="none"/>
              </w:rPr>
            </w:pPr>
            <w:r>
              <w:rPr>
                <w:color w:val="auto"/>
                <w:kern w:val="0"/>
                <w:sz w:val="24"/>
                <w:highlight w:val="none"/>
              </w:rPr>
              <w:t>质量</w:t>
            </w:r>
          </w:p>
          <w:p w14:paraId="58C203AB">
            <w:pPr>
              <w:adjustRightInd w:val="0"/>
              <w:snapToGrid w:val="0"/>
              <w:jc w:val="center"/>
              <w:rPr>
                <w:color w:val="auto"/>
                <w:kern w:val="0"/>
                <w:sz w:val="24"/>
                <w:highlight w:val="none"/>
              </w:rPr>
            </w:pPr>
            <w:r>
              <w:rPr>
                <w:color w:val="auto"/>
                <w:kern w:val="0"/>
                <w:sz w:val="24"/>
                <w:highlight w:val="none"/>
              </w:rPr>
              <w:t>现状</w:t>
            </w:r>
          </w:p>
        </w:tc>
        <w:tc>
          <w:tcPr>
            <w:tcW w:w="8190" w:type="dxa"/>
            <w:vAlign w:val="center"/>
          </w:tcPr>
          <w:p w14:paraId="42BD5332">
            <w:pPr>
              <w:adjustRightInd w:val="0"/>
              <w:snapToGrid w:val="0"/>
              <w:spacing w:line="520" w:lineRule="exact"/>
              <w:jc w:val="left"/>
              <w:rPr>
                <w:b/>
                <w:color w:val="auto"/>
                <w:sz w:val="24"/>
                <w:highlight w:val="none"/>
              </w:rPr>
            </w:pPr>
            <w:r>
              <w:rPr>
                <w:rFonts w:hint="eastAsia"/>
                <w:b/>
                <w:color w:val="auto"/>
                <w:sz w:val="24"/>
                <w:highlight w:val="none"/>
              </w:rPr>
              <w:t>1</w:t>
            </w:r>
            <w:r>
              <w:rPr>
                <w:b/>
                <w:color w:val="auto"/>
                <w:sz w:val="24"/>
                <w:highlight w:val="none"/>
              </w:rPr>
              <w:t>大气环境</w:t>
            </w:r>
          </w:p>
          <w:p w14:paraId="48F9EE7D">
            <w:pPr>
              <w:adjustRightInd w:val="0"/>
              <w:snapToGrid w:val="0"/>
              <w:spacing w:line="520" w:lineRule="exact"/>
              <w:ind w:firstLine="480" w:firstLineChars="200"/>
              <w:jc w:val="left"/>
              <w:rPr>
                <w:color w:val="auto"/>
                <w:sz w:val="24"/>
                <w:highlight w:val="none"/>
              </w:rPr>
            </w:pPr>
            <w:r>
              <w:rPr>
                <w:color w:val="auto"/>
                <w:sz w:val="24"/>
                <w:highlight w:val="none"/>
              </w:rPr>
              <w:t>（1）项目所在区域达标判定</w:t>
            </w:r>
          </w:p>
          <w:p w14:paraId="1AEC1527">
            <w:pPr>
              <w:spacing w:line="520" w:lineRule="exact"/>
              <w:ind w:firstLine="480"/>
              <w:rPr>
                <w:color w:val="auto"/>
                <w:sz w:val="24"/>
                <w:szCs w:val="32"/>
                <w:highlight w:val="none"/>
              </w:rPr>
            </w:pPr>
            <w:r>
              <w:rPr>
                <w:rFonts w:hint="eastAsia"/>
                <w:color w:val="auto"/>
                <w:sz w:val="24"/>
                <w:szCs w:val="32"/>
                <w:highlight w:val="none"/>
              </w:rPr>
              <w:t>《环境影响评价技术导则大气环境》（HJ2.2-2018）规定：“城市环境空气质量达标情况评价指标为SO</w:t>
            </w:r>
            <w:r>
              <w:rPr>
                <w:rFonts w:hint="eastAsia"/>
                <w:color w:val="auto"/>
                <w:sz w:val="24"/>
                <w:szCs w:val="32"/>
                <w:highlight w:val="none"/>
                <w:vertAlign w:val="subscript"/>
              </w:rPr>
              <w:t>2</w:t>
            </w:r>
            <w:r>
              <w:rPr>
                <w:rFonts w:hint="eastAsia"/>
                <w:color w:val="auto"/>
                <w:sz w:val="24"/>
                <w:szCs w:val="32"/>
                <w:highlight w:val="none"/>
              </w:rPr>
              <w:t>、NO</w:t>
            </w:r>
            <w:r>
              <w:rPr>
                <w:rFonts w:hint="eastAsia"/>
                <w:color w:val="auto"/>
                <w:sz w:val="24"/>
                <w:szCs w:val="32"/>
                <w:highlight w:val="none"/>
                <w:vertAlign w:val="subscript"/>
              </w:rPr>
              <w:t>2</w:t>
            </w:r>
            <w:r>
              <w:rPr>
                <w:rFonts w:hint="eastAsia"/>
                <w:color w:val="auto"/>
                <w:sz w:val="24"/>
                <w:szCs w:val="32"/>
                <w:highlight w:val="none"/>
              </w:rPr>
              <w:t>、PM</w:t>
            </w:r>
            <w:r>
              <w:rPr>
                <w:rFonts w:hint="eastAsia"/>
                <w:color w:val="auto"/>
                <w:sz w:val="24"/>
                <w:szCs w:val="32"/>
                <w:highlight w:val="none"/>
                <w:vertAlign w:val="subscript"/>
              </w:rPr>
              <w:t>10</w:t>
            </w:r>
            <w:r>
              <w:rPr>
                <w:rFonts w:hint="eastAsia"/>
                <w:color w:val="auto"/>
                <w:sz w:val="24"/>
                <w:szCs w:val="32"/>
                <w:highlight w:val="none"/>
              </w:rPr>
              <w:t>、PM</w:t>
            </w:r>
            <w:r>
              <w:rPr>
                <w:rFonts w:hint="eastAsia"/>
                <w:color w:val="auto"/>
                <w:sz w:val="24"/>
                <w:szCs w:val="32"/>
                <w:highlight w:val="none"/>
                <w:vertAlign w:val="subscript"/>
              </w:rPr>
              <w:t>2.5</w:t>
            </w:r>
            <w:r>
              <w:rPr>
                <w:rFonts w:hint="eastAsia"/>
                <w:color w:val="auto"/>
                <w:sz w:val="24"/>
                <w:szCs w:val="32"/>
                <w:highlight w:val="none"/>
              </w:rPr>
              <w:t>、CO和O</w:t>
            </w:r>
            <w:r>
              <w:rPr>
                <w:rFonts w:hint="eastAsia"/>
                <w:color w:val="auto"/>
                <w:sz w:val="24"/>
                <w:szCs w:val="32"/>
                <w:highlight w:val="none"/>
                <w:vertAlign w:val="subscript"/>
              </w:rPr>
              <w:t>3</w:t>
            </w:r>
            <w:r>
              <w:rPr>
                <w:rFonts w:hint="eastAsia"/>
                <w:color w:val="auto"/>
                <w:sz w:val="24"/>
                <w:szCs w:val="32"/>
                <w:highlight w:val="none"/>
              </w:rPr>
              <w:t>，六项污染物全部达标即为城市环境空气质量达标”。</w:t>
            </w:r>
          </w:p>
          <w:p w14:paraId="3A5D6D4A">
            <w:pPr>
              <w:adjustRightInd w:val="0"/>
              <w:snapToGrid w:val="0"/>
              <w:spacing w:line="520" w:lineRule="exact"/>
              <w:ind w:firstLine="480" w:firstLineChars="200"/>
              <w:jc w:val="left"/>
              <w:rPr>
                <w:color w:val="auto"/>
                <w:sz w:val="24"/>
                <w:highlight w:val="none"/>
              </w:rPr>
            </w:pPr>
            <w:r>
              <w:rPr>
                <w:color w:val="auto"/>
                <w:sz w:val="24"/>
                <w:highlight w:val="none"/>
              </w:rPr>
              <w:t>（2）数据来源</w:t>
            </w:r>
          </w:p>
          <w:p w14:paraId="030A0AAF">
            <w:pPr>
              <w:adjustRightInd w:val="0"/>
              <w:snapToGrid w:val="0"/>
              <w:spacing w:line="520" w:lineRule="exact"/>
              <w:ind w:firstLine="480" w:firstLineChars="200"/>
              <w:jc w:val="left"/>
              <w:rPr>
                <w:color w:val="auto"/>
                <w:sz w:val="24"/>
                <w:highlight w:val="none"/>
              </w:rPr>
            </w:pPr>
            <w:r>
              <w:rPr>
                <w:rFonts w:hint="eastAsia"/>
                <w:color w:val="auto"/>
                <w:sz w:val="24"/>
                <w:highlight w:val="none"/>
                <w:lang w:val="en-US" w:eastAsia="zh-CN"/>
              </w:rPr>
              <w:t>根据《环境影响评价技术导则</w:t>
            </w:r>
            <w:r>
              <w:rPr>
                <w:rFonts w:hint="default"/>
                <w:color w:val="auto"/>
                <w:sz w:val="24"/>
                <w:highlight w:val="none"/>
                <w:lang w:val="en-US" w:eastAsia="zh-CN"/>
              </w:rPr>
              <w:t>-</w:t>
            </w:r>
            <w:r>
              <w:rPr>
                <w:rFonts w:hint="eastAsia"/>
                <w:color w:val="auto"/>
                <w:sz w:val="24"/>
                <w:highlight w:val="none"/>
                <w:lang w:val="en-US" w:eastAsia="zh-CN"/>
              </w:rPr>
              <w:t>大气环境》（</w:t>
            </w:r>
            <w:r>
              <w:rPr>
                <w:rFonts w:hint="default"/>
                <w:color w:val="auto"/>
                <w:sz w:val="24"/>
                <w:highlight w:val="none"/>
                <w:lang w:val="en-US" w:eastAsia="zh-CN"/>
              </w:rPr>
              <w:t>H.J2.2-2018</w:t>
            </w:r>
            <w:r>
              <w:rPr>
                <w:rFonts w:hint="eastAsia"/>
                <w:color w:val="auto"/>
                <w:sz w:val="24"/>
                <w:highlight w:val="none"/>
                <w:lang w:val="en-US" w:eastAsia="zh-CN"/>
              </w:rPr>
              <w:t>）对环境质量现状数据的要求，选择距离项目最近的奇台县空气自动站监测</w:t>
            </w:r>
            <w:r>
              <w:rPr>
                <w:rFonts w:hint="default"/>
                <w:color w:val="auto"/>
                <w:sz w:val="24"/>
                <w:highlight w:val="none"/>
                <w:lang w:val="en-US" w:eastAsia="zh-CN"/>
              </w:rPr>
              <w:t>202</w:t>
            </w:r>
            <w:r>
              <w:rPr>
                <w:rFonts w:hint="eastAsia"/>
                <w:color w:val="auto"/>
                <w:sz w:val="24"/>
                <w:highlight w:val="none"/>
                <w:lang w:val="en-US" w:eastAsia="zh-CN"/>
              </w:rPr>
              <w:t>3年的监测数据。作为本项目环境空气现状评价基本污染物</w:t>
            </w:r>
            <w:r>
              <w:rPr>
                <w:rFonts w:hint="default"/>
                <w:color w:val="auto"/>
                <w:sz w:val="24"/>
                <w:highlight w:val="none"/>
                <w:lang w:val="en-US" w:eastAsia="zh-CN"/>
              </w:rPr>
              <w:t>SO</w:t>
            </w:r>
            <w:r>
              <w:rPr>
                <w:rFonts w:hint="default"/>
                <w:color w:val="auto"/>
                <w:sz w:val="24"/>
                <w:highlight w:val="none"/>
                <w:vertAlign w:val="subscript"/>
                <w:lang w:val="en-US" w:eastAsia="zh-CN"/>
              </w:rPr>
              <w:t>2</w:t>
            </w:r>
            <w:r>
              <w:rPr>
                <w:rFonts w:hint="eastAsia"/>
                <w:color w:val="auto"/>
                <w:sz w:val="24"/>
                <w:highlight w:val="none"/>
                <w:lang w:val="en-US" w:eastAsia="zh-CN"/>
              </w:rPr>
              <w:t>、</w:t>
            </w:r>
            <w:r>
              <w:rPr>
                <w:rFonts w:hint="default"/>
                <w:color w:val="auto"/>
                <w:sz w:val="24"/>
                <w:highlight w:val="none"/>
                <w:lang w:val="en-US" w:eastAsia="zh-CN"/>
              </w:rPr>
              <w:t>NO</w:t>
            </w:r>
            <w:r>
              <w:rPr>
                <w:rFonts w:hint="default"/>
                <w:color w:val="auto"/>
                <w:sz w:val="24"/>
                <w:highlight w:val="none"/>
                <w:vertAlign w:val="subscript"/>
                <w:lang w:val="en-US" w:eastAsia="zh-CN"/>
              </w:rPr>
              <w:t>2</w:t>
            </w:r>
            <w:r>
              <w:rPr>
                <w:rFonts w:hint="eastAsia"/>
                <w:color w:val="auto"/>
                <w:sz w:val="24"/>
                <w:highlight w:val="none"/>
                <w:lang w:val="en-US" w:eastAsia="zh-CN"/>
              </w:rPr>
              <w:t>、</w:t>
            </w:r>
            <w:r>
              <w:rPr>
                <w:rFonts w:hint="default"/>
                <w:color w:val="auto"/>
                <w:sz w:val="24"/>
                <w:highlight w:val="none"/>
                <w:lang w:val="en-US" w:eastAsia="zh-CN"/>
              </w:rPr>
              <w:t>PM</w:t>
            </w:r>
            <w:r>
              <w:rPr>
                <w:rFonts w:hint="default"/>
                <w:color w:val="auto"/>
                <w:sz w:val="24"/>
                <w:highlight w:val="none"/>
                <w:vertAlign w:val="subscript"/>
                <w:lang w:val="en-US" w:eastAsia="zh-CN"/>
              </w:rPr>
              <w:t>10</w:t>
            </w:r>
            <w:r>
              <w:rPr>
                <w:rFonts w:hint="eastAsia"/>
                <w:color w:val="auto"/>
                <w:sz w:val="24"/>
                <w:highlight w:val="none"/>
                <w:lang w:val="en-US" w:eastAsia="zh-CN"/>
              </w:rPr>
              <w:t>、</w:t>
            </w:r>
            <w:r>
              <w:rPr>
                <w:rFonts w:hint="default"/>
                <w:color w:val="auto"/>
                <w:sz w:val="24"/>
                <w:highlight w:val="none"/>
                <w:lang w:val="en-US" w:eastAsia="zh-CN"/>
              </w:rPr>
              <w:t>PM</w:t>
            </w:r>
            <w:r>
              <w:rPr>
                <w:rFonts w:hint="default"/>
                <w:color w:val="auto"/>
                <w:sz w:val="24"/>
                <w:highlight w:val="none"/>
                <w:vertAlign w:val="subscript"/>
                <w:lang w:val="en-US" w:eastAsia="zh-CN"/>
              </w:rPr>
              <w:t>2.5</w:t>
            </w:r>
            <w:r>
              <w:rPr>
                <w:rFonts w:hint="eastAsia"/>
                <w:color w:val="auto"/>
                <w:sz w:val="24"/>
                <w:highlight w:val="none"/>
                <w:lang w:val="en-US" w:eastAsia="zh-CN"/>
              </w:rPr>
              <w:t>、</w:t>
            </w:r>
            <w:r>
              <w:rPr>
                <w:rFonts w:hint="default"/>
                <w:color w:val="auto"/>
                <w:sz w:val="24"/>
                <w:highlight w:val="none"/>
                <w:lang w:val="en-US" w:eastAsia="zh-CN"/>
              </w:rPr>
              <w:t>CO</w:t>
            </w:r>
            <w:r>
              <w:rPr>
                <w:rFonts w:hint="eastAsia"/>
                <w:color w:val="auto"/>
                <w:sz w:val="24"/>
                <w:highlight w:val="none"/>
                <w:lang w:val="en-US" w:eastAsia="zh-CN"/>
              </w:rPr>
              <w:t>和</w:t>
            </w:r>
            <w:r>
              <w:rPr>
                <w:rFonts w:hint="default"/>
                <w:color w:val="auto"/>
                <w:sz w:val="24"/>
                <w:highlight w:val="none"/>
                <w:lang w:val="en-US" w:eastAsia="zh-CN"/>
              </w:rPr>
              <w:t>O</w:t>
            </w:r>
            <w:r>
              <w:rPr>
                <w:rFonts w:hint="default"/>
                <w:color w:val="auto"/>
                <w:sz w:val="24"/>
                <w:highlight w:val="none"/>
                <w:vertAlign w:val="subscript"/>
                <w:lang w:val="en-US" w:eastAsia="zh-CN"/>
              </w:rPr>
              <w:t>3</w:t>
            </w:r>
            <w:r>
              <w:rPr>
                <w:rFonts w:hint="eastAsia"/>
                <w:color w:val="auto"/>
                <w:sz w:val="24"/>
                <w:highlight w:val="none"/>
                <w:lang w:val="en-US" w:eastAsia="zh-CN"/>
              </w:rPr>
              <w:t>的数据来源，数据从空间和时间上均符合《环境影响评价技术导则大气环境》（</w:t>
            </w:r>
            <w:r>
              <w:rPr>
                <w:rFonts w:hint="default"/>
                <w:color w:val="auto"/>
                <w:sz w:val="24"/>
                <w:highlight w:val="none"/>
                <w:lang w:val="en-US" w:eastAsia="zh-CN"/>
              </w:rPr>
              <w:t>HJ2.2-2018</w:t>
            </w:r>
            <w:r>
              <w:rPr>
                <w:rFonts w:hint="eastAsia"/>
                <w:color w:val="auto"/>
                <w:sz w:val="24"/>
                <w:highlight w:val="none"/>
                <w:lang w:val="en-US" w:eastAsia="zh-CN"/>
              </w:rPr>
              <w:t>）的要求。</w:t>
            </w:r>
          </w:p>
          <w:p w14:paraId="56903A78">
            <w:pPr>
              <w:adjustRightInd w:val="0"/>
              <w:snapToGrid w:val="0"/>
              <w:spacing w:line="520" w:lineRule="exact"/>
              <w:ind w:firstLine="480" w:firstLineChars="200"/>
              <w:jc w:val="left"/>
              <w:rPr>
                <w:color w:val="auto"/>
                <w:sz w:val="24"/>
                <w:highlight w:val="none"/>
              </w:rPr>
            </w:pPr>
            <w:r>
              <w:rPr>
                <w:rFonts w:hint="eastAsia"/>
                <w:color w:val="auto"/>
                <w:sz w:val="24"/>
                <w:highlight w:val="none"/>
                <w:lang w:val="en-US" w:eastAsia="zh-CN"/>
              </w:rPr>
              <w:t>奇台县无国控监测站，因此选取奇台县空气自动站</w:t>
            </w:r>
            <w:r>
              <w:rPr>
                <w:rFonts w:hint="default"/>
                <w:color w:val="auto"/>
                <w:sz w:val="24"/>
                <w:highlight w:val="none"/>
                <w:lang w:val="en-US" w:eastAsia="zh-CN"/>
              </w:rPr>
              <w:t>202</w:t>
            </w:r>
            <w:r>
              <w:rPr>
                <w:rFonts w:hint="eastAsia"/>
                <w:color w:val="auto"/>
                <w:sz w:val="24"/>
                <w:highlight w:val="none"/>
                <w:lang w:val="en-US" w:eastAsia="zh-CN"/>
              </w:rPr>
              <w:t>3年的监测数据作为本项目环境空气现状评价基本污染物的数据来源基本满足《环境影响评价技术导则-大气环境》</w:t>
            </w:r>
            <w:r>
              <w:rPr>
                <w:rFonts w:hint="default"/>
                <w:color w:val="auto"/>
                <w:sz w:val="24"/>
                <w:highlight w:val="none"/>
                <w:lang w:val="en-US" w:eastAsia="zh-CN"/>
              </w:rPr>
              <w:t>(H.J2.2-2018)</w:t>
            </w:r>
            <w:r>
              <w:rPr>
                <w:rFonts w:hint="eastAsia"/>
                <w:color w:val="auto"/>
                <w:sz w:val="24"/>
                <w:highlight w:val="none"/>
                <w:lang w:val="en-US" w:eastAsia="zh-CN"/>
              </w:rPr>
              <w:t>。</w:t>
            </w:r>
          </w:p>
          <w:p w14:paraId="233DD76C">
            <w:pPr>
              <w:adjustRightInd w:val="0"/>
              <w:snapToGrid w:val="0"/>
              <w:spacing w:line="520" w:lineRule="exact"/>
              <w:ind w:firstLine="480" w:firstLineChars="200"/>
              <w:jc w:val="left"/>
              <w:rPr>
                <w:color w:val="auto"/>
                <w:sz w:val="24"/>
                <w:highlight w:val="none"/>
              </w:rPr>
            </w:pPr>
            <w:r>
              <w:rPr>
                <w:color w:val="auto"/>
                <w:sz w:val="24"/>
                <w:highlight w:val="none"/>
              </w:rPr>
              <w:t>（3）评价标准</w:t>
            </w:r>
          </w:p>
          <w:p w14:paraId="3F0D90A6">
            <w:pPr>
              <w:adjustRightInd w:val="0"/>
              <w:snapToGrid w:val="0"/>
              <w:spacing w:line="520" w:lineRule="exact"/>
              <w:ind w:firstLine="480" w:firstLineChars="200"/>
              <w:jc w:val="left"/>
              <w:rPr>
                <w:rFonts w:hint="eastAsia"/>
                <w:color w:val="auto"/>
                <w:sz w:val="24"/>
                <w:highlight w:val="none"/>
                <w:lang w:val="en-US" w:eastAsia="zh-CN"/>
              </w:rPr>
            </w:pPr>
            <w:r>
              <w:rPr>
                <w:rFonts w:hint="eastAsia"/>
                <w:color w:val="auto"/>
                <w:sz w:val="24"/>
                <w:highlight w:val="none"/>
                <w:lang w:val="en-US" w:eastAsia="zh-CN"/>
              </w:rPr>
              <w:t>基本污染物</w:t>
            </w:r>
            <w:r>
              <w:rPr>
                <w:rFonts w:hint="default"/>
                <w:color w:val="auto"/>
                <w:sz w:val="24"/>
                <w:highlight w:val="none"/>
                <w:lang w:val="en-US" w:eastAsia="zh-CN"/>
              </w:rPr>
              <w:t>SO</w:t>
            </w:r>
            <w:r>
              <w:rPr>
                <w:rFonts w:hint="default"/>
                <w:color w:val="auto"/>
                <w:sz w:val="24"/>
                <w:highlight w:val="none"/>
                <w:vertAlign w:val="subscript"/>
                <w:lang w:val="en-US" w:eastAsia="zh-CN"/>
              </w:rPr>
              <w:t>2</w:t>
            </w:r>
            <w:r>
              <w:rPr>
                <w:rFonts w:hint="eastAsia"/>
                <w:color w:val="auto"/>
                <w:sz w:val="24"/>
                <w:highlight w:val="none"/>
                <w:lang w:val="en-US" w:eastAsia="zh-CN"/>
              </w:rPr>
              <w:t>、</w:t>
            </w:r>
            <w:r>
              <w:rPr>
                <w:rFonts w:hint="default"/>
                <w:color w:val="auto"/>
                <w:sz w:val="24"/>
                <w:highlight w:val="none"/>
                <w:lang w:val="en-US" w:eastAsia="zh-CN"/>
              </w:rPr>
              <w:t>NO</w:t>
            </w:r>
            <w:r>
              <w:rPr>
                <w:rFonts w:hint="default"/>
                <w:color w:val="auto"/>
                <w:sz w:val="24"/>
                <w:highlight w:val="none"/>
                <w:vertAlign w:val="subscript"/>
                <w:lang w:val="en-US" w:eastAsia="zh-CN"/>
              </w:rPr>
              <w:t>2</w:t>
            </w:r>
            <w:r>
              <w:rPr>
                <w:rFonts w:hint="eastAsia"/>
                <w:color w:val="auto"/>
                <w:sz w:val="24"/>
                <w:highlight w:val="none"/>
                <w:lang w:val="en-US" w:eastAsia="zh-CN"/>
              </w:rPr>
              <w:t>、</w:t>
            </w:r>
            <w:r>
              <w:rPr>
                <w:rFonts w:hint="default"/>
                <w:color w:val="auto"/>
                <w:sz w:val="24"/>
                <w:highlight w:val="none"/>
                <w:lang w:val="en-US" w:eastAsia="zh-CN"/>
              </w:rPr>
              <w:t>PM</w:t>
            </w:r>
            <w:r>
              <w:rPr>
                <w:rFonts w:hint="default"/>
                <w:color w:val="auto"/>
                <w:sz w:val="24"/>
                <w:highlight w:val="none"/>
                <w:vertAlign w:val="subscript"/>
                <w:lang w:val="en-US" w:eastAsia="zh-CN"/>
              </w:rPr>
              <w:t>10</w:t>
            </w:r>
            <w:r>
              <w:rPr>
                <w:rFonts w:hint="eastAsia"/>
                <w:color w:val="auto"/>
                <w:sz w:val="24"/>
                <w:highlight w:val="none"/>
                <w:lang w:val="en-US" w:eastAsia="zh-CN"/>
              </w:rPr>
              <w:t>、</w:t>
            </w:r>
            <w:r>
              <w:rPr>
                <w:rFonts w:hint="default"/>
                <w:color w:val="auto"/>
                <w:sz w:val="24"/>
                <w:highlight w:val="none"/>
                <w:lang w:val="en-US" w:eastAsia="zh-CN"/>
              </w:rPr>
              <w:t>PM</w:t>
            </w:r>
            <w:r>
              <w:rPr>
                <w:rFonts w:hint="default"/>
                <w:color w:val="auto"/>
                <w:sz w:val="24"/>
                <w:highlight w:val="none"/>
                <w:vertAlign w:val="subscript"/>
                <w:lang w:val="en-US" w:eastAsia="zh-CN"/>
              </w:rPr>
              <w:t>2.5</w:t>
            </w:r>
            <w:r>
              <w:rPr>
                <w:rFonts w:hint="eastAsia"/>
                <w:color w:val="auto"/>
                <w:sz w:val="24"/>
                <w:highlight w:val="none"/>
                <w:lang w:val="en-US" w:eastAsia="zh-CN"/>
              </w:rPr>
              <w:t>、</w:t>
            </w:r>
            <w:r>
              <w:rPr>
                <w:rFonts w:hint="default"/>
                <w:color w:val="auto"/>
                <w:sz w:val="24"/>
                <w:highlight w:val="none"/>
                <w:lang w:val="en-US" w:eastAsia="zh-CN"/>
              </w:rPr>
              <w:t>CO</w:t>
            </w:r>
            <w:r>
              <w:rPr>
                <w:rFonts w:hint="eastAsia"/>
                <w:color w:val="auto"/>
                <w:sz w:val="24"/>
                <w:highlight w:val="none"/>
                <w:lang w:val="en-US" w:eastAsia="zh-CN"/>
              </w:rPr>
              <w:t>和</w:t>
            </w:r>
            <w:r>
              <w:rPr>
                <w:rFonts w:hint="default"/>
                <w:color w:val="auto"/>
                <w:sz w:val="24"/>
                <w:highlight w:val="none"/>
                <w:lang w:val="en-US" w:eastAsia="zh-CN"/>
              </w:rPr>
              <w:t>O</w:t>
            </w:r>
            <w:r>
              <w:rPr>
                <w:rFonts w:hint="default"/>
                <w:color w:val="auto"/>
                <w:sz w:val="24"/>
                <w:highlight w:val="none"/>
                <w:vertAlign w:val="subscript"/>
                <w:lang w:val="en-US" w:eastAsia="zh-CN"/>
              </w:rPr>
              <w:t>3</w:t>
            </w:r>
            <w:r>
              <w:rPr>
                <w:rFonts w:hint="eastAsia"/>
                <w:color w:val="auto"/>
                <w:sz w:val="24"/>
                <w:highlight w:val="none"/>
                <w:lang w:val="en-US" w:eastAsia="zh-CN"/>
              </w:rPr>
              <w:t>执行《环境空气质量标准及其修改单》（GB3095-2012）二级标准。</w:t>
            </w:r>
          </w:p>
          <w:p w14:paraId="3A8B2D2E">
            <w:pPr>
              <w:adjustRightInd w:val="0"/>
              <w:snapToGrid w:val="0"/>
              <w:spacing w:line="520" w:lineRule="exact"/>
              <w:ind w:firstLine="480" w:firstLineChars="200"/>
              <w:jc w:val="left"/>
              <w:rPr>
                <w:color w:val="auto"/>
                <w:sz w:val="24"/>
                <w:highlight w:val="none"/>
              </w:rPr>
            </w:pPr>
            <w:r>
              <w:rPr>
                <w:color w:val="auto"/>
                <w:sz w:val="24"/>
                <w:highlight w:val="none"/>
              </w:rPr>
              <w:t>（4）评价方法</w:t>
            </w:r>
          </w:p>
          <w:p w14:paraId="38AC0428">
            <w:pPr>
              <w:adjustRightInd w:val="0"/>
              <w:snapToGrid w:val="0"/>
              <w:spacing w:line="520" w:lineRule="exact"/>
              <w:ind w:firstLine="480" w:firstLineChars="200"/>
              <w:jc w:val="left"/>
              <w:rPr>
                <w:color w:val="auto"/>
                <w:sz w:val="24"/>
                <w:highlight w:val="none"/>
              </w:rPr>
            </w:pPr>
            <w:r>
              <w:rPr>
                <w:color w:val="auto"/>
                <w:sz w:val="24"/>
                <w:highlight w:val="none"/>
              </w:rPr>
              <w:t>基本污染物按照《环境空气质量评价技术规范（试行）》（HJ663-2013）中各评价项目的年评价指标进行判定。年评价指标中的年均浓度和相应百分位数24h平均或8h平均质量浓度满足GB3095</w:t>
            </w:r>
            <w:r>
              <w:rPr>
                <w:rFonts w:hint="eastAsia"/>
                <w:color w:val="auto"/>
                <w:sz w:val="24"/>
                <w:highlight w:val="none"/>
                <w:lang w:val="en-US" w:eastAsia="zh-CN"/>
              </w:rPr>
              <w:t>-2012</w:t>
            </w:r>
            <w:r>
              <w:rPr>
                <w:color w:val="auto"/>
                <w:sz w:val="24"/>
                <w:highlight w:val="none"/>
              </w:rPr>
              <w:t>中浓度限值要求的即为达标。对于超标的污染物，计算其超标倍数和超标率。</w:t>
            </w:r>
          </w:p>
          <w:p w14:paraId="4BE983DE">
            <w:pPr>
              <w:spacing w:line="520" w:lineRule="exact"/>
              <w:ind w:firstLine="480" w:firstLineChars="200"/>
              <w:rPr>
                <w:color w:val="auto"/>
                <w:sz w:val="24"/>
                <w:highlight w:val="none"/>
              </w:rPr>
            </w:pPr>
            <w:r>
              <w:rPr>
                <w:color w:val="auto"/>
                <w:sz w:val="24"/>
                <w:highlight w:val="none"/>
              </w:rPr>
              <w:t>空气环境质量现状采用单项污染指数法、计算公式为：</w:t>
            </w:r>
          </w:p>
          <w:p w14:paraId="59B1FFA6">
            <w:pPr>
              <w:spacing w:line="520" w:lineRule="exact"/>
              <w:ind w:firstLine="480" w:firstLineChars="200"/>
              <w:rPr>
                <w:color w:val="auto"/>
                <w:sz w:val="24"/>
                <w:highlight w:val="none"/>
              </w:rPr>
            </w:pPr>
            <w:r>
              <w:rPr>
                <w:color w:val="auto"/>
                <w:sz w:val="24"/>
                <w:highlight w:val="none"/>
              </w:rPr>
              <w:t>超标率=超标数据个数/总监测数据个数×100%</w:t>
            </w:r>
          </w:p>
          <w:p w14:paraId="70FBE123">
            <w:pPr>
              <w:adjustRightInd w:val="0"/>
              <w:snapToGrid w:val="0"/>
              <w:ind w:firstLine="480"/>
              <w:jc w:val="center"/>
              <w:rPr>
                <w:rFonts w:cs="宋体"/>
                <w:color w:val="auto"/>
                <w:kern w:val="0"/>
                <w:szCs w:val="21"/>
                <w:highlight w:val="none"/>
              </w:rPr>
            </w:pPr>
            <w:r>
              <w:rPr>
                <w:rFonts w:cs="宋体"/>
                <w:color w:val="auto"/>
                <w:kern w:val="0"/>
                <w:szCs w:val="21"/>
                <w:highlight w:val="none"/>
              </w:rPr>
              <w:object>
                <v:shape id="_x0000_i1025" o:spt="75" type="#_x0000_t75" style="height:33pt;width:89.5pt;" o:ole="t" filled="f" coordsize="21600,21600">
                  <v:path/>
                  <v:fill on="f" focussize="0,0"/>
                  <v:stroke/>
                  <v:imagedata r:id="rId13" o:title=""/>
                  <o:lock v:ext="edit" aspectratio="t"/>
                  <w10:wrap type="none"/>
                  <w10:anchorlock/>
                </v:shape>
                <o:OLEObject Type="Embed" ProgID="Equation.AxMath" ShapeID="_x0000_i1025" DrawAspect="Content" ObjectID="_1468075725" r:id="rId12">
                  <o:LockedField>false</o:LockedField>
                </o:OLEObject>
              </w:object>
            </w:r>
          </w:p>
          <w:p w14:paraId="4592ABDA">
            <w:pPr>
              <w:spacing w:line="520" w:lineRule="exact"/>
              <w:ind w:firstLine="480" w:firstLineChars="200"/>
              <w:rPr>
                <w:color w:val="auto"/>
                <w:sz w:val="24"/>
                <w:highlight w:val="none"/>
              </w:rPr>
            </w:pPr>
            <w:r>
              <w:rPr>
                <w:color w:val="auto"/>
                <w:sz w:val="24"/>
                <w:highlight w:val="none"/>
              </w:rPr>
              <w:t>式中：P</w:t>
            </w:r>
            <w:r>
              <w:rPr>
                <w:color w:val="auto"/>
                <w:sz w:val="24"/>
                <w:highlight w:val="none"/>
                <w:vertAlign w:val="subscript"/>
              </w:rPr>
              <w:t>i</w:t>
            </w:r>
            <w:r>
              <w:rPr>
                <w:color w:val="auto"/>
                <w:sz w:val="24"/>
                <w:highlight w:val="none"/>
              </w:rPr>
              <w:t>—第i个污染物的最大浓度占标率（无量纲）；</w:t>
            </w:r>
          </w:p>
          <w:p w14:paraId="391F7F88">
            <w:pPr>
              <w:spacing w:line="520" w:lineRule="exact"/>
              <w:ind w:firstLine="1200" w:firstLineChars="500"/>
              <w:rPr>
                <w:color w:val="auto"/>
                <w:sz w:val="24"/>
                <w:highlight w:val="none"/>
              </w:rPr>
            </w:pPr>
            <w:r>
              <w:rPr>
                <w:color w:val="auto"/>
                <w:sz w:val="24"/>
                <w:highlight w:val="none"/>
              </w:rPr>
              <w:t>C</w:t>
            </w:r>
            <w:r>
              <w:rPr>
                <w:color w:val="auto"/>
                <w:sz w:val="24"/>
                <w:highlight w:val="none"/>
                <w:vertAlign w:val="subscript"/>
              </w:rPr>
              <w:t>i</w:t>
            </w:r>
            <w:r>
              <w:rPr>
                <w:color w:val="auto"/>
                <w:sz w:val="24"/>
                <w:highlight w:val="none"/>
              </w:rPr>
              <w:t>—第i个污染物的最大浓度（μg/m</w:t>
            </w:r>
            <w:r>
              <w:rPr>
                <w:color w:val="auto"/>
                <w:sz w:val="24"/>
                <w:highlight w:val="none"/>
                <w:vertAlign w:val="superscript"/>
              </w:rPr>
              <w:t>3</w:t>
            </w:r>
            <w:r>
              <w:rPr>
                <w:color w:val="auto"/>
                <w:sz w:val="24"/>
                <w:highlight w:val="none"/>
              </w:rPr>
              <w:t>）；</w:t>
            </w:r>
          </w:p>
          <w:p w14:paraId="3801E52C">
            <w:pPr>
              <w:spacing w:line="520" w:lineRule="exact"/>
              <w:ind w:firstLine="1200" w:firstLineChars="500"/>
              <w:rPr>
                <w:color w:val="auto"/>
                <w:sz w:val="24"/>
                <w:highlight w:val="none"/>
              </w:rPr>
            </w:pPr>
            <w:r>
              <w:rPr>
                <w:color w:val="auto"/>
                <w:sz w:val="24"/>
                <w:highlight w:val="none"/>
              </w:rPr>
              <w:t>C</w:t>
            </w:r>
            <w:r>
              <w:rPr>
                <w:color w:val="auto"/>
                <w:sz w:val="24"/>
                <w:highlight w:val="none"/>
                <w:vertAlign w:val="subscript"/>
              </w:rPr>
              <w:t>oi</w:t>
            </w:r>
            <w:r>
              <w:rPr>
                <w:color w:val="auto"/>
                <w:sz w:val="24"/>
                <w:highlight w:val="none"/>
              </w:rPr>
              <w:t>—第i个污染物的环境空气质量浓度标准（μg/m</w:t>
            </w:r>
            <w:r>
              <w:rPr>
                <w:color w:val="auto"/>
                <w:sz w:val="24"/>
                <w:highlight w:val="none"/>
                <w:vertAlign w:val="superscript"/>
              </w:rPr>
              <w:t>3</w:t>
            </w:r>
            <w:r>
              <w:rPr>
                <w:color w:val="auto"/>
                <w:sz w:val="24"/>
                <w:highlight w:val="none"/>
              </w:rPr>
              <w:t>）。</w:t>
            </w:r>
          </w:p>
          <w:p w14:paraId="5A406BF9">
            <w:pPr>
              <w:adjustRightInd w:val="0"/>
              <w:snapToGrid w:val="0"/>
              <w:spacing w:line="520" w:lineRule="exact"/>
              <w:ind w:firstLine="480" w:firstLineChars="200"/>
              <w:jc w:val="left"/>
              <w:rPr>
                <w:color w:val="auto"/>
                <w:sz w:val="24"/>
                <w:highlight w:val="none"/>
              </w:rPr>
            </w:pPr>
            <w:r>
              <w:rPr>
                <w:color w:val="auto"/>
                <w:sz w:val="24"/>
                <w:highlight w:val="none"/>
              </w:rPr>
              <w:t>当P</w:t>
            </w:r>
            <w:r>
              <w:rPr>
                <w:color w:val="auto"/>
                <w:sz w:val="24"/>
                <w:highlight w:val="none"/>
                <w:vertAlign w:val="subscript"/>
              </w:rPr>
              <w:t>i</w:t>
            </w:r>
            <w:r>
              <w:rPr>
                <w:color w:val="auto"/>
                <w:sz w:val="24"/>
                <w:highlight w:val="none"/>
              </w:rPr>
              <w:t>＞1时，说明环境中i污染物含量超过标准值，当P</w:t>
            </w:r>
            <w:r>
              <w:rPr>
                <w:color w:val="auto"/>
                <w:sz w:val="24"/>
                <w:highlight w:val="none"/>
                <w:vertAlign w:val="subscript"/>
              </w:rPr>
              <w:t>i</w:t>
            </w:r>
            <w:r>
              <w:rPr>
                <w:color w:val="auto"/>
                <w:sz w:val="24"/>
                <w:highlight w:val="none"/>
              </w:rPr>
              <w:t>≤1时，则说明i污染物符合标准。某污染物的Pi值越大，则污染相对越严重。</w:t>
            </w:r>
          </w:p>
          <w:p w14:paraId="1FEE7C1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kern w:val="0"/>
                <w:sz w:val="24"/>
                <w:szCs w:val="24"/>
                <w:lang w:val="en-US" w:eastAsia="zh-CN" w:bidi="ar"/>
              </w:rPr>
              <w:t>空气质量达标区判定</w:t>
            </w:r>
          </w:p>
          <w:p w14:paraId="1F83084A">
            <w:pPr>
              <w:keepNext w:val="0"/>
              <w:keepLines w:val="0"/>
              <w:pageBreakBefore w:val="0"/>
              <w:widowControl w:val="0"/>
              <w:kinsoku/>
              <w:wordWrap/>
              <w:overflowPunct w:val="0"/>
              <w:topLinePunct w:val="0"/>
              <w:autoSpaceDE/>
              <w:autoSpaceDN/>
              <w:bidi w:val="0"/>
              <w:adjustRightInd/>
              <w:snapToGrid w:val="0"/>
              <w:spacing w:beforeAutospacing="0" w:afterAutospacing="0" w:line="480" w:lineRule="exact"/>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根据202</w:t>
            </w:r>
            <w:r>
              <w:rPr>
                <w:rFonts w:hint="eastAsia" w:cs="Times New Roman"/>
                <w:color w:val="auto"/>
                <w:kern w:val="0"/>
                <w:sz w:val="24"/>
                <w:szCs w:val="24"/>
                <w:lang w:val="en-US" w:eastAsia="zh-CN" w:bidi="ar"/>
              </w:rPr>
              <w:t>3</w:t>
            </w:r>
            <w:r>
              <w:rPr>
                <w:rFonts w:hint="default" w:ascii="Times New Roman" w:hAnsi="Times New Roman" w:eastAsia="宋体" w:cs="Times New Roman"/>
                <w:color w:val="auto"/>
                <w:kern w:val="0"/>
                <w:sz w:val="24"/>
                <w:szCs w:val="24"/>
                <w:lang w:val="en-US" w:eastAsia="zh-CN" w:bidi="ar"/>
              </w:rPr>
              <w:t>年奇台县空气质量逐日统计结果，SO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、NO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、PM</w:t>
            </w:r>
            <w:r>
              <w:rPr>
                <w:rFonts w:hint="default" w:ascii="Times New Roman" w:hAnsi="Times New Roman" w:eastAsia="宋体" w:cs="Times New Roman"/>
                <w:color w:val="auto"/>
                <w:kern w:val="0"/>
                <w:sz w:val="24"/>
                <w:szCs w:val="24"/>
                <w:vertAlign w:val="subscript"/>
                <w:lang w:val="en-US" w:eastAsia="zh-CN" w:bidi="ar"/>
              </w:rPr>
              <w:t>10</w:t>
            </w:r>
            <w:r>
              <w:rPr>
                <w:rFonts w:hint="default" w:ascii="Times New Roman" w:hAnsi="Times New Roman" w:eastAsia="宋体" w:cs="Times New Roman"/>
                <w:color w:val="auto"/>
                <w:kern w:val="0"/>
                <w:sz w:val="24"/>
                <w:szCs w:val="24"/>
                <w:lang w:val="en-US" w:eastAsia="zh-CN" w:bidi="ar"/>
              </w:rPr>
              <w:t>、PM</w:t>
            </w:r>
            <w:r>
              <w:rPr>
                <w:rFonts w:hint="default" w:ascii="Times New Roman" w:hAnsi="Times New Roman" w:eastAsia="宋体" w:cs="Times New Roman"/>
                <w:color w:val="auto"/>
                <w:kern w:val="0"/>
                <w:sz w:val="24"/>
                <w:szCs w:val="24"/>
                <w:vertAlign w:val="subscript"/>
                <w:lang w:val="en-US" w:eastAsia="zh-CN" w:bidi="ar"/>
              </w:rPr>
              <w:t>2.5</w:t>
            </w:r>
            <w:r>
              <w:rPr>
                <w:rFonts w:hint="default" w:ascii="Times New Roman" w:hAnsi="Times New Roman" w:eastAsia="宋体" w:cs="Times New Roman"/>
                <w:color w:val="auto"/>
                <w:kern w:val="0"/>
                <w:sz w:val="24"/>
                <w:szCs w:val="24"/>
                <w:lang w:val="en-US" w:eastAsia="zh-CN" w:bidi="ar"/>
              </w:rPr>
              <w:t>、CO和O</w:t>
            </w:r>
            <w:r>
              <w:rPr>
                <w:rFonts w:hint="default" w:ascii="Times New Roman" w:hAnsi="Times New Roman" w:eastAsia="宋体" w:cs="Times New Roman"/>
                <w:color w:val="auto"/>
                <w:kern w:val="0"/>
                <w:sz w:val="24"/>
                <w:szCs w:val="24"/>
                <w:vertAlign w:val="subscript"/>
                <w:lang w:val="en-US" w:eastAsia="zh-CN" w:bidi="ar"/>
              </w:rPr>
              <w:t>3</w:t>
            </w:r>
            <w:r>
              <w:rPr>
                <w:rFonts w:hint="default" w:ascii="Times New Roman" w:hAnsi="Times New Roman" w:eastAsia="宋体" w:cs="Times New Roman"/>
                <w:color w:val="auto"/>
                <w:kern w:val="0"/>
                <w:sz w:val="24"/>
                <w:szCs w:val="24"/>
                <w:lang w:val="en-US" w:eastAsia="zh-CN" w:bidi="ar"/>
              </w:rPr>
              <w:t>各有365个数据，基本污染物环境空气质量现状评价表见表</w:t>
            </w:r>
            <w:r>
              <w:rPr>
                <w:rFonts w:hint="eastAsia" w:cs="Times New Roman"/>
                <w:color w:val="auto"/>
                <w:kern w:val="0"/>
                <w:sz w:val="24"/>
                <w:szCs w:val="24"/>
                <w:lang w:val="en-US" w:eastAsia="zh-CN" w:bidi="ar"/>
              </w:rPr>
              <w:t>3-1</w:t>
            </w:r>
            <w:r>
              <w:rPr>
                <w:rFonts w:hint="default" w:ascii="Times New Roman" w:hAnsi="Times New Roman" w:eastAsia="宋体" w:cs="Times New Roman"/>
                <w:color w:val="auto"/>
                <w:kern w:val="0"/>
                <w:sz w:val="24"/>
                <w:szCs w:val="24"/>
                <w:lang w:val="en-US" w:eastAsia="zh-CN" w:bidi="ar"/>
              </w:rPr>
              <w:t>。</w:t>
            </w:r>
          </w:p>
          <w:p w14:paraId="6FE0797A">
            <w:pPr>
              <w:keepNext w:val="0"/>
              <w:keepLines w:val="0"/>
              <w:pageBreakBefore w:val="0"/>
              <w:widowControl w:val="0"/>
              <w:kinsoku/>
              <w:wordWrap/>
              <w:overflowPunct w:val="0"/>
              <w:topLinePunct w:val="0"/>
              <w:autoSpaceDE/>
              <w:autoSpaceDN/>
              <w:bidi w:val="0"/>
              <w:adjustRightInd/>
              <w:snapToGrid w:val="0"/>
              <w:spacing w:beforeAutospacing="0" w:afterAutospacing="0" w:line="480" w:lineRule="exact"/>
              <w:ind w:firstLine="422" w:firstLineChars="20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表</w:t>
            </w:r>
            <w:r>
              <w:rPr>
                <w:rFonts w:hint="eastAsia" w:cs="Times New Roman"/>
                <w:b/>
                <w:bCs/>
                <w:color w:val="auto"/>
                <w:kern w:val="2"/>
                <w:sz w:val="21"/>
                <w:szCs w:val="21"/>
                <w:lang w:val="en-US" w:eastAsia="zh-CN" w:bidi="ar-SA"/>
              </w:rPr>
              <w:t>3-1</w:t>
            </w:r>
            <w:r>
              <w:rPr>
                <w:rFonts w:hint="default" w:ascii="Times New Roman" w:hAnsi="Times New Roman" w:eastAsia="宋体" w:cs="Times New Roman"/>
                <w:b/>
                <w:bCs/>
                <w:color w:val="auto"/>
                <w:kern w:val="2"/>
                <w:sz w:val="21"/>
                <w:szCs w:val="21"/>
                <w:lang w:val="en-US" w:eastAsia="zh-CN" w:bidi="ar-SA"/>
              </w:rPr>
              <w:t>区域空气质量现状评价表</w:t>
            </w:r>
          </w:p>
          <w:tbl>
            <w:tblPr>
              <w:tblStyle w:val="29"/>
              <w:tblW w:w="84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1803"/>
              <w:gridCol w:w="1318"/>
              <w:gridCol w:w="1236"/>
              <w:gridCol w:w="1096"/>
              <w:gridCol w:w="1383"/>
            </w:tblGrid>
            <w:tr w14:paraId="46E5FB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12" w:space="0"/>
                    <w:left w:val="single" w:color="auto" w:sz="12" w:space="0"/>
                    <w:bottom w:val="single" w:color="auto" w:sz="8" w:space="0"/>
                    <w:right w:val="single" w:color="auto" w:sz="8" w:space="0"/>
                    <w:tl2br w:val="nil"/>
                    <w:tr2bl w:val="nil"/>
                  </w:tcBorders>
                  <w:noWrap w:val="0"/>
                  <w:vAlign w:val="center"/>
                </w:tcPr>
                <w:p w14:paraId="43BF9EEE">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污染物</w:t>
                  </w:r>
                </w:p>
              </w:tc>
              <w:tc>
                <w:tcPr>
                  <w:tcW w:w="1803" w:type="dxa"/>
                  <w:tcBorders>
                    <w:top w:val="single" w:color="auto" w:sz="12" w:space="0"/>
                    <w:left w:val="single" w:color="auto" w:sz="8" w:space="0"/>
                    <w:bottom w:val="single" w:color="auto" w:sz="8" w:space="0"/>
                    <w:right w:val="single" w:color="auto" w:sz="8" w:space="0"/>
                    <w:tl2br w:val="nil"/>
                    <w:tr2bl w:val="nil"/>
                  </w:tcBorders>
                  <w:noWrap w:val="0"/>
                  <w:vAlign w:val="center"/>
                </w:tcPr>
                <w:p w14:paraId="1693F1F9">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年评价指标</w:t>
                  </w:r>
                </w:p>
              </w:tc>
              <w:tc>
                <w:tcPr>
                  <w:tcW w:w="1318" w:type="dxa"/>
                  <w:tcBorders>
                    <w:top w:val="single" w:color="auto" w:sz="12" w:space="0"/>
                    <w:left w:val="single" w:color="auto" w:sz="8" w:space="0"/>
                    <w:bottom w:val="single" w:color="auto" w:sz="8" w:space="0"/>
                    <w:right w:val="single" w:color="auto" w:sz="8" w:space="0"/>
                    <w:tl2br w:val="nil"/>
                    <w:tr2bl w:val="nil"/>
                  </w:tcBorders>
                  <w:noWrap w:val="0"/>
                  <w:vAlign w:val="center"/>
                </w:tcPr>
                <w:p w14:paraId="2AB9A536">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现状浓度/（μg/m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p>
              </w:tc>
              <w:tc>
                <w:tcPr>
                  <w:tcW w:w="1236" w:type="dxa"/>
                  <w:tcBorders>
                    <w:top w:val="single" w:color="auto" w:sz="12" w:space="0"/>
                    <w:left w:val="single" w:color="auto" w:sz="8" w:space="0"/>
                    <w:bottom w:val="single" w:color="auto" w:sz="8" w:space="0"/>
                    <w:right w:val="single" w:color="auto" w:sz="8" w:space="0"/>
                    <w:tl2br w:val="nil"/>
                    <w:tr2bl w:val="nil"/>
                  </w:tcBorders>
                  <w:noWrap w:val="0"/>
                  <w:vAlign w:val="center"/>
                </w:tcPr>
                <w:p w14:paraId="4A445612">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标准值/（μg/m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w:t>
                  </w:r>
                </w:p>
              </w:tc>
              <w:tc>
                <w:tcPr>
                  <w:tcW w:w="1096" w:type="dxa"/>
                  <w:tcBorders>
                    <w:top w:val="single" w:color="auto" w:sz="12" w:space="0"/>
                    <w:left w:val="single" w:color="auto" w:sz="8" w:space="0"/>
                    <w:bottom w:val="single" w:color="auto" w:sz="8" w:space="0"/>
                    <w:right w:val="single" w:color="auto" w:sz="8" w:space="0"/>
                    <w:tl2br w:val="nil"/>
                    <w:tr2bl w:val="nil"/>
                  </w:tcBorders>
                  <w:noWrap w:val="0"/>
                  <w:vAlign w:val="center"/>
                </w:tcPr>
                <w:p w14:paraId="717AE5D2">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占标率/%</w:t>
                  </w:r>
                </w:p>
              </w:tc>
              <w:tc>
                <w:tcPr>
                  <w:tcW w:w="1383" w:type="dxa"/>
                  <w:tcBorders>
                    <w:top w:val="single" w:color="auto" w:sz="12" w:space="0"/>
                    <w:left w:val="single" w:color="auto" w:sz="8" w:space="0"/>
                    <w:bottom w:val="single" w:color="auto" w:sz="8" w:space="0"/>
                    <w:right w:val="single" w:color="auto" w:sz="12" w:space="0"/>
                    <w:tl2br w:val="nil"/>
                    <w:tr2bl w:val="nil"/>
                  </w:tcBorders>
                  <w:noWrap w:val="0"/>
                  <w:vAlign w:val="center"/>
                </w:tcPr>
                <w:p w14:paraId="7427E094">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达标情况</w:t>
                  </w:r>
                </w:p>
              </w:tc>
            </w:tr>
            <w:tr w14:paraId="7CA33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8" w:space="0"/>
                    <w:left w:val="single" w:color="auto" w:sz="12" w:space="0"/>
                    <w:bottom w:val="single" w:color="auto" w:sz="8" w:space="0"/>
                    <w:right w:val="single" w:color="auto" w:sz="8" w:space="0"/>
                    <w:tl2br w:val="nil"/>
                    <w:tr2bl w:val="nil"/>
                  </w:tcBorders>
                  <w:noWrap w:val="0"/>
                  <w:vAlign w:val="center"/>
                </w:tcPr>
                <w:p w14:paraId="5BAED638">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803" w:type="dxa"/>
                  <w:tcBorders>
                    <w:top w:val="single" w:color="auto" w:sz="8" w:space="0"/>
                    <w:left w:val="single" w:color="auto" w:sz="8" w:space="0"/>
                    <w:bottom w:val="single" w:color="auto" w:sz="8" w:space="0"/>
                    <w:right w:val="single" w:color="auto" w:sz="8" w:space="0"/>
                    <w:tl2br w:val="nil"/>
                    <w:tr2bl w:val="nil"/>
                  </w:tcBorders>
                  <w:noWrap w:val="0"/>
                  <w:vAlign w:val="center"/>
                </w:tcPr>
                <w:p w14:paraId="6E599851">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rPr>
                    <w:t>年平均质量浓度</w:t>
                  </w:r>
                </w:p>
              </w:tc>
              <w:tc>
                <w:tcPr>
                  <w:tcW w:w="1318" w:type="dxa"/>
                  <w:tcBorders>
                    <w:top w:val="single" w:color="auto" w:sz="8" w:space="0"/>
                    <w:left w:val="single" w:color="auto" w:sz="8" w:space="0"/>
                    <w:bottom w:val="single" w:color="auto" w:sz="8" w:space="0"/>
                    <w:right w:val="single" w:color="auto" w:sz="8" w:space="0"/>
                    <w:tl2br w:val="nil"/>
                    <w:tr2bl w:val="nil"/>
                  </w:tcBorders>
                  <w:noWrap w:val="0"/>
                  <w:vAlign w:val="center"/>
                </w:tcPr>
                <w:p w14:paraId="31B38F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color w:val="auto"/>
                      <w:kern w:val="0"/>
                      <w:sz w:val="21"/>
                      <w:szCs w:val="21"/>
                      <w:lang w:val="en-US" w:eastAsia="zh-CN"/>
                    </w:rPr>
                    <w:t>9</w:t>
                  </w:r>
                  <w:r>
                    <w:rPr>
                      <w:rFonts w:hint="default" w:ascii="Times New Roman" w:hAnsi="Times New Roman" w:cs="Times New Roman"/>
                      <w:color w:val="auto"/>
                      <w:kern w:val="0"/>
                      <w:sz w:val="21"/>
                      <w:szCs w:val="21"/>
                    </w:rPr>
                    <w:t>μg/m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1F071D81">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lang w:val="en-US" w:eastAsia="zh-CN"/>
                    </w:rPr>
                    <w:t>60</w:t>
                  </w:r>
                </w:p>
              </w:tc>
              <w:tc>
                <w:tcPr>
                  <w:tcW w:w="109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49161F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15</w:t>
                  </w:r>
                </w:p>
              </w:tc>
              <w:tc>
                <w:tcPr>
                  <w:tcW w:w="1383" w:type="dxa"/>
                  <w:tcBorders>
                    <w:top w:val="single" w:color="auto" w:sz="8" w:space="0"/>
                    <w:left w:val="single" w:color="auto" w:sz="8" w:space="0"/>
                    <w:bottom w:val="single" w:color="auto" w:sz="8" w:space="0"/>
                    <w:right w:val="single" w:color="auto" w:sz="12" w:space="0"/>
                    <w:tl2br w:val="nil"/>
                    <w:tr2bl w:val="nil"/>
                  </w:tcBorders>
                  <w:noWrap w:val="0"/>
                  <w:vAlign w:val="center"/>
                </w:tcPr>
                <w:p w14:paraId="1CFEAE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color w:val="auto"/>
                      <w:kern w:val="0"/>
                      <w:sz w:val="21"/>
                      <w:szCs w:val="21"/>
                    </w:rPr>
                    <w:t>达标</w:t>
                  </w:r>
                </w:p>
              </w:tc>
            </w:tr>
            <w:tr w14:paraId="0A90A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8" w:space="0"/>
                    <w:left w:val="single" w:color="auto" w:sz="12" w:space="0"/>
                    <w:bottom w:val="single" w:color="auto" w:sz="8" w:space="0"/>
                    <w:right w:val="single" w:color="auto" w:sz="8" w:space="0"/>
                    <w:tl2br w:val="nil"/>
                    <w:tr2bl w:val="nil"/>
                  </w:tcBorders>
                  <w:noWrap w:val="0"/>
                  <w:vAlign w:val="center"/>
                </w:tcPr>
                <w:p w14:paraId="145AA367">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1803" w:type="dxa"/>
                  <w:tcBorders>
                    <w:top w:val="single" w:color="auto" w:sz="8" w:space="0"/>
                    <w:left w:val="single" w:color="auto" w:sz="8" w:space="0"/>
                    <w:bottom w:val="single" w:color="auto" w:sz="8" w:space="0"/>
                    <w:right w:val="single" w:color="auto" w:sz="8" w:space="0"/>
                    <w:tl2br w:val="nil"/>
                    <w:tr2bl w:val="nil"/>
                  </w:tcBorders>
                  <w:noWrap w:val="0"/>
                  <w:vAlign w:val="center"/>
                </w:tcPr>
                <w:p w14:paraId="5B0265B5">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rPr>
                    <w:t>年平均质量浓度</w:t>
                  </w:r>
                </w:p>
              </w:tc>
              <w:tc>
                <w:tcPr>
                  <w:tcW w:w="1318" w:type="dxa"/>
                  <w:tcBorders>
                    <w:top w:val="single" w:color="auto" w:sz="8" w:space="0"/>
                    <w:left w:val="single" w:color="auto" w:sz="8" w:space="0"/>
                    <w:bottom w:val="single" w:color="auto" w:sz="8" w:space="0"/>
                    <w:right w:val="single" w:color="auto" w:sz="8" w:space="0"/>
                    <w:tl2br w:val="nil"/>
                    <w:tr2bl w:val="nil"/>
                  </w:tcBorders>
                  <w:noWrap w:val="0"/>
                  <w:vAlign w:val="center"/>
                </w:tcPr>
                <w:p w14:paraId="38C957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color w:val="auto"/>
                      <w:kern w:val="0"/>
                      <w:sz w:val="21"/>
                      <w:szCs w:val="21"/>
                      <w:lang w:val="en-US" w:eastAsia="zh-CN"/>
                    </w:rPr>
                    <w:t>21</w:t>
                  </w:r>
                  <w:r>
                    <w:rPr>
                      <w:rFonts w:hint="default" w:ascii="Times New Roman" w:hAnsi="Times New Roman" w:cs="Times New Roman"/>
                      <w:color w:val="auto"/>
                      <w:kern w:val="0"/>
                      <w:sz w:val="21"/>
                      <w:szCs w:val="21"/>
                    </w:rPr>
                    <w:t>μg/m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1B35ED50">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lang w:val="en-US" w:eastAsia="zh-CN"/>
                    </w:rPr>
                    <w:t>40</w:t>
                  </w:r>
                </w:p>
              </w:tc>
              <w:tc>
                <w:tcPr>
                  <w:tcW w:w="109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36A21F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Cs w:val="21"/>
                      <w:lang w:val="en-US" w:eastAsia="zh-CN"/>
                    </w:rPr>
                  </w:pPr>
                  <w:r>
                    <w:rPr>
                      <w:rFonts w:hint="eastAsia" w:cs="Times New Roman"/>
                      <w:b w:val="0"/>
                      <w:bCs/>
                      <w:color w:val="auto"/>
                      <w:szCs w:val="21"/>
                      <w:lang w:val="en-US" w:eastAsia="zh-CN"/>
                    </w:rPr>
                    <w:t>52.5</w:t>
                  </w:r>
                </w:p>
              </w:tc>
              <w:tc>
                <w:tcPr>
                  <w:tcW w:w="1383" w:type="dxa"/>
                  <w:tcBorders>
                    <w:top w:val="single" w:color="auto" w:sz="8" w:space="0"/>
                    <w:left w:val="single" w:color="auto" w:sz="8" w:space="0"/>
                    <w:bottom w:val="single" w:color="auto" w:sz="8" w:space="0"/>
                    <w:right w:val="single" w:color="auto" w:sz="12" w:space="0"/>
                    <w:tl2br w:val="nil"/>
                    <w:tr2bl w:val="nil"/>
                  </w:tcBorders>
                  <w:noWrap w:val="0"/>
                  <w:vAlign w:val="center"/>
                </w:tcPr>
                <w:p w14:paraId="0B6549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color w:val="auto"/>
                      <w:kern w:val="0"/>
                      <w:sz w:val="21"/>
                      <w:szCs w:val="21"/>
                    </w:rPr>
                    <w:t>达标</w:t>
                  </w:r>
                </w:p>
              </w:tc>
            </w:tr>
            <w:tr w14:paraId="2DD1D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8" w:space="0"/>
                    <w:left w:val="single" w:color="auto" w:sz="12" w:space="0"/>
                    <w:bottom w:val="single" w:color="auto" w:sz="8" w:space="0"/>
                    <w:right w:val="single" w:color="auto" w:sz="8" w:space="0"/>
                    <w:tl2br w:val="nil"/>
                    <w:tr2bl w:val="nil"/>
                  </w:tcBorders>
                  <w:noWrap w:val="0"/>
                  <w:vAlign w:val="center"/>
                </w:tcPr>
                <w:p w14:paraId="506C24F7">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1803" w:type="dxa"/>
                  <w:tcBorders>
                    <w:top w:val="single" w:color="auto" w:sz="8" w:space="0"/>
                    <w:left w:val="single" w:color="auto" w:sz="8" w:space="0"/>
                    <w:bottom w:val="single" w:color="auto" w:sz="8" w:space="0"/>
                    <w:right w:val="single" w:color="auto" w:sz="8" w:space="0"/>
                    <w:tl2br w:val="nil"/>
                    <w:tr2bl w:val="nil"/>
                  </w:tcBorders>
                  <w:noWrap w:val="0"/>
                  <w:vAlign w:val="center"/>
                </w:tcPr>
                <w:p w14:paraId="19FDFF54">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cs="Times New Roman"/>
                      <w:b w:val="0"/>
                      <w:bCs/>
                      <w:color w:val="auto"/>
                      <w:szCs w:val="21"/>
                    </w:rPr>
                  </w:pPr>
                  <w:r>
                    <w:rPr>
                      <w:rFonts w:hint="default" w:ascii="Times New Roman" w:hAnsi="Times New Roman" w:eastAsia="宋体" w:cs="Times New Roman"/>
                      <w:color w:val="auto"/>
                      <w:sz w:val="21"/>
                      <w:szCs w:val="21"/>
                    </w:rPr>
                    <w:t>年平均质量浓度</w:t>
                  </w:r>
                </w:p>
              </w:tc>
              <w:tc>
                <w:tcPr>
                  <w:tcW w:w="1318" w:type="dxa"/>
                  <w:tcBorders>
                    <w:top w:val="single" w:color="auto" w:sz="8" w:space="0"/>
                    <w:left w:val="single" w:color="auto" w:sz="8" w:space="0"/>
                    <w:bottom w:val="single" w:color="auto" w:sz="8" w:space="0"/>
                    <w:right w:val="single" w:color="auto" w:sz="8" w:space="0"/>
                    <w:tl2br w:val="nil"/>
                    <w:tr2bl w:val="nil"/>
                  </w:tcBorders>
                  <w:noWrap w:val="0"/>
                  <w:vAlign w:val="center"/>
                </w:tcPr>
                <w:p w14:paraId="3329C7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color w:val="auto"/>
                      <w:kern w:val="0"/>
                      <w:sz w:val="21"/>
                      <w:szCs w:val="21"/>
                      <w:lang w:val="en-US" w:eastAsia="zh-CN"/>
                    </w:rPr>
                    <w:t>60</w:t>
                  </w:r>
                  <w:r>
                    <w:rPr>
                      <w:rFonts w:hint="default" w:ascii="Times New Roman" w:hAnsi="Times New Roman" w:cs="Times New Roman"/>
                      <w:color w:val="auto"/>
                      <w:kern w:val="0"/>
                      <w:sz w:val="21"/>
                      <w:szCs w:val="21"/>
                    </w:rPr>
                    <w:t>μg/m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66976544">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lang w:val="en-US" w:eastAsia="zh-CN"/>
                    </w:rPr>
                    <w:t>70</w:t>
                  </w:r>
                </w:p>
              </w:tc>
              <w:tc>
                <w:tcPr>
                  <w:tcW w:w="109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1D8218E2">
                  <w:pPr>
                    <w:autoSpaceDE w:val="0"/>
                    <w:autoSpaceDN w:val="0"/>
                    <w:spacing w:line="0" w:lineRule="atLeast"/>
                    <w:jc w:val="center"/>
                    <w:rPr>
                      <w:rFonts w:hint="default" w:ascii="Times New Roman" w:hAnsi="Times New Roman" w:eastAsia="宋体" w:cs="Times New Roman"/>
                      <w:b w:val="0"/>
                      <w:bCs/>
                      <w:color w:val="auto"/>
                      <w:szCs w:val="21"/>
                      <w:lang w:val="en-US" w:eastAsia="zh-CN"/>
                    </w:rPr>
                  </w:pPr>
                  <w:r>
                    <w:rPr>
                      <w:rFonts w:eastAsia="华文中宋"/>
                      <w:color w:val="auto"/>
                      <w:szCs w:val="21"/>
                    </w:rPr>
                    <w:t>82.86</w:t>
                  </w:r>
                </w:p>
              </w:tc>
              <w:tc>
                <w:tcPr>
                  <w:tcW w:w="1383" w:type="dxa"/>
                  <w:tcBorders>
                    <w:top w:val="single" w:color="auto" w:sz="8" w:space="0"/>
                    <w:left w:val="single" w:color="auto" w:sz="8" w:space="0"/>
                    <w:bottom w:val="single" w:color="auto" w:sz="8" w:space="0"/>
                    <w:right w:val="single" w:color="auto" w:sz="12" w:space="0"/>
                    <w:tl2br w:val="nil"/>
                    <w:tr2bl w:val="nil"/>
                  </w:tcBorders>
                  <w:noWrap w:val="0"/>
                  <w:vAlign w:val="center"/>
                </w:tcPr>
                <w:p w14:paraId="79D2B8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eastAsia" w:ascii="Times New Roman" w:hAnsi="Times New Roman" w:eastAsia="宋体" w:cs="Times New Roman"/>
                      <w:b w:val="0"/>
                      <w:bCs/>
                      <w:color w:val="auto"/>
                      <w:sz w:val="21"/>
                      <w:szCs w:val="21"/>
                      <w:lang w:eastAsia="zh-CN"/>
                    </w:rPr>
                  </w:pPr>
                  <w:r>
                    <w:rPr>
                      <w:rFonts w:hint="default" w:ascii="Times New Roman" w:hAnsi="Times New Roman" w:cs="Times New Roman"/>
                      <w:color w:val="auto"/>
                      <w:kern w:val="0"/>
                      <w:sz w:val="21"/>
                      <w:szCs w:val="21"/>
                    </w:rPr>
                    <w:t>达标</w:t>
                  </w:r>
                </w:p>
              </w:tc>
            </w:tr>
            <w:tr w14:paraId="1C5257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8" w:space="0"/>
                    <w:left w:val="single" w:color="auto" w:sz="12" w:space="0"/>
                    <w:bottom w:val="single" w:color="auto" w:sz="8" w:space="0"/>
                    <w:right w:val="single" w:color="auto" w:sz="8" w:space="0"/>
                    <w:tl2br w:val="nil"/>
                    <w:tr2bl w:val="nil"/>
                  </w:tcBorders>
                  <w:noWrap w:val="0"/>
                  <w:vAlign w:val="center"/>
                </w:tcPr>
                <w:p w14:paraId="72029322">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1803" w:type="dxa"/>
                  <w:tcBorders>
                    <w:top w:val="single" w:color="auto" w:sz="8" w:space="0"/>
                    <w:left w:val="single" w:color="auto" w:sz="8" w:space="0"/>
                    <w:bottom w:val="single" w:color="auto" w:sz="8" w:space="0"/>
                    <w:right w:val="single" w:color="auto" w:sz="8" w:space="0"/>
                    <w:tl2br w:val="nil"/>
                    <w:tr2bl w:val="nil"/>
                  </w:tcBorders>
                  <w:noWrap w:val="0"/>
                  <w:vAlign w:val="center"/>
                </w:tcPr>
                <w:p w14:paraId="06B1ACD9">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rPr>
                    <w:t>年平均质量浓度</w:t>
                  </w:r>
                </w:p>
              </w:tc>
              <w:tc>
                <w:tcPr>
                  <w:tcW w:w="1318" w:type="dxa"/>
                  <w:tcBorders>
                    <w:top w:val="single" w:color="auto" w:sz="8" w:space="0"/>
                    <w:left w:val="single" w:color="auto" w:sz="8" w:space="0"/>
                    <w:bottom w:val="single" w:color="auto" w:sz="8" w:space="0"/>
                    <w:right w:val="single" w:color="auto" w:sz="8" w:space="0"/>
                    <w:tl2br w:val="nil"/>
                    <w:tr2bl w:val="nil"/>
                  </w:tcBorders>
                  <w:noWrap w:val="0"/>
                  <w:vAlign w:val="center"/>
                </w:tcPr>
                <w:p w14:paraId="02C396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color w:val="auto"/>
                      <w:kern w:val="0"/>
                      <w:sz w:val="21"/>
                      <w:szCs w:val="21"/>
                      <w:lang w:val="en-US" w:eastAsia="zh-CN"/>
                    </w:rPr>
                    <w:t>29</w:t>
                  </w:r>
                  <w:r>
                    <w:rPr>
                      <w:rFonts w:hint="default" w:ascii="Times New Roman" w:hAnsi="Times New Roman" w:cs="Times New Roman"/>
                      <w:color w:val="auto"/>
                      <w:kern w:val="0"/>
                      <w:sz w:val="21"/>
                      <w:szCs w:val="21"/>
                    </w:rPr>
                    <w:t>μg/m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45E5DB47">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lang w:val="en-US" w:eastAsia="zh-CN"/>
                    </w:rPr>
                    <w:t>35</w:t>
                  </w:r>
                </w:p>
              </w:tc>
              <w:tc>
                <w:tcPr>
                  <w:tcW w:w="109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359F6BB1">
                  <w:pPr>
                    <w:autoSpaceDE w:val="0"/>
                    <w:autoSpaceDN w:val="0"/>
                    <w:spacing w:line="0" w:lineRule="atLeast"/>
                    <w:jc w:val="center"/>
                    <w:rPr>
                      <w:rFonts w:hint="default" w:ascii="Times New Roman" w:hAnsi="Times New Roman" w:eastAsia="宋体" w:cs="Times New Roman"/>
                      <w:b w:val="0"/>
                      <w:bCs/>
                      <w:color w:val="auto"/>
                      <w:szCs w:val="21"/>
                      <w:lang w:val="en-US" w:eastAsia="zh-CN"/>
                    </w:rPr>
                  </w:pPr>
                  <w:r>
                    <w:rPr>
                      <w:rFonts w:eastAsia="华文中宋"/>
                      <w:color w:val="auto"/>
                      <w:szCs w:val="21"/>
                    </w:rPr>
                    <w:t>85.71</w:t>
                  </w:r>
                </w:p>
              </w:tc>
              <w:tc>
                <w:tcPr>
                  <w:tcW w:w="1383" w:type="dxa"/>
                  <w:tcBorders>
                    <w:top w:val="single" w:color="auto" w:sz="8" w:space="0"/>
                    <w:left w:val="single" w:color="auto" w:sz="8" w:space="0"/>
                    <w:bottom w:val="single" w:color="auto" w:sz="8" w:space="0"/>
                    <w:right w:val="single" w:color="auto" w:sz="12" w:space="0"/>
                    <w:tl2br w:val="nil"/>
                    <w:tr2bl w:val="nil"/>
                  </w:tcBorders>
                  <w:noWrap w:val="0"/>
                  <w:vAlign w:val="center"/>
                </w:tcPr>
                <w:p w14:paraId="03BE69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color w:val="auto"/>
                      <w:kern w:val="0"/>
                      <w:sz w:val="21"/>
                      <w:szCs w:val="21"/>
                    </w:rPr>
                    <w:t>达标</w:t>
                  </w:r>
                </w:p>
              </w:tc>
            </w:tr>
            <w:tr w14:paraId="4006F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67" w:type="dxa"/>
                  <w:tcBorders>
                    <w:top w:val="single" w:color="auto" w:sz="8" w:space="0"/>
                    <w:left w:val="single" w:color="auto" w:sz="12" w:space="0"/>
                    <w:bottom w:val="single" w:color="auto" w:sz="8" w:space="0"/>
                    <w:right w:val="single" w:color="auto" w:sz="8" w:space="0"/>
                    <w:tl2br w:val="nil"/>
                    <w:tr2bl w:val="nil"/>
                  </w:tcBorders>
                  <w:noWrap w:val="0"/>
                  <w:vAlign w:val="center"/>
                </w:tcPr>
                <w:p w14:paraId="0D757456">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1803" w:type="dxa"/>
                  <w:tcBorders>
                    <w:top w:val="single" w:color="auto" w:sz="8" w:space="0"/>
                    <w:left w:val="single" w:color="auto" w:sz="8" w:space="0"/>
                    <w:bottom w:val="single" w:color="auto" w:sz="8" w:space="0"/>
                    <w:right w:val="single" w:color="auto" w:sz="8" w:space="0"/>
                    <w:tl2br w:val="nil"/>
                    <w:tr2bl w:val="nil"/>
                  </w:tcBorders>
                  <w:noWrap w:val="0"/>
                  <w:vAlign w:val="center"/>
                </w:tcPr>
                <w:p w14:paraId="598C798A">
                  <w:pPr>
                    <w:pStyle w:val="14"/>
                    <w:keepNext w:val="0"/>
                    <w:keepLines w:val="0"/>
                    <w:pageBreakBefore w:val="0"/>
                    <w:widowControl w:val="0"/>
                    <w:kinsoku/>
                    <w:wordWrap/>
                    <w:overflowPunct/>
                    <w:topLinePunct w:val="0"/>
                    <w:autoSpaceDE/>
                    <w:autoSpaceDN/>
                    <w:bidi w:val="0"/>
                    <w:spacing w:beforeAutospacing="0" w:afterAutospacing="0" w:line="240" w:lineRule="auto"/>
                    <w:ind w:firstLine="0" w:firstLineChars="0"/>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rPr>
                    <w:t>95%百分位数日平均质量浓度</w:t>
                  </w:r>
                </w:p>
              </w:tc>
              <w:tc>
                <w:tcPr>
                  <w:tcW w:w="1318" w:type="dxa"/>
                  <w:tcBorders>
                    <w:top w:val="single" w:color="auto" w:sz="8" w:space="0"/>
                    <w:left w:val="single" w:color="auto" w:sz="8" w:space="0"/>
                    <w:bottom w:val="single" w:color="auto" w:sz="8" w:space="0"/>
                    <w:right w:val="single" w:color="auto" w:sz="8" w:space="0"/>
                    <w:tl2br w:val="nil"/>
                    <w:tr2bl w:val="nil"/>
                  </w:tcBorders>
                  <w:noWrap w:val="0"/>
                  <w:vAlign w:val="center"/>
                </w:tcPr>
                <w:p w14:paraId="293282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color w:val="auto"/>
                      <w:kern w:val="0"/>
                      <w:sz w:val="21"/>
                      <w:szCs w:val="21"/>
                      <w:lang w:val="en-US" w:eastAsia="zh-CN"/>
                    </w:rPr>
                    <w:t>700</w:t>
                  </w:r>
                  <w:r>
                    <w:rPr>
                      <w:rFonts w:hint="default" w:ascii="Times New Roman" w:hAnsi="Times New Roman" w:cs="Times New Roman"/>
                      <w:color w:val="auto"/>
                      <w:kern w:val="0"/>
                      <w:sz w:val="21"/>
                      <w:szCs w:val="21"/>
                    </w:rPr>
                    <w:t>mg/m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00C5EB07">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lang w:val="en-US"/>
                    </w:rPr>
                  </w:pPr>
                  <w:r>
                    <w:rPr>
                      <w:rFonts w:hint="default" w:ascii="Times New Roman" w:hAnsi="Times New Roman" w:eastAsia="宋体" w:cs="Times New Roman"/>
                      <w:color w:val="auto"/>
                      <w:sz w:val="21"/>
                      <w:szCs w:val="21"/>
                      <w:vertAlign w:val="baseline"/>
                      <w:lang w:val="en-US" w:eastAsia="zh-CN"/>
                    </w:rPr>
                    <w:t>4</w:t>
                  </w:r>
                  <w:r>
                    <w:rPr>
                      <w:rFonts w:hint="eastAsia" w:eastAsia="宋体" w:cs="Times New Roman"/>
                      <w:color w:val="auto"/>
                      <w:sz w:val="21"/>
                      <w:szCs w:val="21"/>
                      <w:vertAlign w:val="baseline"/>
                      <w:lang w:val="en-US" w:eastAsia="zh-CN"/>
                    </w:rPr>
                    <w:t>000</w:t>
                  </w:r>
                </w:p>
              </w:tc>
              <w:tc>
                <w:tcPr>
                  <w:tcW w:w="1096" w:type="dxa"/>
                  <w:tcBorders>
                    <w:top w:val="single" w:color="auto" w:sz="8" w:space="0"/>
                    <w:left w:val="single" w:color="auto" w:sz="8" w:space="0"/>
                    <w:bottom w:val="single" w:color="auto" w:sz="8" w:space="0"/>
                    <w:right w:val="single" w:color="auto" w:sz="8" w:space="0"/>
                    <w:tl2br w:val="nil"/>
                    <w:tr2bl w:val="nil"/>
                  </w:tcBorders>
                  <w:noWrap w:val="0"/>
                  <w:vAlign w:val="center"/>
                </w:tcPr>
                <w:p w14:paraId="272E5F82">
                  <w:pPr>
                    <w:autoSpaceDE w:val="0"/>
                    <w:autoSpaceDN w:val="0"/>
                    <w:spacing w:line="0" w:lineRule="atLeast"/>
                    <w:jc w:val="center"/>
                    <w:rPr>
                      <w:rFonts w:hint="default" w:ascii="Times New Roman" w:hAnsi="Times New Roman" w:eastAsia="宋体" w:cs="Times New Roman"/>
                      <w:b w:val="0"/>
                      <w:bCs/>
                      <w:color w:val="auto"/>
                      <w:szCs w:val="21"/>
                      <w:lang w:val="en-US" w:eastAsia="zh-CN"/>
                    </w:rPr>
                  </w:pPr>
                  <w:r>
                    <w:rPr>
                      <w:rFonts w:eastAsia="华文中宋"/>
                      <w:color w:val="auto"/>
                      <w:szCs w:val="21"/>
                    </w:rPr>
                    <w:t>17.50</w:t>
                  </w:r>
                </w:p>
              </w:tc>
              <w:tc>
                <w:tcPr>
                  <w:tcW w:w="1383" w:type="dxa"/>
                  <w:tcBorders>
                    <w:top w:val="single" w:color="auto" w:sz="8" w:space="0"/>
                    <w:left w:val="single" w:color="auto" w:sz="8" w:space="0"/>
                    <w:bottom w:val="single" w:color="auto" w:sz="8" w:space="0"/>
                    <w:right w:val="single" w:color="auto" w:sz="12" w:space="0"/>
                    <w:tl2br w:val="nil"/>
                    <w:tr2bl w:val="nil"/>
                  </w:tcBorders>
                  <w:noWrap w:val="0"/>
                  <w:vAlign w:val="center"/>
                </w:tcPr>
                <w:p w14:paraId="71388A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color w:val="auto"/>
                      <w:kern w:val="0"/>
                      <w:sz w:val="21"/>
                      <w:szCs w:val="21"/>
                    </w:rPr>
                    <w:t>达标</w:t>
                  </w:r>
                </w:p>
              </w:tc>
            </w:tr>
            <w:tr w14:paraId="37CDF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567" w:type="dxa"/>
                  <w:tcBorders>
                    <w:top w:val="single" w:color="auto" w:sz="8" w:space="0"/>
                    <w:left w:val="single" w:color="auto" w:sz="12" w:space="0"/>
                    <w:bottom w:val="single" w:color="auto" w:sz="12" w:space="0"/>
                    <w:right w:val="single" w:color="auto" w:sz="8" w:space="0"/>
                    <w:tl2br w:val="nil"/>
                    <w:tr2bl w:val="nil"/>
                  </w:tcBorders>
                  <w:noWrap w:val="0"/>
                  <w:vAlign w:val="center"/>
                </w:tcPr>
                <w:p w14:paraId="09A2C3C8">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1803" w:type="dxa"/>
                  <w:tcBorders>
                    <w:top w:val="single" w:color="auto" w:sz="8" w:space="0"/>
                    <w:left w:val="single" w:color="auto" w:sz="8" w:space="0"/>
                    <w:bottom w:val="single" w:color="auto" w:sz="12" w:space="0"/>
                    <w:right w:val="single" w:color="auto" w:sz="8" w:space="0"/>
                    <w:tl2br w:val="nil"/>
                    <w:tr2bl w:val="nil"/>
                  </w:tcBorders>
                  <w:noWrap w:val="0"/>
                  <w:vAlign w:val="center"/>
                </w:tcPr>
                <w:p w14:paraId="50859549">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rPr>
                    <w:t>日最大8小时平均第90百分位数</w:t>
                  </w:r>
                </w:p>
              </w:tc>
              <w:tc>
                <w:tcPr>
                  <w:tcW w:w="1318" w:type="dxa"/>
                  <w:tcBorders>
                    <w:top w:val="single" w:color="auto" w:sz="8" w:space="0"/>
                    <w:left w:val="single" w:color="auto" w:sz="8" w:space="0"/>
                    <w:bottom w:val="single" w:color="auto" w:sz="12" w:space="0"/>
                    <w:right w:val="single" w:color="auto" w:sz="8" w:space="0"/>
                    <w:tl2br w:val="nil"/>
                    <w:tr2bl w:val="nil"/>
                  </w:tcBorders>
                  <w:noWrap w:val="0"/>
                  <w:vAlign w:val="center"/>
                </w:tcPr>
                <w:p w14:paraId="61E8FF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color w:val="auto"/>
                      <w:kern w:val="0"/>
                      <w:sz w:val="21"/>
                      <w:szCs w:val="21"/>
                      <w:lang w:val="en-US" w:eastAsia="zh-CN"/>
                    </w:rPr>
                    <w:t>9</w:t>
                  </w:r>
                  <w:r>
                    <w:rPr>
                      <w:rFonts w:hint="eastAsia" w:cs="Times New Roman"/>
                      <w:color w:val="auto"/>
                      <w:kern w:val="0"/>
                      <w:sz w:val="21"/>
                      <w:szCs w:val="21"/>
                      <w:lang w:val="en-US" w:eastAsia="zh-CN"/>
                    </w:rPr>
                    <w:t>0</w:t>
                  </w:r>
                  <w:r>
                    <w:rPr>
                      <w:rFonts w:hint="default" w:ascii="Times New Roman" w:hAnsi="Times New Roman" w:cs="Times New Roman"/>
                      <w:color w:val="auto"/>
                      <w:kern w:val="0"/>
                      <w:sz w:val="21"/>
                      <w:szCs w:val="21"/>
                    </w:rPr>
                    <w:t>μg/m</w:t>
                  </w:r>
                  <w:r>
                    <w:rPr>
                      <w:rFonts w:hint="default" w:ascii="Times New Roman" w:hAnsi="Times New Roman" w:cs="Times New Roman"/>
                      <w:color w:val="auto"/>
                      <w:kern w:val="0"/>
                      <w:sz w:val="21"/>
                      <w:szCs w:val="21"/>
                      <w:vertAlign w:val="superscript"/>
                    </w:rPr>
                    <w:t>3</w:t>
                  </w:r>
                </w:p>
              </w:tc>
              <w:tc>
                <w:tcPr>
                  <w:tcW w:w="1236" w:type="dxa"/>
                  <w:tcBorders>
                    <w:top w:val="single" w:color="auto" w:sz="8" w:space="0"/>
                    <w:left w:val="single" w:color="auto" w:sz="8" w:space="0"/>
                    <w:bottom w:val="single" w:color="auto" w:sz="12" w:space="0"/>
                    <w:right w:val="single" w:color="auto" w:sz="8" w:space="0"/>
                    <w:tl2br w:val="nil"/>
                    <w:tr2bl w:val="nil"/>
                  </w:tcBorders>
                  <w:noWrap w:val="0"/>
                  <w:vAlign w:val="center"/>
                </w:tcPr>
                <w:p w14:paraId="1D7A4FCC">
                  <w:pPr>
                    <w:pStyle w:val="79"/>
                    <w:keepNext w:val="0"/>
                    <w:keepLines w:val="0"/>
                    <w:pageBreakBefore w:val="0"/>
                    <w:widowControl w:val="0"/>
                    <w:kinsoku/>
                    <w:wordWrap/>
                    <w:overflowPunct/>
                    <w:topLinePunct w:val="0"/>
                    <w:autoSpaceDE/>
                    <w:autoSpaceDN/>
                    <w:bidi w:val="0"/>
                    <w:spacing w:beforeAutospacing="0" w:afterAutospacing="0" w:line="240" w:lineRule="auto"/>
                    <w:ind w:left="0" w:leftChars="0"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eastAsia="宋体" w:cs="Times New Roman"/>
                      <w:color w:val="auto"/>
                      <w:sz w:val="21"/>
                      <w:szCs w:val="21"/>
                      <w:vertAlign w:val="baseline"/>
                      <w:lang w:val="en-US" w:eastAsia="zh-CN"/>
                    </w:rPr>
                    <w:t>160</w:t>
                  </w:r>
                </w:p>
              </w:tc>
              <w:tc>
                <w:tcPr>
                  <w:tcW w:w="1096" w:type="dxa"/>
                  <w:tcBorders>
                    <w:top w:val="single" w:color="auto" w:sz="8" w:space="0"/>
                    <w:left w:val="single" w:color="auto" w:sz="8" w:space="0"/>
                    <w:bottom w:val="single" w:color="auto" w:sz="12" w:space="0"/>
                    <w:right w:val="single" w:color="auto" w:sz="8" w:space="0"/>
                    <w:tl2br w:val="nil"/>
                    <w:tr2bl w:val="nil"/>
                  </w:tcBorders>
                  <w:noWrap w:val="0"/>
                  <w:vAlign w:val="center"/>
                </w:tcPr>
                <w:p w14:paraId="7F773DE1">
                  <w:pPr>
                    <w:autoSpaceDE w:val="0"/>
                    <w:autoSpaceDN w:val="0"/>
                    <w:spacing w:line="0" w:lineRule="atLeast"/>
                    <w:jc w:val="center"/>
                    <w:rPr>
                      <w:rFonts w:hint="default" w:ascii="Times New Roman" w:hAnsi="Times New Roman" w:eastAsia="宋体" w:cs="Times New Roman"/>
                      <w:b w:val="0"/>
                      <w:bCs/>
                      <w:color w:val="auto"/>
                      <w:szCs w:val="21"/>
                      <w:lang w:val="en-US" w:eastAsia="zh-CN"/>
                    </w:rPr>
                  </w:pPr>
                  <w:r>
                    <w:rPr>
                      <w:rFonts w:eastAsia="华文中宋"/>
                      <w:color w:val="auto"/>
                      <w:szCs w:val="21"/>
                    </w:rPr>
                    <w:t>56.25</w:t>
                  </w:r>
                </w:p>
              </w:tc>
              <w:tc>
                <w:tcPr>
                  <w:tcW w:w="1383" w:type="dxa"/>
                  <w:tcBorders>
                    <w:top w:val="single" w:color="auto" w:sz="8" w:space="0"/>
                    <w:left w:val="single" w:color="auto" w:sz="8" w:space="0"/>
                    <w:bottom w:val="single" w:color="auto" w:sz="12" w:space="0"/>
                    <w:right w:val="single" w:color="auto" w:sz="12" w:space="0"/>
                    <w:tl2br w:val="nil"/>
                    <w:tr2bl w:val="nil"/>
                  </w:tcBorders>
                  <w:noWrap w:val="0"/>
                  <w:vAlign w:val="center"/>
                </w:tcPr>
                <w:p w14:paraId="197D8A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color w:val="auto"/>
                      <w:kern w:val="0"/>
                      <w:sz w:val="21"/>
                      <w:szCs w:val="21"/>
                    </w:rPr>
                    <w:t>达标</w:t>
                  </w:r>
                </w:p>
              </w:tc>
            </w:tr>
          </w:tbl>
          <w:p w14:paraId="1F2599D5">
            <w:pPr>
              <w:overflowPunct/>
              <w:autoSpaceDE/>
              <w:autoSpaceDN/>
              <w:bidi w:val="0"/>
              <w:adjustRightInd/>
              <w:snapToGrid/>
              <w:spacing w:before="0" w:after="0" w:line="360" w:lineRule="auto"/>
              <w:ind w:left="0" w:right="0" w:firstLine="480" w:firstLineChars="200"/>
              <w:jc w:val="both"/>
              <w:rPr>
                <w:color w:val="auto"/>
                <w:highlight w:val="none"/>
              </w:rPr>
            </w:pPr>
            <w:r>
              <w:rPr>
                <w:rFonts w:hint="default" w:ascii="Times New Roman" w:hAnsi="Times New Roman" w:eastAsia="宋体" w:cs="Times New Roman"/>
                <w:color w:val="auto"/>
                <w:sz w:val="24"/>
                <w:szCs w:val="24"/>
              </w:rPr>
              <w:t>由上表可知：</w:t>
            </w:r>
            <w:r>
              <w:rPr>
                <w:rFonts w:hint="default" w:ascii="Times New Roman" w:hAnsi="Times New Roman" w:cs="Times New Roman"/>
                <w:snapToGrid w:val="0"/>
                <w:color w:val="auto"/>
                <w:kern w:val="0"/>
                <w:sz w:val="24"/>
              </w:rPr>
              <w:t>项目所在区域SO</w:t>
            </w:r>
            <w:r>
              <w:rPr>
                <w:rFonts w:hint="default" w:ascii="Times New Roman" w:hAnsi="Times New Roman" w:cs="Times New Roman"/>
                <w:snapToGrid w:val="0"/>
                <w:color w:val="auto"/>
                <w:kern w:val="0"/>
                <w:sz w:val="24"/>
                <w:vertAlign w:val="subscript"/>
              </w:rPr>
              <w:t>2</w:t>
            </w:r>
            <w:r>
              <w:rPr>
                <w:rFonts w:hint="default" w:ascii="Times New Roman" w:hAnsi="Times New Roman" w:cs="Times New Roman"/>
                <w:snapToGrid w:val="0"/>
                <w:color w:val="auto"/>
                <w:kern w:val="0"/>
                <w:sz w:val="24"/>
              </w:rPr>
              <w:t>、NO</w:t>
            </w:r>
            <w:r>
              <w:rPr>
                <w:rFonts w:hint="default" w:ascii="Times New Roman" w:hAnsi="Times New Roman" w:cs="Times New Roman"/>
                <w:snapToGrid w:val="0"/>
                <w:color w:val="auto"/>
                <w:kern w:val="0"/>
                <w:sz w:val="24"/>
                <w:vertAlign w:val="subscript"/>
              </w:rPr>
              <w:t>2</w:t>
            </w:r>
            <w:r>
              <w:rPr>
                <w:rFonts w:hint="default" w:ascii="Times New Roman" w:hAnsi="Times New Roman" w:cs="Times New Roman"/>
                <w:snapToGrid w:val="0"/>
                <w:color w:val="auto"/>
                <w:kern w:val="0"/>
                <w:sz w:val="24"/>
              </w:rPr>
              <w:t>年平均浓度，CO24小时平均第95百分位数浓度，O</w:t>
            </w:r>
            <w:r>
              <w:rPr>
                <w:rFonts w:hint="default" w:ascii="Times New Roman" w:hAnsi="Times New Roman" w:cs="Times New Roman"/>
                <w:snapToGrid w:val="0"/>
                <w:color w:val="auto"/>
                <w:kern w:val="0"/>
                <w:sz w:val="24"/>
                <w:vertAlign w:val="subscript"/>
              </w:rPr>
              <w:t>3</w:t>
            </w:r>
            <w:r>
              <w:rPr>
                <w:rFonts w:hint="default" w:ascii="Times New Roman" w:hAnsi="Times New Roman" w:cs="Times New Roman"/>
                <w:snapToGrid w:val="0"/>
                <w:color w:val="auto"/>
                <w:kern w:val="0"/>
                <w:sz w:val="24"/>
              </w:rPr>
              <w:t>日最大8小时平均第90百分位数浓度</w:t>
            </w:r>
            <w:r>
              <w:rPr>
                <w:rFonts w:hint="eastAsia" w:cs="Times New Roman"/>
                <w:snapToGrid w:val="0"/>
                <w:color w:val="auto"/>
                <w:kern w:val="0"/>
                <w:sz w:val="24"/>
                <w:lang w:eastAsia="zh-CN"/>
              </w:rPr>
              <w:t>，</w:t>
            </w:r>
            <w:r>
              <w:rPr>
                <w:rFonts w:hint="default" w:ascii="Times New Roman" w:hAnsi="Times New Roman" w:cs="Times New Roman"/>
                <w:snapToGrid w:val="0"/>
                <w:color w:val="auto"/>
                <w:kern w:val="0"/>
                <w:sz w:val="24"/>
              </w:rPr>
              <w:t>PM</w:t>
            </w:r>
            <w:r>
              <w:rPr>
                <w:rFonts w:hint="default" w:ascii="Times New Roman" w:hAnsi="Times New Roman" w:cs="Times New Roman"/>
                <w:snapToGrid w:val="0"/>
                <w:color w:val="auto"/>
                <w:kern w:val="0"/>
                <w:sz w:val="24"/>
                <w:vertAlign w:val="subscript"/>
              </w:rPr>
              <w:t>2.5</w:t>
            </w:r>
            <w:r>
              <w:rPr>
                <w:rFonts w:hint="default" w:ascii="Times New Roman" w:hAnsi="Times New Roman" w:cs="Times New Roman"/>
                <w:snapToGrid w:val="0"/>
                <w:color w:val="auto"/>
                <w:kern w:val="0"/>
                <w:sz w:val="24"/>
              </w:rPr>
              <w:t>、PM</w:t>
            </w:r>
            <w:r>
              <w:rPr>
                <w:rFonts w:hint="default" w:ascii="Times New Roman" w:hAnsi="Times New Roman" w:cs="Times New Roman"/>
                <w:snapToGrid w:val="0"/>
                <w:color w:val="auto"/>
                <w:kern w:val="0"/>
                <w:sz w:val="24"/>
                <w:vertAlign w:val="subscript"/>
              </w:rPr>
              <w:t>1</w:t>
            </w:r>
            <w:r>
              <w:rPr>
                <w:rFonts w:hint="eastAsia" w:ascii="Times New Roman" w:hAnsi="Times New Roman" w:cs="Times New Roman"/>
                <w:snapToGrid w:val="0"/>
                <w:color w:val="auto"/>
                <w:kern w:val="0"/>
                <w:sz w:val="24"/>
                <w:vertAlign w:val="subscript"/>
                <w:lang w:val="en-US" w:eastAsia="zh-CN"/>
              </w:rPr>
              <w:t>0</w:t>
            </w:r>
            <w:r>
              <w:rPr>
                <w:rFonts w:hint="default" w:ascii="Times New Roman" w:hAnsi="Times New Roman" w:cs="Times New Roman"/>
                <w:snapToGrid w:val="0"/>
                <w:color w:val="auto"/>
                <w:kern w:val="0"/>
                <w:sz w:val="24"/>
              </w:rPr>
              <w:t>均满足</w:t>
            </w:r>
            <w:r>
              <w:rPr>
                <w:rFonts w:hint="eastAsia"/>
                <w:color w:val="auto"/>
                <w:sz w:val="24"/>
                <w:highlight w:val="none"/>
                <w:lang w:val="en-US" w:eastAsia="zh-CN"/>
              </w:rPr>
              <w:t>《环境空气质量标准及其修改单》（GB3095-2012）二级标准</w:t>
            </w:r>
            <w:r>
              <w:rPr>
                <w:rFonts w:hint="eastAsia" w:ascii="Times New Roman" w:hAnsi="Times New Roman" w:cs="Times New Roman"/>
                <w:snapToGrid w:val="0"/>
                <w:color w:val="auto"/>
                <w:kern w:val="0"/>
                <w:sz w:val="24"/>
                <w:lang w:eastAsia="zh-CN"/>
              </w:rPr>
              <w:t>，</w:t>
            </w:r>
            <w:r>
              <w:rPr>
                <w:rFonts w:hint="default" w:ascii="Times New Roman" w:hAnsi="Times New Roman" w:cs="Times New Roman"/>
                <w:snapToGrid w:val="0"/>
                <w:color w:val="auto"/>
                <w:kern w:val="0"/>
                <w:sz w:val="24"/>
              </w:rPr>
              <w:t>PM</w:t>
            </w:r>
            <w:r>
              <w:rPr>
                <w:rFonts w:hint="default" w:ascii="Times New Roman" w:hAnsi="Times New Roman" w:cs="Times New Roman"/>
                <w:snapToGrid w:val="0"/>
                <w:color w:val="auto"/>
                <w:kern w:val="0"/>
                <w:sz w:val="24"/>
                <w:vertAlign w:val="subscript"/>
              </w:rPr>
              <w:t>2.5</w:t>
            </w:r>
            <w:r>
              <w:rPr>
                <w:rFonts w:hint="default" w:ascii="Times New Roman" w:hAnsi="Times New Roman" w:cs="Times New Roman"/>
                <w:snapToGrid w:val="0"/>
                <w:color w:val="auto"/>
                <w:kern w:val="0"/>
                <w:sz w:val="24"/>
              </w:rPr>
              <w:t>、PM</w:t>
            </w:r>
            <w:r>
              <w:rPr>
                <w:rFonts w:hint="default" w:ascii="Times New Roman" w:hAnsi="Times New Roman" w:cs="Times New Roman"/>
                <w:snapToGrid w:val="0"/>
                <w:color w:val="auto"/>
                <w:kern w:val="0"/>
                <w:sz w:val="24"/>
                <w:vertAlign w:val="subscript"/>
              </w:rPr>
              <w:t>1</w:t>
            </w:r>
            <w:r>
              <w:rPr>
                <w:rFonts w:hint="eastAsia" w:ascii="Times New Roman" w:hAnsi="Times New Roman" w:cs="Times New Roman"/>
                <w:snapToGrid w:val="0"/>
                <w:color w:val="auto"/>
                <w:kern w:val="0"/>
                <w:sz w:val="24"/>
                <w:vertAlign w:val="subscript"/>
                <w:lang w:val="en-US" w:eastAsia="zh-CN"/>
              </w:rPr>
              <w:t>0</w:t>
            </w:r>
            <w:r>
              <w:rPr>
                <w:rFonts w:hint="eastAsia" w:ascii="Times New Roman" w:hAnsi="Times New Roman" w:cs="Times New Roman"/>
                <w:snapToGrid w:val="0"/>
                <w:color w:val="auto"/>
                <w:kern w:val="0"/>
                <w:sz w:val="24"/>
                <w:vertAlign w:val="baseline"/>
                <w:lang w:val="en-US" w:eastAsia="zh-CN"/>
              </w:rPr>
              <w:t>超标</w:t>
            </w:r>
            <w:r>
              <w:rPr>
                <w:rFonts w:hint="default" w:ascii="Times New Roman" w:hAnsi="Times New Roman" w:cs="Times New Roman"/>
                <w:snapToGrid w:val="0"/>
                <w:color w:val="auto"/>
                <w:kern w:val="0"/>
                <w:sz w:val="24"/>
              </w:rPr>
              <w:t>，</w:t>
            </w:r>
            <w:r>
              <w:rPr>
                <w:rFonts w:hint="default" w:ascii="Times New Roman" w:hAnsi="Times New Roman" w:cs="Times New Roman"/>
                <w:snapToGrid w:val="0"/>
                <w:color w:val="auto"/>
                <w:kern w:val="0"/>
                <w:sz w:val="24"/>
                <w:lang w:eastAsia="zh-CN"/>
              </w:rPr>
              <w:t>判定</w:t>
            </w:r>
            <w:r>
              <w:rPr>
                <w:rFonts w:hint="default" w:ascii="Times New Roman" w:hAnsi="Times New Roman" w:cs="Times New Roman"/>
                <w:snapToGrid w:val="0"/>
                <w:color w:val="auto"/>
                <w:kern w:val="0"/>
                <w:sz w:val="24"/>
              </w:rPr>
              <w:t>本</w:t>
            </w:r>
            <w:r>
              <w:rPr>
                <w:rFonts w:hint="default" w:ascii="Times New Roman" w:hAnsi="Times New Roman" w:cs="Times New Roman"/>
                <w:snapToGrid w:val="0"/>
                <w:color w:val="auto"/>
                <w:kern w:val="0"/>
                <w:sz w:val="24"/>
                <w:lang w:val="en-US" w:eastAsia="zh-CN"/>
              </w:rPr>
              <w:t>项目</w:t>
            </w:r>
            <w:r>
              <w:rPr>
                <w:rFonts w:hint="default" w:ascii="Times New Roman" w:hAnsi="Times New Roman" w:cs="Times New Roman"/>
                <w:snapToGrid w:val="0"/>
                <w:color w:val="auto"/>
                <w:kern w:val="0"/>
                <w:sz w:val="24"/>
              </w:rPr>
              <w:t>所在区域为达标区域。</w:t>
            </w:r>
          </w:p>
          <w:p w14:paraId="094BB4F4">
            <w:pPr>
              <w:spacing w:line="360" w:lineRule="auto"/>
              <w:outlineLvl w:val="2"/>
              <w:rPr>
                <w:rFonts w:hint="default" w:ascii="Times New Roman" w:hAnsi="Times New Roman" w:eastAsia="宋体" w:cs="Times New Roman"/>
                <w:b/>
                <w:color w:val="auto"/>
                <w:sz w:val="24"/>
                <w:highlight w:val="none"/>
              </w:rPr>
            </w:pPr>
            <w:r>
              <w:rPr>
                <w:rFonts w:hint="default" w:ascii="Times New Roman" w:hAnsi="Times New Roman" w:eastAsia="宋体" w:cs="Times New Roman"/>
                <w:b/>
                <w:bCs/>
                <w:color w:val="auto"/>
                <w:sz w:val="24"/>
                <w:szCs w:val="24"/>
                <w:highlight w:val="none"/>
              </w:rPr>
              <w:t>1.2其他污染物补充监测</w:t>
            </w:r>
          </w:p>
          <w:p w14:paraId="076BDD29">
            <w:pPr>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snapToGrid w:val="0"/>
                <w:color w:val="auto"/>
                <w:kern w:val="0"/>
                <w:sz w:val="24"/>
                <w:szCs w:val="24"/>
                <w:highlight w:val="none"/>
              </w:rPr>
              <w:t>本项目涉及的大气污染物评价因子为</w:t>
            </w:r>
            <w:r>
              <w:rPr>
                <w:rFonts w:hint="default" w:ascii="Times New Roman" w:hAnsi="Times New Roman"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rPr>
              <w:t>，根据《建设项目环境影响报告表编制技术指南（污染影响类）</w:t>
            </w:r>
            <w:r>
              <w:rPr>
                <w:rFonts w:hint="eastAsia" w:cs="Times New Roman"/>
                <w:color w:val="auto"/>
                <w:sz w:val="24"/>
                <w:szCs w:val="24"/>
                <w:highlight w:val="none"/>
                <w:lang w:eastAsia="zh-CN"/>
              </w:rPr>
              <w:t>（试行）》</w:t>
            </w:r>
            <w:r>
              <w:rPr>
                <w:rFonts w:hint="default" w:ascii="Times New Roman" w:hAnsi="Times New Roman" w:eastAsia="宋体" w:cs="Times New Roman"/>
                <w:color w:val="auto"/>
                <w:sz w:val="24"/>
                <w:szCs w:val="24"/>
                <w:highlight w:val="none"/>
              </w:rPr>
              <w:t>中相关规定及本项目厂址周围情况，</w:t>
            </w:r>
            <w:r>
              <w:rPr>
                <w:rFonts w:hint="default" w:ascii="Times New Roman" w:hAnsi="Times New Roman" w:eastAsia="宋体" w:cs="Times New Roman"/>
                <w:color w:val="auto"/>
                <w:sz w:val="24"/>
                <w:highlight w:val="none"/>
              </w:rPr>
              <w:t>本次评价大气现状监测数据</w:t>
            </w:r>
            <w:r>
              <w:rPr>
                <w:rFonts w:hint="default" w:ascii="Times New Roman" w:hAnsi="Times New Roman" w:cs="Times New Roman"/>
                <w:color w:val="auto"/>
                <w:sz w:val="24"/>
                <w:highlight w:val="none"/>
                <w:lang w:val="en-US" w:eastAsia="zh-CN"/>
              </w:rPr>
              <w:t>颗粒物数据来源于</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东方电气(新疆)新能源高端装备制造基地项目</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于20</w:t>
            </w:r>
            <w:r>
              <w:rPr>
                <w:rFonts w:hint="eastAsia"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rPr>
              <w:t>年</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月</w:t>
            </w:r>
            <w:r>
              <w:rPr>
                <w:rFonts w:hint="eastAsia"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rPr>
              <w:t>日</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月</w:t>
            </w:r>
            <w:r>
              <w:rPr>
                <w:rFonts w:hint="eastAsia" w:cs="Times New Roman"/>
                <w:color w:val="auto"/>
                <w:sz w:val="24"/>
                <w:szCs w:val="24"/>
                <w:highlight w:val="none"/>
                <w:lang w:val="en-US" w:eastAsia="zh-CN"/>
              </w:rPr>
              <w:t>31</w:t>
            </w:r>
            <w:r>
              <w:rPr>
                <w:rFonts w:hint="default" w:ascii="Times New Roman" w:hAnsi="Times New Roman" w:eastAsia="宋体" w:cs="Times New Roman"/>
                <w:color w:val="auto"/>
                <w:sz w:val="24"/>
                <w:szCs w:val="24"/>
                <w:highlight w:val="none"/>
              </w:rPr>
              <w:t>日</w:t>
            </w:r>
            <w:r>
              <w:rPr>
                <w:rFonts w:hint="default" w:ascii="Times New Roman" w:hAnsi="Times New Roman"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rPr>
              <w:t>监测数据，</w:t>
            </w:r>
            <w:r>
              <w:rPr>
                <w:rFonts w:hint="eastAsia" w:cs="Times New Roman"/>
                <w:color w:val="auto"/>
                <w:sz w:val="24"/>
                <w:szCs w:val="24"/>
                <w:highlight w:val="none"/>
                <w:lang w:val="en-US" w:eastAsia="zh-CN"/>
              </w:rPr>
              <w:t>距离</w:t>
            </w:r>
            <w:r>
              <w:rPr>
                <w:rFonts w:hint="default" w:ascii="Times New Roman" w:hAnsi="Times New Roman"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项目区</w:t>
            </w:r>
            <w:r>
              <w:rPr>
                <w:rFonts w:hint="eastAsia" w:cs="Times New Roman"/>
                <w:color w:val="auto"/>
                <w:sz w:val="24"/>
                <w:szCs w:val="24"/>
                <w:highlight w:val="none"/>
                <w:lang w:val="en-US" w:eastAsia="zh-CN"/>
              </w:rPr>
              <w:t>约2.1</w:t>
            </w:r>
            <w:r>
              <w:rPr>
                <w:rFonts w:hint="default" w:ascii="Times New Roman" w:hAnsi="Times New Roman" w:cs="Times New Roman"/>
                <w:color w:val="auto"/>
                <w:sz w:val="24"/>
                <w:szCs w:val="24"/>
                <w:highlight w:val="none"/>
                <w:lang w:val="en-US" w:eastAsia="zh-CN"/>
              </w:rPr>
              <w:t>k</w:t>
            </w:r>
            <w:r>
              <w:rPr>
                <w:rFonts w:hint="default" w:ascii="Times New Roman" w:hAnsi="Times New Roman" w:eastAsia="宋体" w:cs="Times New Roman"/>
                <w:color w:val="auto"/>
                <w:sz w:val="24"/>
                <w:szCs w:val="24"/>
                <w:highlight w:val="none"/>
              </w:rPr>
              <w:t>m处</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符合区域环境质量现状要求中引用建设项目周边5km范围内近3年的现有监测数据。</w:t>
            </w:r>
            <w:r>
              <w:rPr>
                <w:rFonts w:hint="default" w:ascii="Times New Roman" w:hAnsi="Times New Roman" w:cs="Times New Roman"/>
                <w:color w:val="auto"/>
                <w:sz w:val="24"/>
                <w:szCs w:val="24"/>
                <w:highlight w:val="none"/>
                <w:lang w:val="en-US" w:eastAsia="zh-CN"/>
              </w:rPr>
              <w:t>监测</w:t>
            </w:r>
            <w:r>
              <w:rPr>
                <w:rFonts w:hint="default" w:ascii="Times New Roman" w:hAnsi="Times New Roman" w:cs="Times New Roman"/>
                <w:color w:val="auto"/>
                <w:sz w:val="24"/>
                <w:highlight w:val="none"/>
                <w:lang w:val="en-US" w:eastAsia="zh-CN"/>
              </w:rPr>
              <w:t>报告见附件</w:t>
            </w:r>
            <w:r>
              <w:rPr>
                <w:rFonts w:hint="eastAsia" w:cs="Times New Roman"/>
                <w:color w:val="auto"/>
                <w:sz w:val="24"/>
                <w:highlight w:val="none"/>
                <w:lang w:val="en-US" w:eastAsia="zh-CN"/>
              </w:rPr>
              <w:t>。</w:t>
            </w:r>
          </w:p>
          <w:p w14:paraId="0542881B">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监测项目：</w:t>
            </w:r>
            <w:r>
              <w:rPr>
                <w:rFonts w:hint="eastAsia" w:ascii="Times New Roman" w:hAnsi="Times New Roman" w:cs="Times New Roman"/>
                <w:b w:val="0"/>
                <w:bCs w:val="0"/>
                <w:color w:val="auto"/>
                <w:sz w:val="24"/>
                <w:highlight w:val="none"/>
                <w:lang w:val="en-US" w:eastAsia="zh-CN"/>
              </w:rPr>
              <w:t>总悬浮</w:t>
            </w:r>
            <w:r>
              <w:rPr>
                <w:rFonts w:hint="default" w:ascii="Times New Roman" w:hAnsi="Times New Roman" w:cs="Times New Roman"/>
                <w:b w:val="0"/>
                <w:bCs w:val="0"/>
                <w:color w:val="auto"/>
                <w:sz w:val="24"/>
                <w:highlight w:val="none"/>
                <w:lang w:val="en-US" w:eastAsia="zh-CN"/>
              </w:rPr>
              <w:t>颗粒物</w:t>
            </w:r>
          </w:p>
          <w:p w14:paraId="10E9A1E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各项目的采样及分析方法均按照国家环保局颁布的《空气和废气监测分析方法</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环境监测技术规范》中的有关规定执行。</w:t>
            </w:r>
          </w:p>
          <w:p w14:paraId="0C29E6FD">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大气监测采样及分析方法</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648"/>
              <w:gridCol w:w="4156"/>
              <w:gridCol w:w="1854"/>
            </w:tblGrid>
            <w:tr w14:paraId="33A3A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 w:hRule="atLeast"/>
              </w:trPr>
              <w:tc>
                <w:tcPr>
                  <w:tcW w:w="458" w:type="pct"/>
                  <w:tcBorders>
                    <w:bottom w:val="single" w:color="auto" w:sz="12" w:space="0"/>
                  </w:tcBorders>
                  <w:noWrap w:val="0"/>
                  <w:vAlign w:val="center"/>
                </w:tcPr>
                <w:p w14:paraId="319B7DA9">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编号</w:t>
                  </w:r>
                </w:p>
              </w:tc>
              <w:tc>
                <w:tcPr>
                  <w:tcW w:w="977" w:type="pct"/>
                  <w:tcBorders>
                    <w:bottom w:val="single" w:color="auto" w:sz="12" w:space="0"/>
                  </w:tcBorders>
                  <w:noWrap w:val="0"/>
                  <w:vAlign w:val="center"/>
                </w:tcPr>
                <w:p w14:paraId="64689691">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项目名称</w:t>
                  </w:r>
                </w:p>
              </w:tc>
              <w:tc>
                <w:tcPr>
                  <w:tcW w:w="2464" w:type="pct"/>
                  <w:tcBorders>
                    <w:bottom w:val="single" w:color="auto" w:sz="12" w:space="0"/>
                  </w:tcBorders>
                  <w:noWrap w:val="0"/>
                  <w:vAlign w:val="center"/>
                </w:tcPr>
                <w:p w14:paraId="34EEEC01">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分析方法</w:t>
                  </w:r>
                </w:p>
              </w:tc>
              <w:tc>
                <w:tcPr>
                  <w:tcW w:w="1099" w:type="pct"/>
                  <w:tcBorders>
                    <w:bottom w:val="single" w:color="auto" w:sz="12" w:space="0"/>
                  </w:tcBorders>
                  <w:noWrap w:val="0"/>
                  <w:vAlign w:val="center"/>
                </w:tcPr>
                <w:p w14:paraId="0F6F4BB8">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方法来源</w:t>
                  </w:r>
                </w:p>
              </w:tc>
            </w:tr>
            <w:tr w14:paraId="6E69F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12" w:space="0"/>
                  </w:tcBorders>
                  <w:noWrap w:val="0"/>
                  <w:vAlign w:val="center"/>
                </w:tcPr>
                <w:p w14:paraId="6DF3FC6C">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977" w:type="pct"/>
                  <w:tcBorders>
                    <w:top w:val="single" w:color="auto" w:sz="12" w:space="0"/>
                  </w:tcBorders>
                  <w:noWrap w:val="0"/>
                  <w:vAlign w:val="center"/>
                </w:tcPr>
                <w:p w14:paraId="2D2D6F13">
                  <w:pPr>
                    <w:spacing w:line="240" w:lineRule="auto"/>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b w:val="0"/>
                      <w:bCs w:val="0"/>
                      <w:color w:val="auto"/>
                      <w:sz w:val="21"/>
                      <w:szCs w:val="21"/>
                      <w:highlight w:val="none"/>
                      <w:lang w:val="en-US" w:eastAsia="zh-CN"/>
                    </w:rPr>
                    <w:t>总悬浮</w:t>
                  </w:r>
                  <w:r>
                    <w:rPr>
                      <w:rFonts w:hint="default" w:ascii="Times New Roman" w:hAnsi="Times New Roman" w:cs="Times New Roman"/>
                      <w:b w:val="0"/>
                      <w:bCs w:val="0"/>
                      <w:color w:val="auto"/>
                      <w:sz w:val="21"/>
                      <w:szCs w:val="21"/>
                      <w:highlight w:val="none"/>
                      <w:lang w:val="en-US" w:eastAsia="zh-CN"/>
                    </w:rPr>
                    <w:t>颗粒物</w:t>
                  </w:r>
                </w:p>
              </w:tc>
              <w:tc>
                <w:tcPr>
                  <w:tcW w:w="2464" w:type="pct"/>
                  <w:tcBorders>
                    <w:top w:val="single" w:color="auto" w:sz="12" w:space="0"/>
                  </w:tcBorders>
                  <w:noWrap w:val="0"/>
                  <w:vAlign w:val="center"/>
                </w:tcPr>
                <w:p w14:paraId="3419CCC5">
                  <w:pPr>
                    <w:spacing w:line="240"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环境空气总悬浮颗粒物的测定重量法</w:t>
                  </w:r>
                </w:p>
              </w:tc>
              <w:tc>
                <w:tcPr>
                  <w:tcW w:w="1099" w:type="pct"/>
                  <w:tcBorders>
                    <w:top w:val="single" w:color="auto" w:sz="12" w:space="0"/>
                  </w:tcBorders>
                  <w:noWrap w:val="0"/>
                  <w:vAlign w:val="center"/>
                </w:tcPr>
                <w:p w14:paraId="5B77732F">
                  <w:pPr>
                    <w:spacing w:line="240" w:lineRule="auto"/>
                    <w:jc w:val="center"/>
                    <w:rPr>
                      <w:rFonts w:hint="default" w:ascii="Times New Roman" w:hAnsi="Times New Roman" w:eastAsia="宋体" w:cs="Times New Roman"/>
                      <w:color w:val="auto"/>
                      <w:szCs w:val="18"/>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GB/T15432-1995</w:t>
                  </w:r>
                </w:p>
              </w:tc>
            </w:tr>
          </w:tbl>
          <w:p w14:paraId="238EE257">
            <w:pPr>
              <w:spacing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1.2.1评价标准</w:t>
            </w:r>
          </w:p>
          <w:p w14:paraId="5B5427A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根据本项目所在区域的环境功能区划，执行</w:t>
            </w:r>
            <w:r>
              <w:rPr>
                <w:rFonts w:hint="eastAsia"/>
                <w:color w:val="auto"/>
                <w:sz w:val="24"/>
                <w:highlight w:val="none"/>
                <w:lang w:val="en-US" w:eastAsia="zh-CN"/>
              </w:rPr>
              <w:t>《环境空气质量标准及其修改单》（GB3095-2012）二级标准</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rPr>
              <w:t>环境空气质量标准：</w:t>
            </w:r>
            <w:r>
              <w:rPr>
                <w:rFonts w:hint="default" w:ascii="Times New Roman" w:hAnsi="Times New Roman" w:cs="Times New Roman"/>
                <w:color w:val="auto"/>
                <w:sz w:val="24"/>
                <w:szCs w:val="24"/>
                <w:highlight w:val="none"/>
                <w:lang w:val="en-US" w:eastAsia="zh-CN"/>
              </w:rPr>
              <w:t>0.3</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0"/>
                <w:sz w:val="24"/>
                <w:szCs w:val="24"/>
                <w:highlight w:val="none"/>
                <w:lang w:val="en-US" w:eastAsia="zh-CN" w:bidi="ar"/>
              </w:rPr>
              <w:t>环境空气质量标准限值见表3-</w:t>
            </w:r>
            <w:r>
              <w:rPr>
                <w:rFonts w:hint="eastAsia" w:cs="Times New Roman"/>
                <w:color w:val="auto"/>
                <w:kern w:val="0"/>
                <w:sz w:val="24"/>
                <w:szCs w:val="24"/>
                <w:highlight w:val="none"/>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p>
          <w:p w14:paraId="242E384B">
            <w:pPr>
              <w:keepNext w:val="0"/>
              <w:keepLines w:val="0"/>
              <w:widowControl/>
              <w:suppressLineNumbers w:val="0"/>
              <w:jc w:val="center"/>
              <w:rPr>
                <w:rFonts w:hint="default" w:ascii="Times New Roman" w:hAnsi="Times New Roman" w:cs="Times New Roman"/>
                <w:color w:val="auto"/>
                <w:highlight w:val="none"/>
              </w:rPr>
            </w:pPr>
            <w:r>
              <w:rPr>
                <w:rFonts w:hint="default" w:ascii="Times New Roman" w:hAnsi="Times New Roman" w:eastAsia="宋体" w:cs="Times New Roman"/>
                <w:b/>
                <w:bCs/>
                <w:color w:val="auto"/>
                <w:kern w:val="0"/>
                <w:sz w:val="20"/>
                <w:szCs w:val="20"/>
                <w:highlight w:val="none"/>
                <w:lang w:val="en-US" w:eastAsia="zh-CN" w:bidi="ar"/>
              </w:rPr>
              <w:t>表3-</w:t>
            </w:r>
            <w:r>
              <w:rPr>
                <w:rFonts w:hint="eastAsia" w:cs="Times New Roman"/>
                <w:b/>
                <w:bCs/>
                <w:color w:val="auto"/>
                <w:kern w:val="0"/>
                <w:sz w:val="20"/>
                <w:szCs w:val="20"/>
                <w:highlight w:val="none"/>
                <w:lang w:val="en-US" w:eastAsia="zh-CN" w:bidi="ar"/>
              </w:rPr>
              <w:t>3</w:t>
            </w:r>
            <w:r>
              <w:rPr>
                <w:rFonts w:hint="default" w:ascii="Times New Roman" w:hAnsi="Times New Roman" w:eastAsia="宋体" w:cs="Times New Roman"/>
                <w:b/>
                <w:bCs/>
                <w:color w:val="auto"/>
                <w:kern w:val="0"/>
                <w:sz w:val="20"/>
                <w:szCs w:val="20"/>
                <w:highlight w:val="none"/>
                <w:lang w:val="en-US" w:eastAsia="zh-CN" w:bidi="ar"/>
              </w:rPr>
              <w:t>《环境空气质量标准</w:t>
            </w:r>
            <w:r>
              <w:rPr>
                <w:rFonts w:hint="eastAsia" w:cs="Times New Roman"/>
                <w:b/>
                <w:bCs/>
                <w:color w:val="auto"/>
                <w:kern w:val="0"/>
                <w:sz w:val="20"/>
                <w:szCs w:val="20"/>
                <w:highlight w:val="none"/>
                <w:lang w:val="en-US" w:eastAsia="zh-CN" w:bidi="ar"/>
              </w:rPr>
              <w:t>及其修改单</w:t>
            </w:r>
            <w:r>
              <w:rPr>
                <w:rFonts w:hint="default" w:ascii="Times New Roman" w:hAnsi="Times New Roman" w:eastAsia="宋体" w:cs="Times New Roman"/>
                <w:b/>
                <w:bCs/>
                <w:color w:val="auto"/>
                <w:kern w:val="0"/>
                <w:sz w:val="20"/>
                <w:szCs w:val="20"/>
                <w:highlight w:val="none"/>
                <w:lang w:val="en-US" w:eastAsia="zh-CN" w:bidi="ar"/>
              </w:rPr>
              <w:t>》（GB3095-2012）中的二级标准</w:t>
            </w:r>
          </w:p>
          <w:tbl>
            <w:tblPr>
              <w:tblStyle w:val="3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14"/>
              <w:gridCol w:w="4217"/>
            </w:tblGrid>
            <w:tr w14:paraId="093855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99" w:type="pct"/>
                  <w:tcBorders>
                    <w:tl2br w:val="nil"/>
                    <w:tr2bl w:val="nil"/>
                  </w:tcBorders>
                  <w:noWrap w:val="0"/>
                  <w:vAlign w:val="center"/>
                </w:tcPr>
                <w:p w14:paraId="5BD953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2500" w:type="pct"/>
                  <w:tcBorders>
                    <w:tl2br w:val="nil"/>
                    <w:tr2bl w:val="nil"/>
                  </w:tcBorders>
                  <w:noWrap w:val="0"/>
                  <w:vAlign w:val="center"/>
                </w:tcPr>
                <w:p w14:paraId="0157D7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标准值（</w:t>
                  </w:r>
                  <w:r>
                    <w:rPr>
                      <w:rFonts w:hint="default" w:ascii="Times New Roman" w:hAnsi="Times New Roman" w:cs="Times New Roman"/>
                      <w:b/>
                      <w:bCs/>
                      <w:color w:val="auto"/>
                      <w:sz w:val="21"/>
                      <w:szCs w:val="21"/>
                      <w:highlight w:val="none"/>
                      <w:lang w:val="en-US" w:eastAsia="zh-CN"/>
                    </w:rPr>
                    <w:t>m</w:t>
                  </w:r>
                  <w:r>
                    <w:rPr>
                      <w:rFonts w:hint="default" w:ascii="Times New Roman" w:hAnsi="Times New Roman" w:eastAsia="宋体" w:cs="Times New Roman"/>
                      <w:b/>
                      <w:bCs/>
                      <w:color w:val="auto"/>
                      <w:sz w:val="21"/>
                      <w:szCs w:val="21"/>
                      <w:highlight w:val="none"/>
                    </w:rPr>
                    <w:t>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r>
            <w:tr w14:paraId="57611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499" w:type="pct"/>
                  <w:tcBorders>
                    <w:tl2br w:val="nil"/>
                    <w:tr2bl w:val="nil"/>
                  </w:tcBorders>
                  <w:noWrap w:val="0"/>
                  <w:vAlign w:val="center"/>
                </w:tcPr>
                <w:p w14:paraId="0D8C1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c>
                <w:tcPr>
                  <w:tcW w:w="2500" w:type="pct"/>
                  <w:tcBorders>
                    <w:tl2br w:val="nil"/>
                    <w:tr2bl w:val="nil"/>
                  </w:tcBorders>
                  <w:noWrap w:val="0"/>
                  <w:vAlign w:val="center"/>
                </w:tcPr>
                <w:p w14:paraId="3BBFE2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0.3</w:t>
                  </w:r>
                </w:p>
              </w:tc>
            </w:tr>
          </w:tbl>
          <w:p w14:paraId="797A3129">
            <w:pPr>
              <w:spacing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1.2.2评价方法</w:t>
            </w:r>
          </w:p>
          <w:p w14:paraId="1BAC2521">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本次环境空气质量现状评价采用各取值时间最大占标率和超标率评价达标情况，最大占标率计算公式为：</w:t>
            </w:r>
          </w:p>
          <w:p w14:paraId="5A645F14">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计算公式为：</w:t>
            </w:r>
          </w:p>
          <w:p w14:paraId="0ECB4133">
            <w:pPr>
              <w:spacing w:line="360" w:lineRule="auto"/>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szCs w:val="24"/>
                <w:highlight w:val="none"/>
              </w:rPr>
              <w:object>
                <v:shape id="_x0000_i1026" o:spt="75" type="#_x0000_t75" style="height:33.35pt;width:89.05pt;" o:ole="t" filled="f" o:preferrelative="t" stroked="f" coordsize="21600,21600">
                  <v:path/>
                  <v:fill on="f" focussize="0,0"/>
                  <v:stroke on="f"/>
                  <v:imagedata r:id="rId13" o:title=""/>
                  <o:lock v:ext="edit" aspectratio="t"/>
                  <w10:wrap type="none"/>
                  <w10:anchorlock/>
                </v:shape>
                <o:OLEObject Type="Embed" ProgID="Equation.AxMath" ShapeID="_x0000_i1026" DrawAspect="Content" ObjectID="_1468075726" r:id="rId14">
                  <o:LockedField>false</o:LockedField>
                </o:OLEObject>
              </w:object>
            </w:r>
          </w:p>
          <w:p w14:paraId="7672AE12">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式中：P</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—污染物i的单项污染指数；</w:t>
            </w:r>
          </w:p>
          <w:p w14:paraId="127963F4">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—污染物i的实测浓度值（mg/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highlight w:val="none"/>
              </w:rPr>
              <w:t>）；</w:t>
            </w:r>
          </w:p>
          <w:p w14:paraId="0ED8FB2C">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w:t>
            </w:r>
            <w:r>
              <w:rPr>
                <w:rFonts w:hint="default" w:ascii="Times New Roman" w:hAnsi="Times New Roman" w:eastAsia="宋体" w:cs="Times New Roman"/>
                <w:color w:val="auto"/>
                <w:sz w:val="24"/>
                <w:highlight w:val="none"/>
                <w:vertAlign w:val="subscript"/>
              </w:rPr>
              <w:t>oi</w:t>
            </w:r>
            <w:r>
              <w:rPr>
                <w:rFonts w:hint="default" w:ascii="Times New Roman" w:hAnsi="Times New Roman" w:eastAsia="宋体" w:cs="Times New Roman"/>
                <w:color w:val="auto"/>
                <w:sz w:val="24"/>
                <w:highlight w:val="none"/>
              </w:rPr>
              <w:t>—污染物i的评价标准（mg/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highlight w:val="none"/>
              </w:rPr>
              <w:t>）。</w:t>
            </w:r>
          </w:p>
          <w:p w14:paraId="6302DAC0">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根据评价计算，可以得出浓度占标率（P</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），依照P</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值的大小，分别确定其污染程度。当P</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＜100%时，表示大气中该污染物浓度不超标；当P</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≥100%时，表示大气中该污染物浓度超过评价标准。</w:t>
            </w:r>
          </w:p>
          <w:p w14:paraId="254603B1">
            <w:pPr>
              <w:spacing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1.2.3监测结果及分析</w:t>
            </w:r>
          </w:p>
          <w:p w14:paraId="334405C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本次监测</w:t>
            </w:r>
            <w:r>
              <w:rPr>
                <w:rFonts w:hint="eastAsia" w:cs="Times New Roman"/>
                <w:color w:val="auto"/>
                <w:sz w:val="24"/>
                <w:highlight w:val="none"/>
                <w:lang w:val="en-US" w:eastAsia="zh-CN"/>
              </w:rPr>
              <w:t>总悬浮</w:t>
            </w:r>
            <w:r>
              <w:rPr>
                <w:rFonts w:hint="default" w:ascii="Times New Roman" w:hAnsi="Times New Roman" w:cs="Times New Roman"/>
                <w:color w:val="auto"/>
                <w:sz w:val="24"/>
                <w:highlight w:val="none"/>
                <w:lang w:val="en-US" w:eastAsia="zh-CN"/>
              </w:rPr>
              <w:t>颗粒物</w:t>
            </w:r>
            <w:r>
              <w:rPr>
                <w:rFonts w:hint="default" w:ascii="Times New Roman" w:hAnsi="Times New Roman" w:eastAsia="宋体" w:cs="Times New Roman"/>
                <w:color w:val="auto"/>
                <w:sz w:val="24"/>
                <w:highlight w:val="none"/>
              </w:rPr>
              <w:t>小时平均浓度统计结果见表</w:t>
            </w:r>
            <w:r>
              <w:rPr>
                <w:rFonts w:hint="default" w:ascii="Times New Roman" w:hAnsi="Times New Roman" w:eastAsia="宋体" w:cs="Times New Roman"/>
                <w:color w:val="auto"/>
                <w:sz w:val="24"/>
                <w:highlight w:val="none"/>
                <w:lang w:val="en-US" w:eastAsia="zh-CN"/>
              </w:rPr>
              <w:t>3-</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w:t>
            </w:r>
          </w:p>
          <w:p w14:paraId="0A85DBCE">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颗粒物</w:t>
            </w:r>
            <w:r>
              <w:rPr>
                <w:rFonts w:hint="default" w:ascii="Times New Roman" w:hAnsi="Times New Roman" w:eastAsia="宋体" w:cs="Times New Roman"/>
                <w:b/>
                <w:bCs/>
                <w:color w:val="auto"/>
                <w:sz w:val="21"/>
                <w:szCs w:val="21"/>
                <w:highlight w:val="none"/>
              </w:rPr>
              <w:t>环境空气质量现状监测结果单位：mg/</w:t>
            </w:r>
            <w:r>
              <w:rPr>
                <w:rFonts w:hint="default" w:ascii="Times New Roman" w:hAnsi="Times New Roman" w:eastAsia="宋体" w:cs="Times New Roman"/>
                <w:color w:val="auto"/>
                <w:sz w:val="22"/>
                <w:szCs w:val="22"/>
                <w:highlight w:val="none"/>
              </w:rPr>
              <w:t>m</w:t>
            </w:r>
            <w:r>
              <w:rPr>
                <w:rFonts w:hint="default" w:ascii="Times New Roman" w:hAnsi="Times New Roman" w:eastAsia="宋体" w:cs="Times New Roman"/>
                <w:color w:val="auto"/>
                <w:sz w:val="22"/>
                <w:szCs w:val="22"/>
                <w:highlight w:val="none"/>
                <w:vertAlign w:val="superscript"/>
              </w:rPr>
              <w:t>3</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4"/>
              <w:gridCol w:w="2049"/>
              <w:gridCol w:w="2324"/>
              <w:gridCol w:w="2103"/>
            </w:tblGrid>
            <w:tr w14:paraId="72681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59" w:type="pct"/>
                  <w:vMerge w:val="restart"/>
                  <w:noWrap w:val="0"/>
                  <w:vAlign w:val="center"/>
                </w:tcPr>
                <w:p w14:paraId="51DAC382">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监测点位名称</w:t>
                  </w:r>
                </w:p>
              </w:tc>
              <w:tc>
                <w:tcPr>
                  <w:tcW w:w="1215" w:type="pct"/>
                  <w:vMerge w:val="restart"/>
                  <w:noWrap w:val="0"/>
                  <w:vAlign w:val="center"/>
                </w:tcPr>
                <w:p w14:paraId="52973CF2">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监测时间</w:t>
                  </w:r>
                </w:p>
              </w:tc>
              <w:tc>
                <w:tcPr>
                  <w:tcW w:w="2625" w:type="pct"/>
                  <w:gridSpan w:val="2"/>
                  <w:noWrap w:val="0"/>
                  <w:vAlign w:val="center"/>
                </w:tcPr>
                <w:p w14:paraId="77FD5740">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监测项目结果</w:t>
                  </w:r>
                </w:p>
              </w:tc>
            </w:tr>
            <w:tr w14:paraId="38D5BC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59" w:type="pct"/>
                  <w:vMerge w:val="continue"/>
                  <w:tcBorders>
                    <w:bottom w:val="single" w:color="auto" w:sz="12" w:space="0"/>
                  </w:tcBorders>
                  <w:noWrap w:val="0"/>
                  <w:vAlign w:val="center"/>
                </w:tcPr>
                <w:p w14:paraId="29B445B7">
                  <w:pPr>
                    <w:spacing w:line="240" w:lineRule="atLeast"/>
                    <w:jc w:val="center"/>
                    <w:rPr>
                      <w:rFonts w:hint="default" w:ascii="Times New Roman" w:hAnsi="Times New Roman" w:eastAsia="宋体" w:cs="Times New Roman"/>
                      <w:b/>
                      <w:color w:val="auto"/>
                      <w:highlight w:val="none"/>
                    </w:rPr>
                  </w:pPr>
                </w:p>
              </w:tc>
              <w:tc>
                <w:tcPr>
                  <w:tcW w:w="1215" w:type="pct"/>
                  <w:vMerge w:val="continue"/>
                  <w:tcBorders>
                    <w:bottom w:val="single" w:color="auto" w:sz="12" w:space="0"/>
                  </w:tcBorders>
                  <w:noWrap w:val="0"/>
                  <w:vAlign w:val="center"/>
                </w:tcPr>
                <w:p w14:paraId="0BEAF67B">
                  <w:pPr>
                    <w:spacing w:line="240" w:lineRule="atLeast"/>
                    <w:jc w:val="center"/>
                    <w:rPr>
                      <w:rFonts w:hint="default" w:ascii="Times New Roman" w:hAnsi="Times New Roman" w:eastAsia="宋体" w:cs="Times New Roman"/>
                      <w:b/>
                      <w:color w:val="auto"/>
                      <w:highlight w:val="none"/>
                    </w:rPr>
                  </w:pPr>
                </w:p>
              </w:tc>
              <w:tc>
                <w:tcPr>
                  <w:tcW w:w="1378" w:type="pct"/>
                  <w:tcBorders>
                    <w:bottom w:val="single" w:color="auto" w:sz="12" w:space="0"/>
                  </w:tcBorders>
                  <w:noWrap w:val="0"/>
                  <w:vAlign w:val="center"/>
                </w:tcPr>
                <w:p w14:paraId="004C4FD0">
                  <w:pPr>
                    <w:spacing w:line="240" w:lineRule="atLeast"/>
                    <w:jc w:val="center"/>
                    <w:rPr>
                      <w:rFonts w:hint="default" w:ascii="Times New Roman" w:hAnsi="Times New Roman" w:eastAsia="宋体" w:cs="Times New Roman"/>
                      <w:b/>
                      <w:color w:val="auto"/>
                      <w:highlight w:val="none"/>
                      <w:lang w:eastAsia="zh-CN"/>
                    </w:rPr>
                  </w:pPr>
                  <w:r>
                    <w:rPr>
                      <w:rFonts w:hint="default" w:ascii="Times New Roman" w:hAnsi="Times New Roman" w:cs="Times New Roman"/>
                      <w:b/>
                      <w:color w:val="auto"/>
                      <w:highlight w:val="none"/>
                      <w:lang w:val="en-US" w:eastAsia="zh-CN"/>
                    </w:rPr>
                    <w:t>颗粒物</w:t>
                  </w:r>
                </w:p>
              </w:tc>
              <w:tc>
                <w:tcPr>
                  <w:tcW w:w="1247" w:type="pct"/>
                  <w:tcBorders>
                    <w:bottom w:val="single" w:color="auto" w:sz="12" w:space="0"/>
                  </w:tcBorders>
                  <w:noWrap w:val="0"/>
                  <w:vAlign w:val="center"/>
                </w:tcPr>
                <w:p w14:paraId="3559332E">
                  <w:pPr>
                    <w:spacing w:line="240" w:lineRule="atLeas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P</w:t>
                  </w:r>
                  <w:r>
                    <w:rPr>
                      <w:rFonts w:hint="default" w:ascii="Times New Roman" w:hAnsi="Times New Roman" w:eastAsia="宋体" w:cs="Times New Roman"/>
                      <w:b/>
                      <w:color w:val="auto"/>
                      <w:highlight w:val="none"/>
                      <w:vertAlign w:val="subscript"/>
                    </w:rPr>
                    <w:t>i</w:t>
                  </w:r>
                </w:p>
              </w:tc>
            </w:tr>
            <w:tr w14:paraId="6AAA3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59" w:type="pct"/>
                  <w:vMerge w:val="restart"/>
                  <w:tcBorders>
                    <w:top w:val="single" w:color="auto" w:sz="12" w:space="0"/>
                  </w:tcBorders>
                  <w:noWrap w:val="0"/>
                  <w:vAlign w:val="center"/>
                </w:tcPr>
                <w:p w14:paraId="7633C985">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1#项目区上风向</w:t>
                  </w:r>
                </w:p>
              </w:tc>
              <w:tc>
                <w:tcPr>
                  <w:tcW w:w="1215" w:type="pct"/>
                  <w:tcBorders>
                    <w:top w:val="single" w:color="auto" w:sz="12" w:space="0"/>
                  </w:tcBorders>
                  <w:noWrap w:val="0"/>
                  <w:vAlign w:val="center"/>
                </w:tcPr>
                <w:p w14:paraId="595E5CAB">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202</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29</w:t>
                  </w:r>
                </w:p>
              </w:tc>
              <w:tc>
                <w:tcPr>
                  <w:tcW w:w="1378" w:type="pct"/>
                  <w:tcBorders>
                    <w:top w:val="single" w:color="auto" w:sz="12" w:space="0"/>
                  </w:tcBorders>
                  <w:noWrap w:val="0"/>
                  <w:vAlign w:val="center"/>
                </w:tcPr>
                <w:p w14:paraId="0092C8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113</w:t>
                  </w:r>
                </w:p>
              </w:tc>
              <w:tc>
                <w:tcPr>
                  <w:tcW w:w="1247" w:type="pct"/>
                  <w:tcBorders>
                    <w:top w:val="single" w:color="auto" w:sz="12" w:space="0"/>
                  </w:tcBorders>
                  <w:noWrap w:val="0"/>
                  <w:vAlign w:val="center"/>
                </w:tcPr>
                <w:p w14:paraId="11D036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37.7</w:t>
                  </w:r>
                </w:p>
              </w:tc>
            </w:tr>
            <w:tr w14:paraId="67388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59" w:type="pct"/>
                  <w:vMerge w:val="continue"/>
                  <w:noWrap w:val="0"/>
                  <w:vAlign w:val="center"/>
                </w:tcPr>
                <w:p w14:paraId="051E3E4C">
                  <w:pPr>
                    <w:spacing w:line="240" w:lineRule="atLeast"/>
                    <w:jc w:val="center"/>
                    <w:rPr>
                      <w:rFonts w:hint="default" w:ascii="Times New Roman" w:hAnsi="Times New Roman" w:eastAsia="宋体" w:cs="Times New Roman"/>
                      <w:color w:val="auto"/>
                      <w:highlight w:val="none"/>
                    </w:rPr>
                  </w:pPr>
                </w:p>
              </w:tc>
              <w:tc>
                <w:tcPr>
                  <w:tcW w:w="1215" w:type="pct"/>
                  <w:noWrap w:val="0"/>
                  <w:vAlign w:val="center"/>
                </w:tcPr>
                <w:p w14:paraId="7BE66792">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202</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30</w:t>
                  </w:r>
                </w:p>
              </w:tc>
              <w:tc>
                <w:tcPr>
                  <w:tcW w:w="1378" w:type="pct"/>
                  <w:noWrap w:val="0"/>
                  <w:vAlign w:val="center"/>
                </w:tcPr>
                <w:p w14:paraId="3773B2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110</w:t>
                  </w:r>
                </w:p>
              </w:tc>
              <w:tc>
                <w:tcPr>
                  <w:tcW w:w="1247" w:type="pct"/>
                  <w:noWrap w:val="0"/>
                  <w:vAlign w:val="center"/>
                </w:tcPr>
                <w:p w14:paraId="461D25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rPr>
                  </w:pPr>
                  <w:r>
                    <w:rPr>
                      <w:rFonts w:hint="eastAsia" w:cs="Times New Roman"/>
                      <w:i w:val="0"/>
                      <w:iCs w:val="0"/>
                      <w:color w:val="auto"/>
                      <w:kern w:val="0"/>
                      <w:sz w:val="21"/>
                      <w:szCs w:val="21"/>
                      <w:highlight w:val="none"/>
                      <w:u w:val="none"/>
                      <w:lang w:val="en-US" w:eastAsia="zh-CN" w:bidi="ar"/>
                    </w:rPr>
                    <w:t>36.7</w:t>
                  </w:r>
                </w:p>
              </w:tc>
            </w:tr>
            <w:tr w14:paraId="390A8D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59" w:type="pct"/>
                  <w:vMerge w:val="continue"/>
                  <w:noWrap w:val="0"/>
                  <w:vAlign w:val="center"/>
                </w:tcPr>
                <w:p w14:paraId="16B5F418">
                  <w:pPr>
                    <w:spacing w:line="240" w:lineRule="atLeast"/>
                    <w:jc w:val="center"/>
                    <w:rPr>
                      <w:rFonts w:hint="default" w:ascii="Times New Roman" w:hAnsi="Times New Roman" w:eastAsia="宋体" w:cs="Times New Roman"/>
                      <w:color w:val="auto"/>
                      <w:highlight w:val="none"/>
                    </w:rPr>
                  </w:pPr>
                </w:p>
              </w:tc>
              <w:tc>
                <w:tcPr>
                  <w:tcW w:w="1215" w:type="pct"/>
                  <w:noWrap w:val="0"/>
                  <w:vAlign w:val="center"/>
                </w:tcPr>
                <w:p w14:paraId="1757347B">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202</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31</w:t>
                  </w:r>
                </w:p>
              </w:tc>
              <w:tc>
                <w:tcPr>
                  <w:tcW w:w="1378" w:type="pct"/>
                  <w:noWrap w:val="0"/>
                  <w:vAlign w:val="center"/>
                </w:tcPr>
                <w:p w14:paraId="4A0757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eastAsia" w:cs="Times New Roman"/>
                      <w:i w:val="0"/>
                      <w:iCs w:val="0"/>
                      <w:color w:val="auto"/>
                      <w:kern w:val="0"/>
                      <w:sz w:val="21"/>
                      <w:szCs w:val="21"/>
                      <w:highlight w:val="none"/>
                      <w:u w:val="none"/>
                      <w:lang w:val="en-US" w:eastAsia="zh-CN" w:bidi="ar"/>
                    </w:rPr>
                    <w:t>117</w:t>
                  </w:r>
                </w:p>
              </w:tc>
              <w:tc>
                <w:tcPr>
                  <w:tcW w:w="1247" w:type="pct"/>
                  <w:noWrap w:val="0"/>
                  <w:vAlign w:val="center"/>
                </w:tcPr>
                <w:p w14:paraId="13CE37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olor w:val="auto"/>
                      <w:highlight w:val="none"/>
                      <w:lang w:val="en-US"/>
                    </w:rPr>
                  </w:pPr>
                  <w:r>
                    <w:rPr>
                      <w:rFonts w:hint="eastAsia" w:cs="Times New Roman"/>
                      <w:i w:val="0"/>
                      <w:iCs w:val="0"/>
                      <w:color w:val="auto"/>
                      <w:kern w:val="0"/>
                      <w:sz w:val="21"/>
                      <w:szCs w:val="21"/>
                      <w:highlight w:val="none"/>
                      <w:u w:val="none"/>
                      <w:lang w:val="en-US" w:eastAsia="zh-CN" w:bidi="ar"/>
                    </w:rPr>
                    <w:t>39.0</w:t>
                  </w:r>
                </w:p>
              </w:tc>
            </w:tr>
            <w:tr w14:paraId="0017A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74" w:type="pct"/>
                  <w:gridSpan w:val="2"/>
                  <w:noWrap w:val="0"/>
                  <w:vAlign w:val="center"/>
                </w:tcPr>
                <w:p w14:paraId="101D4B32">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标准值</w:t>
                  </w:r>
                </w:p>
              </w:tc>
              <w:tc>
                <w:tcPr>
                  <w:tcW w:w="2625" w:type="pct"/>
                  <w:gridSpan w:val="2"/>
                  <w:noWrap w:val="0"/>
                  <w:vAlign w:val="center"/>
                </w:tcPr>
                <w:p w14:paraId="0B1E27C5">
                  <w:pPr>
                    <w:spacing w:line="240" w:lineRule="atLeast"/>
                    <w:jc w:val="center"/>
                    <w:rPr>
                      <w:rFonts w:hint="default" w:ascii="Times New Roman" w:hAnsi="Times New Roman" w:eastAsia="宋体" w:cs="Times New Roman"/>
                      <w:color w:val="auto"/>
                      <w:highlight w:val="none"/>
                      <w:lang w:val="en-US"/>
                    </w:rPr>
                  </w:pPr>
                  <w:r>
                    <w:rPr>
                      <w:rFonts w:hint="default" w:ascii="Times New Roman" w:hAnsi="Times New Roman" w:cs="Times New Roman"/>
                      <w:color w:val="auto"/>
                      <w:highlight w:val="none"/>
                      <w:lang w:val="en-US" w:eastAsia="zh-CN"/>
                    </w:rPr>
                    <w:t>0.3</w:t>
                  </w:r>
                </w:p>
              </w:tc>
            </w:tr>
            <w:tr w14:paraId="4FCFD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74" w:type="pct"/>
                  <w:gridSpan w:val="2"/>
                  <w:noWrap w:val="0"/>
                  <w:vAlign w:val="center"/>
                </w:tcPr>
                <w:p w14:paraId="5F4633C3">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日均值超标率（%）</w:t>
                  </w:r>
                </w:p>
              </w:tc>
              <w:tc>
                <w:tcPr>
                  <w:tcW w:w="2625" w:type="pct"/>
                  <w:gridSpan w:val="2"/>
                  <w:noWrap w:val="0"/>
                  <w:vAlign w:val="center"/>
                </w:tcPr>
                <w:p w14:paraId="6D0D06CB">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w:t>
                  </w:r>
                </w:p>
              </w:tc>
            </w:tr>
            <w:tr w14:paraId="39378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74" w:type="pct"/>
                  <w:gridSpan w:val="2"/>
                  <w:noWrap w:val="0"/>
                  <w:vAlign w:val="center"/>
                </w:tcPr>
                <w:p w14:paraId="1C44C27A">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最大浓度值占标率（%）</w:t>
                  </w:r>
                </w:p>
              </w:tc>
              <w:tc>
                <w:tcPr>
                  <w:tcW w:w="2625" w:type="pct"/>
                  <w:gridSpan w:val="2"/>
                  <w:noWrap w:val="0"/>
                  <w:vAlign w:val="center"/>
                </w:tcPr>
                <w:p w14:paraId="3E5446EC">
                  <w:pPr>
                    <w:spacing w:line="240" w:lineRule="atLeast"/>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53.3</w:t>
                  </w:r>
                </w:p>
              </w:tc>
            </w:tr>
          </w:tbl>
          <w:p w14:paraId="5E79EBBF">
            <w:pPr>
              <w:spacing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1.2.4现状监测结果分析</w:t>
            </w:r>
          </w:p>
          <w:p w14:paraId="25DF408B">
            <w:pPr>
              <w:adjustRightInd w:val="0"/>
              <w:snapToGrid w:val="0"/>
              <w:spacing w:line="360" w:lineRule="auto"/>
              <w:ind w:firstLine="480" w:firstLineChars="200"/>
              <w:jc w:val="left"/>
              <w:rPr>
                <w:b/>
                <w:color w:val="auto"/>
                <w:sz w:val="24"/>
                <w:highlight w:val="none"/>
              </w:rPr>
            </w:pPr>
            <w:r>
              <w:rPr>
                <w:rFonts w:hint="default" w:ascii="Times New Roman" w:hAnsi="Times New Roman" w:eastAsia="宋体" w:cs="Times New Roman"/>
                <w:color w:val="auto"/>
                <w:sz w:val="24"/>
                <w:highlight w:val="none"/>
              </w:rPr>
              <w:t>对照表</w:t>
            </w:r>
            <w:r>
              <w:rPr>
                <w:rFonts w:hint="default" w:ascii="Times New Roman" w:hAnsi="Times New Roman" w:eastAsia="宋体" w:cs="Times New Roman"/>
                <w:color w:val="auto"/>
                <w:sz w:val="24"/>
                <w:highlight w:val="none"/>
                <w:lang w:val="en-US" w:eastAsia="zh-CN"/>
              </w:rPr>
              <w:t>3-5</w:t>
            </w:r>
            <w:r>
              <w:rPr>
                <w:rFonts w:hint="default" w:ascii="Times New Roman" w:hAnsi="Times New Roman" w:eastAsia="宋体" w:cs="Times New Roman"/>
                <w:color w:val="auto"/>
                <w:sz w:val="24"/>
                <w:highlight w:val="none"/>
              </w:rPr>
              <w:t>环境空气质量标准，由表</w:t>
            </w:r>
            <w:r>
              <w:rPr>
                <w:rFonts w:hint="default" w:ascii="Times New Roman" w:hAnsi="Times New Roman" w:eastAsia="宋体" w:cs="Times New Roman"/>
                <w:color w:val="auto"/>
                <w:sz w:val="24"/>
                <w:highlight w:val="none"/>
                <w:lang w:val="en-US" w:eastAsia="zh-CN"/>
              </w:rPr>
              <w:t>3-5</w:t>
            </w:r>
            <w:r>
              <w:rPr>
                <w:rFonts w:hint="default" w:ascii="Times New Roman" w:hAnsi="Times New Roman" w:eastAsia="宋体" w:cs="Times New Roman"/>
                <w:color w:val="auto"/>
                <w:sz w:val="24"/>
                <w:highlight w:val="none"/>
              </w:rPr>
              <w:t>看出：评价区域内大气环境监测结果表明，</w:t>
            </w:r>
            <w:r>
              <w:rPr>
                <w:rFonts w:hint="eastAsia" w:cs="Times New Roman"/>
                <w:color w:val="auto"/>
                <w:sz w:val="24"/>
                <w:highlight w:val="none"/>
                <w:lang w:val="en-US" w:eastAsia="zh-CN"/>
              </w:rPr>
              <w:t>总悬浮</w:t>
            </w:r>
            <w:r>
              <w:rPr>
                <w:rFonts w:hint="default" w:ascii="Times New Roman" w:hAnsi="Times New Roman" w:eastAsia="宋体" w:cs="Times New Roman"/>
                <w:color w:val="auto"/>
                <w:sz w:val="24"/>
                <w:highlight w:val="none"/>
                <w:lang w:val="en-US" w:eastAsia="zh-CN"/>
              </w:rPr>
              <w:t>颗粒物符合</w:t>
            </w:r>
            <w:r>
              <w:rPr>
                <w:rFonts w:hint="eastAsia"/>
                <w:color w:val="auto"/>
                <w:sz w:val="24"/>
                <w:highlight w:val="none"/>
                <w:lang w:val="en-US" w:eastAsia="zh-CN"/>
              </w:rPr>
              <w:t>《环境空气质量标准及其修改单》（GB3095-2012）二级标准</w:t>
            </w:r>
            <w:r>
              <w:rPr>
                <w:rFonts w:hint="default" w:ascii="Times New Roman" w:hAnsi="Times New Roman" w:eastAsia="宋体" w:cs="Times New Roman"/>
                <w:color w:val="auto"/>
                <w:sz w:val="24"/>
                <w:highlight w:val="none"/>
              </w:rPr>
              <w:t>质量标准日均值</w:t>
            </w:r>
            <w:r>
              <w:rPr>
                <w:rFonts w:hint="default" w:ascii="Times New Roman" w:hAnsi="Times New Roman" w:cs="Times New Roman"/>
                <w:color w:val="auto"/>
                <w:sz w:val="24"/>
                <w:highlight w:val="none"/>
                <w:lang w:val="en-US" w:eastAsia="zh-CN"/>
              </w:rPr>
              <w:t>0.3</w:t>
            </w:r>
            <w:r>
              <w:rPr>
                <w:rFonts w:hint="default" w:ascii="Times New Roman" w:hAnsi="Times New Roman" w:eastAsia="宋体" w:cs="Times New Roman"/>
                <w:color w:val="auto"/>
                <w:sz w:val="24"/>
                <w:highlight w:val="none"/>
              </w:rPr>
              <w:t>mg/</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highlight w:val="none"/>
              </w:rPr>
              <w:t>。其污染物有一定环境容量，本项目实施后在落实各项环保措施情况下，</w:t>
            </w:r>
            <w:r>
              <w:rPr>
                <w:rFonts w:hint="eastAsia" w:cs="Times New Roman"/>
                <w:color w:val="auto"/>
                <w:sz w:val="24"/>
                <w:highlight w:val="none"/>
                <w:lang w:val="en-US" w:eastAsia="zh-CN"/>
              </w:rPr>
              <w:t>项目区环境空气质量良好。</w:t>
            </w:r>
          </w:p>
          <w:p w14:paraId="405C174A">
            <w:pPr>
              <w:adjustRightInd w:val="0"/>
              <w:snapToGrid w:val="0"/>
              <w:spacing w:line="520" w:lineRule="exact"/>
              <w:jc w:val="left"/>
              <w:rPr>
                <w:b/>
                <w:color w:val="auto"/>
                <w:sz w:val="24"/>
                <w:highlight w:val="none"/>
              </w:rPr>
            </w:pPr>
            <w:r>
              <w:rPr>
                <w:rFonts w:hint="eastAsia"/>
                <w:b/>
                <w:color w:val="auto"/>
                <w:sz w:val="24"/>
                <w:highlight w:val="none"/>
              </w:rPr>
              <w:t>2地表</w:t>
            </w:r>
            <w:r>
              <w:rPr>
                <w:b/>
                <w:color w:val="auto"/>
                <w:sz w:val="24"/>
                <w:highlight w:val="none"/>
              </w:rPr>
              <w:t>水环境</w:t>
            </w:r>
          </w:p>
          <w:p w14:paraId="30943F4C">
            <w:pPr>
              <w:spacing w:line="520" w:lineRule="exact"/>
              <w:ind w:firstLine="482"/>
              <w:rPr>
                <w:rFonts w:hint="eastAsia"/>
                <w:color w:val="auto"/>
                <w:sz w:val="24"/>
                <w:highlight w:val="none"/>
                <w:lang w:val="en-US" w:eastAsia="zh-CN"/>
              </w:rPr>
            </w:pPr>
            <w:r>
              <w:rPr>
                <w:rFonts w:hint="eastAsia"/>
                <w:bCs/>
                <w:color w:val="auto"/>
                <w:sz w:val="24"/>
                <w:highlight w:val="none"/>
              </w:rPr>
              <w:t>根据《关于印发&lt;建设项目环境影响报告表&gt;内容、格式及编制技术指南的通知》（环办环评〔2020〕33号），</w:t>
            </w:r>
            <w:r>
              <w:rPr>
                <w:rFonts w:hint="eastAsia"/>
                <w:color w:val="auto"/>
                <w:sz w:val="24"/>
                <w:highlight w:val="none"/>
              </w:rPr>
              <w:t>本项目</w:t>
            </w:r>
            <w:r>
              <w:rPr>
                <w:rFonts w:hint="eastAsia"/>
                <w:color w:val="auto"/>
                <w:sz w:val="24"/>
                <w:highlight w:val="none"/>
                <w:lang w:val="en-US" w:eastAsia="zh-CN"/>
              </w:rPr>
              <w:t>根据新疆维吾尔自治区昌吉生态环境监测站环境质量监测专报2023年第1期地表水基本情况，2023年1-7月，昌吉州7个县市共监测地表水9条河流17个断面，其中国控断面6个，区控断面11个，自西向东依次为玛纳斯河、塔西河、呼图壁河、三屯河、头屯河、三工河、开垦河、二宫河和木垒河，监测项目为水温、pH值等32项。</w:t>
            </w:r>
          </w:p>
          <w:p w14:paraId="6F06AA3B">
            <w:pPr>
              <w:spacing w:line="520" w:lineRule="exact"/>
              <w:ind w:firstLine="482"/>
              <w:rPr>
                <w:rFonts w:hint="eastAsia"/>
                <w:color w:val="auto"/>
                <w:sz w:val="24"/>
                <w:highlight w:val="none"/>
                <w:lang w:val="en-US" w:eastAsia="zh-CN"/>
              </w:rPr>
            </w:pPr>
            <w:r>
              <w:rPr>
                <w:rFonts w:hint="eastAsia"/>
                <w:color w:val="auto"/>
                <w:sz w:val="24"/>
                <w:highlight w:val="none"/>
                <w:lang w:val="en-US" w:eastAsia="zh-CN"/>
              </w:rPr>
              <w:t>按照《地表水环境质量标准》（GB3838-2002）评价，2022年1-7月，八钢、老奇台、石门子、马家庄和棉纺厂断面水质达到Ⅰ类，2023年与2022年同期相比水质有所好转（上升），其余断面水质均达到或优于Ⅱ类标准，与去年同期相比无明显变化。全州河流水质状况优，水质类别均符合国家环境质量标准。</w:t>
            </w:r>
          </w:p>
          <w:p w14:paraId="5B19EEFC">
            <w:pPr>
              <w:pStyle w:val="2"/>
              <w:ind w:firstLine="480" w:firstLineChars="200"/>
              <w:jc w:val="left"/>
              <w:rPr>
                <w:rFonts w:hint="default"/>
                <w:color w:val="auto"/>
                <w:lang w:val="en-US"/>
              </w:rPr>
            </w:pPr>
            <w:r>
              <w:rPr>
                <w:rFonts w:hint="eastAsia"/>
                <w:color w:val="auto"/>
                <w:sz w:val="24"/>
                <w:highlight w:val="none"/>
                <w:lang w:val="en-US" w:eastAsia="zh-CN"/>
              </w:rPr>
              <w:t>距本项目最近的木垒河地表水环境良好。</w:t>
            </w:r>
          </w:p>
          <w:p w14:paraId="36AAC6FB">
            <w:pPr>
              <w:adjustRightInd w:val="0"/>
              <w:snapToGrid w:val="0"/>
              <w:spacing w:line="520" w:lineRule="exact"/>
              <w:jc w:val="left"/>
              <w:rPr>
                <w:b/>
                <w:color w:val="auto"/>
                <w:sz w:val="24"/>
                <w:highlight w:val="none"/>
              </w:rPr>
            </w:pPr>
            <w:r>
              <w:rPr>
                <w:rFonts w:hint="eastAsia"/>
                <w:b/>
                <w:color w:val="auto"/>
                <w:sz w:val="24"/>
                <w:highlight w:val="none"/>
              </w:rPr>
              <w:t>3</w:t>
            </w:r>
            <w:r>
              <w:rPr>
                <w:b/>
                <w:color w:val="auto"/>
                <w:sz w:val="24"/>
                <w:highlight w:val="none"/>
              </w:rPr>
              <w:t>声环境</w:t>
            </w:r>
          </w:p>
          <w:p w14:paraId="7813D469">
            <w:pPr>
              <w:adjustRightInd w:val="0"/>
              <w:snapToGrid w:val="0"/>
              <w:spacing w:line="520" w:lineRule="exact"/>
              <w:ind w:firstLine="480" w:firstLineChars="200"/>
              <w:rPr>
                <w:bCs/>
                <w:color w:val="auto"/>
                <w:sz w:val="24"/>
                <w:highlight w:val="none"/>
              </w:rPr>
            </w:pPr>
            <w:r>
              <w:rPr>
                <w:rFonts w:hint="eastAsia"/>
                <w:bCs/>
                <w:color w:val="auto"/>
                <w:sz w:val="24"/>
                <w:highlight w:val="none"/>
              </w:rPr>
              <w:t>根据《关于印发&lt;建设项目环境影响报告表&gt;内容、格式及编制技术指南的通知》（环办环评〔2020〕33号），本项目厂界50米范围内无声环境保护目标，故无需对环境敏感点进行声环境质量现状监测。</w:t>
            </w:r>
          </w:p>
          <w:p w14:paraId="524AEDDE">
            <w:pPr>
              <w:adjustRightInd w:val="0"/>
              <w:snapToGrid w:val="0"/>
              <w:spacing w:line="520" w:lineRule="exact"/>
              <w:jc w:val="left"/>
              <w:rPr>
                <w:b/>
                <w:color w:val="auto"/>
                <w:sz w:val="24"/>
                <w:highlight w:val="none"/>
              </w:rPr>
            </w:pPr>
            <w:r>
              <w:rPr>
                <w:rFonts w:hint="eastAsia"/>
                <w:b/>
                <w:color w:val="auto"/>
                <w:sz w:val="24"/>
                <w:highlight w:val="none"/>
              </w:rPr>
              <w:t>4</w:t>
            </w:r>
            <w:r>
              <w:rPr>
                <w:b/>
                <w:color w:val="auto"/>
                <w:sz w:val="24"/>
                <w:highlight w:val="none"/>
              </w:rPr>
              <w:t>生态环境</w:t>
            </w:r>
          </w:p>
          <w:p w14:paraId="71556FFB">
            <w:pPr>
              <w:adjustRightInd w:val="0"/>
              <w:snapToGrid w:val="0"/>
              <w:spacing w:line="520" w:lineRule="exact"/>
              <w:ind w:firstLine="480" w:firstLineChars="200"/>
              <w:jc w:val="left"/>
              <w:rPr>
                <w:bCs/>
                <w:color w:val="auto"/>
                <w:sz w:val="24"/>
                <w:highlight w:val="none"/>
              </w:rPr>
            </w:pPr>
            <w:r>
              <w:rPr>
                <w:bCs/>
                <w:color w:val="auto"/>
                <w:sz w:val="24"/>
                <w:highlight w:val="none"/>
              </w:rPr>
              <w:t>根据《建设项目环境影响报告表编制技术指南（污染影响类）</w:t>
            </w:r>
            <w:r>
              <w:rPr>
                <w:rFonts w:hint="eastAsia"/>
                <w:bCs/>
                <w:color w:val="auto"/>
                <w:sz w:val="24"/>
                <w:highlight w:val="none"/>
                <w:lang w:eastAsia="zh-CN"/>
              </w:rPr>
              <w:t>（试行）》</w:t>
            </w:r>
            <w:r>
              <w:rPr>
                <w:bCs/>
                <w:color w:val="auto"/>
                <w:sz w:val="24"/>
                <w:highlight w:val="none"/>
              </w:rPr>
              <w:t>中规定，产业园区外建设项目新增用地且用地范围内含有生态环境保护目标是，应进行生态现状调查。本项目位于</w:t>
            </w:r>
            <w:r>
              <w:rPr>
                <w:rFonts w:hint="eastAsia"/>
                <w:bCs/>
                <w:color w:val="auto"/>
                <w:sz w:val="24"/>
                <w:highlight w:val="none"/>
                <w:lang w:eastAsia="zh-CN"/>
              </w:rPr>
              <w:t>新疆昌吉</w:t>
            </w:r>
            <w:r>
              <w:rPr>
                <w:rFonts w:hint="eastAsia"/>
                <w:bCs/>
                <w:color w:val="auto"/>
                <w:sz w:val="24"/>
                <w:highlight w:val="none"/>
                <w:lang w:val="en-US" w:eastAsia="zh-CN"/>
              </w:rPr>
              <w:t>州木垒县民生工业园区</w:t>
            </w:r>
            <w:r>
              <w:rPr>
                <w:bCs/>
                <w:color w:val="auto"/>
                <w:sz w:val="24"/>
                <w:highlight w:val="none"/>
              </w:rPr>
              <w:t>，占地类型为</w:t>
            </w:r>
            <w:r>
              <w:rPr>
                <w:rFonts w:hint="eastAsia"/>
                <w:bCs/>
                <w:color w:val="auto"/>
                <w:sz w:val="24"/>
                <w:highlight w:val="none"/>
              </w:rPr>
              <w:t>工业</w:t>
            </w:r>
            <w:r>
              <w:rPr>
                <w:bCs/>
                <w:color w:val="auto"/>
                <w:sz w:val="24"/>
                <w:highlight w:val="none"/>
              </w:rPr>
              <w:t>用地，项目区内不存在生态环境保护目标，故本项目可不开展生态环境现状调查。</w:t>
            </w:r>
          </w:p>
          <w:p w14:paraId="2E4B56C1">
            <w:pPr>
              <w:adjustRightInd w:val="0"/>
              <w:snapToGrid w:val="0"/>
              <w:spacing w:line="520" w:lineRule="exact"/>
              <w:jc w:val="left"/>
              <w:rPr>
                <w:b/>
                <w:color w:val="auto"/>
                <w:sz w:val="24"/>
                <w:highlight w:val="none"/>
              </w:rPr>
            </w:pPr>
            <w:r>
              <w:rPr>
                <w:rFonts w:hint="eastAsia"/>
                <w:b/>
                <w:color w:val="auto"/>
                <w:sz w:val="24"/>
                <w:highlight w:val="none"/>
              </w:rPr>
              <w:t>5</w:t>
            </w:r>
            <w:r>
              <w:rPr>
                <w:rFonts w:hint="eastAsia"/>
                <w:b/>
                <w:bCs/>
                <w:color w:val="auto"/>
                <w:kern w:val="0"/>
                <w:sz w:val="24"/>
                <w:highlight w:val="none"/>
              </w:rPr>
              <w:t>地下水、土壤环境</w:t>
            </w:r>
          </w:p>
          <w:p w14:paraId="136C35E2">
            <w:pPr>
              <w:spacing w:line="520" w:lineRule="exact"/>
              <w:ind w:firstLine="480"/>
              <w:rPr>
                <w:color w:val="auto"/>
                <w:sz w:val="24"/>
                <w:highlight w:val="none"/>
              </w:rPr>
            </w:pPr>
            <w:r>
              <w:rPr>
                <w:rFonts w:hint="eastAsia"/>
                <w:color w:val="auto"/>
                <w:sz w:val="24"/>
                <w:highlight w:val="none"/>
              </w:rPr>
              <w:t>根据《建设项目环境影响报告表编制技术指南（污染影响类）</w:t>
            </w:r>
            <w:r>
              <w:rPr>
                <w:rFonts w:hint="eastAsia"/>
                <w:color w:val="auto"/>
                <w:sz w:val="24"/>
                <w:highlight w:val="none"/>
                <w:lang w:eastAsia="zh-CN"/>
              </w:rPr>
              <w:t>（试行）》</w:t>
            </w:r>
            <w:r>
              <w:rPr>
                <w:rFonts w:hint="eastAsia"/>
                <w:color w:val="auto"/>
                <w:sz w:val="24"/>
                <w:highlight w:val="none"/>
              </w:rPr>
              <w:t>，报告表原则上不开展地下水环境和土壤环境质量现状评价。本项目厂界外500m范围内不涉及地下水集中式饮用水水源和热水、矿泉水、温泉等特殊地下水资源等地下水环境敏感目标。本项目可能对地下水和土壤产生影响的区域为生产车间</w:t>
            </w:r>
            <w:r>
              <w:rPr>
                <w:rFonts w:hint="eastAsia"/>
                <w:color w:val="auto"/>
                <w:sz w:val="24"/>
                <w:highlight w:val="none"/>
                <w:lang w:val="en-US" w:eastAsia="zh-CN"/>
              </w:rPr>
              <w:t>和危废暂存间</w:t>
            </w:r>
            <w:r>
              <w:rPr>
                <w:rFonts w:hint="eastAsia"/>
                <w:color w:val="auto"/>
                <w:sz w:val="24"/>
                <w:highlight w:val="none"/>
              </w:rPr>
              <w:t>，项目各区域均采取防渗</w:t>
            </w:r>
            <w:r>
              <w:rPr>
                <w:rFonts w:hint="eastAsia"/>
                <w:color w:val="auto"/>
                <w:sz w:val="24"/>
                <w:highlight w:val="none"/>
                <w:lang w:val="en-US" w:eastAsia="zh-CN"/>
              </w:rPr>
              <w:t>等措施</w:t>
            </w:r>
            <w:r>
              <w:rPr>
                <w:rFonts w:hint="eastAsia"/>
                <w:color w:val="auto"/>
                <w:sz w:val="24"/>
                <w:highlight w:val="none"/>
              </w:rPr>
              <w:t>，项目日常运行不存在对土壤、地下水的影响途径，故本报告不开展进行地下水和土壤现状环境质量评价。</w:t>
            </w:r>
          </w:p>
        </w:tc>
      </w:tr>
      <w:tr w14:paraId="14C41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800" w:type="dxa"/>
            <w:vAlign w:val="center"/>
          </w:tcPr>
          <w:p w14:paraId="30C6F49A">
            <w:pPr>
              <w:adjustRightInd w:val="0"/>
              <w:snapToGrid w:val="0"/>
              <w:jc w:val="center"/>
              <w:rPr>
                <w:color w:val="auto"/>
                <w:kern w:val="0"/>
                <w:sz w:val="24"/>
                <w:highlight w:val="none"/>
              </w:rPr>
            </w:pPr>
            <w:r>
              <w:rPr>
                <w:color w:val="auto"/>
                <w:kern w:val="0"/>
                <w:sz w:val="24"/>
                <w:highlight w:val="none"/>
              </w:rPr>
              <w:t>环境</w:t>
            </w:r>
          </w:p>
          <w:p w14:paraId="02A30957">
            <w:pPr>
              <w:adjustRightInd w:val="0"/>
              <w:snapToGrid w:val="0"/>
              <w:jc w:val="center"/>
              <w:rPr>
                <w:color w:val="auto"/>
                <w:kern w:val="0"/>
                <w:sz w:val="24"/>
                <w:highlight w:val="none"/>
              </w:rPr>
            </w:pPr>
            <w:r>
              <w:rPr>
                <w:color w:val="auto"/>
                <w:kern w:val="0"/>
                <w:sz w:val="24"/>
                <w:highlight w:val="none"/>
              </w:rPr>
              <w:t>保护</w:t>
            </w:r>
          </w:p>
          <w:p w14:paraId="6A5610D7">
            <w:pPr>
              <w:adjustRightInd w:val="0"/>
              <w:snapToGrid w:val="0"/>
              <w:jc w:val="center"/>
              <w:rPr>
                <w:color w:val="auto"/>
                <w:kern w:val="0"/>
                <w:sz w:val="24"/>
                <w:highlight w:val="none"/>
              </w:rPr>
            </w:pPr>
            <w:r>
              <w:rPr>
                <w:color w:val="auto"/>
                <w:kern w:val="0"/>
                <w:sz w:val="24"/>
                <w:highlight w:val="none"/>
              </w:rPr>
              <w:t>目标</w:t>
            </w:r>
          </w:p>
        </w:tc>
        <w:tc>
          <w:tcPr>
            <w:tcW w:w="8190" w:type="dxa"/>
            <w:vAlign w:val="center"/>
          </w:tcPr>
          <w:p w14:paraId="1191EEC4">
            <w:pPr>
              <w:pStyle w:val="42"/>
              <w:spacing w:line="520" w:lineRule="exact"/>
              <w:rPr>
                <w:rFonts w:hint="eastAsia" w:eastAsia="宋体"/>
                <w:b/>
                <w:color w:val="auto"/>
                <w:highlight w:val="none"/>
                <w:lang w:eastAsia="zh-CN"/>
              </w:rPr>
            </w:pPr>
            <w:r>
              <w:rPr>
                <w:color w:val="auto"/>
                <w:highlight w:val="none"/>
              </w:rPr>
              <w:t>本项目建设地点位于</w:t>
            </w:r>
            <w:r>
              <w:rPr>
                <w:rFonts w:hint="eastAsia"/>
                <w:bCs/>
                <w:color w:val="auto"/>
                <w:sz w:val="24"/>
                <w:highlight w:val="none"/>
                <w:lang w:eastAsia="zh-CN"/>
              </w:rPr>
              <w:t>新疆昌吉</w:t>
            </w:r>
            <w:r>
              <w:rPr>
                <w:rFonts w:hint="eastAsia"/>
                <w:bCs/>
                <w:color w:val="auto"/>
                <w:sz w:val="24"/>
                <w:highlight w:val="none"/>
                <w:lang w:val="en-US" w:eastAsia="zh-CN"/>
              </w:rPr>
              <w:t>州木垒县民生工业园区</w:t>
            </w:r>
            <w:r>
              <w:rPr>
                <w:color w:val="auto"/>
                <w:highlight w:val="none"/>
              </w:rPr>
              <w:t>，项目区中心地理坐标为</w:t>
            </w:r>
            <w:r>
              <w:rPr>
                <w:rFonts w:hint="default" w:ascii="Times New Roman" w:hAnsi="Times New Roman" w:cs="Times New Roman"/>
                <w:color w:val="auto"/>
                <w:kern w:val="0"/>
                <w:sz w:val="24"/>
                <w:highlight w:val="none"/>
              </w:rPr>
              <w:t>E</w:t>
            </w:r>
            <w:r>
              <w:rPr>
                <w:rFonts w:hint="eastAsia" w:cs="Times New Roman"/>
                <w:color w:val="auto"/>
                <w:kern w:val="0"/>
                <w:sz w:val="24"/>
                <w:highlight w:val="none"/>
                <w:lang w:val="en-US" w:eastAsia="zh-CN"/>
              </w:rPr>
              <w:t>90</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21</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56.400</w:t>
            </w:r>
            <w:r>
              <w:rPr>
                <w:rFonts w:hint="default" w:ascii="Times New Roman" w:hAnsi="Times New Roman" w:cs="Times New Roman"/>
                <w:color w:val="auto"/>
                <w:kern w:val="0"/>
                <w:sz w:val="24"/>
                <w:highlight w:val="none"/>
              </w:rPr>
              <w:t>"，N4</w:t>
            </w:r>
            <w:r>
              <w:rPr>
                <w:rFonts w:hint="eastAsia"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57</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val="en-US" w:eastAsia="zh-CN"/>
              </w:rPr>
              <w:t>38.056</w:t>
            </w:r>
            <w:r>
              <w:rPr>
                <w:rFonts w:hint="default" w:ascii="Times New Roman" w:hAnsi="Times New Roman" w:cs="Times New Roman"/>
                <w:color w:val="auto"/>
                <w:kern w:val="0"/>
                <w:sz w:val="24"/>
                <w:highlight w:val="none"/>
              </w:rPr>
              <w:t>"</w:t>
            </w:r>
            <w:r>
              <w:rPr>
                <w:color w:val="auto"/>
                <w:highlight w:val="none"/>
              </w:rPr>
              <w:t>。根据本项目的自身特点、所在区域的环境质量现状和敏感目标调查结果，环境保护目标如下</w:t>
            </w:r>
            <w:r>
              <w:rPr>
                <w:rFonts w:hint="eastAsia"/>
                <w:color w:val="auto"/>
                <w:highlight w:val="none"/>
                <w:lang w:eastAsia="zh-CN"/>
              </w:rPr>
              <w:t>：</w:t>
            </w:r>
          </w:p>
          <w:p w14:paraId="79352FBE">
            <w:pPr>
              <w:pStyle w:val="57"/>
              <w:spacing w:line="520" w:lineRule="exact"/>
              <w:rPr>
                <w:rFonts w:hint="default" w:eastAsia="宋体" w:cs="宋体"/>
                <w:color w:val="auto"/>
                <w:highlight w:val="none"/>
                <w:lang w:val="en-US" w:eastAsia="zh-CN"/>
              </w:rPr>
            </w:pPr>
            <w:r>
              <w:rPr>
                <w:rFonts w:hint="eastAsia" w:eastAsia="宋体" w:cs="宋体"/>
                <w:color w:val="auto"/>
                <w:highlight w:val="none"/>
                <w:lang w:val="en-US" w:eastAsia="zh-CN"/>
              </w:rPr>
              <w:t>1.</w:t>
            </w:r>
            <w:r>
              <w:rPr>
                <w:rFonts w:hint="default" w:eastAsia="宋体" w:cs="宋体"/>
                <w:color w:val="auto"/>
                <w:highlight w:val="none"/>
                <w:lang w:val="en-US" w:eastAsia="zh-CN"/>
              </w:rPr>
              <w:t>大气环境</w:t>
            </w:r>
          </w:p>
          <w:p w14:paraId="1BC1ED37">
            <w:pPr>
              <w:pStyle w:val="25"/>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根据现场调查，本项目</w:t>
            </w:r>
            <w:r>
              <w:rPr>
                <w:rFonts w:hint="default" w:ascii="Times New Roman" w:hAnsi="Times New Roman" w:eastAsia="宋体" w:cs="Times New Roman"/>
                <w:color w:val="auto"/>
                <w:sz w:val="24"/>
                <w:szCs w:val="24"/>
                <w:highlight w:val="none"/>
              </w:rPr>
              <w:t>厂界外</w:t>
            </w:r>
            <w:r>
              <w:rPr>
                <w:rFonts w:hint="default" w:ascii="Times New Roman" w:hAnsi="Times New Roman" w:eastAsia="宋体" w:cs="Times New Roman"/>
                <w:color w:val="auto"/>
                <w:sz w:val="24"/>
                <w:szCs w:val="24"/>
                <w:highlight w:val="none"/>
                <w:lang w:val="en-US" w:eastAsia="zh-CN"/>
              </w:rPr>
              <w:t>500m范围内无自然保护区、风景名胜区、居住区、文化区和农村地区中人群较集中的区域等环境敏感区。</w:t>
            </w:r>
          </w:p>
          <w:p w14:paraId="484765CB">
            <w:pPr>
              <w:pStyle w:val="57"/>
              <w:spacing w:line="520" w:lineRule="exact"/>
              <w:rPr>
                <w:rFonts w:hint="default" w:eastAsia="宋体" w:cs="宋体"/>
                <w:color w:val="auto"/>
                <w:highlight w:val="none"/>
                <w:lang w:val="en-US" w:eastAsia="zh-CN"/>
              </w:rPr>
            </w:pPr>
            <w:r>
              <w:rPr>
                <w:rFonts w:hint="eastAsia" w:eastAsia="宋体" w:cs="宋体"/>
                <w:color w:val="auto"/>
                <w:highlight w:val="none"/>
                <w:lang w:val="en-US" w:eastAsia="zh-CN"/>
              </w:rPr>
              <w:t>2.</w:t>
            </w:r>
            <w:r>
              <w:rPr>
                <w:rFonts w:hint="default" w:eastAsia="宋体" w:cs="宋体"/>
                <w:color w:val="auto"/>
                <w:highlight w:val="none"/>
                <w:lang w:val="en-US" w:eastAsia="zh-CN"/>
              </w:rPr>
              <w:t>声环境</w:t>
            </w:r>
          </w:p>
          <w:p w14:paraId="5AB54CF7">
            <w:pPr>
              <w:pStyle w:val="25"/>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本项目厂界外50m范围内无声环境保护目标。</w:t>
            </w:r>
          </w:p>
          <w:p w14:paraId="09E5213C">
            <w:pPr>
              <w:pStyle w:val="57"/>
              <w:spacing w:line="520" w:lineRule="exact"/>
              <w:rPr>
                <w:rFonts w:hint="default" w:eastAsia="宋体" w:cs="宋体"/>
                <w:color w:val="auto"/>
                <w:highlight w:val="none"/>
                <w:lang w:val="en-US" w:eastAsia="zh-CN"/>
              </w:rPr>
            </w:pPr>
            <w:r>
              <w:rPr>
                <w:rFonts w:hint="eastAsia" w:eastAsia="宋体" w:cs="宋体"/>
                <w:color w:val="auto"/>
                <w:highlight w:val="none"/>
                <w:lang w:val="en-US" w:eastAsia="zh-CN"/>
              </w:rPr>
              <w:t>3.</w:t>
            </w:r>
            <w:r>
              <w:rPr>
                <w:rFonts w:hint="default" w:eastAsia="宋体" w:cs="宋体"/>
                <w:color w:val="auto"/>
                <w:highlight w:val="none"/>
                <w:lang w:val="en-US" w:eastAsia="zh-CN"/>
              </w:rPr>
              <w:t>地下水环境</w:t>
            </w:r>
          </w:p>
          <w:p w14:paraId="68DDBEA4">
            <w:pPr>
              <w:pStyle w:val="25"/>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本项目厂界外500米范围内无地下水集中式饮用水水源和热水、矿泉水、温泉等特殊地下水资源。</w:t>
            </w:r>
          </w:p>
          <w:p w14:paraId="77B480D9">
            <w:pPr>
              <w:pStyle w:val="57"/>
              <w:spacing w:line="520" w:lineRule="exact"/>
              <w:rPr>
                <w:rFonts w:hint="default" w:eastAsia="宋体" w:cs="宋体"/>
                <w:color w:val="auto"/>
                <w:highlight w:val="none"/>
                <w:lang w:val="en-US" w:eastAsia="zh-CN"/>
              </w:rPr>
            </w:pPr>
            <w:r>
              <w:rPr>
                <w:rFonts w:hint="eastAsia" w:eastAsia="宋体" w:cs="宋体"/>
                <w:color w:val="auto"/>
                <w:highlight w:val="none"/>
                <w:lang w:val="en-US" w:eastAsia="zh-CN"/>
              </w:rPr>
              <w:t>4.</w:t>
            </w:r>
            <w:r>
              <w:rPr>
                <w:rFonts w:hint="default" w:eastAsia="宋体" w:cs="宋体"/>
                <w:color w:val="auto"/>
                <w:highlight w:val="none"/>
                <w:lang w:val="en-US" w:eastAsia="zh-CN"/>
              </w:rPr>
              <w:t>生态环境</w:t>
            </w:r>
          </w:p>
          <w:p w14:paraId="0140FDFC">
            <w:pPr>
              <w:pStyle w:val="42"/>
              <w:spacing w:line="520" w:lineRule="exact"/>
              <w:rPr>
                <w:color w:val="auto"/>
                <w:kern w:val="0"/>
                <w:highlight w:val="none"/>
              </w:rPr>
            </w:pPr>
            <w:r>
              <w:rPr>
                <w:rFonts w:hint="default" w:ascii="Times New Roman" w:hAnsi="Times New Roman" w:eastAsia="宋体" w:cs="Times New Roman"/>
                <w:color w:val="auto"/>
                <w:sz w:val="24"/>
                <w:szCs w:val="24"/>
                <w:highlight w:val="none"/>
                <w:lang w:val="en-US" w:eastAsia="zh-CN"/>
              </w:rPr>
              <w:t>本项目位于</w:t>
            </w:r>
            <w:r>
              <w:rPr>
                <w:rFonts w:hint="eastAsia" w:ascii="Times New Roman" w:cs="Times New Roman"/>
                <w:color w:val="auto"/>
                <w:sz w:val="24"/>
                <w:szCs w:val="24"/>
                <w:highlight w:val="none"/>
                <w:lang w:val="en-US" w:eastAsia="zh-CN"/>
              </w:rPr>
              <w:t>昌吉</w:t>
            </w:r>
            <w:r>
              <w:rPr>
                <w:rFonts w:hint="eastAsia" w:cs="Times New Roman"/>
                <w:color w:val="auto"/>
                <w:sz w:val="24"/>
                <w:szCs w:val="24"/>
                <w:highlight w:val="none"/>
                <w:lang w:val="en-US" w:eastAsia="zh-CN"/>
              </w:rPr>
              <w:t>州木垒县民生工业园区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highlight w:val="none"/>
              </w:rPr>
              <w:t>项目选址占地为工业用地。根据《建设项目环境影响报告表编制技术指南》（污染影响类），项目占地场地厂界外500m范围内无敏感目标。</w:t>
            </w:r>
            <w:r>
              <w:rPr>
                <w:rFonts w:hint="default" w:ascii="Times New Roman" w:hAnsi="Times New Roman" w:cs="Times New Roman"/>
                <w:color w:val="auto"/>
                <w:kern w:val="0"/>
                <w:sz w:val="24"/>
                <w:highlight w:val="none"/>
              </w:rPr>
              <w:t>周围无生态环境保护目标，故不进行生态现状调查</w:t>
            </w:r>
            <w:r>
              <w:rPr>
                <w:rFonts w:hint="default" w:ascii="Times New Roman" w:hAnsi="Times New Roman" w:eastAsia="宋体" w:cs="Times New Roman"/>
                <w:color w:val="auto"/>
                <w:sz w:val="24"/>
                <w:szCs w:val="24"/>
                <w:highlight w:val="none"/>
                <w:lang w:val="en-US" w:eastAsia="zh-CN"/>
              </w:rPr>
              <w:t>。</w:t>
            </w:r>
          </w:p>
        </w:tc>
      </w:tr>
      <w:tr w14:paraId="15F29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vAlign w:val="center"/>
          </w:tcPr>
          <w:p w14:paraId="2E2B3B0F">
            <w:pPr>
              <w:adjustRightInd w:val="0"/>
              <w:snapToGrid w:val="0"/>
              <w:jc w:val="center"/>
              <w:rPr>
                <w:color w:val="auto"/>
                <w:kern w:val="0"/>
                <w:sz w:val="24"/>
                <w:highlight w:val="none"/>
              </w:rPr>
            </w:pPr>
            <w:r>
              <w:rPr>
                <w:rFonts w:hint="eastAsia"/>
                <w:color w:val="auto"/>
                <w:kern w:val="0"/>
                <w:sz w:val="24"/>
                <w:highlight w:val="none"/>
              </w:rPr>
              <w:t>污染</w:t>
            </w:r>
          </w:p>
          <w:p w14:paraId="121EA610">
            <w:pPr>
              <w:adjustRightInd w:val="0"/>
              <w:snapToGrid w:val="0"/>
              <w:jc w:val="center"/>
              <w:rPr>
                <w:color w:val="auto"/>
                <w:kern w:val="0"/>
                <w:sz w:val="24"/>
                <w:highlight w:val="none"/>
              </w:rPr>
            </w:pPr>
            <w:r>
              <w:rPr>
                <w:rFonts w:hint="eastAsia"/>
                <w:color w:val="auto"/>
                <w:kern w:val="0"/>
                <w:sz w:val="24"/>
                <w:highlight w:val="none"/>
              </w:rPr>
              <w:t>物排</w:t>
            </w:r>
          </w:p>
          <w:p w14:paraId="6742ABAA">
            <w:pPr>
              <w:adjustRightInd w:val="0"/>
              <w:snapToGrid w:val="0"/>
              <w:jc w:val="center"/>
              <w:rPr>
                <w:color w:val="auto"/>
                <w:kern w:val="0"/>
                <w:sz w:val="24"/>
                <w:highlight w:val="none"/>
              </w:rPr>
            </w:pPr>
            <w:r>
              <w:rPr>
                <w:rFonts w:hint="eastAsia"/>
                <w:color w:val="auto"/>
                <w:kern w:val="0"/>
                <w:sz w:val="24"/>
                <w:highlight w:val="none"/>
              </w:rPr>
              <w:t>放控</w:t>
            </w:r>
          </w:p>
          <w:p w14:paraId="446DAEFE">
            <w:pPr>
              <w:adjustRightInd w:val="0"/>
              <w:snapToGrid w:val="0"/>
              <w:jc w:val="center"/>
              <w:rPr>
                <w:color w:val="auto"/>
                <w:kern w:val="0"/>
                <w:sz w:val="24"/>
                <w:highlight w:val="none"/>
              </w:rPr>
            </w:pPr>
            <w:r>
              <w:rPr>
                <w:rFonts w:hint="eastAsia"/>
                <w:color w:val="auto"/>
                <w:kern w:val="0"/>
                <w:sz w:val="24"/>
                <w:highlight w:val="none"/>
              </w:rPr>
              <w:t>制标</w:t>
            </w:r>
          </w:p>
          <w:p w14:paraId="4447281E">
            <w:pPr>
              <w:adjustRightInd w:val="0"/>
              <w:snapToGrid w:val="0"/>
              <w:jc w:val="center"/>
              <w:rPr>
                <w:rFonts w:ascii="宋体" w:hAnsi="宋体" w:cs="宋体"/>
                <w:color w:val="auto"/>
                <w:kern w:val="0"/>
                <w:szCs w:val="21"/>
                <w:highlight w:val="none"/>
              </w:rPr>
            </w:pPr>
            <w:r>
              <w:rPr>
                <w:rFonts w:hint="eastAsia"/>
                <w:color w:val="auto"/>
                <w:kern w:val="0"/>
                <w:sz w:val="24"/>
                <w:highlight w:val="none"/>
              </w:rPr>
              <w:t>准</w:t>
            </w:r>
          </w:p>
        </w:tc>
        <w:tc>
          <w:tcPr>
            <w:tcW w:w="8190" w:type="dxa"/>
            <w:vAlign w:val="center"/>
          </w:tcPr>
          <w:p w14:paraId="2C1AD78C">
            <w:pPr>
              <w:pStyle w:val="57"/>
              <w:spacing w:line="520" w:lineRule="exact"/>
              <w:rPr>
                <w:color w:val="auto"/>
                <w:highlight w:val="none"/>
              </w:rPr>
            </w:pPr>
            <w:r>
              <w:rPr>
                <w:rFonts w:hint="eastAsia"/>
                <w:color w:val="auto"/>
                <w:highlight w:val="none"/>
              </w:rPr>
              <w:t>1</w:t>
            </w:r>
            <w:r>
              <w:rPr>
                <w:color w:val="auto"/>
                <w:highlight w:val="none"/>
              </w:rPr>
              <w:t>大气污染物排放标准</w:t>
            </w:r>
          </w:p>
          <w:p w14:paraId="70704E8C">
            <w:pPr>
              <w:pStyle w:val="76"/>
              <w:spacing w:before="161" w:line="360" w:lineRule="auto"/>
              <w:ind w:left="108" w:right="4" w:firstLine="499"/>
              <w:jc w:val="both"/>
              <w:rPr>
                <w:color w:val="auto"/>
                <w:sz w:val="24"/>
                <w:szCs w:val="24"/>
              </w:rPr>
            </w:pPr>
            <w:r>
              <w:rPr>
                <w:color w:val="auto"/>
                <w:spacing w:val="-2"/>
                <w:sz w:val="24"/>
                <w:szCs w:val="24"/>
              </w:rPr>
              <w:t>本项目排放的粉尘执行《大气污染物综</w:t>
            </w:r>
            <w:r>
              <w:rPr>
                <w:color w:val="auto"/>
                <w:spacing w:val="-3"/>
                <w:sz w:val="24"/>
                <w:szCs w:val="24"/>
              </w:rPr>
              <w:t>合排放标准》</w:t>
            </w:r>
            <w:r>
              <w:rPr>
                <w:rFonts w:ascii="Times New Roman" w:hAnsi="Times New Roman" w:eastAsia="Times New Roman" w:cs="Times New Roman"/>
                <w:color w:val="auto"/>
                <w:spacing w:val="-3"/>
                <w:sz w:val="24"/>
                <w:szCs w:val="24"/>
              </w:rPr>
              <w:t>(GB16297-1996)</w:t>
            </w:r>
            <w:r>
              <w:rPr>
                <w:color w:val="auto"/>
                <w:spacing w:val="-10"/>
                <w:sz w:val="24"/>
                <w:szCs w:val="24"/>
              </w:rPr>
              <w:t>表</w:t>
            </w:r>
            <w:r>
              <w:rPr>
                <w:rFonts w:ascii="Times New Roman" w:hAnsi="Times New Roman" w:eastAsia="Times New Roman" w:cs="Times New Roman"/>
                <w:color w:val="auto"/>
                <w:spacing w:val="-10"/>
                <w:sz w:val="24"/>
                <w:szCs w:val="24"/>
              </w:rPr>
              <w:t>2</w:t>
            </w:r>
            <w:r>
              <w:rPr>
                <w:color w:val="auto"/>
                <w:spacing w:val="-10"/>
                <w:sz w:val="24"/>
                <w:szCs w:val="24"/>
              </w:rPr>
              <w:t>中排放限值标准，食堂油烟执行《饮食业油烟排</w:t>
            </w:r>
            <w:r>
              <w:rPr>
                <w:color w:val="auto"/>
                <w:spacing w:val="-11"/>
                <w:sz w:val="24"/>
                <w:szCs w:val="24"/>
              </w:rPr>
              <w:t>放标准》（</w:t>
            </w:r>
            <w:r>
              <w:rPr>
                <w:rFonts w:ascii="Times New Roman" w:hAnsi="Times New Roman" w:eastAsia="Times New Roman" w:cs="Times New Roman"/>
                <w:color w:val="auto"/>
                <w:spacing w:val="-11"/>
                <w:sz w:val="24"/>
                <w:szCs w:val="24"/>
              </w:rPr>
              <w:t>GB18483-2001</w:t>
            </w:r>
            <w:r>
              <w:rPr>
                <w:color w:val="auto"/>
                <w:spacing w:val="-11"/>
                <w:sz w:val="24"/>
                <w:szCs w:val="24"/>
              </w:rPr>
              <w:t>）</w:t>
            </w:r>
            <w:r>
              <w:rPr>
                <w:rFonts w:hint="eastAsia"/>
                <w:color w:val="auto"/>
                <w:spacing w:val="-11"/>
                <w:sz w:val="24"/>
                <w:szCs w:val="24"/>
                <w:lang w:val="en-US" w:eastAsia="zh-CN"/>
              </w:rPr>
              <w:t>中型标准</w:t>
            </w:r>
            <w:r>
              <w:rPr>
                <w:color w:val="auto"/>
                <w:spacing w:val="50"/>
                <w:sz w:val="24"/>
                <w:szCs w:val="24"/>
              </w:rPr>
              <w:t>。</w:t>
            </w:r>
          </w:p>
          <w:p w14:paraId="5E777FE1">
            <w:pPr>
              <w:wordWrap w:val="0"/>
              <w:spacing w:line="360" w:lineRule="auto"/>
              <w:ind w:firstLine="476" w:firstLineChars="200"/>
              <w:rPr>
                <w:rFonts w:hint="eastAsia" w:eastAsia="宋体"/>
                <w:color w:val="auto"/>
                <w:kern w:val="0"/>
                <w:sz w:val="24"/>
                <w:highlight w:val="none"/>
                <w:lang w:eastAsia="zh-CN"/>
              </w:rPr>
            </w:pPr>
            <w:r>
              <w:rPr>
                <w:color w:val="auto"/>
                <w:spacing w:val="-1"/>
                <w:sz w:val="24"/>
                <w:szCs w:val="24"/>
              </w:rPr>
              <w:t>具体浓度限值见下表</w:t>
            </w:r>
            <w:r>
              <w:rPr>
                <w:rFonts w:hint="eastAsia"/>
                <w:color w:val="auto"/>
                <w:kern w:val="0"/>
                <w:sz w:val="24"/>
                <w:highlight w:val="none"/>
                <w:lang w:eastAsia="zh-CN"/>
              </w:rPr>
              <w:t>。</w:t>
            </w:r>
          </w:p>
          <w:p w14:paraId="76AB0166">
            <w:pPr>
              <w:pStyle w:val="48"/>
              <w:spacing w:line="520" w:lineRule="exact"/>
              <w:ind w:firstLine="0" w:firstLineChars="0"/>
              <w:rPr>
                <w:rFonts w:eastAsia="宋体"/>
                <w:color w:val="auto"/>
                <w:highlight w:val="none"/>
              </w:rPr>
            </w:pPr>
            <w:r>
              <w:rPr>
                <w:rFonts w:eastAsia="宋体"/>
                <w:color w:val="auto"/>
                <w:highlight w:val="none"/>
              </w:rPr>
              <w:t>表3-</w:t>
            </w:r>
            <w:r>
              <w:rPr>
                <w:rFonts w:hint="eastAsia"/>
                <w:color w:val="auto"/>
                <w:highlight w:val="none"/>
                <w:lang w:val="en-US" w:eastAsia="zh-CN"/>
              </w:rPr>
              <w:t>5</w:t>
            </w:r>
            <w:r>
              <w:rPr>
                <w:rFonts w:eastAsia="宋体"/>
                <w:color w:val="auto"/>
                <w:highlight w:val="none"/>
              </w:rPr>
              <w:t>《大气污染物综合排放标准》（GB16297-1996）表2</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5"/>
              <w:gridCol w:w="1124"/>
              <w:gridCol w:w="989"/>
              <w:gridCol w:w="2679"/>
              <w:gridCol w:w="2256"/>
            </w:tblGrid>
            <w:tr w14:paraId="784780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1" w:type="pct"/>
                  <w:noWrap w:val="0"/>
                  <w:vAlign w:val="center"/>
                </w:tcPr>
                <w:p w14:paraId="619496C5">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生产过程</w:t>
                  </w:r>
                </w:p>
              </w:tc>
              <w:tc>
                <w:tcPr>
                  <w:tcW w:w="666" w:type="pct"/>
                  <w:noWrap w:val="0"/>
                  <w:vAlign w:val="center"/>
                </w:tcPr>
                <w:p w14:paraId="3A012518">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污染源</w:t>
                  </w:r>
                </w:p>
              </w:tc>
              <w:tc>
                <w:tcPr>
                  <w:tcW w:w="586" w:type="pct"/>
                  <w:noWrap w:val="0"/>
                  <w:vAlign w:val="center"/>
                </w:tcPr>
                <w:p w14:paraId="0E15DD15">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项目</w:t>
                  </w:r>
                </w:p>
              </w:tc>
              <w:tc>
                <w:tcPr>
                  <w:tcW w:w="1588" w:type="pct"/>
                  <w:noWrap w:val="0"/>
                  <w:vAlign w:val="center"/>
                </w:tcPr>
                <w:p w14:paraId="42636091">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标准值</w:t>
                  </w:r>
                </w:p>
              </w:tc>
              <w:tc>
                <w:tcPr>
                  <w:tcW w:w="1337" w:type="pct"/>
                  <w:noWrap w:val="0"/>
                  <w:vAlign w:val="center"/>
                </w:tcPr>
                <w:p w14:paraId="4C5FC012">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标准来源</w:t>
                  </w:r>
                </w:p>
              </w:tc>
            </w:tr>
            <w:tr w14:paraId="7505D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1" w:type="pct"/>
                  <w:noWrap w:val="0"/>
                  <w:vAlign w:val="center"/>
                </w:tcPr>
                <w:p w14:paraId="11F0C676">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等离子化单质碳颗粒</w:t>
                  </w:r>
                </w:p>
              </w:tc>
              <w:tc>
                <w:tcPr>
                  <w:tcW w:w="666" w:type="pct"/>
                  <w:noWrap w:val="0"/>
                  <w:vAlign w:val="center"/>
                </w:tcPr>
                <w:p w14:paraId="3998A606">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DA001</w:t>
                  </w:r>
                </w:p>
              </w:tc>
              <w:tc>
                <w:tcPr>
                  <w:tcW w:w="586" w:type="pct"/>
                  <w:noWrap w:val="0"/>
                  <w:vAlign w:val="center"/>
                </w:tcPr>
                <w:p w14:paraId="03586065">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颗粒物</w:t>
                  </w:r>
                </w:p>
              </w:tc>
              <w:tc>
                <w:tcPr>
                  <w:tcW w:w="1588" w:type="pct"/>
                  <w:noWrap w:val="0"/>
                  <w:vAlign w:val="center"/>
                </w:tcPr>
                <w:p w14:paraId="721F03D0">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15m排气筒3.5kg/h，120mg/m</w:t>
                  </w:r>
                  <w:r>
                    <w:rPr>
                      <w:rFonts w:hint="default" w:ascii="Times New Roman" w:hAnsi="Times New Roman" w:cs="Times New Roman"/>
                      <w:color w:val="auto"/>
                      <w:sz w:val="21"/>
                      <w:szCs w:val="21"/>
                      <w:highlight w:val="none"/>
                      <w:vertAlign w:val="superscript"/>
                    </w:rPr>
                    <w:t>3</w:t>
                  </w:r>
                </w:p>
              </w:tc>
              <w:tc>
                <w:tcPr>
                  <w:tcW w:w="1337" w:type="pct"/>
                  <w:vMerge w:val="restart"/>
                  <w:noWrap w:val="0"/>
                  <w:vAlign w:val="center"/>
                </w:tcPr>
                <w:p w14:paraId="2E2B0923">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《大气污染物综合排放标准》（GB16297-1996）中表2新污染源大气污染物排放限值</w:t>
                  </w:r>
                </w:p>
              </w:tc>
            </w:tr>
            <w:tr w14:paraId="562735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1" w:type="pct"/>
                  <w:noWrap w:val="0"/>
                  <w:vAlign w:val="center"/>
                </w:tcPr>
                <w:p w14:paraId="6D1CBF0B">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cs="Times New Roman"/>
                      <w:color w:val="auto"/>
                      <w:kern w:val="0"/>
                      <w:sz w:val="21"/>
                      <w:szCs w:val="21"/>
                      <w:highlight w:val="none"/>
                      <w:lang w:val="en-US" w:eastAsia="zh-CN"/>
                    </w:rPr>
                    <w:t>激光切割</w:t>
                  </w:r>
                </w:p>
              </w:tc>
              <w:tc>
                <w:tcPr>
                  <w:tcW w:w="666" w:type="pct"/>
                  <w:noWrap w:val="0"/>
                  <w:vAlign w:val="center"/>
                </w:tcPr>
                <w:p w14:paraId="2AA42E1A">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DA002</w:t>
                  </w:r>
                </w:p>
              </w:tc>
              <w:tc>
                <w:tcPr>
                  <w:tcW w:w="586" w:type="pct"/>
                  <w:noWrap w:val="0"/>
                  <w:vAlign w:val="center"/>
                </w:tcPr>
                <w:p w14:paraId="5B2B0BDA">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颗粒物</w:t>
                  </w:r>
                </w:p>
              </w:tc>
              <w:tc>
                <w:tcPr>
                  <w:tcW w:w="1588" w:type="pct"/>
                  <w:noWrap w:val="0"/>
                  <w:vAlign w:val="center"/>
                </w:tcPr>
                <w:p w14:paraId="3D698C85">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15m排气筒3.5kg/h，120mg/m</w:t>
                  </w:r>
                  <w:r>
                    <w:rPr>
                      <w:rFonts w:hint="default" w:ascii="Times New Roman" w:hAnsi="Times New Roman" w:cs="Times New Roman"/>
                      <w:color w:val="auto"/>
                      <w:sz w:val="21"/>
                      <w:szCs w:val="21"/>
                      <w:highlight w:val="none"/>
                      <w:vertAlign w:val="superscript"/>
                    </w:rPr>
                    <w:t>3</w:t>
                  </w:r>
                </w:p>
              </w:tc>
              <w:tc>
                <w:tcPr>
                  <w:tcW w:w="1337" w:type="pct"/>
                  <w:vMerge w:val="continue"/>
                  <w:noWrap w:val="0"/>
                  <w:vAlign w:val="center"/>
                </w:tcPr>
                <w:p w14:paraId="3892CD49">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cs="Times New Roman"/>
                      <w:color w:val="auto"/>
                      <w:kern w:val="0"/>
                      <w:sz w:val="21"/>
                      <w:szCs w:val="21"/>
                      <w:highlight w:val="none"/>
                    </w:rPr>
                  </w:pPr>
                </w:p>
              </w:tc>
            </w:tr>
          </w:tbl>
          <w:p w14:paraId="638658E4">
            <w:pPr>
              <w:pStyle w:val="48"/>
              <w:spacing w:line="520" w:lineRule="exact"/>
              <w:ind w:firstLine="0" w:firstLineChars="0"/>
              <w:rPr>
                <w:rFonts w:eastAsia="宋体"/>
                <w:color w:val="auto"/>
                <w:highlight w:val="none"/>
              </w:rPr>
            </w:pPr>
            <w:r>
              <w:rPr>
                <w:rFonts w:eastAsia="宋体"/>
                <w:color w:val="auto"/>
                <w:highlight w:val="none"/>
              </w:rPr>
              <w:t>表3-</w:t>
            </w:r>
            <w:r>
              <w:rPr>
                <w:rFonts w:hint="eastAsia"/>
                <w:color w:val="auto"/>
                <w:highlight w:val="none"/>
                <w:lang w:val="en-US" w:eastAsia="zh-CN"/>
              </w:rPr>
              <w:t>6</w:t>
            </w:r>
            <w:r>
              <w:rPr>
                <w:rFonts w:eastAsia="宋体"/>
                <w:color w:val="auto"/>
                <w:highlight w:val="none"/>
              </w:rPr>
              <w:t>《饮食业油烟排放标准（试行）》（GB18483-2001）</w:t>
            </w:r>
          </w:p>
          <w:tbl>
            <w:tblPr>
              <w:tblStyle w:val="7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212"/>
              <w:gridCol w:w="4214"/>
            </w:tblGrid>
            <w:tr w14:paraId="51D24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2499" w:type="pct"/>
                  <w:tcBorders>
                    <w:top w:val="single" w:color="000000" w:sz="10" w:space="0"/>
                    <w:left w:val="single" w:color="000000" w:sz="10" w:space="0"/>
                  </w:tcBorders>
                  <w:vAlign w:val="center"/>
                </w:tcPr>
                <w:p w14:paraId="36A0D326">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4"/>
                      <w:sz w:val="21"/>
                      <w:szCs w:val="21"/>
                    </w:rPr>
                    <w:t>规模</w:t>
                  </w:r>
                </w:p>
              </w:tc>
              <w:tc>
                <w:tcPr>
                  <w:tcW w:w="2500" w:type="pct"/>
                  <w:tcBorders>
                    <w:top w:val="single" w:color="000000" w:sz="10" w:space="0"/>
                    <w:right w:val="single" w:color="000000" w:sz="10" w:space="0"/>
                  </w:tcBorders>
                  <w:vAlign w:val="center"/>
                </w:tcPr>
                <w:p w14:paraId="325B25F7">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rFonts w:hint="eastAsia"/>
                      <w:color w:val="auto"/>
                      <w:spacing w:val="-5"/>
                      <w:sz w:val="21"/>
                      <w:szCs w:val="21"/>
                      <w:lang w:val="en-US" w:eastAsia="zh-CN"/>
                    </w:rPr>
                    <w:t>中</w:t>
                  </w:r>
                  <w:r>
                    <w:rPr>
                      <w:color w:val="auto"/>
                      <w:spacing w:val="-5"/>
                      <w:sz w:val="21"/>
                      <w:szCs w:val="21"/>
                    </w:rPr>
                    <w:t>型</w:t>
                  </w:r>
                </w:p>
              </w:tc>
            </w:tr>
            <w:tr w14:paraId="3F87E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499" w:type="pct"/>
                  <w:tcBorders>
                    <w:left w:val="single" w:color="000000" w:sz="10" w:space="0"/>
                  </w:tcBorders>
                  <w:vAlign w:val="center"/>
                </w:tcPr>
                <w:p w14:paraId="7ADBF84A">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8"/>
                      <w:position w:val="2"/>
                      <w:sz w:val="21"/>
                      <w:szCs w:val="21"/>
                    </w:rPr>
                    <w:t>最该允许排放浓度（</w:t>
                  </w:r>
                  <w:r>
                    <w:rPr>
                      <w:rFonts w:ascii="Times New Roman" w:hAnsi="Times New Roman" w:eastAsia="Times New Roman" w:cs="Times New Roman"/>
                      <w:color w:val="auto"/>
                      <w:position w:val="2"/>
                      <w:sz w:val="21"/>
                      <w:szCs w:val="21"/>
                    </w:rPr>
                    <w:t>mg</w:t>
                  </w:r>
                  <w:r>
                    <w:rPr>
                      <w:rFonts w:ascii="Times New Roman" w:hAnsi="Times New Roman" w:eastAsia="Times New Roman" w:cs="Times New Roman"/>
                      <w:color w:val="auto"/>
                      <w:spacing w:val="8"/>
                      <w:position w:val="2"/>
                      <w:sz w:val="21"/>
                      <w:szCs w:val="21"/>
                    </w:rPr>
                    <w:t>/m</w:t>
                  </w:r>
                  <w:r>
                    <w:rPr>
                      <w:rFonts w:hint="eastAsia" w:ascii="Times New Roman" w:hAnsi="Times New Roman" w:eastAsia="宋体" w:cs="Times New Roman"/>
                      <w:color w:val="auto"/>
                      <w:spacing w:val="8"/>
                      <w:position w:val="2"/>
                      <w:sz w:val="21"/>
                      <w:szCs w:val="21"/>
                      <w:vertAlign w:val="superscript"/>
                      <w:lang w:val="en-US" w:eastAsia="zh-CN"/>
                    </w:rPr>
                    <w:t>3</w:t>
                  </w:r>
                  <w:r>
                    <w:rPr>
                      <w:color w:val="auto"/>
                      <w:spacing w:val="8"/>
                      <w:position w:val="2"/>
                      <w:sz w:val="21"/>
                      <w:szCs w:val="21"/>
                    </w:rPr>
                    <w:t>）</w:t>
                  </w:r>
                </w:p>
              </w:tc>
              <w:tc>
                <w:tcPr>
                  <w:tcW w:w="2500" w:type="pct"/>
                  <w:tcBorders>
                    <w:right w:val="single" w:color="000000" w:sz="10" w:space="0"/>
                  </w:tcBorders>
                  <w:vAlign w:val="center"/>
                </w:tcPr>
                <w:p w14:paraId="39F2F98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2"/>
                      <w:sz w:val="21"/>
                      <w:szCs w:val="21"/>
                    </w:rPr>
                    <w:t>2.0</w:t>
                  </w:r>
                </w:p>
              </w:tc>
            </w:tr>
            <w:tr w14:paraId="79289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2499" w:type="pct"/>
                  <w:tcBorders>
                    <w:left w:val="single" w:color="000000" w:sz="10" w:space="0"/>
                    <w:bottom w:val="single" w:color="000000" w:sz="10" w:space="0"/>
                  </w:tcBorders>
                  <w:vAlign w:val="center"/>
                </w:tcPr>
                <w:p w14:paraId="4CC5588C">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8"/>
                      <w:position w:val="1"/>
                      <w:sz w:val="21"/>
                      <w:szCs w:val="21"/>
                    </w:rPr>
                    <w:t>净化设施最低去除效率（</w:t>
                  </w:r>
                  <w:r>
                    <w:rPr>
                      <w:rFonts w:ascii="Times New Roman" w:hAnsi="Times New Roman" w:eastAsia="Times New Roman" w:cs="Times New Roman"/>
                      <w:color w:val="auto"/>
                      <w:spacing w:val="8"/>
                      <w:position w:val="1"/>
                      <w:sz w:val="21"/>
                      <w:szCs w:val="21"/>
                    </w:rPr>
                    <w:t>%</w:t>
                  </w:r>
                  <w:r>
                    <w:rPr>
                      <w:color w:val="auto"/>
                      <w:spacing w:val="8"/>
                      <w:position w:val="1"/>
                      <w:sz w:val="21"/>
                      <w:szCs w:val="21"/>
                    </w:rPr>
                    <w:t>）</w:t>
                  </w:r>
                </w:p>
              </w:tc>
              <w:tc>
                <w:tcPr>
                  <w:tcW w:w="2500" w:type="pct"/>
                  <w:tcBorders>
                    <w:bottom w:val="single" w:color="000000" w:sz="10" w:space="0"/>
                    <w:right w:val="single" w:color="000000" w:sz="10" w:space="0"/>
                  </w:tcBorders>
                  <w:vAlign w:val="center"/>
                </w:tcPr>
                <w:p w14:paraId="5B8931E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75</w:t>
                  </w:r>
                </w:p>
              </w:tc>
            </w:tr>
          </w:tbl>
          <w:p w14:paraId="50FB9E14">
            <w:pPr>
              <w:pStyle w:val="57"/>
              <w:spacing w:line="520" w:lineRule="exact"/>
              <w:rPr>
                <w:color w:val="auto"/>
                <w:highlight w:val="none"/>
              </w:rPr>
            </w:pPr>
            <w:r>
              <w:rPr>
                <w:rFonts w:hint="eastAsia"/>
                <w:color w:val="auto"/>
                <w:highlight w:val="none"/>
              </w:rPr>
              <w:t>2</w:t>
            </w:r>
            <w:r>
              <w:rPr>
                <w:color w:val="auto"/>
                <w:highlight w:val="none"/>
              </w:rPr>
              <w:t>废水排放标准</w:t>
            </w:r>
          </w:p>
          <w:p w14:paraId="4993BCFE">
            <w:pPr>
              <w:spacing w:line="520" w:lineRule="exact"/>
              <w:ind w:firstLine="482"/>
              <w:rPr>
                <w:color w:val="auto"/>
                <w:highlight w:val="none"/>
              </w:rPr>
            </w:pPr>
            <w:r>
              <w:rPr>
                <w:rFonts w:hint="eastAsia"/>
                <w:color w:val="auto"/>
                <w:sz w:val="24"/>
                <w:highlight w:val="none"/>
              </w:rPr>
              <w:t>本项目</w:t>
            </w:r>
            <w:r>
              <w:rPr>
                <w:rFonts w:hint="eastAsia"/>
                <w:color w:val="auto"/>
                <w:sz w:val="24"/>
                <w:highlight w:val="none"/>
                <w:lang w:val="en-US" w:eastAsia="zh-CN"/>
              </w:rPr>
              <w:t>抛光冷却水、清洗废水与</w:t>
            </w:r>
            <w:r>
              <w:rPr>
                <w:rFonts w:hint="eastAsia"/>
                <w:color w:val="auto"/>
                <w:sz w:val="24"/>
                <w:highlight w:val="none"/>
              </w:rPr>
              <w:t>生活污水</w:t>
            </w:r>
            <w:r>
              <w:rPr>
                <w:rFonts w:hint="eastAsia"/>
                <w:color w:val="auto"/>
                <w:sz w:val="24"/>
                <w:highlight w:val="none"/>
                <w:lang w:val="en-US" w:eastAsia="zh-CN"/>
              </w:rPr>
              <w:t>分别直排</w:t>
            </w:r>
            <w:r>
              <w:rPr>
                <w:rFonts w:hint="eastAsia"/>
                <w:color w:val="auto"/>
                <w:sz w:val="24"/>
                <w:highlight w:val="none"/>
              </w:rPr>
              <w:t>园区污水管网，</w:t>
            </w:r>
            <w:r>
              <w:rPr>
                <w:color w:val="auto"/>
                <w:sz w:val="24"/>
                <w:highlight w:val="none"/>
              </w:rPr>
              <w:t>执行《污水综合排放标准》</w:t>
            </w:r>
            <w:r>
              <w:rPr>
                <w:rFonts w:hint="eastAsia"/>
                <w:color w:val="auto"/>
                <w:sz w:val="24"/>
                <w:highlight w:val="none"/>
              </w:rPr>
              <w:t>（</w:t>
            </w:r>
            <w:r>
              <w:rPr>
                <w:color w:val="auto"/>
                <w:sz w:val="24"/>
                <w:highlight w:val="none"/>
              </w:rPr>
              <w:t>GB8978-1996</w:t>
            </w:r>
            <w:r>
              <w:rPr>
                <w:rFonts w:hint="eastAsia"/>
                <w:color w:val="auto"/>
                <w:sz w:val="24"/>
                <w:highlight w:val="none"/>
              </w:rPr>
              <w:t>）</w:t>
            </w:r>
            <w:r>
              <w:rPr>
                <w:color w:val="auto"/>
                <w:sz w:val="24"/>
                <w:highlight w:val="none"/>
              </w:rPr>
              <w:t>三级标准，项目</w:t>
            </w:r>
            <w:r>
              <w:rPr>
                <w:rFonts w:hint="eastAsia"/>
                <w:color w:val="auto"/>
                <w:sz w:val="24"/>
                <w:highlight w:val="none"/>
              </w:rPr>
              <w:t>废水</w:t>
            </w:r>
            <w:r>
              <w:rPr>
                <w:color w:val="auto"/>
                <w:sz w:val="24"/>
                <w:highlight w:val="none"/>
              </w:rPr>
              <w:t>排放标准限值见表</w:t>
            </w:r>
            <w:r>
              <w:rPr>
                <w:rFonts w:hint="eastAsia"/>
                <w:color w:val="auto"/>
                <w:sz w:val="24"/>
                <w:highlight w:val="none"/>
                <w:lang w:val="en-US" w:eastAsia="zh-CN"/>
              </w:rPr>
              <w:t>3-7</w:t>
            </w:r>
            <w:r>
              <w:rPr>
                <w:color w:val="auto"/>
                <w:sz w:val="24"/>
                <w:highlight w:val="none"/>
              </w:rPr>
              <w:t>。</w:t>
            </w:r>
          </w:p>
          <w:p w14:paraId="1C3E34CD">
            <w:pPr>
              <w:pStyle w:val="48"/>
              <w:spacing w:line="520" w:lineRule="exact"/>
              <w:ind w:firstLine="0" w:firstLineChars="0"/>
              <w:rPr>
                <w:color w:val="auto"/>
                <w:highlight w:val="none"/>
              </w:rPr>
            </w:pPr>
            <w:r>
              <w:rPr>
                <w:color w:val="auto"/>
                <w:highlight w:val="none"/>
              </w:rPr>
              <w:t>表</w:t>
            </w:r>
            <w:r>
              <w:rPr>
                <w:rFonts w:hint="eastAsia"/>
                <w:color w:val="auto"/>
                <w:highlight w:val="none"/>
                <w:lang w:val="en-US" w:eastAsia="zh-CN"/>
              </w:rPr>
              <w:t>3-7</w:t>
            </w:r>
            <w:r>
              <w:rPr>
                <w:rFonts w:hint="eastAsia"/>
                <w:color w:val="auto"/>
                <w:highlight w:val="none"/>
              </w:rPr>
              <w:t>本项目废水</w:t>
            </w:r>
            <w:r>
              <w:rPr>
                <w:color w:val="auto"/>
                <w:highlight w:val="none"/>
              </w:rPr>
              <w:t>排放限值单位：mg/L</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1649"/>
              <w:gridCol w:w="3900"/>
              <w:gridCol w:w="1505"/>
            </w:tblGrid>
            <w:tr w14:paraId="65FF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shd w:val="clear" w:color="auto" w:fill="auto"/>
                  <w:vAlign w:val="center"/>
                </w:tcPr>
                <w:p w14:paraId="7387D900">
                  <w:pPr>
                    <w:pStyle w:val="47"/>
                    <w:ind w:firstLine="0" w:firstLineChars="0"/>
                    <w:rPr>
                      <w:b/>
                      <w:bCs w:val="0"/>
                      <w:color w:val="auto"/>
                      <w:highlight w:val="none"/>
                    </w:rPr>
                  </w:pPr>
                  <w:r>
                    <w:rPr>
                      <w:b/>
                      <w:bCs w:val="0"/>
                      <w:color w:val="auto"/>
                      <w:highlight w:val="none"/>
                    </w:rPr>
                    <w:t>废水类别</w:t>
                  </w:r>
                </w:p>
              </w:tc>
              <w:tc>
                <w:tcPr>
                  <w:tcW w:w="979" w:type="pct"/>
                  <w:shd w:val="clear" w:color="auto" w:fill="auto"/>
                  <w:vAlign w:val="center"/>
                </w:tcPr>
                <w:p w14:paraId="2EF206CC">
                  <w:pPr>
                    <w:pStyle w:val="47"/>
                    <w:ind w:firstLine="0" w:firstLineChars="0"/>
                    <w:rPr>
                      <w:b/>
                      <w:bCs w:val="0"/>
                      <w:color w:val="auto"/>
                      <w:highlight w:val="none"/>
                    </w:rPr>
                  </w:pPr>
                  <w:r>
                    <w:rPr>
                      <w:b/>
                      <w:bCs w:val="0"/>
                      <w:color w:val="auto"/>
                      <w:highlight w:val="none"/>
                    </w:rPr>
                    <w:t>污染物</w:t>
                  </w:r>
                </w:p>
              </w:tc>
              <w:tc>
                <w:tcPr>
                  <w:tcW w:w="2315" w:type="pct"/>
                  <w:shd w:val="clear" w:color="auto" w:fill="auto"/>
                  <w:vAlign w:val="center"/>
                </w:tcPr>
                <w:p w14:paraId="777CC1A1">
                  <w:pPr>
                    <w:pStyle w:val="47"/>
                    <w:ind w:firstLine="0" w:firstLineChars="0"/>
                    <w:rPr>
                      <w:b/>
                      <w:bCs w:val="0"/>
                      <w:color w:val="auto"/>
                      <w:highlight w:val="none"/>
                    </w:rPr>
                  </w:pPr>
                  <w:r>
                    <w:rPr>
                      <w:b/>
                      <w:bCs w:val="0"/>
                      <w:color w:val="auto"/>
                      <w:highlight w:val="none"/>
                    </w:rPr>
                    <w:t>标准</w:t>
                  </w:r>
                </w:p>
              </w:tc>
              <w:tc>
                <w:tcPr>
                  <w:tcW w:w="893" w:type="pct"/>
                  <w:shd w:val="clear" w:color="auto" w:fill="auto"/>
                  <w:vAlign w:val="center"/>
                </w:tcPr>
                <w:p w14:paraId="76A74A16">
                  <w:pPr>
                    <w:pStyle w:val="47"/>
                    <w:ind w:firstLine="0" w:firstLineChars="0"/>
                    <w:rPr>
                      <w:b/>
                      <w:bCs w:val="0"/>
                      <w:color w:val="auto"/>
                      <w:highlight w:val="none"/>
                    </w:rPr>
                  </w:pPr>
                  <w:r>
                    <w:rPr>
                      <w:b/>
                      <w:bCs w:val="0"/>
                      <w:color w:val="auto"/>
                      <w:highlight w:val="none"/>
                    </w:rPr>
                    <w:t>限值</w:t>
                  </w:r>
                </w:p>
              </w:tc>
            </w:tr>
            <w:tr w14:paraId="7DD7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vMerge w:val="restart"/>
                  <w:tcBorders>
                    <w:tl2br w:val="nil"/>
                    <w:tr2bl w:val="nil"/>
                  </w:tcBorders>
                  <w:shd w:val="clear" w:color="auto" w:fill="auto"/>
                  <w:vAlign w:val="center"/>
                </w:tcPr>
                <w:p w14:paraId="4803705E">
                  <w:pPr>
                    <w:pStyle w:val="47"/>
                    <w:ind w:firstLine="0" w:firstLineChars="0"/>
                    <w:rPr>
                      <w:rFonts w:hint="eastAsia" w:eastAsia="宋体"/>
                      <w:color w:val="auto"/>
                      <w:highlight w:val="none"/>
                      <w:lang w:eastAsia="zh-CN"/>
                    </w:rPr>
                  </w:pPr>
                  <w:r>
                    <w:rPr>
                      <w:color w:val="auto"/>
                      <w:highlight w:val="none"/>
                    </w:rPr>
                    <w:t>生活污水</w:t>
                  </w:r>
                  <w:r>
                    <w:rPr>
                      <w:rFonts w:hint="eastAsia"/>
                      <w:color w:val="auto"/>
                      <w:highlight w:val="none"/>
                      <w:lang w:eastAsia="zh-CN"/>
                    </w:rPr>
                    <w:t>、</w:t>
                  </w:r>
                  <w:r>
                    <w:rPr>
                      <w:rFonts w:hint="eastAsia"/>
                      <w:color w:val="auto"/>
                      <w:highlight w:val="none"/>
                      <w:lang w:val="en-US" w:eastAsia="zh-CN"/>
                    </w:rPr>
                    <w:t>抛光冷却水、清洗废水</w:t>
                  </w:r>
                </w:p>
              </w:tc>
              <w:tc>
                <w:tcPr>
                  <w:tcW w:w="979" w:type="pct"/>
                  <w:tcBorders>
                    <w:tl2br w:val="nil"/>
                    <w:tr2bl w:val="nil"/>
                  </w:tcBorders>
                  <w:shd w:val="clear" w:color="auto" w:fill="auto"/>
                  <w:vAlign w:val="center"/>
                </w:tcPr>
                <w:p w14:paraId="1A099344">
                  <w:pPr>
                    <w:pStyle w:val="47"/>
                    <w:ind w:firstLine="0" w:firstLineChars="0"/>
                    <w:rPr>
                      <w:color w:val="auto"/>
                      <w:highlight w:val="none"/>
                    </w:rPr>
                  </w:pPr>
                  <w:r>
                    <w:rPr>
                      <w:color w:val="auto"/>
                      <w:highlight w:val="none"/>
                    </w:rPr>
                    <w:t>CODcr</w:t>
                  </w:r>
                </w:p>
              </w:tc>
              <w:tc>
                <w:tcPr>
                  <w:tcW w:w="2315" w:type="pct"/>
                  <w:vMerge w:val="restart"/>
                  <w:tcBorders>
                    <w:tl2br w:val="nil"/>
                    <w:tr2bl w:val="nil"/>
                  </w:tcBorders>
                  <w:shd w:val="clear" w:color="auto" w:fill="auto"/>
                  <w:vAlign w:val="center"/>
                </w:tcPr>
                <w:p w14:paraId="4E56BC6B">
                  <w:pPr>
                    <w:pStyle w:val="47"/>
                    <w:wordWrap/>
                    <w:ind w:firstLine="0" w:firstLineChars="0"/>
                    <w:rPr>
                      <w:color w:val="auto"/>
                      <w:highlight w:val="none"/>
                    </w:rPr>
                  </w:pPr>
                  <w:r>
                    <w:rPr>
                      <w:color w:val="auto"/>
                      <w:highlight w:val="none"/>
                    </w:rPr>
                    <w:t>《污水综合排放标准》（GB8978-1996）表4中的三级标准</w:t>
                  </w:r>
                </w:p>
              </w:tc>
              <w:tc>
                <w:tcPr>
                  <w:tcW w:w="893" w:type="pct"/>
                  <w:tcBorders>
                    <w:tl2br w:val="nil"/>
                    <w:tr2bl w:val="nil"/>
                  </w:tcBorders>
                  <w:shd w:val="clear" w:color="auto" w:fill="auto"/>
                  <w:vAlign w:val="center"/>
                </w:tcPr>
                <w:p w14:paraId="4CE12BE8">
                  <w:pPr>
                    <w:pStyle w:val="47"/>
                    <w:ind w:firstLine="0" w:firstLineChars="0"/>
                    <w:rPr>
                      <w:color w:val="auto"/>
                      <w:highlight w:val="none"/>
                    </w:rPr>
                  </w:pPr>
                  <w:r>
                    <w:rPr>
                      <w:color w:val="auto"/>
                      <w:highlight w:val="none"/>
                    </w:rPr>
                    <w:t>500</w:t>
                  </w:r>
                </w:p>
              </w:tc>
            </w:tr>
            <w:tr w14:paraId="79A7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vMerge w:val="continue"/>
                  <w:tcBorders>
                    <w:tl2br w:val="nil"/>
                    <w:tr2bl w:val="nil"/>
                  </w:tcBorders>
                  <w:shd w:val="clear" w:color="auto" w:fill="auto"/>
                  <w:vAlign w:val="center"/>
                </w:tcPr>
                <w:p w14:paraId="140D81B6">
                  <w:pPr>
                    <w:pStyle w:val="47"/>
                    <w:ind w:firstLine="0" w:firstLineChars="0"/>
                    <w:rPr>
                      <w:color w:val="auto"/>
                      <w:highlight w:val="none"/>
                    </w:rPr>
                  </w:pPr>
                </w:p>
              </w:tc>
              <w:tc>
                <w:tcPr>
                  <w:tcW w:w="979" w:type="pct"/>
                  <w:tcBorders>
                    <w:tl2br w:val="nil"/>
                    <w:tr2bl w:val="nil"/>
                  </w:tcBorders>
                  <w:shd w:val="clear" w:color="auto" w:fill="auto"/>
                  <w:vAlign w:val="center"/>
                </w:tcPr>
                <w:p w14:paraId="434AB3DE">
                  <w:pPr>
                    <w:pStyle w:val="47"/>
                    <w:ind w:firstLine="0" w:firstLineChars="0"/>
                    <w:rPr>
                      <w:color w:val="auto"/>
                      <w:highlight w:val="none"/>
                    </w:rPr>
                  </w:pPr>
                  <w:r>
                    <w:rPr>
                      <w:color w:val="auto"/>
                      <w:highlight w:val="none"/>
                    </w:rPr>
                    <w:t>BOD</w:t>
                  </w:r>
                  <w:r>
                    <w:rPr>
                      <w:color w:val="auto"/>
                      <w:highlight w:val="none"/>
                      <w:vertAlign w:val="subscript"/>
                    </w:rPr>
                    <w:t>5</w:t>
                  </w:r>
                </w:p>
              </w:tc>
              <w:tc>
                <w:tcPr>
                  <w:tcW w:w="2315" w:type="pct"/>
                  <w:vMerge w:val="continue"/>
                  <w:tcBorders>
                    <w:tl2br w:val="nil"/>
                    <w:tr2bl w:val="nil"/>
                  </w:tcBorders>
                  <w:shd w:val="clear" w:color="auto" w:fill="auto"/>
                  <w:vAlign w:val="center"/>
                </w:tcPr>
                <w:p w14:paraId="59F02DF0">
                  <w:pPr>
                    <w:pStyle w:val="47"/>
                    <w:ind w:firstLine="0" w:firstLineChars="0"/>
                    <w:rPr>
                      <w:color w:val="auto"/>
                      <w:highlight w:val="none"/>
                    </w:rPr>
                  </w:pPr>
                </w:p>
              </w:tc>
              <w:tc>
                <w:tcPr>
                  <w:tcW w:w="893" w:type="pct"/>
                  <w:tcBorders>
                    <w:tl2br w:val="nil"/>
                    <w:tr2bl w:val="nil"/>
                  </w:tcBorders>
                  <w:shd w:val="clear" w:color="auto" w:fill="auto"/>
                  <w:vAlign w:val="center"/>
                </w:tcPr>
                <w:p w14:paraId="2C063C4E">
                  <w:pPr>
                    <w:pStyle w:val="47"/>
                    <w:ind w:firstLine="0" w:firstLineChars="0"/>
                    <w:rPr>
                      <w:color w:val="auto"/>
                      <w:highlight w:val="none"/>
                    </w:rPr>
                  </w:pPr>
                  <w:r>
                    <w:rPr>
                      <w:color w:val="auto"/>
                      <w:highlight w:val="none"/>
                    </w:rPr>
                    <w:t>300</w:t>
                  </w:r>
                </w:p>
              </w:tc>
            </w:tr>
            <w:tr w14:paraId="3F65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vMerge w:val="continue"/>
                  <w:tcBorders>
                    <w:tl2br w:val="nil"/>
                    <w:tr2bl w:val="nil"/>
                  </w:tcBorders>
                  <w:shd w:val="clear" w:color="auto" w:fill="auto"/>
                  <w:vAlign w:val="center"/>
                </w:tcPr>
                <w:p w14:paraId="32F6B33A">
                  <w:pPr>
                    <w:pStyle w:val="47"/>
                    <w:ind w:firstLine="0" w:firstLineChars="0"/>
                    <w:rPr>
                      <w:color w:val="auto"/>
                      <w:highlight w:val="none"/>
                    </w:rPr>
                  </w:pPr>
                </w:p>
              </w:tc>
              <w:tc>
                <w:tcPr>
                  <w:tcW w:w="979" w:type="pct"/>
                  <w:tcBorders>
                    <w:tl2br w:val="nil"/>
                    <w:tr2bl w:val="nil"/>
                  </w:tcBorders>
                  <w:shd w:val="clear" w:color="auto" w:fill="auto"/>
                  <w:vAlign w:val="center"/>
                </w:tcPr>
                <w:p w14:paraId="01B23B3E">
                  <w:pPr>
                    <w:pStyle w:val="47"/>
                    <w:ind w:firstLine="0" w:firstLineChars="0"/>
                    <w:rPr>
                      <w:color w:val="auto"/>
                      <w:highlight w:val="none"/>
                    </w:rPr>
                  </w:pPr>
                  <w:r>
                    <w:rPr>
                      <w:color w:val="auto"/>
                      <w:highlight w:val="none"/>
                    </w:rPr>
                    <w:t>NH</w:t>
                  </w:r>
                  <w:r>
                    <w:rPr>
                      <w:color w:val="auto"/>
                      <w:highlight w:val="none"/>
                      <w:vertAlign w:val="subscript"/>
                    </w:rPr>
                    <w:t>3</w:t>
                  </w:r>
                  <w:r>
                    <w:rPr>
                      <w:rFonts w:hint="eastAsia"/>
                      <w:color w:val="auto"/>
                      <w:highlight w:val="none"/>
                    </w:rPr>
                    <w:t>-</w:t>
                  </w:r>
                  <w:r>
                    <w:rPr>
                      <w:color w:val="auto"/>
                      <w:highlight w:val="none"/>
                    </w:rPr>
                    <w:t>N</w:t>
                  </w:r>
                </w:p>
              </w:tc>
              <w:tc>
                <w:tcPr>
                  <w:tcW w:w="2315" w:type="pct"/>
                  <w:vMerge w:val="continue"/>
                  <w:tcBorders>
                    <w:tl2br w:val="nil"/>
                    <w:tr2bl w:val="nil"/>
                  </w:tcBorders>
                  <w:shd w:val="clear" w:color="auto" w:fill="auto"/>
                  <w:vAlign w:val="center"/>
                </w:tcPr>
                <w:p w14:paraId="577290F7">
                  <w:pPr>
                    <w:pStyle w:val="47"/>
                    <w:ind w:firstLine="0" w:firstLineChars="0"/>
                    <w:rPr>
                      <w:color w:val="auto"/>
                      <w:highlight w:val="none"/>
                    </w:rPr>
                  </w:pPr>
                </w:p>
              </w:tc>
              <w:tc>
                <w:tcPr>
                  <w:tcW w:w="893" w:type="pct"/>
                  <w:tcBorders>
                    <w:tl2br w:val="nil"/>
                    <w:tr2bl w:val="nil"/>
                  </w:tcBorders>
                  <w:shd w:val="clear" w:color="auto" w:fill="auto"/>
                  <w:vAlign w:val="center"/>
                </w:tcPr>
                <w:p w14:paraId="65C82C20">
                  <w:pPr>
                    <w:pStyle w:val="47"/>
                    <w:ind w:firstLine="0" w:firstLineChars="0"/>
                    <w:rPr>
                      <w:color w:val="auto"/>
                      <w:highlight w:val="none"/>
                    </w:rPr>
                  </w:pPr>
                  <w:r>
                    <w:rPr>
                      <w:color w:val="auto"/>
                      <w:highlight w:val="none"/>
                    </w:rPr>
                    <w:t>-</w:t>
                  </w:r>
                </w:p>
              </w:tc>
            </w:tr>
            <w:tr w14:paraId="7F90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vMerge w:val="continue"/>
                  <w:tcBorders>
                    <w:tl2br w:val="nil"/>
                    <w:tr2bl w:val="nil"/>
                  </w:tcBorders>
                  <w:shd w:val="clear" w:color="auto" w:fill="auto"/>
                  <w:vAlign w:val="center"/>
                </w:tcPr>
                <w:p w14:paraId="34181124">
                  <w:pPr>
                    <w:pStyle w:val="47"/>
                    <w:ind w:firstLine="0" w:firstLineChars="0"/>
                    <w:rPr>
                      <w:color w:val="auto"/>
                      <w:highlight w:val="none"/>
                    </w:rPr>
                  </w:pPr>
                </w:p>
              </w:tc>
              <w:tc>
                <w:tcPr>
                  <w:tcW w:w="979" w:type="pct"/>
                  <w:tcBorders>
                    <w:tl2br w:val="nil"/>
                    <w:tr2bl w:val="nil"/>
                  </w:tcBorders>
                  <w:shd w:val="clear" w:color="auto" w:fill="auto"/>
                  <w:vAlign w:val="center"/>
                </w:tcPr>
                <w:p w14:paraId="72D0F103">
                  <w:pPr>
                    <w:pStyle w:val="47"/>
                    <w:ind w:firstLine="0" w:firstLineChars="0"/>
                    <w:rPr>
                      <w:color w:val="auto"/>
                      <w:highlight w:val="none"/>
                    </w:rPr>
                  </w:pPr>
                  <w:r>
                    <w:rPr>
                      <w:color w:val="auto"/>
                      <w:highlight w:val="none"/>
                    </w:rPr>
                    <w:t>SS</w:t>
                  </w:r>
                </w:p>
              </w:tc>
              <w:tc>
                <w:tcPr>
                  <w:tcW w:w="2315" w:type="pct"/>
                  <w:vMerge w:val="continue"/>
                  <w:tcBorders>
                    <w:tl2br w:val="nil"/>
                    <w:tr2bl w:val="nil"/>
                  </w:tcBorders>
                  <w:shd w:val="clear" w:color="auto" w:fill="auto"/>
                  <w:vAlign w:val="center"/>
                </w:tcPr>
                <w:p w14:paraId="26398609">
                  <w:pPr>
                    <w:pStyle w:val="47"/>
                    <w:ind w:firstLine="0" w:firstLineChars="0"/>
                    <w:rPr>
                      <w:color w:val="auto"/>
                      <w:highlight w:val="none"/>
                    </w:rPr>
                  </w:pPr>
                </w:p>
              </w:tc>
              <w:tc>
                <w:tcPr>
                  <w:tcW w:w="893" w:type="pct"/>
                  <w:tcBorders>
                    <w:tl2br w:val="nil"/>
                    <w:tr2bl w:val="nil"/>
                  </w:tcBorders>
                  <w:shd w:val="clear" w:color="auto" w:fill="auto"/>
                  <w:vAlign w:val="center"/>
                </w:tcPr>
                <w:p w14:paraId="23A952F3">
                  <w:pPr>
                    <w:pStyle w:val="47"/>
                    <w:ind w:firstLine="0" w:firstLineChars="0"/>
                    <w:rPr>
                      <w:color w:val="auto"/>
                      <w:highlight w:val="none"/>
                    </w:rPr>
                  </w:pPr>
                  <w:r>
                    <w:rPr>
                      <w:color w:val="auto"/>
                      <w:highlight w:val="none"/>
                    </w:rPr>
                    <w:t>400</w:t>
                  </w:r>
                </w:p>
              </w:tc>
            </w:tr>
          </w:tbl>
          <w:p w14:paraId="24821E2B">
            <w:pPr>
              <w:pStyle w:val="57"/>
              <w:spacing w:line="520" w:lineRule="exact"/>
              <w:rPr>
                <w:color w:val="auto"/>
                <w:highlight w:val="none"/>
              </w:rPr>
            </w:pPr>
            <w:r>
              <w:rPr>
                <w:rFonts w:hint="eastAsia"/>
                <w:color w:val="auto"/>
                <w:highlight w:val="none"/>
              </w:rPr>
              <w:t>3</w:t>
            </w:r>
            <w:r>
              <w:rPr>
                <w:color w:val="auto"/>
                <w:highlight w:val="none"/>
              </w:rPr>
              <w:t>噪声排放标准</w:t>
            </w:r>
          </w:p>
          <w:p w14:paraId="6831CFF1">
            <w:pPr>
              <w:adjustRightInd w:val="0"/>
              <w:snapToGrid w:val="0"/>
              <w:spacing w:line="520" w:lineRule="exact"/>
              <w:ind w:firstLine="480" w:firstLineChars="200"/>
              <w:rPr>
                <w:color w:val="auto"/>
                <w:kern w:val="0"/>
                <w:sz w:val="24"/>
                <w:highlight w:val="none"/>
              </w:rPr>
            </w:pPr>
            <w:r>
              <w:rPr>
                <w:rFonts w:hint="eastAsia"/>
                <w:color w:val="auto"/>
                <w:kern w:val="0"/>
                <w:sz w:val="24"/>
                <w:highlight w:val="none"/>
              </w:rPr>
              <w:t>本项目</w:t>
            </w:r>
            <w:r>
              <w:rPr>
                <w:color w:val="auto"/>
                <w:kern w:val="0"/>
                <w:sz w:val="24"/>
                <w:highlight w:val="none"/>
              </w:rPr>
              <w:t>厂界噪声执行《工业企业厂界环境噪声排放标准》（GB12348-2008）</w:t>
            </w:r>
            <w:r>
              <w:rPr>
                <w:rFonts w:hint="eastAsia"/>
                <w:color w:val="auto"/>
                <w:kern w:val="0"/>
                <w:sz w:val="24"/>
                <w:highlight w:val="none"/>
              </w:rPr>
              <w:t>3</w:t>
            </w:r>
            <w:r>
              <w:rPr>
                <w:color w:val="auto"/>
                <w:kern w:val="0"/>
                <w:sz w:val="24"/>
                <w:highlight w:val="none"/>
              </w:rPr>
              <w:t>类标准</w:t>
            </w:r>
            <w:r>
              <w:rPr>
                <w:rFonts w:hint="eastAsia"/>
                <w:color w:val="auto"/>
                <w:kern w:val="0"/>
                <w:sz w:val="24"/>
                <w:highlight w:val="none"/>
              </w:rPr>
              <w:t>。</w:t>
            </w:r>
          </w:p>
          <w:p w14:paraId="3FC33D15">
            <w:pPr>
              <w:pStyle w:val="48"/>
              <w:spacing w:line="520" w:lineRule="exact"/>
              <w:ind w:firstLine="0" w:firstLineChars="0"/>
              <w:rPr>
                <w:color w:val="auto"/>
                <w:highlight w:val="none"/>
              </w:rPr>
            </w:pPr>
            <w:r>
              <w:rPr>
                <w:rFonts w:hint="eastAsia"/>
                <w:color w:val="auto"/>
                <w:highlight w:val="none"/>
              </w:rPr>
              <w:t>表</w:t>
            </w:r>
            <w:r>
              <w:rPr>
                <w:rFonts w:hint="eastAsia"/>
                <w:color w:val="auto"/>
                <w:highlight w:val="none"/>
                <w:lang w:val="en-US" w:eastAsia="zh-CN"/>
              </w:rPr>
              <w:t xml:space="preserve">3-8 </w:t>
            </w:r>
            <w:r>
              <w:rPr>
                <w:color w:val="auto"/>
                <w:highlight w:val="none"/>
              </w:rPr>
              <w:t>噪声排放标准</w:t>
            </w:r>
          </w:p>
          <w:tbl>
            <w:tblPr>
              <w:tblStyle w:val="2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3718"/>
              <w:gridCol w:w="3387"/>
            </w:tblGrid>
            <w:tr w14:paraId="5725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781" w:type="pct"/>
                  <w:shd w:val="clear" w:color="auto" w:fill="auto"/>
                  <w:vAlign w:val="center"/>
                </w:tcPr>
                <w:p w14:paraId="1044EE15">
                  <w:pPr>
                    <w:pStyle w:val="47"/>
                    <w:ind w:firstLine="0" w:firstLineChars="0"/>
                    <w:rPr>
                      <w:b/>
                      <w:bCs w:val="0"/>
                      <w:color w:val="auto"/>
                      <w:highlight w:val="none"/>
                    </w:rPr>
                  </w:pPr>
                  <w:r>
                    <w:rPr>
                      <w:rFonts w:hint="eastAsia"/>
                      <w:b/>
                      <w:bCs w:val="0"/>
                      <w:color w:val="auto"/>
                      <w:highlight w:val="none"/>
                    </w:rPr>
                    <w:t>时期</w:t>
                  </w:r>
                </w:p>
              </w:tc>
              <w:tc>
                <w:tcPr>
                  <w:tcW w:w="2207" w:type="pct"/>
                  <w:shd w:val="clear" w:color="auto" w:fill="auto"/>
                  <w:vAlign w:val="center"/>
                </w:tcPr>
                <w:p w14:paraId="523B1151">
                  <w:pPr>
                    <w:pStyle w:val="47"/>
                    <w:ind w:firstLine="0" w:firstLineChars="0"/>
                    <w:rPr>
                      <w:b/>
                      <w:bCs w:val="0"/>
                      <w:color w:val="auto"/>
                      <w:highlight w:val="none"/>
                    </w:rPr>
                  </w:pPr>
                  <w:r>
                    <w:rPr>
                      <w:rFonts w:hint="eastAsia"/>
                      <w:b/>
                      <w:bCs w:val="0"/>
                      <w:color w:val="auto"/>
                      <w:highlight w:val="none"/>
                    </w:rPr>
                    <w:t>标准</w:t>
                  </w:r>
                </w:p>
              </w:tc>
              <w:tc>
                <w:tcPr>
                  <w:tcW w:w="2010" w:type="pct"/>
                  <w:shd w:val="clear" w:color="auto" w:fill="auto"/>
                  <w:vAlign w:val="center"/>
                </w:tcPr>
                <w:p w14:paraId="2676BC8C">
                  <w:pPr>
                    <w:pStyle w:val="47"/>
                    <w:ind w:firstLine="0" w:firstLineChars="0"/>
                    <w:rPr>
                      <w:b/>
                      <w:bCs w:val="0"/>
                      <w:color w:val="auto"/>
                      <w:highlight w:val="none"/>
                    </w:rPr>
                  </w:pPr>
                  <w:r>
                    <w:rPr>
                      <w:rFonts w:hint="eastAsia"/>
                      <w:b/>
                      <w:bCs w:val="0"/>
                      <w:color w:val="auto"/>
                      <w:highlight w:val="none"/>
                    </w:rPr>
                    <w:t>限值</w:t>
                  </w:r>
                </w:p>
              </w:tc>
            </w:tr>
            <w:tr w14:paraId="1762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1" w:type="pct"/>
                  <w:tcBorders>
                    <w:tl2br w:val="nil"/>
                    <w:tr2bl w:val="nil"/>
                  </w:tcBorders>
                  <w:shd w:val="clear" w:color="auto" w:fill="auto"/>
                  <w:vAlign w:val="center"/>
                </w:tcPr>
                <w:p w14:paraId="3C295131">
                  <w:pPr>
                    <w:pStyle w:val="47"/>
                    <w:ind w:firstLine="0" w:firstLineChars="0"/>
                    <w:rPr>
                      <w:color w:val="auto"/>
                      <w:highlight w:val="none"/>
                    </w:rPr>
                  </w:pPr>
                  <w:r>
                    <w:rPr>
                      <w:rFonts w:hint="eastAsia"/>
                      <w:color w:val="auto"/>
                      <w:highlight w:val="none"/>
                    </w:rPr>
                    <w:t>施工期</w:t>
                  </w:r>
                </w:p>
              </w:tc>
              <w:tc>
                <w:tcPr>
                  <w:tcW w:w="2207" w:type="pct"/>
                  <w:tcBorders>
                    <w:tl2br w:val="nil"/>
                    <w:tr2bl w:val="nil"/>
                  </w:tcBorders>
                  <w:shd w:val="clear" w:color="auto" w:fill="auto"/>
                  <w:vAlign w:val="center"/>
                </w:tcPr>
                <w:p w14:paraId="07DC839F">
                  <w:pPr>
                    <w:pStyle w:val="47"/>
                    <w:ind w:firstLine="0" w:firstLineChars="0"/>
                    <w:rPr>
                      <w:color w:val="auto"/>
                      <w:highlight w:val="none"/>
                    </w:rPr>
                  </w:pPr>
                  <w:r>
                    <w:rPr>
                      <w:rFonts w:hint="eastAsia"/>
                      <w:color w:val="auto"/>
                      <w:highlight w:val="none"/>
                    </w:rPr>
                    <w:t>《建筑施工场界环境噪声排放标准》（GB12532-2011）</w:t>
                  </w:r>
                </w:p>
              </w:tc>
              <w:tc>
                <w:tcPr>
                  <w:tcW w:w="2010" w:type="pct"/>
                  <w:tcBorders>
                    <w:tl2br w:val="nil"/>
                    <w:tr2bl w:val="nil"/>
                  </w:tcBorders>
                  <w:shd w:val="clear" w:color="auto" w:fill="auto"/>
                  <w:vAlign w:val="center"/>
                </w:tcPr>
                <w:p w14:paraId="24DED666">
                  <w:pPr>
                    <w:pStyle w:val="47"/>
                    <w:ind w:firstLine="0" w:firstLineChars="0"/>
                    <w:rPr>
                      <w:color w:val="auto"/>
                      <w:highlight w:val="none"/>
                    </w:rPr>
                  </w:pPr>
                  <w:r>
                    <w:rPr>
                      <w:color w:val="auto"/>
                      <w:highlight w:val="none"/>
                    </w:rPr>
                    <w:t>昼间70dB(A)、夜间55dB(A)</w:t>
                  </w:r>
                </w:p>
              </w:tc>
            </w:tr>
            <w:tr w14:paraId="0F66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81" w:type="pct"/>
                  <w:tcBorders>
                    <w:tl2br w:val="nil"/>
                    <w:tr2bl w:val="nil"/>
                  </w:tcBorders>
                  <w:shd w:val="clear" w:color="auto" w:fill="auto"/>
                  <w:vAlign w:val="center"/>
                </w:tcPr>
                <w:p w14:paraId="47DE7D43">
                  <w:pPr>
                    <w:pStyle w:val="47"/>
                    <w:ind w:firstLine="0" w:firstLineChars="0"/>
                    <w:rPr>
                      <w:color w:val="auto"/>
                      <w:highlight w:val="none"/>
                    </w:rPr>
                  </w:pPr>
                  <w:r>
                    <w:rPr>
                      <w:rFonts w:hint="eastAsia"/>
                      <w:color w:val="auto"/>
                      <w:highlight w:val="none"/>
                    </w:rPr>
                    <w:t>运营期</w:t>
                  </w:r>
                </w:p>
              </w:tc>
              <w:tc>
                <w:tcPr>
                  <w:tcW w:w="2207" w:type="pct"/>
                  <w:tcBorders>
                    <w:tl2br w:val="nil"/>
                    <w:tr2bl w:val="nil"/>
                  </w:tcBorders>
                  <w:shd w:val="clear" w:color="auto" w:fill="auto"/>
                  <w:vAlign w:val="center"/>
                </w:tcPr>
                <w:p w14:paraId="71FF6D2C">
                  <w:pPr>
                    <w:pStyle w:val="47"/>
                    <w:ind w:firstLine="0" w:firstLineChars="0"/>
                    <w:rPr>
                      <w:color w:val="auto"/>
                      <w:highlight w:val="none"/>
                    </w:rPr>
                  </w:pPr>
                  <w:r>
                    <w:rPr>
                      <w:rFonts w:hint="eastAsia"/>
                      <w:color w:val="auto"/>
                      <w:highlight w:val="none"/>
                    </w:rPr>
                    <w:t>《工业企业厂界环境噪声排放标准》（GB12348-2008）3类标准</w:t>
                  </w:r>
                </w:p>
              </w:tc>
              <w:tc>
                <w:tcPr>
                  <w:tcW w:w="2010" w:type="pct"/>
                  <w:tcBorders>
                    <w:tl2br w:val="nil"/>
                    <w:tr2bl w:val="nil"/>
                  </w:tcBorders>
                  <w:shd w:val="clear" w:color="auto" w:fill="auto"/>
                  <w:vAlign w:val="center"/>
                </w:tcPr>
                <w:p w14:paraId="142D14D7">
                  <w:pPr>
                    <w:pStyle w:val="47"/>
                    <w:ind w:firstLine="0" w:firstLineChars="0"/>
                    <w:rPr>
                      <w:color w:val="auto"/>
                      <w:highlight w:val="none"/>
                    </w:rPr>
                  </w:pPr>
                  <w:r>
                    <w:rPr>
                      <w:color w:val="auto"/>
                      <w:highlight w:val="none"/>
                    </w:rPr>
                    <w:t>昼间</w:t>
                  </w:r>
                  <w:r>
                    <w:rPr>
                      <w:rFonts w:hint="eastAsia"/>
                      <w:color w:val="auto"/>
                      <w:highlight w:val="none"/>
                    </w:rPr>
                    <w:t>65</w:t>
                  </w:r>
                  <w:r>
                    <w:rPr>
                      <w:color w:val="auto"/>
                      <w:highlight w:val="none"/>
                    </w:rPr>
                    <w:t>dB(A)、夜间</w:t>
                  </w:r>
                  <w:r>
                    <w:rPr>
                      <w:rFonts w:hint="eastAsia"/>
                      <w:color w:val="auto"/>
                      <w:highlight w:val="none"/>
                    </w:rPr>
                    <w:t>55</w:t>
                  </w:r>
                  <w:r>
                    <w:rPr>
                      <w:color w:val="auto"/>
                      <w:highlight w:val="none"/>
                    </w:rPr>
                    <w:t>dB(A)</w:t>
                  </w:r>
                </w:p>
              </w:tc>
            </w:tr>
          </w:tbl>
          <w:p w14:paraId="6962644E">
            <w:pPr>
              <w:pStyle w:val="57"/>
              <w:spacing w:line="520" w:lineRule="exact"/>
              <w:rPr>
                <w:color w:val="auto"/>
                <w:highlight w:val="none"/>
              </w:rPr>
            </w:pPr>
            <w:r>
              <w:rPr>
                <w:rFonts w:hint="eastAsia"/>
                <w:color w:val="auto"/>
                <w:highlight w:val="none"/>
              </w:rPr>
              <w:t>4</w:t>
            </w:r>
            <w:r>
              <w:rPr>
                <w:color w:val="auto"/>
                <w:highlight w:val="none"/>
              </w:rPr>
              <w:t>固废排放标准</w:t>
            </w:r>
          </w:p>
          <w:p w14:paraId="156C6EB5">
            <w:pPr>
              <w:pStyle w:val="57"/>
              <w:spacing w:line="520" w:lineRule="exact"/>
              <w:ind w:firstLine="480" w:firstLineChars="200"/>
              <w:rPr>
                <w:rFonts w:hint="eastAsia"/>
                <w:b w:val="0"/>
                <w:bCs/>
                <w:color w:val="auto"/>
                <w:highlight w:val="none"/>
              </w:rPr>
            </w:pPr>
            <w:r>
              <w:rPr>
                <w:rFonts w:hint="eastAsia"/>
                <w:b w:val="0"/>
                <w:bCs/>
                <w:color w:val="auto"/>
                <w:highlight w:val="none"/>
              </w:rPr>
              <w:t>一般工业固体废物执行《一般工业固体废物贮存和填埋污染控制标准》（GB18599-2020）中有关规定。危险废物贮存执行《危险废物贮存污染控制标准》（GB18597-2023）中的有关规定。</w:t>
            </w:r>
          </w:p>
          <w:p w14:paraId="1974B02A">
            <w:pPr>
              <w:pStyle w:val="57"/>
              <w:spacing w:line="520" w:lineRule="exact"/>
              <w:rPr>
                <w:color w:val="auto"/>
                <w:highlight w:val="none"/>
              </w:rPr>
            </w:pPr>
          </w:p>
        </w:tc>
      </w:tr>
      <w:tr w14:paraId="60FF9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1" w:hRule="atLeast"/>
          <w:jc w:val="center"/>
        </w:trPr>
        <w:tc>
          <w:tcPr>
            <w:tcW w:w="800" w:type="dxa"/>
            <w:vAlign w:val="center"/>
          </w:tcPr>
          <w:p w14:paraId="71C4D1FC">
            <w:pPr>
              <w:adjustRightInd w:val="0"/>
              <w:snapToGrid w:val="0"/>
              <w:jc w:val="center"/>
              <w:rPr>
                <w:color w:val="auto"/>
                <w:kern w:val="0"/>
                <w:sz w:val="24"/>
                <w:highlight w:val="none"/>
              </w:rPr>
            </w:pPr>
            <w:r>
              <w:rPr>
                <w:color w:val="auto"/>
                <w:kern w:val="0"/>
                <w:sz w:val="24"/>
                <w:highlight w:val="none"/>
              </w:rPr>
              <w:t>总量</w:t>
            </w:r>
          </w:p>
          <w:p w14:paraId="59624450">
            <w:pPr>
              <w:adjustRightInd w:val="0"/>
              <w:snapToGrid w:val="0"/>
              <w:jc w:val="center"/>
              <w:rPr>
                <w:color w:val="auto"/>
                <w:kern w:val="0"/>
                <w:sz w:val="24"/>
                <w:highlight w:val="none"/>
              </w:rPr>
            </w:pPr>
            <w:r>
              <w:rPr>
                <w:color w:val="auto"/>
                <w:kern w:val="0"/>
                <w:sz w:val="24"/>
                <w:highlight w:val="none"/>
              </w:rPr>
              <w:t>控制</w:t>
            </w:r>
          </w:p>
          <w:p w14:paraId="3BD1D821">
            <w:pPr>
              <w:adjustRightInd w:val="0"/>
              <w:snapToGrid w:val="0"/>
              <w:jc w:val="center"/>
              <w:rPr>
                <w:color w:val="auto"/>
                <w:kern w:val="0"/>
                <w:sz w:val="24"/>
                <w:highlight w:val="none"/>
              </w:rPr>
            </w:pPr>
            <w:r>
              <w:rPr>
                <w:color w:val="auto"/>
                <w:kern w:val="0"/>
                <w:sz w:val="24"/>
                <w:highlight w:val="none"/>
              </w:rPr>
              <w:t>指标</w:t>
            </w:r>
          </w:p>
        </w:tc>
        <w:tc>
          <w:tcPr>
            <w:tcW w:w="8190" w:type="dxa"/>
            <w:vAlign w:val="center"/>
          </w:tcPr>
          <w:p w14:paraId="44588E85">
            <w:pPr>
              <w:spacing w:line="520" w:lineRule="exact"/>
              <w:ind w:firstLine="480" w:firstLineChars="200"/>
              <w:rPr>
                <w:rFonts w:hint="eastAsia" w:eastAsia="宋体"/>
                <w:color w:val="auto"/>
                <w:highlight w:val="none"/>
                <w:lang w:eastAsia="zh-CN"/>
              </w:rPr>
            </w:pPr>
            <w:r>
              <w:rPr>
                <w:rFonts w:hint="eastAsia"/>
                <w:color w:val="auto"/>
                <w:sz w:val="24"/>
                <w:szCs w:val="32"/>
                <w:highlight w:val="none"/>
              </w:rPr>
              <w:t>根据国家总量控制相关要求，结合本项目厂址区域环境质量现状、外排污染物特征，由于所在地为达标区域，本项目总量控制指标</w:t>
            </w:r>
            <w:r>
              <w:rPr>
                <w:rFonts w:hint="eastAsia"/>
                <w:color w:val="auto"/>
                <w:sz w:val="24"/>
                <w:szCs w:val="32"/>
                <w:highlight w:val="none"/>
                <w:lang w:val="en-US" w:eastAsia="zh-CN"/>
              </w:rPr>
              <w:t>无需进</w:t>
            </w:r>
            <w:r>
              <w:rPr>
                <w:rFonts w:hint="eastAsia"/>
                <w:color w:val="auto"/>
                <w:sz w:val="24"/>
                <w:szCs w:val="32"/>
                <w:highlight w:val="none"/>
              </w:rPr>
              <w:t>行倍量替代</w:t>
            </w:r>
            <w:r>
              <w:rPr>
                <w:rFonts w:hint="eastAsia"/>
                <w:color w:val="auto"/>
                <w:sz w:val="24"/>
                <w:szCs w:val="32"/>
                <w:highlight w:val="none"/>
                <w:lang w:eastAsia="zh-CN"/>
              </w:rPr>
              <w:t>，</w:t>
            </w:r>
            <w:r>
              <w:rPr>
                <w:rFonts w:hint="eastAsia"/>
                <w:color w:val="auto"/>
                <w:sz w:val="24"/>
                <w:szCs w:val="32"/>
                <w:highlight w:val="none"/>
              </w:rPr>
              <w:t>本项目总量控制指标为</w:t>
            </w:r>
            <w:r>
              <w:rPr>
                <w:rFonts w:hint="eastAsia"/>
                <w:color w:val="auto"/>
                <w:sz w:val="24"/>
                <w:szCs w:val="32"/>
                <w:highlight w:val="none"/>
                <w:lang w:val="en-US" w:eastAsia="zh-CN"/>
              </w:rPr>
              <w:t>颗粒物</w:t>
            </w:r>
            <w:r>
              <w:rPr>
                <w:rFonts w:hint="eastAsia"/>
                <w:color w:val="auto"/>
                <w:sz w:val="24"/>
                <w:szCs w:val="32"/>
                <w:highlight w:val="none"/>
              </w:rPr>
              <w:t>：</w:t>
            </w:r>
            <w:r>
              <w:rPr>
                <w:rFonts w:hint="eastAsia"/>
                <w:color w:val="auto"/>
                <w:sz w:val="24"/>
                <w:szCs w:val="32"/>
                <w:highlight w:val="none"/>
                <w:lang w:val="en-US" w:eastAsia="zh-CN"/>
              </w:rPr>
              <w:t>0.0113</w:t>
            </w:r>
            <w:r>
              <w:rPr>
                <w:rFonts w:hint="eastAsia"/>
                <w:color w:val="auto"/>
                <w:sz w:val="24"/>
                <w:szCs w:val="32"/>
                <w:highlight w:val="none"/>
              </w:rPr>
              <w:t>t/a</w:t>
            </w:r>
            <w:r>
              <w:rPr>
                <w:rFonts w:hint="eastAsia"/>
                <w:color w:val="auto"/>
                <w:sz w:val="24"/>
                <w:szCs w:val="32"/>
                <w:highlight w:val="none"/>
                <w:lang w:eastAsia="zh-CN"/>
              </w:rPr>
              <w:t>。</w:t>
            </w:r>
          </w:p>
        </w:tc>
      </w:tr>
    </w:tbl>
    <w:p w14:paraId="3C8F7650">
      <w:pPr>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br w:type="page"/>
      </w:r>
    </w:p>
    <w:p w14:paraId="01F49281">
      <w:pPr>
        <w:pStyle w:val="26"/>
        <w:jc w:val="center"/>
        <w:outlineLvl w:val="0"/>
        <w:rPr>
          <w:rFonts w:ascii="Times New Roman" w:hAnsi="Times New Roman" w:eastAsia="黑体"/>
          <w:snapToGrid w:val="0"/>
          <w:color w:val="auto"/>
          <w:szCs w:val="24"/>
          <w:highlight w:val="none"/>
        </w:rPr>
      </w:pPr>
      <w:r>
        <w:rPr>
          <w:rFonts w:hint="eastAsia" w:ascii="黑体" w:hAnsi="黑体" w:eastAsia="黑体"/>
          <w:snapToGrid w:val="0"/>
          <w:color w:val="auto"/>
          <w:sz w:val="30"/>
          <w:szCs w:val="30"/>
          <w:highlight w:val="none"/>
        </w:rPr>
        <w:t>四、主要环境影响和保护措施</w:t>
      </w:r>
    </w:p>
    <w:tbl>
      <w:tblPr>
        <w:tblStyle w:val="29"/>
        <w:tblW w:w="84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4"/>
        <w:gridCol w:w="7978"/>
      </w:tblGrid>
      <w:tr w14:paraId="2EA56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9" w:hRule="atLeast"/>
          <w:jc w:val="center"/>
        </w:trPr>
        <w:tc>
          <w:tcPr>
            <w:tcW w:w="464" w:type="dxa"/>
            <w:tcMar>
              <w:left w:w="28" w:type="dxa"/>
              <w:right w:w="28" w:type="dxa"/>
            </w:tcMar>
            <w:vAlign w:val="center"/>
          </w:tcPr>
          <w:p w14:paraId="15981A3C">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施工</w:t>
            </w:r>
          </w:p>
          <w:p w14:paraId="1C3EE76F">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期环</w:t>
            </w:r>
          </w:p>
          <w:p w14:paraId="0EBC6E56">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境保</w:t>
            </w:r>
          </w:p>
          <w:p w14:paraId="274FC210">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护措</w:t>
            </w:r>
          </w:p>
          <w:p w14:paraId="2A552524">
            <w:pPr>
              <w:pStyle w:val="26"/>
              <w:adjustRightInd w:val="0"/>
              <w:snapToGrid w:val="0"/>
              <w:spacing w:before="0" w:beforeAutospacing="0" w:after="0" w:afterAutospacing="0"/>
              <w:jc w:val="center"/>
              <w:rPr>
                <w:rFonts w:ascii="Times New Roman" w:hAnsi="Times New Roman"/>
                <w:bCs/>
                <w:color w:val="auto"/>
                <w:kern w:val="2"/>
                <w:szCs w:val="24"/>
                <w:highlight w:val="none"/>
              </w:rPr>
            </w:pPr>
            <w:r>
              <w:rPr>
                <w:rFonts w:ascii="Times New Roman" w:hAnsi="Times New Roman"/>
                <w:color w:val="auto"/>
                <w:kern w:val="2"/>
                <w:szCs w:val="24"/>
                <w:highlight w:val="none"/>
              </w:rPr>
              <w:t>施</w:t>
            </w:r>
          </w:p>
        </w:tc>
        <w:tc>
          <w:tcPr>
            <w:tcW w:w="7978" w:type="dxa"/>
            <w:vAlign w:val="center"/>
          </w:tcPr>
          <w:p w14:paraId="6FA7E9FD">
            <w:pPr>
              <w:adjustRightInd w:val="0"/>
              <w:snapToGrid w:val="0"/>
              <w:spacing w:line="520" w:lineRule="exact"/>
              <w:rPr>
                <w:b/>
                <w:bCs/>
                <w:color w:val="auto"/>
                <w:sz w:val="24"/>
                <w:highlight w:val="none"/>
              </w:rPr>
            </w:pPr>
            <w:r>
              <w:rPr>
                <w:b/>
                <w:bCs/>
                <w:color w:val="auto"/>
                <w:sz w:val="24"/>
                <w:highlight w:val="none"/>
              </w:rPr>
              <w:t>1废气污染物</w:t>
            </w:r>
            <w:r>
              <w:rPr>
                <w:b/>
                <w:bCs/>
                <w:color w:val="auto"/>
                <w:sz w:val="24"/>
                <w:szCs w:val="32"/>
                <w:highlight w:val="none"/>
              </w:rPr>
              <w:t>防治措施</w:t>
            </w:r>
          </w:p>
          <w:p w14:paraId="2EE1D59B">
            <w:pPr>
              <w:pStyle w:val="76"/>
              <w:spacing w:before="4" w:line="360" w:lineRule="auto"/>
              <w:ind w:left="108" w:right="23" w:firstLine="480"/>
              <w:jc w:val="both"/>
              <w:rPr>
                <w:color w:val="auto"/>
                <w:sz w:val="24"/>
                <w:szCs w:val="24"/>
              </w:rPr>
            </w:pPr>
            <w:r>
              <w:rPr>
                <w:color w:val="auto"/>
                <w:spacing w:val="-1"/>
                <w:sz w:val="24"/>
                <w:szCs w:val="24"/>
              </w:rPr>
              <w:t>根据《建筑施工扬尘排放标准》（</w:t>
            </w:r>
            <w:r>
              <w:rPr>
                <w:rFonts w:ascii="Times New Roman" w:hAnsi="Times New Roman" w:eastAsia="Times New Roman" w:cs="Times New Roman"/>
                <w:color w:val="auto"/>
                <w:spacing w:val="-1"/>
                <w:sz w:val="24"/>
                <w:szCs w:val="24"/>
              </w:rPr>
              <w:t>DB6501/T030-2022</w:t>
            </w:r>
            <w:r>
              <w:rPr>
                <w:color w:val="auto"/>
                <w:spacing w:val="12"/>
                <w:sz w:val="24"/>
                <w:szCs w:val="24"/>
              </w:rPr>
              <w:t>）：</w:t>
            </w:r>
            <w:r>
              <w:rPr>
                <w:color w:val="auto"/>
                <w:spacing w:val="-1"/>
                <w:sz w:val="24"/>
                <w:szCs w:val="24"/>
              </w:rPr>
              <w:t>施工现场应落</w:t>
            </w:r>
            <w:r>
              <w:rPr>
                <w:color w:val="auto"/>
                <w:spacing w:val="-2"/>
                <w:sz w:val="24"/>
                <w:szCs w:val="24"/>
              </w:rPr>
              <w:t>实</w:t>
            </w:r>
            <w:r>
              <w:rPr>
                <w:rFonts w:ascii="Times New Roman" w:hAnsi="Times New Roman" w:eastAsia="Times New Roman" w:cs="Times New Roman"/>
                <w:color w:val="auto"/>
                <w:spacing w:val="-2"/>
                <w:sz w:val="24"/>
                <w:szCs w:val="24"/>
              </w:rPr>
              <w:t>100%</w:t>
            </w:r>
            <w:r>
              <w:rPr>
                <w:color w:val="auto"/>
                <w:spacing w:val="-2"/>
                <w:sz w:val="24"/>
                <w:szCs w:val="24"/>
              </w:rPr>
              <w:t>设置连续封闭围挡、</w:t>
            </w:r>
            <w:r>
              <w:rPr>
                <w:rFonts w:ascii="Times New Roman" w:hAnsi="Times New Roman" w:eastAsia="Times New Roman" w:cs="Times New Roman"/>
                <w:color w:val="auto"/>
                <w:spacing w:val="-2"/>
                <w:sz w:val="24"/>
                <w:szCs w:val="24"/>
              </w:rPr>
              <w:t>100%</w:t>
            </w:r>
            <w:r>
              <w:rPr>
                <w:color w:val="auto"/>
                <w:spacing w:val="-2"/>
                <w:sz w:val="24"/>
                <w:szCs w:val="24"/>
              </w:rPr>
              <w:t>设置车辆制式冲洗平台、</w:t>
            </w:r>
            <w:r>
              <w:rPr>
                <w:rFonts w:ascii="Times New Roman" w:hAnsi="Times New Roman" w:eastAsia="Times New Roman" w:cs="Times New Roman"/>
                <w:color w:val="auto"/>
                <w:spacing w:val="-2"/>
                <w:sz w:val="24"/>
                <w:szCs w:val="24"/>
              </w:rPr>
              <w:t>100%</w:t>
            </w:r>
            <w:r>
              <w:rPr>
                <w:color w:val="auto"/>
                <w:spacing w:val="-2"/>
                <w:sz w:val="24"/>
                <w:szCs w:val="24"/>
              </w:rPr>
              <w:t>安装远程视</w:t>
            </w:r>
            <w:r>
              <w:rPr>
                <w:color w:val="auto"/>
                <w:sz w:val="24"/>
                <w:szCs w:val="24"/>
              </w:rPr>
              <w:t>频监控、</w:t>
            </w:r>
            <w:r>
              <w:rPr>
                <w:rFonts w:ascii="Times New Roman" w:hAnsi="Times New Roman" w:eastAsia="Times New Roman" w:cs="Times New Roman"/>
                <w:color w:val="auto"/>
                <w:sz w:val="24"/>
                <w:szCs w:val="24"/>
              </w:rPr>
              <w:t>100%</w:t>
            </w:r>
            <w:r>
              <w:rPr>
                <w:color w:val="auto"/>
                <w:sz w:val="24"/>
                <w:szCs w:val="24"/>
              </w:rPr>
              <w:t>安装</w:t>
            </w:r>
            <w:r>
              <w:rPr>
                <w:rFonts w:ascii="Times New Roman" w:hAnsi="Times New Roman" w:eastAsia="Times New Roman" w:cs="Times New Roman"/>
                <w:color w:val="auto"/>
                <w:sz w:val="24"/>
                <w:szCs w:val="24"/>
              </w:rPr>
              <w:t>PM10</w:t>
            </w:r>
            <w:r>
              <w:rPr>
                <w:color w:val="auto"/>
                <w:sz w:val="24"/>
                <w:szCs w:val="24"/>
              </w:rPr>
              <w:t>在线监测设备、</w:t>
            </w:r>
            <w:r>
              <w:rPr>
                <w:rFonts w:ascii="Times New Roman" w:hAnsi="Times New Roman" w:eastAsia="Times New Roman" w:cs="Times New Roman"/>
                <w:color w:val="auto"/>
                <w:sz w:val="24"/>
                <w:szCs w:val="24"/>
              </w:rPr>
              <w:t>100</w:t>
            </w:r>
            <w:r>
              <w:rPr>
                <w:rFonts w:ascii="Times New Roman" w:hAnsi="Times New Roman" w:eastAsia="Times New Roman" w:cs="Times New Roman"/>
                <w:color w:val="auto"/>
                <w:spacing w:val="-1"/>
                <w:sz w:val="24"/>
                <w:szCs w:val="24"/>
              </w:rPr>
              <w:t>%</w:t>
            </w:r>
            <w:r>
              <w:rPr>
                <w:color w:val="auto"/>
                <w:spacing w:val="-1"/>
                <w:sz w:val="24"/>
                <w:szCs w:val="24"/>
              </w:rPr>
              <w:t>设置围挡喷淋、</w:t>
            </w:r>
            <w:r>
              <w:rPr>
                <w:rFonts w:ascii="Times New Roman" w:hAnsi="Times New Roman" w:eastAsia="Times New Roman" w:cs="Times New Roman"/>
                <w:color w:val="auto"/>
                <w:spacing w:val="-1"/>
                <w:sz w:val="24"/>
                <w:szCs w:val="24"/>
              </w:rPr>
              <w:t>100%</w:t>
            </w:r>
            <w:r>
              <w:rPr>
                <w:color w:val="auto"/>
                <w:spacing w:val="-1"/>
                <w:sz w:val="24"/>
                <w:szCs w:val="24"/>
              </w:rPr>
              <w:t>出入口</w:t>
            </w:r>
            <w:r>
              <w:rPr>
                <w:color w:val="auto"/>
                <w:spacing w:val="-2"/>
                <w:sz w:val="24"/>
                <w:szCs w:val="24"/>
              </w:rPr>
              <w:t>地面硬化、</w:t>
            </w:r>
            <w:r>
              <w:rPr>
                <w:rFonts w:ascii="Times New Roman" w:hAnsi="Times New Roman" w:eastAsia="Times New Roman" w:cs="Times New Roman"/>
                <w:color w:val="auto"/>
                <w:spacing w:val="-2"/>
                <w:sz w:val="24"/>
                <w:szCs w:val="24"/>
              </w:rPr>
              <w:t>100%</w:t>
            </w:r>
            <w:r>
              <w:rPr>
                <w:color w:val="auto"/>
                <w:spacing w:val="-2"/>
                <w:sz w:val="24"/>
                <w:szCs w:val="24"/>
              </w:rPr>
              <w:t>设置扬尘污染防治公示标牌等“</w:t>
            </w:r>
            <w:r>
              <w:rPr>
                <w:rFonts w:ascii="Times New Roman" w:hAnsi="Times New Roman" w:eastAsia="Times New Roman" w:cs="Times New Roman"/>
                <w:color w:val="auto"/>
                <w:spacing w:val="-2"/>
                <w:sz w:val="24"/>
                <w:szCs w:val="24"/>
              </w:rPr>
              <w:t>7</w:t>
            </w:r>
            <w:r>
              <w:rPr>
                <w:color w:val="auto"/>
                <w:spacing w:val="-2"/>
                <w:sz w:val="24"/>
                <w:szCs w:val="24"/>
              </w:rPr>
              <w:t>个</w:t>
            </w:r>
            <w:r>
              <w:rPr>
                <w:rFonts w:ascii="Times New Roman" w:hAnsi="Times New Roman" w:eastAsia="Times New Roman" w:cs="Times New Roman"/>
                <w:color w:val="auto"/>
                <w:spacing w:val="-2"/>
                <w:sz w:val="24"/>
                <w:szCs w:val="24"/>
              </w:rPr>
              <w:t>100%</w:t>
            </w:r>
            <w:r>
              <w:rPr>
                <w:color w:val="auto"/>
                <w:spacing w:val="-2"/>
                <w:sz w:val="24"/>
                <w:szCs w:val="24"/>
              </w:rPr>
              <w:t>”防尘措施。施</w:t>
            </w:r>
            <w:r>
              <w:rPr>
                <w:color w:val="auto"/>
                <w:spacing w:val="-6"/>
                <w:sz w:val="24"/>
                <w:szCs w:val="24"/>
              </w:rPr>
              <w:t>工过程应做到施工现场主要道路硬化</w:t>
            </w:r>
            <w:r>
              <w:rPr>
                <w:rFonts w:ascii="Times New Roman" w:hAnsi="Times New Roman" w:eastAsia="Times New Roman" w:cs="Times New Roman"/>
                <w:color w:val="auto"/>
                <w:spacing w:val="-6"/>
                <w:sz w:val="24"/>
                <w:szCs w:val="24"/>
              </w:rPr>
              <w:t>100%</w:t>
            </w:r>
            <w:r>
              <w:rPr>
                <w:color w:val="auto"/>
                <w:spacing w:val="-6"/>
                <w:sz w:val="24"/>
                <w:szCs w:val="24"/>
              </w:rPr>
              <w:t>、施工现场散装物料遮盖率</w:t>
            </w:r>
            <w:r>
              <w:rPr>
                <w:rFonts w:ascii="Times New Roman" w:hAnsi="Times New Roman" w:eastAsia="Times New Roman" w:cs="Times New Roman"/>
                <w:color w:val="auto"/>
                <w:spacing w:val="-7"/>
                <w:sz w:val="24"/>
                <w:szCs w:val="24"/>
              </w:rPr>
              <w:t>100%</w:t>
            </w:r>
            <w:r>
              <w:rPr>
                <w:color w:val="auto"/>
                <w:spacing w:val="-7"/>
                <w:sz w:val="24"/>
                <w:szCs w:val="24"/>
              </w:rPr>
              <w:t>、</w:t>
            </w:r>
            <w:r>
              <w:rPr>
                <w:color w:val="auto"/>
                <w:spacing w:val="-3"/>
                <w:sz w:val="24"/>
                <w:szCs w:val="24"/>
              </w:rPr>
              <w:t>施工现场裸露场地遮盖率</w:t>
            </w:r>
            <w:r>
              <w:rPr>
                <w:rFonts w:ascii="Times New Roman" w:hAnsi="Times New Roman" w:eastAsia="Times New Roman" w:cs="Times New Roman"/>
                <w:color w:val="auto"/>
                <w:spacing w:val="-3"/>
                <w:sz w:val="24"/>
                <w:szCs w:val="24"/>
              </w:rPr>
              <w:t>100%</w:t>
            </w:r>
            <w:r>
              <w:rPr>
                <w:color w:val="auto"/>
                <w:spacing w:val="-3"/>
                <w:sz w:val="24"/>
                <w:szCs w:val="24"/>
              </w:rPr>
              <w:t>、出场车辆冲洗率</w:t>
            </w:r>
            <w:r>
              <w:rPr>
                <w:rFonts w:ascii="Times New Roman" w:hAnsi="Times New Roman" w:eastAsia="Times New Roman" w:cs="Times New Roman"/>
                <w:color w:val="auto"/>
                <w:spacing w:val="-3"/>
                <w:sz w:val="24"/>
                <w:szCs w:val="24"/>
              </w:rPr>
              <w:t>100%</w:t>
            </w:r>
            <w:r>
              <w:rPr>
                <w:color w:val="auto"/>
                <w:spacing w:val="-3"/>
                <w:sz w:val="24"/>
                <w:szCs w:val="24"/>
              </w:rPr>
              <w:t>、施工工地出入口及</w:t>
            </w:r>
            <w:r>
              <w:rPr>
                <w:color w:val="auto"/>
                <w:spacing w:val="-2"/>
                <w:sz w:val="24"/>
                <w:szCs w:val="24"/>
              </w:rPr>
              <w:t>围挡周边施工影响范围内道路清洁保持率</w:t>
            </w:r>
            <w:r>
              <w:rPr>
                <w:rFonts w:ascii="Times New Roman" w:hAnsi="Times New Roman" w:eastAsia="Times New Roman" w:cs="Times New Roman"/>
                <w:color w:val="auto"/>
                <w:spacing w:val="-2"/>
                <w:sz w:val="24"/>
                <w:szCs w:val="24"/>
              </w:rPr>
              <w:t>100%</w:t>
            </w:r>
            <w:r>
              <w:rPr>
                <w:color w:val="auto"/>
                <w:spacing w:val="-2"/>
                <w:sz w:val="24"/>
                <w:szCs w:val="24"/>
              </w:rPr>
              <w:t>。</w:t>
            </w:r>
          </w:p>
          <w:p w14:paraId="2C7683C2">
            <w:pPr>
              <w:pStyle w:val="76"/>
              <w:spacing w:before="4" w:line="360" w:lineRule="auto"/>
              <w:ind w:left="108" w:right="23" w:firstLine="480"/>
              <w:jc w:val="both"/>
              <w:rPr>
                <w:color w:val="auto"/>
                <w:spacing w:val="-2"/>
                <w:sz w:val="24"/>
                <w:szCs w:val="24"/>
              </w:rPr>
            </w:pPr>
            <w:r>
              <w:rPr>
                <w:color w:val="auto"/>
                <w:sz w:val="24"/>
                <w:szCs w:val="24"/>
              </w:rPr>
              <w:t>本项目施工期扬尘主要是建筑材料运输、卸</w:t>
            </w:r>
            <w:r>
              <w:rPr>
                <w:color w:val="auto"/>
                <w:spacing w:val="-1"/>
                <w:sz w:val="24"/>
                <w:szCs w:val="24"/>
              </w:rPr>
              <w:t>载中产生的扬尘；土方运输</w:t>
            </w:r>
            <w:r>
              <w:rPr>
                <w:color w:val="auto"/>
                <w:sz w:val="24"/>
                <w:szCs w:val="24"/>
              </w:rPr>
              <w:t>车辆行驶产生的扬尘；临时物料堆场产生的扬尘等</w:t>
            </w:r>
            <w:r>
              <w:rPr>
                <w:color w:val="auto"/>
                <w:spacing w:val="-1"/>
                <w:sz w:val="24"/>
                <w:szCs w:val="24"/>
              </w:rPr>
              <w:t>。为减轻施工扬尘对区域</w:t>
            </w:r>
            <w:r>
              <w:rPr>
                <w:color w:val="auto"/>
                <w:sz w:val="24"/>
                <w:szCs w:val="24"/>
              </w:rPr>
              <w:t>空气环境产生的不利影响，施工单位应采取以下措</w:t>
            </w:r>
            <w:r>
              <w:rPr>
                <w:color w:val="auto"/>
                <w:spacing w:val="-1"/>
                <w:sz w:val="24"/>
                <w:szCs w:val="24"/>
              </w:rPr>
              <w:t>施：施工现场和施工过程</w:t>
            </w:r>
            <w:r>
              <w:rPr>
                <w:color w:val="auto"/>
                <w:spacing w:val="-13"/>
                <w:sz w:val="24"/>
                <w:szCs w:val="24"/>
              </w:rPr>
              <w:t>全面落实“十一个百分之百”（施工现场应落实</w:t>
            </w:r>
            <w:r>
              <w:rPr>
                <w:rFonts w:ascii="Times New Roman" w:hAnsi="Times New Roman" w:eastAsia="Times New Roman" w:cs="Times New Roman"/>
                <w:color w:val="auto"/>
                <w:spacing w:val="-13"/>
                <w:sz w:val="24"/>
                <w:szCs w:val="24"/>
              </w:rPr>
              <w:t>100%</w:t>
            </w:r>
            <w:r>
              <w:rPr>
                <w:color w:val="auto"/>
                <w:spacing w:val="-13"/>
                <w:sz w:val="24"/>
                <w:szCs w:val="24"/>
              </w:rPr>
              <w:t>设</w:t>
            </w:r>
            <w:r>
              <w:rPr>
                <w:color w:val="auto"/>
                <w:spacing w:val="-14"/>
                <w:sz w:val="24"/>
                <w:szCs w:val="24"/>
              </w:rPr>
              <w:t>置连续封闭围挡、</w:t>
            </w:r>
            <w:r>
              <w:rPr>
                <w:rFonts w:ascii="Times New Roman" w:hAnsi="Times New Roman" w:eastAsia="Times New Roman" w:cs="Times New Roman"/>
                <w:color w:val="auto"/>
                <w:spacing w:val="-14"/>
                <w:sz w:val="24"/>
                <w:szCs w:val="24"/>
              </w:rPr>
              <w:t>100%</w:t>
            </w:r>
            <w:r>
              <w:rPr>
                <w:color w:val="auto"/>
                <w:sz w:val="24"/>
                <w:szCs w:val="24"/>
              </w:rPr>
              <w:t>设置车辆制式冲洗平台、</w:t>
            </w:r>
            <w:r>
              <w:rPr>
                <w:rFonts w:ascii="Times New Roman" w:hAnsi="Times New Roman" w:eastAsia="Times New Roman" w:cs="Times New Roman"/>
                <w:color w:val="auto"/>
                <w:sz w:val="24"/>
                <w:szCs w:val="24"/>
              </w:rPr>
              <w:t>100%</w:t>
            </w:r>
            <w:r>
              <w:rPr>
                <w:color w:val="auto"/>
                <w:sz w:val="24"/>
                <w:szCs w:val="24"/>
              </w:rPr>
              <w:t>安装远程视</w:t>
            </w:r>
            <w:r>
              <w:rPr>
                <w:color w:val="auto"/>
                <w:spacing w:val="-1"/>
                <w:sz w:val="24"/>
                <w:szCs w:val="24"/>
              </w:rPr>
              <w:t>频监控、</w:t>
            </w:r>
            <w:r>
              <w:rPr>
                <w:rFonts w:ascii="Times New Roman" w:hAnsi="Times New Roman" w:eastAsia="Times New Roman" w:cs="Times New Roman"/>
                <w:color w:val="auto"/>
                <w:spacing w:val="-1"/>
                <w:sz w:val="24"/>
                <w:szCs w:val="24"/>
              </w:rPr>
              <w:t>100%</w:t>
            </w:r>
            <w:r>
              <w:rPr>
                <w:color w:val="auto"/>
                <w:spacing w:val="-1"/>
                <w:sz w:val="24"/>
                <w:szCs w:val="24"/>
              </w:rPr>
              <w:t>安装</w:t>
            </w:r>
            <w:r>
              <w:rPr>
                <w:rFonts w:ascii="Times New Roman" w:hAnsi="Times New Roman" w:eastAsia="Times New Roman" w:cs="Times New Roman"/>
                <w:color w:val="auto"/>
                <w:spacing w:val="-1"/>
                <w:sz w:val="24"/>
                <w:szCs w:val="24"/>
              </w:rPr>
              <w:t>PM10</w:t>
            </w:r>
            <w:r>
              <w:rPr>
                <w:color w:val="auto"/>
                <w:spacing w:val="-1"/>
                <w:sz w:val="24"/>
                <w:szCs w:val="24"/>
              </w:rPr>
              <w:t>在线监</w:t>
            </w:r>
            <w:r>
              <w:rPr>
                <w:color w:val="auto"/>
                <w:sz w:val="24"/>
                <w:szCs w:val="24"/>
              </w:rPr>
              <w:t>测设备、</w:t>
            </w:r>
            <w:r>
              <w:rPr>
                <w:rFonts w:ascii="Times New Roman" w:hAnsi="Times New Roman" w:eastAsia="Times New Roman" w:cs="Times New Roman"/>
                <w:color w:val="auto"/>
                <w:sz w:val="24"/>
                <w:szCs w:val="24"/>
              </w:rPr>
              <w:t>100%</w:t>
            </w:r>
            <w:r>
              <w:rPr>
                <w:color w:val="auto"/>
                <w:sz w:val="24"/>
                <w:szCs w:val="24"/>
              </w:rPr>
              <w:t>设置围挡喷淋、</w:t>
            </w:r>
            <w:r>
              <w:rPr>
                <w:rFonts w:ascii="Times New Roman" w:hAnsi="Times New Roman" w:eastAsia="Times New Roman" w:cs="Times New Roman"/>
                <w:color w:val="auto"/>
                <w:sz w:val="24"/>
                <w:szCs w:val="24"/>
              </w:rPr>
              <w:t>100%</w:t>
            </w:r>
            <w:r>
              <w:rPr>
                <w:color w:val="auto"/>
                <w:sz w:val="24"/>
                <w:szCs w:val="24"/>
              </w:rPr>
              <w:t>出入口地面</w:t>
            </w:r>
            <w:r>
              <w:rPr>
                <w:color w:val="auto"/>
                <w:spacing w:val="-1"/>
                <w:sz w:val="24"/>
                <w:szCs w:val="24"/>
              </w:rPr>
              <w:t>硬化、</w:t>
            </w:r>
            <w:r>
              <w:rPr>
                <w:rFonts w:ascii="Times New Roman" w:hAnsi="Times New Roman" w:eastAsia="Times New Roman" w:cs="Times New Roman"/>
                <w:color w:val="auto"/>
                <w:spacing w:val="-1"/>
                <w:sz w:val="24"/>
                <w:szCs w:val="24"/>
              </w:rPr>
              <w:t>100%</w:t>
            </w:r>
            <w:r>
              <w:rPr>
                <w:color w:val="auto"/>
                <w:spacing w:val="-1"/>
                <w:sz w:val="24"/>
                <w:szCs w:val="24"/>
              </w:rPr>
              <w:t>设置扬尘污染防</w:t>
            </w:r>
            <w:r>
              <w:rPr>
                <w:color w:val="auto"/>
                <w:spacing w:val="-4"/>
                <w:sz w:val="24"/>
                <w:szCs w:val="24"/>
              </w:rPr>
              <w:t>治公示标牌等“</w:t>
            </w:r>
            <w:r>
              <w:rPr>
                <w:rFonts w:ascii="Times New Roman" w:hAnsi="Times New Roman" w:eastAsia="Times New Roman" w:cs="Times New Roman"/>
                <w:color w:val="auto"/>
                <w:spacing w:val="-4"/>
                <w:sz w:val="24"/>
                <w:szCs w:val="24"/>
              </w:rPr>
              <w:t>7</w:t>
            </w:r>
            <w:r>
              <w:rPr>
                <w:color w:val="auto"/>
                <w:spacing w:val="-4"/>
                <w:sz w:val="24"/>
                <w:szCs w:val="24"/>
              </w:rPr>
              <w:t>个</w:t>
            </w:r>
            <w:r>
              <w:rPr>
                <w:rFonts w:ascii="Times New Roman" w:hAnsi="Times New Roman" w:eastAsia="Times New Roman" w:cs="Times New Roman"/>
                <w:color w:val="auto"/>
                <w:spacing w:val="-4"/>
                <w:sz w:val="24"/>
                <w:szCs w:val="24"/>
              </w:rPr>
              <w:t>100%</w:t>
            </w:r>
            <w:r>
              <w:rPr>
                <w:color w:val="auto"/>
                <w:spacing w:val="-4"/>
                <w:sz w:val="24"/>
                <w:szCs w:val="24"/>
              </w:rPr>
              <w:t>”防尘措施。施工过程应做到施工现场主要道路硬</w:t>
            </w:r>
            <w:r>
              <w:rPr>
                <w:color w:val="auto"/>
                <w:spacing w:val="-5"/>
                <w:sz w:val="24"/>
                <w:szCs w:val="24"/>
              </w:rPr>
              <w:t>化</w:t>
            </w:r>
            <w:r>
              <w:rPr>
                <w:rFonts w:ascii="Times New Roman" w:hAnsi="Times New Roman" w:eastAsia="Times New Roman" w:cs="Times New Roman"/>
                <w:color w:val="auto"/>
                <w:spacing w:val="-5"/>
                <w:sz w:val="24"/>
                <w:szCs w:val="24"/>
              </w:rPr>
              <w:t>100%</w:t>
            </w:r>
            <w:r>
              <w:rPr>
                <w:color w:val="auto"/>
                <w:spacing w:val="-5"/>
                <w:sz w:val="24"/>
                <w:szCs w:val="24"/>
              </w:rPr>
              <w:t>、施工现场散装物料遮盖率</w:t>
            </w:r>
            <w:r>
              <w:rPr>
                <w:rFonts w:ascii="Times New Roman" w:hAnsi="Times New Roman" w:eastAsia="Times New Roman" w:cs="Times New Roman"/>
                <w:color w:val="auto"/>
                <w:spacing w:val="-5"/>
                <w:sz w:val="24"/>
                <w:szCs w:val="24"/>
              </w:rPr>
              <w:t>100%</w:t>
            </w:r>
            <w:r>
              <w:rPr>
                <w:color w:val="auto"/>
                <w:spacing w:val="-5"/>
                <w:sz w:val="24"/>
                <w:szCs w:val="24"/>
              </w:rPr>
              <w:t>、施工现场裸露场地遮</w:t>
            </w:r>
            <w:r>
              <w:rPr>
                <w:color w:val="auto"/>
                <w:spacing w:val="-6"/>
                <w:sz w:val="24"/>
                <w:szCs w:val="24"/>
              </w:rPr>
              <w:t>盖率</w:t>
            </w:r>
            <w:r>
              <w:rPr>
                <w:rFonts w:ascii="Times New Roman" w:hAnsi="Times New Roman" w:eastAsia="Times New Roman" w:cs="Times New Roman"/>
                <w:color w:val="auto"/>
                <w:spacing w:val="-6"/>
                <w:sz w:val="24"/>
                <w:szCs w:val="24"/>
              </w:rPr>
              <w:t>100%</w:t>
            </w:r>
            <w:r>
              <w:rPr>
                <w:color w:val="auto"/>
                <w:spacing w:val="-6"/>
                <w:sz w:val="24"/>
                <w:szCs w:val="24"/>
              </w:rPr>
              <w:t>、</w:t>
            </w:r>
            <w:r>
              <w:rPr>
                <w:color w:val="auto"/>
                <w:spacing w:val="-4"/>
                <w:sz w:val="24"/>
                <w:szCs w:val="24"/>
              </w:rPr>
              <w:t>出场车辆冲洗率</w:t>
            </w:r>
            <w:r>
              <w:rPr>
                <w:rFonts w:ascii="Times New Roman" w:hAnsi="Times New Roman" w:eastAsia="Times New Roman" w:cs="Times New Roman"/>
                <w:color w:val="auto"/>
                <w:spacing w:val="-4"/>
                <w:sz w:val="24"/>
                <w:szCs w:val="24"/>
              </w:rPr>
              <w:t>100%</w:t>
            </w:r>
            <w:r>
              <w:rPr>
                <w:color w:val="auto"/>
                <w:spacing w:val="-4"/>
                <w:sz w:val="24"/>
                <w:szCs w:val="24"/>
              </w:rPr>
              <w:t>、施工工地出入口</w:t>
            </w:r>
            <w:r>
              <w:rPr>
                <w:color w:val="auto"/>
                <w:spacing w:val="-5"/>
                <w:sz w:val="24"/>
                <w:szCs w:val="24"/>
              </w:rPr>
              <w:t>及围挡周边施工影响范围内道路清洁</w:t>
            </w:r>
            <w:r>
              <w:rPr>
                <w:color w:val="auto"/>
                <w:spacing w:val="-8"/>
                <w:sz w:val="24"/>
                <w:szCs w:val="24"/>
              </w:rPr>
              <w:t>保持率</w:t>
            </w:r>
            <w:r>
              <w:rPr>
                <w:rFonts w:hint="default" w:ascii="Times New Roman" w:hAnsi="Times New Roman" w:eastAsia="Times New Roman" w:cs="Times New Roman"/>
                <w:color w:val="auto"/>
                <w:spacing w:val="-8"/>
                <w:sz w:val="24"/>
                <w:szCs w:val="24"/>
              </w:rPr>
              <w:t>100</w:t>
            </w:r>
            <w:r>
              <w:rPr>
                <w:rFonts w:hint="default" w:ascii="Times New Roman" w:hAnsi="Times New Roman" w:cs="Times New Roman"/>
                <w:color w:val="auto"/>
                <w:spacing w:val="-2"/>
                <w:sz w:val="24"/>
                <w:szCs w:val="24"/>
              </w:rPr>
              <w:t>%。</w:t>
            </w:r>
            <w:r>
              <w:rPr>
                <w:color w:val="auto"/>
                <w:spacing w:val="-2"/>
                <w:sz w:val="24"/>
                <w:szCs w:val="24"/>
              </w:rPr>
              <w:t>）。</w:t>
            </w:r>
          </w:p>
          <w:p w14:paraId="6183CC88">
            <w:pPr>
              <w:pStyle w:val="76"/>
              <w:spacing w:before="4" w:line="360" w:lineRule="auto"/>
              <w:ind w:left="108" w:right="23" w:firstLine="480"/>
              <w:jc w:val="both"/>
              <w:rPr>
                <w:color w:val="auto"/>
                <w:spacing w:val="-2"/>
                <w:sz w:val="24"/>
                <w:szCs w:val="24"/>
              </w:rPr>
            </w:pPr>
            <w:r>
              <w:rPr>
                <w:color w:val="auto"/>
                <w:spacing w:val="-2"/>
                <w:sz w:val="24"/>
                <w:szCs w:val="24"/>
              </w:rPr>
              <w:t>具体环境保护措施如下：</w:t>
            </w:r>
          </w:p>
          <w:p w14:paraId="29BFBA32">
            <w:pPr>
              <w:pStyle w:val="76"/>
              <w:spacing w:before="4" w:line="360" w:lineRule="auto"/>
              <w:ind w:left="108" w:right="23" w:firstLine="480"/>
              <w:jc w:val="both"/>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（1）对施工现场实行合理化管理，使砂石料统一堆放，水泥应在专门库房堆放，并尽量减少搬运环节，搬运时做到轻举轻放，防止包装袋破裂；</w:t>
            </w:r>
          </w:p>
          <w:p w14:paraId="1C5F8117">
            <w:pPr>
              <w:pStyle w:val="76"/>
              <w:spacing w:before="4" w:line="360" w:lineRule="auto"/>
              <w:ind w:left="108" w:right="23" w:firstLine="480"/>
              <w:jc w:val="both"/>
              <w:rPr>
                <w:rFonts w:hint="default" w:ascii="Times New Roman" w:hAnsi="Times New Roman" w:cs="Times New Roman"/>
                <w:color w:val="auto"/>
                <w:spacing w:val="-2"/>
                <w:sz w:val="24"/>
                <w:szCs w:val="24"/>
              </w:rPr>
            </w:pPr>
            <w:r>
              <w:rPr>
                <w:rFonts w:hint="default" w:ascii="Times New Roman" w:hAnsi="Times New Roman" w:cs="Times New Roman"/>
                <w:color w:val="auto"/>
                <w:spacing w:val="-2"/>
                <w:sz w:val="24"/>
                <w:szCs w:val="24"/>
              </w:rPr>
              <w:t>（2）对作业面和土堆适当喷水，使其保持一定湿度，以减少扬尘量，而且开挖的泥土和建筑垃圾要及时运走，以防长期堆放表面干燥而起尘或被雨水冲刷；</w:t>
            </w:r>
          </w:p>
          <w:p w14:paraId="1F7171C5">
            <w:pPr>
              <w:pStyle w:val="76"/>
              <w:spacing w:before="4" w:line="360" w:lineRule="auto"/>
              <w:ind w:left="108" w:right="23" w:firstLine="480"/>
              <w:jc w:val="both"/>
              <w:rPr>
                <w:color w:val="auto"/>
                <w:spacing w:val="-2"/>
                <w:sz w:val="24"/>
                <w:szCs w:val="24"/>
              </w:rPr>
            </w:pPr>
            <w:r>
              <w:rPr>
                <w:rFonts w:hint="default" w:ascii="Times New Roman" w:hAnsi="Times New Roman" w:cs="Times New Roman"/>
                <w:color w:val="auto"/>
                <w:spacing w:val="-2"/>
                <w:sz w:val="24"/>
                <w:szCs w:val="24"/>
              </w:rPr>
              <w:t>（3）运</w:t>
            </w:r>
            <w:r>
              <w:rPr>
                <w:color w:val="auto"/>
                <w:spacing w:val="-2"/>
                <w:sz w:val="24"/>
                <w:szCs w:val="24"/>
              </w:rPr>
              <w:t>输车辆应完好</w:t>
            </w:r>
            <w:r>
              <w:rPr>
                <w:color w:val="auto"/>
                <w:spacing w:val="-4"/>
                <w:sz w:val="24"/>
                <w:szCs w:val="24"/>
              </w:rPr>
              <w:t>，</w:t>
            </w:r>
            <w:r>
              <w:rPr>
                <w:color w:val="auto"/>
                <w:spacing w:val="-2"/>
                <w:sz w:val="24"/>
                <w:szCs w:val="24"/>
              </w:rPr>
              <w:t>不应装载过满，并尽量采取遮盖、密闭措施，减少沿途抛洒，并及时清扫散落在路面上的泥土和建筑材料，施工道路和场地应定时洒水压尘，运输车辆上路前应喷水冲洗轮胎，以减少运输过程中的扬尘；</w:t>
            </w:r>
          </w:p>
          <w:p w14:paraId="01AF74F2">
            <w:pPr>
              <w:pStyle w:val="76"/>
              <w:spacing w:before="4" w:line="360" w:lineRule="auto"/>
              <w:ind w:left="108" w:right="23" w:firstLine="480"/>
              <w:jc w:val="both"/>
              <w:rPr>
                <w:color w:val="auto"/>
                <w:spacing w:val="-2"/>
                <w:sz w:val="24"/>
                <w:szCs w:val="24"/>
              </w:rPr>
            </w:pPr>
            <w:r>
              <w:rPr>
                <w:color w:val="auto"/>
                <w:spacing w:val="-2"/>
                <w:sz w:val="24"/>
                <w:szCs w:val="24"/>
              </w:rPr>
              <w:t>（4）应首选使用商品混凝土，因需要必须进行现场搅拌砂浆、混凝土时，应尽量做到不洒、不漏、不剩、不倒；混凝土搅拌应设置在棚内，搅拌时要有喷雾降尘措施；</w:t>
            </w:r>
          </w:p>
          <w:p w14:paraId="3D2E50FB">
            <w:pPr>
              <w:pStyle w:val="76"/>
              <w:spacing w:before="4" w:line="360" w:lineRule="auto"/>
              <w:ind w:left="108" w:right="23" w:firstLine="480"/>
              <w:jc w:val="both"/>
              <w:rPr>
                <w:color w:val="auto"/>
                <w:spacing w:val="-2"/>
                <w:sz w:val="24"/>
                <w:szCs w:val="24"/>
              </w:rPr>
            </w:pPr>
            <w:r>
              <w:rPr>
                <w:color w:val="auto"/>
                <w:spacing w:val="-2"/>
                <w:sz w:val="24"/>
                <w:szCs w:val="24"/>
              </w:rPr>
              <w:t>（5）施工现场要设围栏或部分围栏，缩小施工扬尘扩散范围；</w:t>
            </w:r>
          </w:p>
          <w:p w14:paraId="7BCCD1F6">
            <w:pPr>
              <w:pStyle w:val="76"/>
              <w:spacing w:before="4" w:line="360" w:lineRule="auto"/>
              <w:ind w:left="108" w:right="23" w:firstLine="480"/>
              <w:jc w:val="both"/>
              <w:rPr>
                <w:color w:val="auto"/>
                <w:spacing w:val="-2"/>
                <w:sz w:val="24"/>
                <w:szCs w:val="24"/>
              </w:rPr>
            </w:pPr>
            <w:r>
              <w:rPr>
                <w:color w:val="auto"/>
                <w:spacing w:val="-2"/>
                <w:sz w:val="24"/>
                <w:szCs w:val="24"/>
              </w:rPr>
              <w:t>（6）当风速过大时，应停止施工作业，并对堆存的砂粉等建筑材料采取遮盖措施。</w:t>
            </w:r>
          </w:p>
          <w:p w14:paraId="5B6EA878">
            <w:pPr>
              <w:pStyle w:val="76"/>
              <w:spacing w:before="4" w:line="360" w:lineRule="auto"/>
              <w:ind w:left="108" w:right="23" w:firstLine="480"/>
              <w:jc w:val="both"/>
              <w:rPr>
                <w:color w:val="auto"/>
                <w:spacing w:val="-2"/>
                <w:sz w:val="24"/>
                <w:szCs w:val="24"/>
              </w:rPr>
            </w:pPr>
            <w:r>
              <w:rPr>
                <w:color w:val="auto"/>
                <w:spacing w:val="-2"/>
                <w:sz w:val="24"/>
                <w:szCs w:val="24"/>
              </w:rPr>
              <w:t>（7）施工过程中燃油设备较多，产生大量的燃油废气。对于施工机械的柴油机工作时排放的烟气，施工单位应做好机械的维护、保养工作，避免油料在柴油机内不完全燃烧而产生大量的黑烟；对燃柴油的大型运输车辆、推土机、挖掘机等要安装尾气净化装置，保证尾气达标排放；运输车辆禁止超载、不得使用劣质燃料；对车辆的尾气排放进行监督管理，严格执行汽车排污监管办法。</w:t>
            </w:r>
          </w:p>
          <w:p w14:paraId="1F7A61D7">
            <w:pPr>
              <w:pStyle w:val="76"/>
              <w:spacing w:before="4" w:line="360" w:lineRule="auto"/>
              <w:ind w:left="108" w:right="23" w:firstLine="480"/>
              <w:jc w:val="both"/>
              <w:rPr>
                <w:color w:val="auto"/>
                <w:spacing w:val="-2"/>
                <w:sz w:val="24"/>
                <w:szCs w:val="24"/>
              </w:rPr>
            </w:pPr>
            <w:r>
              <w:rPr>
                <w:color w:val="auto"/>
                <w:spacing w:val="-2"/>
                <w:sz w:val="24"/>
                <w:szCs w:val="24"/>
              </w:rPr>
              <w:t>采取适当措施，严格控制施工期间产生的扬尘，确保能够满足《大气污染物综合排放标准》（GB16297-1996）表2中无组织排放监控浓度限值标准，措施可行。</w:t>
            </w:r>
          </w:p>
          <w:p w14:paraId="6582CF40">
            <w:pPr>
              <w:pStyle w:val="76"/>
              <w:spacing w:before="56" w:line="220" w:lineRule="auto"/>
              <w:outlineLvl w:val="1"/>
              <w:rPr>
                <w:color w:val="auto"/>
                <w:sz w:val="24"/>
                <w:szCs w:val="24"/>
              </w:rPr>
            </w:pPr>
            <w:r>
              <w:rPr>
                <w:rFonts w:ascii="Times New Roman" w:hAnsi="Times New Roman" w:eastAsia="Times New Roman" w:cs="Times New Roman"/>
                <w:b/>
                <w:bCs/>
                <w:color w:val="auto"/>
                <w:spacing w:val="-5"/>
                <w:sz w:val="24"/>
                <w:szCs w:val="24"/>
              </w:rPr>
              <w:t>2</w:t>
            </w:r>
            <w:r>
              <w:rPr>
                <w:b/>
                <w:bCs/>
                <w:color w:val="auto"/>
                <w:spacing w:val="-5"/>
                <w:sz w:val="24"/>
                <w:szCs w:val="24"/>
              </w:rPr>
              <w:t>、施工期水环境保护措施</w:t>
            </w:r>
          </w:p>
          <w:p w14:paraId="6CC94A3B">
            <w:pPr>
              <w:pStyle w:val="76"/>
              <w:spacing w:before="194" w:line="220" w:lineRule="auto"/>
              <w:rPr>
                <w:color w:val="auto"/>
                <w:sz w:val="24"/>
                <w:szCs w:val="24"/>
              </w:rPr>
            </w:pPr>
            <w:r>
              <w:rPr>
                <w:rFonts w:ascii="Times New Roman" w:hAnsi="Times New Roman" w:eastAsia="Times New Roman" w:cs="Times New Roman"/>
                <w:b/>
                <w:bCs/>
                <w:color w:val="auto"/>
                <w:spacing w:val="-2"/>
                <w:sz w:val="24"/>
                <w:szCs w:val="24"/>
              </w:rPr>
              <w:t>2.1</w:t>
            </w:r>
            <w:r>
              <w:rPr>
                <w:b/>
                <w:bCs/>
                <w:color w:val="auto"/>
                <w:spacing w:val="-2"/>
                <w:sz w:val="24"/>
                <w:szCs w:val="24"/>
              </w:rPr>
              <w:t>施工废水</w:t>
            </w:r>
          </w:p>
          <w:p w14:paraId="02BEB10A">
            <w:pPr>
              <w:pStyle w:val="76"/>
              <w:spacing w:before="194" w:line="369" w:lineRule="auto"/>
              <w:ind w:firstLine="480" w:firstLineChars="200"/>
              <w:rPr>
                <w:color w:val="auto"/>
                <w:sz w:val="24"/>
                <w:szCs w:val="24"/>
              </w:rPr>
            </w:pPr>
            <w:r>
              <w:rPr>
                <w:color w:val="auto"/>
                <w:sz w:val="24"/>
                <w:szCs w:val="24"/>
              </w:rPr>
              <w:t>本项目施工废水主要来自施工材料养护排水</w:t>
            </w:r>
            <w:r>
              <w:rPr>
                <w:color w:val="auto"/>
                <w:spacing w:val="-1"/>
                <w:sz w:val="24"/>
                <w:szCs w:val="24"/>
              </w:rPr>
              <w:t>，主要污染物是</w:t>
            </w:r>
            <w:r>
              <w:rPr>
                <w:rFonts w:ascii="Times New Roman" w:hAnsi="Times New Roman" w:eastAsia="Times New Roman" w:cs="Times New Roman"/>
                <w:color w:val="auto"/>
                <w:spacing w:val="-1"/>
                <w:sz w:val="24"/>
                <w:szCs w:val="24"/>
              </w:rPr>
              <w:t>SS</w:t>
            </w:r>
            <w:r>
              <w:rPr>
                <w:color w:val="auto"/>
                <w:spacing w:val="-1"/>
                <w:sz w:val="24"/>
                <w:szCs w:val="24"/>
              </w:rPr>
              <w:t>，水量较少。此类废水经沉淀池沉淀后循环使用，不排放。</w:t>
            </w:r>
          </w:p>
          <w:p w14:paraId="158E4858">
            <w:pPr>
              <w:pStyle w:val="76"/>
              <w:spacing w:line="220" w:lineRule="auto"/>
              <w:rPr>
                <w:rFonts w:hint="eastAsia" w:eastAsia="宋体"/>
                <w:color w:val="auto"/>
                <w:sz w:val="24"/>
                <w:szCs w:val="24"/>
                <w:lang w:eastAsia="zh-CN"/>
              </w:rPr>
            </w:pPr>
            <w:r>
              <w:rPr>
                <w:rFonts w:ascii="Times New Roman" w:hAnsi="Times New Roman" w:eastAsia="Times New Roman" w:cs="Times New Roman"/>
                <w:b/>
                <w:bCs/>
                <w:color w:val="auto"/>
                <w:spacing w:val="-4"/>
                <w:sz w:val="24"/>
                <w:szCs w:val="24"/>
              </w:rPr>
              <w:t>2.2</w:t>
            </w:r>
            <w:r>
              <w:rPr>
                <w:rFonts w:hint="eastAsia" w:eastAsia="宋体"/>
                <w:b/>
                <w:bCs/>
                <w:color w:val="auto"/>
                <w:spacing w:val="-4"/>
                <w:sz w:val="24"/>
                <w:szCs w:val="24"/>
                <w:lang w:eastAsia="zh-CN"/>
              </w:rPr>
              <w:t>生活污水</w:t>
            </w:r>
          </w:p>
          <w:p w14:paraId="42C408E0">
            <w:pPr>
              <w:pStyle w:val="76"/>
              <w:spacing w:before="194" w:line="369" w:lineRule="auto"/>
              <w:ind w:left="104" w:right="83" w:firstLine="484"/>
              <w:rPr>
                <w:color w:val="auto"/>
                <w:sz w:val="24"/>
                <w:szCs w:val="24"/>
              </w:rPr>
            </w:pPr>
            <w:r>
              <w:rPr>
                <w:color w:val="auto"/>
                <w:spacing w:val="-2"/>
                <w:sz w:val="24"/>
                <w:szCs w:val="24"/>
              </w:rPr>
              <w:t>施工期间不设立独立的生活营地，施工期生活污水主要污染物为</w:t>
            </w:r>
            <w:r>
              <w:rPr>
                <w:rFonts w:ascii="Times New Roman" w:hAnsi="Times New Roman" w:eastAsia="Times New Roman" w:cs="Times New Roman"/>
                <w:color w:val="auto"/>
                <w:spacing w:val="-2"/>
                <w:sz w:val="24"/>
                <w:szCs w:val="24"/>
              </w:rPr>
              <w:t>COD</w:t>
            </w:r>
            <w:r>
              <w:rPr>
                <w:color w:val="auto"/>
                <w:spacing w:val="-2"/>
                <w:sz w:val="24"/>
                <w:szCs w:val="24"/>
              </w:rPr>
              <w:t>、</w:t>
            </w:r>
            <w:r>
              <w:rPr>
                <w:rFonts w:ascii="Times New Roman" w:hAnsi="Times New Roman" w:eastAsia="Times New Roman" w:cs="Times New Roman"/>
                <w:color w:val="auto"/>
                <w:spacing w:val="-2"/>
                <w:sz w:val="24"/>
                <w:szCs w:val="24"/>
              </w:rPr>
              <w:t>BOD</w:t>
            </w:r>
            <w:r>
              <w:rPr>
                <w:color w:val="auto"/>
                <w:spacing w:val="-2"/>
                <w:sz w:val="24"/>
                <w:szCs w:val="24"/>
              </w:rPr>
              <w:t>、</w:t>
            </w:r>
            <w:r>
              <w:rPr>
                <w:rFonts w:ascii="Times New Roman" w:hAnsi="Times New Roman" w:eastAsia="Times New Roman" w:cs="Times New Roman"/>
                <w:color w:val="auto"/>
                <w:spacing w:val="-2"/>
                <w:sz w:val="24"/>
                <w:szCs w:val="24"/>
              </w:rPr>
              <w:t>SS</w:t>
            </w:r>
            <w:r>
              <w:rPr>
                <w:color w:val="auto"/>
                <w:spacing w:val="-2"/>
                <w:sz w:val="24"/>
                <w:szCs w:val="24"/>
              </w:rPr>
              <w:t>、氨氮，施工期生活污水</w:t>
            </w:r>
            <w:r>
              <w:rPr>
                <w:rFonts w:hint="eastAsia"/>
                <w:color w:val="auto"/>
                <w:spacing w:val="-2"/>
                <w:sz w:val="24"/>
                <w:szCs w:val="24"/>
                <w:lang w:val="en-US" w:eastAsia="zh-CN"/>
              </w:rPr>
              <w:t>就近</w:t>
            </w:r>
            <w:r>
              <w:rPr>
                <w:color w:val="auto"/>
                <w:spacing w:val="-2"/>
                <w:sz w:val="24"/>
                <w:szCs w:val="24"/>
              </w:rPr>
              <w:t>排入</w:t>
            </w:r>
            <w:r>
              <w:rPr>
                <w:color w:val="auto"/>
                <w:spacing w:val="-3"/>
                <w:sz w:val="24"/>
                <w:szCs w:val="24"/>
              </w:rPr>
              <w:t>园区下水管网。</w:t>
            </w:r>
          </w:p>
          <w:p w14:paraId="49DCA410">
            <w:pPr>
              <w:pStyle w:val="76"/>
              <w:spacing w:before="1" w:line="220" w:lineRule="auto"/>
              <w:outlineLvl w:val="1"/>
              <w:rPr>
                <w:color w:val="auto"/>
                <w:sz w:val="24"/>
                <w:szCs w:val="24"/>
              </w:rPr>
            </w:pPr>
            <w:r>
              <w:rPr>
                <w:rFonts w:ascii="Times New Roman" w:hAnsi="Times New Roman" w:eastAsia="Times New Roman" w:cs="Times New Roman"/>
                <w:b/>
                <w:bCs/>
                <w:color w:val="auto"/>
                <w:spacing w:val="-6"/>
                <w:sz w:val="24"/>
                <w:szCs w:val="24"/>
              </w:rPr>
              <w:t>3</w:t>
            </w:r>
            <w:r>
              <w:rPr>
                <w:b/>
                <w:bCs/>
                <w:color w:val="auto"/>
                <w:spacing w:val="-6"/>
                <w:sz w:val="24"/>
                <w:szCs w:val="24"/>
              </w:rPr>
              <w:t>、声环境保护措施</w:t>
            </w:r>
          </w:p>
          <w:p w14:paraId="33296438">
            <w:pPr>
              <w:pStyle w:val="76"/>
              <w:spacing w:before="188" w:line="362" w:lineRule="exact"/>
              <w:ind w:left="601"/>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1</w:t>
            </w:r>
            <w:r>
              <w:rPr>
                <w:color w:val="auto"/>
                <w:spacing w:val="-3"/>
                <w:position w:val="2"/>
                <w:sz w:val="24"/>
                <w:szCs w:val="24"/>
              </w:rPr>
              <w:t>）施工设施情况</w:t>
            </w:r>
          </w:p>
          <w:p w14:paraId="44BC161F">
            <w:pPr>
              <w:pStyle w:val="76"/>
              <w:spacing w:before="198" w:line="398" w:lineRule="auto"/>
              <w:ind w:left="108" w:right="101" w:firstLine="480"/>
              <w:rPr>
                <w:color w:val="auto"/>
                <w:sz w:val="24"/>
                <w:szCs w:val="24"/>
              </w:rPr>
            </w:pPr>
            <w:r>
              <w:rPr>
                <w:color w:val="auto"/>
                <w:sz w:val="24"/>
                <w:szCs w:val="24"/>
              </w:rPr>
              <w:t>施工期间的各种施工机械产生的噪声是影响施工区附近声环境质量的重要因素。从施工过程来看，可以把工程施工期分为场地清理阶段、土石方挖掘阶段、结构施工阶段。土石方挖掘阶段主要噪声源为推土机、挖掘机、装载机和各种运输车辆作业时产生的噪声，主要是移动声源，没有明显的方向性；结构施工阶段，主要产噪设备有混凝土搅拌机、振捣器、电锯等，其中还包括一些撞击噪声。各施工阶段中以土石方挖掘阶段的挖掘机及土建施工阶段的振捣器等的噪声对环境影响最大。施工过程中各噪声设备源强调查结</w:t>
            </w:r>
            <w:r>
              <w:rPr>
                <w:color w:val="auto"/>
                <w:spacing w:val="-2"/>
                <w:sz w:val="24"/>
                <w:szCs w:val="24"/>
              </w:rPr>
              <w:t>果见表</w:t>
            </w:r>
            <w:r>
              <w:rPr>
                <w:rFonts w:ascii="Times New Roman" w:hAnsi="Times New Roman" w:eastAsia="Times New Roman" w:cs="Times New Roman"/>
                <w:color w:val="auto"/>
                <w:spacing w:val="-2"/>
                <w:sz w:val="24"/>
                <w:szCs w:val="24"/>
              </w:rPr>
              <w:t>4-1</w:t>
            </w:r>
            <w:r>
              <w:rPr>
                <w:color w:val="auto"/>
                <w:spacing w:val="-2"/>
                <w:sz w:val="24"/>
                <w:szCs w:val="24"/>
              </w:rPr>
              <w:t>。</w:t>
            </w:r>
          </w:p>
          <w:p w14:paraId="6F9E9EB7">
            <w:pPr>
              <w:pStyle w:val="76"/>
              <w:spacing w:before="1" w:line="220" w:lineRule="auto"/>
              <w:ind w:left="1932"/>
              <w:rPr>
                <w:color w:val="auto"/>
                <w:sz w:val="24"/>
                <w:szCs w:val="24"/>
              </w:rPr>
            </w:pPr>
            <w:r>
              <w:rPr>
                <w:b/>
                <w:bCs/>
                <w:color w:val="auto"/>
                <w:spacing w:val="-3"/>
                <w:sz w:val="24"/>
                <w:szCs w:val="24"/>
              </w:rPr>
              <w:t>表</w:t>
            </w:r>
            <w:r>
              <w:rPr>
                <w:rFonts w:ascii="Times New Roman" w:hAnsi="Times New Roman" w:eastAsia="Times New Roman" w:cs="Times New Roman"/>
                <w:b/>
                <w:bCs/>
                <w:color w:val="auto"/>
                <w:spacing w:val="-3"/>
                <w:sz w:val="24"/>
                <w:szCs w:val="24"/>
              </w:rPr>
              <w:t>4-1</w:t>
            </w:r>
            <w:r>
              <w:rPr>
                <w:b/>
                <w:bCs/>
                <w:color w:val="auto"/>
                <w:spacing w:val="-3"/>
                <w:sz w:val="24"/>
                <w:szCs w:val="24"/>
              </w:rPr>
              <w:t>工程施工期主要噪声源调查统计表</w:t>
            </w:r>
          </w:p>
          <w:p w14:paraId="16F9B43F">
            <w:pPr>
              <w:spacing w:line="19" w:lineRule="exact"/>
              <w:rPr>
                <w:color w:val="auto"/>
              </w:rPr>
            </w:pPr>
          </w:p>
          <w:tbl>
            <w:tblPr>
              <w:tblStyle w:val="74"/>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3"/>
              <w:gridCol w:w="2326"/>
              <w:gridCol w:w="1974"/>
              <w:gridCol w:w="1377"/>
            </w:tblGrid>
            <w:tr w14:paraId="2EE01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337" w:type="pct"/>
                  <w:tcBorders>
                    <w:top w:val="single" w:color="000000" w:sz="10" w:space="0"/>
                    <w:left w:val="single" w:color="000000" w:sz="10" w:space="0"/>
                  </w:tcBorders>
                  <w:vAlign w:val="center"/>
                </w:tcPr>
                <w:p w14:paraId="36941572">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1"/>
                      <w:sz w:val="21"/>
                      <w:szCs w:val="21"/>
                    </w:rPr>
                    <w:t>时间</w:t>
                  </w:r>
                </w:p>
              </w:tc>
              <w:tc>
                <w:tcPr>
                  <w:tcW w:w="1500" w:type="pct"/>
                  <w:tcBorders>
                    <w:top w:val="single" w:color="000000" w:sz="10" w:space="0"/>
                  </w:tcBorders>
                  <w:vAlign w:val="center"/>
                </w:tcPr>
                <w:p w14:paraId="44BEE620">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7"/>
                      <w:sz w:val="21"/>
                      <w:szCs w:val="21"/>
                    </w:rPr>
                    <w:t>施工机械</w:t>
                  </w:r>
                </w:p>
              </w:tc>
              <w:tc>
                <w:tcPr>
                  <w:tcW w:w="1273" w:type="pct"/>
                  <w:tcBorders>
                    <w:top w:val="single" w:color="000000" w:sz="10" w:space="0"/>
                  </w:tcBorders>
                  <w:vAlign w:val="center"/>
                </w:tcPr>
                <w:p w14:paraId="0B90905E">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position w:val="2"/>
                      <w:sz w:val="21"/>
                      <w:szCs w:val="21"/>
                    </w:rPr>
                    <w:t>声级（</w:t>
                  </w:r>
                  <w:r>
                    <w:rPr>
                      <w:rFonts w:ascii="Times New Roman" w:hAnsi="Times New Roman" w:eastAsia="Times New Roman" w:cs="Times New Roman"/>
                      <w:color w:val="auto"/>
                      <w:position w:val="2"/>
                      <w:sz w:val="21"/>
                      <w:szCs w:val="21"/>
                    </w:rPr>
                    <w:t>dB</w:t>
                  </w:r>
                  <w:r>
                    <w:rPr>
                      <w:rFonts w:ascii="Times New Roman" w:hAnsi="Times New Roman" w:eastAsia="Times New Roman" w:cs="Times New Roman"/>
                      <w:color w:val="auto"/>
                      <w:spacing w:val="6"/>
                      <w:position w:val="2"/>
                      <w:sz w:val="21"/>
                      <w:szCs w:val="21"/>
                    </w:rPr>
                    <w:t>(A)</w:t>
                  </w:r>
                  <w:r>
                    <w:rPr>
                      <w:color w:val="auto"/>
                      <w:spacing w:val="6"/>
                      <w:position w:val="2"/>
                      <w:sz w:val="21"/>
                      <w:szCs w:val="21"/>
                    </w:rPr>
                    <w:t>）</w:t>
                  </w:r>
                </w:p>
              </w:tc>
              <w:tc>
                <w:tcPr>
                  <w:tcW w:w="888" w:type="pct"/>
                  <w:tcBorders>
                    <w:top w:val="single" w:color="000000" w:sz="10" w:space="0"/>
                    <w:right w:val="single" w:color="000000" w:sz="10" w:space="0"/>
                  </w:tcBorders>
                  <w:vAlign w:val="center"/>
                </w:tcPr>
                <w:p w14:paraId="5B16D25D">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sz w:val="21"/>
                      <w:szCs w:val="21"/>
                    </w:rPr>
                    <w:t>声源性质</w:t>
                  </w:r>
                </w:p>
              </w:tc>
            </w:tr>
            <w:tr w14:paraId="7FF1B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337" w:type="pct"/>
                  <w:vMerge w:val="restart"/>
                  <w:tcBorders>
                    <w:left w:val="single" w:color="000000" w:sz="10" w:space="0"/>
                    <w:bottom w:val="nil"/>
                  </w:tcBorders>
                  <w:vAlign w:val="center"/>
                </w:tcPr>
                <w:p w14:paraId="357EEFEC">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9"/>
                      <w:sz w:val="21"/>
                      <w:szCs w:val="21"/>
                    </w:rPr>
                    <w:t>场地清理、土石方挖</w:t>
                  </w:r>
                  <w:r>
                    <w:rPr>
                      <w:color w:val="auto"/>
                      <w:spacing w:val="1"/>
                      <w:sz w:val="21"/>
                      <w:szCs w:val="21"/>
                    </w:rPr>
                    <w:t>掘</w:t>
                  </w:r>
                </w:p>
              </w:tc>
              <w:tc>
                <w:tcPr>
                  <w:tcW w:w="1500" w:type="pct"/>
                  <w:vAlign w:val="center"/>
                </w:tcPr>
                <w:p w14:paraId="0AD094DD">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sz w:val="21"/>
                      <w:szCs w:val="21"/>
                    </w:rPr>
                    <w:t>推土机</w:t>
                  </w:r>
                </w:p>
              </w:tc>
              <w:tc>
                <w:tcPr>
                  <w:tcW w:w="1273" w:type="pct"/>
                  <w:vAlign w:val="center"/>
                </w:tcPr>
                <w:p w14:paraId="7E172325">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2"/>
                      <w:sz w:val="21"/>
                      <w:szCs w:val="21"/>
                    </w:rPr>
                    <w:t>88</w:t>
                  </w:r>
                  <w:r>
                    <w:rPr>
                      <w:color w:val="auto"/>
                      <w:spacing w:val="3"/>
                      <w:position w:val="2"/>
                      <w:sz w:val="21"/>
                      <w:szCs w:val="21"/>
                    </w:rPr>
                    <w:t>～</w:t>
                  </w:r>
                  <w:r>
                    <w:rPr>
                      <w:rFonts w:ascii="Times New Roman" w:hAnsi="Times New Roman" w:eastAsia="Times New Roman" w:cs="Times New Roman"/>
                      <w:color w:val="auto"/>
                      <w:spacing w:val="3"/>
                      <w:position w:val="2"/>
                      <w:sz w:val="21"/>
                      <w:szCs w:val="21"/>
                    </w:rPr>
                    <w:t>95</w:t>
                  </w:r>
                </w:p>
              </w:tc>
              <w:tc>
                <w:tcPr>
                  <w:tcW w:w="888" w:type="pct"/>
                  <w:vMerge w:val="restart"/>
                  <w:tcBorders>
                    <w:bottom w:val="nil"/>
                    <w:right w:val="single" w:color="000000" w:sz="10" w:space="0"/>
                  </w:tcBorders>
                  <w:vAlign w:val="center"/>
                </w:tcPr>
                <w:p w14:paraId="72CB8639">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3"/>
                      <w:sz w:val="21"/>
                      <w:szCs w:val="21"/>
                    </w:rPr>
                    <w:t>间歇性源</w:t>
                  </w:r>
                </w:p>
              </w:tc>
            </w:tr>
            <w:tr w14:paraId="0C994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337" w:type="pct"/>
                  <w:vMerge w:val="continue"/>
                  <w:tcBorders>
                    <w:top w:val="nil"/>
                    <w:left w:val="single" w:color="000000" w:sz="10" w:space="0"/>
                    <w:bottom w:val="nil"/>
                  </w:tcBorders>
                  <w:vAlign w:val="center"/>
                </w:tcPr>
                <w:p w14:paraId="2095812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c>
                <w:tcPr>
                  <w:tcW w:w="1500" w:type="pct"/>
                  <w:vAlign w:val="center"/>
                </w:tcPr>
                <w:p w14:paraId="3F03C1F0">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7"/>
                      <w:sz w:val="21"/>
                      <w:szCs w:val="21"/>
                    </w:rPr>
                    <w:t>挖掘机</w:t>
                  </w:r>
                </w:p>
              </w:tc>
              <w:tc>
                <w:tcPr>
                  <w:tcW w:w="1273" w:type="pct"/>
                  <w:vAlign w:val="center"/>
                </w:tcPr>
                <w:p w14:paraId="48287483">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2"/>
                      <w:sz w:val="21"/>
                      <w:szCs w:val="21"/>
                    </w:rPr>
                    <w:t>90</w:t>
                  </w:r>
                  <w:r>
                    <w:rPr>
                      <w:color w:val="auto"/>
                      <w:spacing w:val="4"/>
                      <w:position w:val="2"/>
                      <w:sz w:val="21"/>
                      <w:szCs w:val="21"/>
                    </w:rPr>
                    <w:t>～</w:t>
                  </w:r>
                  <w:r>
                    <w:rPr>
                      <w:rFonts w:ascii="Times New Roman" w:hAnsi="Times New Roman" w:eastAsia="Times New Roman" w:cs="Times New Roman"/>
                      <w:color w:val="auto"/>
                      <w:spacing w:val="4"/>
                      <w:position w:val="2"/>
                      <w:sz w:val="21"/>
                      <w:szCs w:val="21"/>
                    </w:rPr>
                    <w:t>105</w:t>
                  </w:r>
                </w:p>
              </w:tc>
              <w:tc>
                <w:tcPr>
                  <w:tcW w:w="888" w:type="pct"/>
                  <w:vMerge w:val="continue"/>
                  <w:tcBorders>
                    <w:top w:val="nil"/>
                    <w:bottom w:val="nil"/>
                    <w:right w:val="single" w:color="000000" w:sz="10" w:space="0"/>
                  </w:tcBorders>
                  <w:vAlign w:val="center"/>
                </w:tcPr>
                <w:p w14:paraId="0BDD8A8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r w14:paraId="69ED3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337" w:type="pct"/>
                  <w:vMerge w:val="continue"/>
                  <w:tcBorders>
                    <w:top w:val="nil"/>
                    <w:left w:val="single" w:color="000000" w:sz="10" w:space="0"/>
                    <w:bottom w:val="nil"/>
                  </w:tcBorders>
                  <w:vAlign w:val="center"/>
                </w:tcPr>
                <w:p w14:paraId="4170BC1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c>
                <w:tcPr>
                  <w:tcW w:w="1500" w:type="pct"/>
                  <w:vAlign w:val="center"/>
                </w:tcPr>
                <w:p w14:paraId="6854BFB1">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sz w:val="21"/>
                      <w:szCs w:val="21"/>
                    </w:rPr>
                    <w:t>装载机</w:t>
                  </w:r>
                </w:p>
              </w:tc>
              <w:tc>
                <w:tcPr>
                  <w:tcW w:w="1273" w:type="pct"/>
                  <w:vAlign w:val="center"/>
                </w:tcPr>
                <w:p w14:paraId="13A63FFC">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2"/>
                      <w:sz w:val="21"/>
                      <w:szCs w:val="21"/>
                    </w:rPr>
                    <w:t>90</w:t>
                  </w:r>
                  <w:r>
                    <w:rPr>
                      <w:color w:val="auto"/>
                      <w:spacing w:val="4"/>
                      <w:position w:val="2"/>
                      <w:sz w:val="21"/>
                      <w:szCs w:val="21"/>
                    </w:rPr>
                    <w:t>～</w:t>
                  </w:r>
                  <w:r>
                    <w:rPr>
                      <w:rFonts w:ascii="Times New Roman" w:hAnsi="Times New Roman" w:eastAsia="Times New Roman" w:cs="Times New Roman"/>
                      <w:color w:val="auto"/>
                      <w:spacing w:val="4"/>
                      <w:position w:val="2"/>
                      <w:sz w:val="21"/>
                      <w:szCs w:val="21"/>
                    </w:rPr>
                    <w:t>100</w:t>
                  </w:r>
                </w:p>
              </w:tc>
              <w:tc>
                <w:tcPr>
                  <w:tcW w:w="888" w:type="pct"/>
                  <w:vMerge w:val="continue"/>
                  <w:tcBorders>
                    <w:top w:val="nil"/>
                    <w:bottom w:val="nil"/>
                    <w:right w:val="single" w:color="000000" w:sz="10" w:space="0"/>
                  </w:tcBorders>
                  <w:vAlign w:val="center"/>
                </w:tcPr>
                <w:p w14:paraId="048DCBC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r w14:paraId="6B8EB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337" w:type="pct"/>
                  <w:vMerge w:val="continue"/>
                  <w:tcBorders>
                    <w:top w:val="nil"/>
                    <w:left w:val="single" w:color="000000" w:sz="10" w:space="0"/>
                  </w:tcBorders>
                  <w:vAlign w:val="center"/>
                </w:tcPr>
                <w:p w14:paraId="3649B42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c>
                <w:tcPr>
                  <w:tcW w:w="1500" w:type="pct"/>
                  <w:vAlign w:val="center"/>
                </w:tcPr>
                <w:p w14:paraId="556977FB">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sz w:val="21"/>
                      <w:szCs w:val="21"/>
                    </w:rPr>
                    <w:t>各种车辆</w:t>
                  </w:r>
                </w:p>
              </w:tc>
              <w:tc>
                <w:tcPr>
                  <w:tcW w:w="1273" w:type="pct"/>
                  <w:vAlign w:val="center"/>
                </w:tcPr>
                <w:p w14:paraId="7F1EC0C3">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2"/>
                      <w:sz w:val="21"/>
                      <w:szCs w:val="21"/>
                    </w:rPr>
                    <w:t>70</w:t>
                  </w:r>
                  <w:r>
                    <w:rPr>
                      <w:color w:val="auto"/>
                      <w:spacing w:val="4"/>
                      <w:position w:val="2"/>
                      <w:sz w:val="21"/>
                      <w:szCs w:val="21"/>
                    </w:rPr>
                    <w:t>～</w:t>
                  </w:r>
                  <w:r>
                    <w:rPr>
                      <w:rFonts w:ascii="Times New Roman" w:hAnsi="Times New Roman" w:eastAsia="Times New Roman" w:cs="Times New Roman"/>
                      <w:color w:val="auto"/>
                      <w:spacing w:val="4"/>
                      <w:position w:val="2"/>
                      <w:sz w:val="21"/>
                      <w:szCs w:val="21"/>
                    </w:rPr>
                    <w:t>95</w:t>
                  </w:r>
                </w:p>
              </w:tc>
              <w:tc>
                <w:tcPr>
                  <w:tcW w:w="888" w:type="pct"/>
                  <w:vMerge w:val="continue"/>
                  <w:tcBorders>
                    <w:top w:val="nil"/>
                    <w:bottom w:val="nil"/>
                    <w:right w:val="single" w:color="000000" w:sz="10" w:space="0"/>
                  </w:tcBorders>
                  <w:vAlign w:val="center"/>
                </w:tcPr>
                <w:p w14:paraId="3A28352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r w14:paraId="3682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337" w:type="pct"/>
                  <w:vMerge w:val="restart"/>
                  <w:tcBorders>
                    <w:left w:val="single" w:color="000000" w:sz="10" w:space="0"/>
                    <w:bottom w:val="nil"/>
                  </w:tcBorders>
                  <w:vAlign w:val="center"/>
                </w:tcPr>
                <w:p w14:paraId="2D83DA30">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7"/>
                      <w:sz w:val="21"/>
                      <w:szCs w:val="21"/>
                    </w:rPr>
                    <w:t>结构施工阶段</w:t>
                  </w:r>
                </w:p>
              </w:tc>
              <w:tc>
                <w:tcPr>
                  <w:tcW w:w="1500" w:type="pct"/>
                  <w:vAlign w:val="center"/>
                </w:tcPr>
                <w:p w14:paraId="68A49AF6">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7"/>
                      <w:sz w:val="21"/>
                      <w:szCs w:val="21"/>
                    </w:rPr>
                    <w:t>混凝土搅拌机</w:t>
                  </w:r>
                </w:p>
              </w:tc>
              <w:tc>
                <w:tcPr>
                  <w:tcW w:w="1273" w:type="pct"/>
                  <w:vAlign w:val="center"/>
                </w:tcPr>
                <w:p w14:paraId="39444B52">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2"/>
                      <w:sz w:val="21"/>
                      <w:szCs w:val="21"/>
                    </w:rPr>
                    <w:t>80</w:t>
                  </w:r>
                  <w:r>
                    <w:rPr>
                      <w:color w:val="auto"/>
                      <w:spacing w:val="3"/>
                      <w:position w:val="2"/>
                      <w:sz w:val="21"/>
                      <w:szCs w:val="21"/>
                    </w:rPr>
                    <w:t>～</w:t>
                  </w:r>
                  <w:r>
                    <w:rPr>
                      <w:rFonts w:ascii="Times New Roman" w:hAnsi="Times New Roman" w:eastAsia="Times New Roman" w:cs="Times New Roman"/>
                      <w:color w:val="auto"/>
                      <w:spacing w:val="3"/>
                      <w:position w:val="2"/>
                      <w:sz w:val="21"/>
                      <w:szCs w:val="21"/>
                    </w:rPr>
                    <w:t>95</w:t>
                  </w:r>
                </w:p>
              </w:tc>
              <w:tc>
                <w:tcPr>
                  <w:tcW w:w="888" w:type="pct"/>
                  <w:vMerge w:val="continue"/>
                  <w:tcBorders>
                    <w:top w:val="nil"/>
                    <w:bottom w:val="nil"/>
                    <w:right w:val="single" w:color="000000" w:sz="10" w:space="0"/>
                  </w:tcBorders>
                  <w:vAlign w:val="center"/>
                </w:tcPr>
                <w:p w14:paraId="504003A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r w14:paraId="0A8CA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37" w:type="pct"/>
                  <w:vMerge w:val="continue"/>
                  <w:tcBorders>
                    <w:top w:val="nil"/>
                    <w:left w:val="single" w:color="000000" w:sz="10" w:space="0"/>
                    <w:bottom w:val="nil"/>
                  </w:tcBorders>
                  <w:vAlign w:val="center"/>
                </w:tcPr>
                <w:p w14:paraId="36F8F67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c>
                <w:tcPr>
                  <w:tcW w:w="1500" w:type="pct"/>
                  <w:vAlign w:val="center"/>
                </w:tcPr>
                <w:p w14:paraId="2D161DCF">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8"/>
                      <w:sz w:val="21"/>
                      <w:szCs w:val="21"/>
                    </w:rPr>
                    <w:t>电锯</w:t>
                  </w:r>
                </w:p>
              </w:tc>
              <w:tc>
                <w:tcPr>
                  <w:tcW w:w="1273" w:type="pct"/>
                  <w:vAlign w:val="center"/>
                </w:tcPr>
                <w:p w14:paraId="1B6FCA43">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90</w:t>
                  </w:r>
                  <w:r>
                    <w:rPr>
                      <w:color w:val="auto"/>
                      <w:spacing w:val="3"/>
                      <w:position w:val="1"/>
                      <w:sz w:val="21"/>
                      <w:szCs w:val="21"/>
                    </w:rPr>
                    <w:t>～</w:t>
                  </w:r>
                  <w:r>
                    <w:rPr>
                      <w:rFonts w:ascii="Times New Roman" w:hAnsi="Times New Roman" w:eastAsia="Times New Roman" w:cs="Times New Roman"/>
                      <w:color w:val="auto"/>
                      <w:spacing w:val="3"/>
                      <w:position w:val="1"/>
                      <w:sz w:val="21"/>
                      <w:szCs w:val="21"/>
                    </w:rPr>
                    <w:t>110</w:t>
                  </w:r>
                </w:p>
              </w:tc>
              <w:tc>
                <w:tcPr>
                  <w:tcW w:w="888" w:type="pct"/>
                  <w:vMerge w:val="continue"/>
                  <w:tcBorders>
                    <w:top w:val="nil"/>
                    <w:bottom w:val="nil"/>
                    <w:right w:val="single" w:color="000000" w:sz="10" w:space="0"/>
                  </w:tcBorders>
                  <w:vAlign w:val="center"/>
                </w:tcPr>
                <w:p w14:paraId="3B528FA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r w14:paraId="22183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337" w:type="pct"/>
                  <w:vMerge w:val="continue"/>
                  <w:tcBorders>
                    <w:top w:val="nil"/>
                    <w:left w:val="single" w:color="000000" w:sz="10" w:space="0"/>
                    <w:bottom w:val="single" w:color="000000" w:sz="10" w:space="0"/>
                  </w:tcBorders>
                  <w:vAlign w:val="center"/>
                </w:tcPr>
                <w:p w14:paraId="2591830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c>
                <w:tcPr>
                  <w:tcW w:w="1500" w:type="pct"/>
                  <w:tcBorders>
                    <w:bottom w:val="single" w:color="000000" w:sz="10" w:space="0"/>
                  </w:tcBorders>
                  <w:vAlign w:val="center"/>
                </w:tcPr>
                <w:p w14:paraId="4F4C5509">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1"/>
                      <w:szCs w:val="21"/>
                    </w:rPr>
                  </w:pPr>
                  <w:r>
                    <w:rPr>
                      <w:color w:val="auto"/>
                      <w:spacing w:val="6"/>
                      <w:sz w:val="21"/>
                      <w:szCs w:val="21"/>
                    </w:rPr>
                    <w:t>升降机</w:t>
                  </w:r>
                </w:p>
              </w:tc>
              <w:tc>
                <w:tcPr>
                  <w:tcW w:w="1273" w:type="pct"/>
                  <w:tcBorders>
                    <w:bottom w:val="single" w:color="000000" w:sz="10" w:space="0"/>
                  </w:tcBorders>
                  <w:vAlign w:val="center"/>
                </w:tcPr>
                <w:p w14:paraId="65108E97">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2"/>
                      <w:sz w:val="21"/>
                      <w:szCs w:val="21"/>
                    </w:rPr>
                    <w:t>88</w:t>
                  </w:r>
                  <w:r>
                    <w:rPr>
                      <w:color w:val="auto"/>
                      <w:spacing w:val="3"/>
                      <w:position w:val="2"/>
                      <w:sz w:val="21"/>
                      <w:szCs w:val="21"/>
                    </w:rPr>
                    <w:t>～</w:t>
                  </w:r>
                  <w:r>
                    <w:rPr>
                      <w:rFonts w:ascii="Times New Roman" w:hAnsi="Times New Roman" w:eastAsia="Times New Roman" w:cs="Times New Roman"/>
                      <w:color w:val="auto"/>
                      <w:spacing w:val="3"/>
                      <w:position w:val="2"/>
                      <w:sz w:val="21"/>
                      <w:szCs w:val="21"/>
                    </w:rPr>
                    <w:t>95</w:t>
                  </w:r>
                </w:p>
              </w:tc>
              <w:tc>
                <w:tcPr>
                  <w:tcW w:w="888" w:type="pct"/>
                  <w:vMerge w:val="continue"/>
                  <w:tcBorders>
                    <w:top w:val="nil"/>
                    <w:bottom w:val="single" w:color="000000" w:sz="10" w:space="0"/>
                    <w:right w:val="single" w:color="000000" w:sz="10" w:space="0"/>
                  </w:tcBorders>
                  <w:vAlign w:val="center"/>
                </w:tcPr>
                <w:p w14:paraId="6CAC04E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Arial"/>
                      <w:color w:val="auto"/>
                      <w:sz w:val="21"/>
                      <w:szCs w:val="21"/>
                    </w:rPr>
                  </w:pPr>
                </w:p>
              </w:tc>
            </w:tr>
          </w:tbl>
          <w:p w14:paraId="5E888F11">
            <w:pPr>
              <w:numPr>
                <w:ilvl w:val="0"/>
                <w:numId w:val="5"/>
              </w:numPr>
              <w:adjustRightInd w:val="0"/>
              <w:snapToGrid w:val="0"/>
              <w:spacing w:line="520" w:lineRule="exact"/>
              <w:ind w:firstLine="472" w:firstLineChars="200"/>
              <w:rPr>
                <w:color w:val="auto"/>
                <w:spacing w:val="-2"/>
                <w:position w:val="1"/>
                <w:sz w:val="24"/>
                <w:szCs w:val="24"/>
              </w:rPr>
            </w:pPr>
            <w:r>
              <w:rPr>
                <w:color w:val="auto"/>
                <w:spacing w:val="-2"/>
                <w:position w:val="1"/>
                <w:sz w:val="24"/>
                <w:szCs w:val="24"/>
              </w:rPr>
              <w:t>施工声环境预测结果和分析</w:t>
            </w:r>
          </w:p>
          <w:p w14:paraId="41E8D205">
            <w:pPr>
              <w:pStyle w:val="76"/>
              <w:spacing w:before="180" w:line="325" w:lineRule="auto"/>
              <w:ind w:left="895" w:right="509" w:hanging="304"/>
              <w:rPr>
                <w:rFonts w:ascii="Times New Roman" w:hAnsi="Times New Roman" w:eastAsia="Times New Roman" w:cs="Times New Roman"/>
                <w:color w:val="auto"/>
                <w:sz w:val="24"/>
                <w:szCs w:val="24"/>
              </w:rPr>
            </w:pPr>
            <w:r>
              <w:rPr>
                <w:color w:val="auto"/>
                <w:sz w:val="24"/>
                <w:szCs w:val="24"/>
              </w:rPr>
              <w:t>预测本项目施工期多台噪声设备在不同距离处的噪声级，见表</w:t>
            </w:r>
            <w:r>
              <w:rPr>
                <w:rFonts w:ascii="Times New Roman" w:hAnsi="Times New Roman" w:eastAsia="Times New Roman" w:cs="Times New Roman"/>
                <w:color w:val="auto"/>
                <w:sz w:val="24"/>
                <w:szCs w:val="24"/>
              </w:rPr>
              <w:t>4-2</w:t>
            </w:r>
            <w:r>
              <w:rPr>
                <w:color w:val="auto"/>
                <w:sz w:val="24"/>
                <w:szCs w:val="24"/>
              </w:rPr>
              <w:t>。</w:t>
            </w:r>
            <w:r>
              <w:rPr>
                <w:b/>
                <w:bCs/>
                <w:color w:val="auto"/>
                <w:spacing w:val="-2"/>
                <w:sz w:val="24"/>
                <w:szCs w:val="24"/>
              </w:rPr>
              <w:t>表</w:t>
            </w:r>
            <w:r>
              <w:rPr>
                <w:rFonts w:ascii="Times New Roman" w:hAnsi="Times New Roman" w:eastAsia="Times New Roman" w:cs="Times New Roman"/>
                <w:b/>
                <w:bCs/>
                <w:color w:val="auto"/>
                <w:spacing w:val="-2"/>
                <w:sz w:val="24"/>
                <w:szCs w:val="24"/>
              </w:rPr>
              <w:t>4-2</w:t>
            </w:r>
            <w:r>
              <w:rPr>
                <w:b/>
                <w:bCs/>
                <w:color w:val="auto"/>
                <w:spacing w:val="-2"/>
                <w:sz w:val="24"/>
                <w:szCs w:val="24"/>
              </w:rPr>
              <w:t>主要噪声设备不同距离处噪声级预测结果单位：</w:t>
            </w:r>
            <w:r>
              <w:rPr>
                <w:rFonts w:ascii="Times New Roman" w:hAnsi="Times New Roman" w:eastAsia="Times New Roman" w:cs="Times New Roman"/>
                <w:b/>
                <w:bCs/>
                <w:color w:val="auto"/>
                <w:spacing w:val="-2"/>
                <w:sz w:val="24"/>
                <w:szCs w:val="24"/>
              </w:rPr>
              <w:t>dB(A)</w:t>
            </w:r>
          </w:p>
          <w:tbl>
            <w:tblPr>
              <w:tblStyle w:val="74"/>
              <w:tblW w:w="7919"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
              <w:gridCol w:w="869"/>
              <w:gridCol w:w="649"/>
              <w:gridCol w:w="649"/>
              <w:gridCol w:w="649"/>
              <w:gridCol w:w="694"/>
              <w:gridCol w:w="671"/>
              <w:gridCol w:w="671"/>
              <w:gridCol w:w="671"/>
              <w:gridCol w:w="671"/>
              <w:gridCol w:w="797"/>
            </w:tblGrid>
            <w:tr w14:paraId="70D8E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28" w:type="dxa"/>
                  <w:vMerge w:val="restart"/>
                  <w:tcBorders>
                    <w:top w:val="single" w:color="000000" w:sz="10" w:space="0"/>
                    <w:left w:val="single" w:color="000000" w:sz="10" w:space="0"/>
                    <w:bottom w:val="nil"/>
                  </w:tcBorders>
                  <w:vAlign w:val="center"/>
                </w:tcPr>
                <w:p w14:paraId="40EA351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声源名称</w:t>
                  </w:r>
                </w:p>
              </w:tc>
              <w:tc>
                <w:tcPr>
                  <w:tcW w:w="869" w:type="dxa"/>
                  <w:vMerge w:val="restart"/>
                  <w:tcBorders>
                    <w:top w:val="single" w:color="000000" w:sz="10" w:space="0"/>
                    <w:bottom w:val="nil"/>
                  </w:tcBorders>
                  <w:vAlign w:val="center"/>
                </w:tcPr>
                <w:p w14:paraId="29444C1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3"/>
                      <w:sz w:val="21"/>
                      <w:szCs w:val="21"/>
                    </w:rPr>
                    <w:t>噪声源</w:t>
                  </w:r>
                  <w:r>
                    <w:rPr>
                      <w:rFonts w:ascii="Times New Roman" w:hAnsi="Times New Roman" w:eastAsia="Times New Roman" w:cs="Times New Roman"/>
                      <w:color w:val="auto"/>
                      <w:sz w:val="21"/>
                      <w:szCs w:val="21"/>
                    </w:rPr>
                    <w:t>dB</w:t>
                  </w:r>
                  <w:r>
                    <w:rPr>
                      <w:color w:val="auto"/>
                      <w:spacing w:val="4"/>
                      <w:sz w:val="21"/>
                      <w:szCs w:val="21"/>
                    </w:rPr>
                    <w:t>（</w:t>
                  </w:r>
                  <w:r>
                    <w:rPr>
                      <w:rFonts w:ascii="Times New Roman" w:hAnsi="Times New Roman" w:eastAsia="Times New Roman" w:cs="Times New Roman"/>
                      <w:color w:val="auto"/>
                      <w:spacing w:val="4"/>
                      <w:sz w:val="21"/>
                      <w:szCs w:val="21"/>
                    </w:rPr>
                    <w:t>A</w:t>
                  </w:r>
                  <w:r>
                    <w:rPr>
                      <w:color w:val="auto"/>
                      <w:spacing w:val="4"/>
                      <w:sz w:val="21"/>
                      <w:szCs w:val="21"/>
                    </w:rPr>
                    <w:t>）</w:t>
                  </w:r>
                </w:p>
              </w:tc>
              <w:tc>
                <w:tcPr>
                  <w:tcW w:w="6122" w:type="dxa"/>
                  <w:gridSpan w:val="9"/>
                  <w:tcBorders>
                    <w:top w:val="single" w:color="000000" w:sz="10" w:space="0"/>
                    <w:right w:val="single" w:color="000000" w:sz="10" w:space="0"/>
                  </w:tcBorders>
                  <w:vAlign w:val="center"/>
                </w:tcPr>
                <w:p w14:paraId="047BACF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8"/>
                      <w:sz w:val="21"/>
                      <w:szCs w:val="21"/>
                    </w:rPr>
                    <w:t>影响距离及影响值</w:t>
                  </w:r>
                </w:p>
              </w:tc>
            </w:tr>
            <w:tr w14:paraId="7BFCC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928" w:type="dxa"/>
                  <w:vMerge w:val="continue"/>
                  <w:tcBorders>
                    <w:top w:val="nil"/>
                    <w:left w:val="single" w:color="000000" w:sz="10" w:space="0"/>
                  </w:tcBorders>
                  <w:vAlign w:val="center"/>
                </w:tcPr>
                <w:p w14:paraId="08E312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869" w:type="dxa"/>
                  <w:vMerge w:val="continue"/>
                  <w:tcBorders>
                    <w:top w:val="nil"/>
                  </w:tcBorders>
                  <w:vAlign w:val="center"/>
                </w:tcPr>
                <w:p w14:paraId="425BD3D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649" w:type="dxa"/>
                  <w:vAlign w:val="center"/>
                </w:tcPr>
                <w:p w14:paraId="435997B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20m</w:t>
                  </w:r>
                </w:p>
              </w:tc>
              <w:tc>
                <w:tcPr>
                  <w:tcW w:w="649" w:type="dxa"/>
                  <w:vAlign w:val="center"/>
                </w:tcPr>
                <w:p w14:paraId="7D04623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40m</w:t>
                  </w:r>
                </w:p>
              </w:tc>
              <w:tc>
                <w:tcPr>
                  <w:tcW w:w="649" w:type="dxa"/>
                  <w:vAlign w:val="center"/>
                </w:tcPr>
                <w:p w14:paraId="338894A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60m</w:t>
                  </w:r>
                </w:p>
              </w:tc>
              <w:tc>
                <w:tcPr>
                  <w:tcW w:w="694" w:type="dxa"/>
                  <w:vAlign w:val="center"/>
                </w:tcPr>
                <w:p w14:paraId="07329F6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80m</w:t>
                  </w:r>
                </w:p>
              </w:tc>
              <w:tc>
                <w:tcPr>
                  <w:tcW w:w="671" w:type="dxa"/>
                  <w:vAlign w:val="center"/>
                </w:tcPr>
                <w:p w14:paraId="5413EAF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100m</w:t>
                  </w:r>
                </w:p>
              </w:tc>
              <w:tc>
                <w:tcPr>
                  <w:tcW w:w="671" w:type="dxa"/>
                  <w:vAlign w:val="center"/>
                </w:tcPr>
                <w:p w14:paraId="39D51A2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120m</w:t>
                  </w:r>
                </w:p>
              </w:tc>
              <w:tc>
                <w:tcPr>
                  <w:tcW w:w="671" w:type="dxa"/>
                  <w:vAlign w:val="center"/>
                </w:tcPr>
                <w:p w14:paraId="1CEB1BD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140m</w:t>
                  </w:r>
                </w:p>
              </w:tc>
              <w:tc>
                <w:tcPr>
                  <w:tcW w:w="671" w:type="dxa"/>
                  <w:vAlign w:val="center"/>
                </w:tcPr>
                <w:p w14:paraId="7DC7235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160m</w:t>
                  </w:r>
                </w:p>
              </w:tc>
              <w:tc>
                <w:tcPr>
                  <w:tcW w:w="797" w:type="dxa"/>
                  <w:tcBorders>
                    <w:right w:val="single" w:color="000000" w:sz="10" w:space="0"/>
                  </w:tcBorders>
                  <w:vAlign w:val="center"/>
                </w:tcPr>
                <w:p w14:paraId="1FB7BCF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position w:val="1"/>
                      <w:sz w:val="21"/>
                      <w:szCs w:val="21"/>
                    </w:rPr>
                    <w:t>180m</w:t>
                  </w:r>
                </w:p>
              </w:tc>
            </w:tr>
            <w:tr w14:paraId="534C5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28" w:type="dxa"/>
                  <w:tcBorders>
                    <w:left w:val="single" w:color="000000" w:sz="10" w:space="0"/>
                  </w:tcBorders>
                  <w:vAlign w:val="center"/>
                </w:tcPr>
                <w:p w14:paraId="7143541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推土机</w:t>
                  </w:r>
                </w:p>
              </w:tc>
              <w:tc>
                <w:tcPr>
                  <w:tcW w:w="869" w:type="dxa"/>
                  <w:vAlign w:val="center"/>
                </w:tcPr>
                <w:p w14:paraId="0B009FA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90</w:t>
                  </w:r>
                </w:p>
              </w:tc>
              <w:tc>
                <w:tcPr>
                  <w:tcW w:w="649" w:type="dxa"/>
                  <w:vAlign w:val="center"/>
                </w:tcPr>
                <w:p w14:paraId="770266D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64.05</w:t>
                  </w:r>
                </w:p>
              </w:tc>
              <w:tc>
                <w:tcPr>
                  <w:tcW w:w="649" w:type="dxa"/>
                  <w:vAlign w:val="center"/>
                </w:tcPr>
                <w:p w14:paraId="23EA7C4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58.37</w:t>
                  </w:r>
                </w:p>
              </w:tc>
              <w:tc>
                <w:tcPr>
                  <w:tcW w:w="649" w:type="dxa"/>
                  <w:vAlign w:val="center"/>
                </w:tcPr>
                <w:p w14:paraId="3B4CF0C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55.63</w:t>
                  </w:r>
                </w:p>
              </w:tc>
              <w:tc>
                <w:tcPr>
                  <w:tcW w:w="694" w:type="dxa"/>
                  <w:vAlign w:val="center"/>
                </w:tcPr>
                <w:p w14:paraId="71CF1F1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52.7</w:t>
                  </w:r>
                </w:p>
              </w:tc>
              <w:tc>
                <w:tcPr>
                  <w:tcW w:w="671" w:type="dxa"/>
                  <w:vAlign w:val="center"/>
                </w:tcPr>
                <w:p w14:paraId="04D62F4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49.98</w:t>
                  </w:r>
                </w:p>
              </w:tc>
              <w:tc>
                <w:tcPr>
                  <w:tcW w:w="671" w:type="dxa"/>
                  <w:vAlign w:val="center"/>
                </w:tcPr>
                <w:p w14:paraId="649773C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48.50</w:t>
                  </w:r>
                </w:p>
              </w:tc>
              <w:tc>
                <w:tcPr>
                  <w:tcW w:w="671" w:type="dxa"/>
                  <w:vAlign w:val="center"/>
                </w:tcPr>
                <w:p w14:paraId="7E5D22A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47.12</w:t>
                  </w:r>
                </w:p>
              </w:tc>
              <w:tc>
                <w:tcPr>
                  <w:tcW w:w="671" w:type="dxa"/>
                  <w:vAlign w:val="center"/>
                </w:tcPr>
                <w:p w14:paraId="577ADD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45.36</w:t>
                  </w:r>
                </w:p>
              </w:tc>
              <w:tc>
                <w:tcPr>
                  <w:tcW w:w="797" w:type="dxa"/>
                  <w:tcBorders>
                    <w:right w:val="single" w:color="000000" w:sz="10" w:space="0"/>
                  </w:tcBorders>
                  <w:vAlign w:val="center"/>
                </w:tcPr>
                <w:p w14:paraId="12E57A0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44.97</w:t>
                  </w:r>
                </w:p>
              </w:tc>
            </w:tr>
            <w:tr w14:paraId="6C16C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28" w:type="dxa"/>
                  <w:tcBorders>
                    <w:left w:val="single" w:color="000000" w:sz="10" w:space="0"/>
                  </w:tcBorders>
                  <w:vAlign w:val="center"/>
                </w:tcPr>
                <w:p w14:paraId="6EE8DE9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7"/>
                      <w:sz w:val="21"/>
                      <w:szCs w:val="21"/>
                    </w:rPr>
                    <w:t>搅拌机</w:t>
                  </w:r>
                </w:p>
              </w:tc>
              <w:tc>
                <w:tcPr>
                  <w:tcW w:w="869" w:type="dxa"/>
                  <w:vAlign w:val="center"/>
                </w:tcPr>
                <w:p w14:paraId="7A4A055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90</w:t>
                  </w:r>
                </w:p>
              </w:tc>
              <w:tc>
                <w:tcPr>
                  <w:tcW w:w="649" w:type="dxa"/>
                  <w:vAlign w:val="center"/>
                </w:tcPr>
                <w:p w14:paraId="01DF753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64.05</w:t>
                  </w:r>
                </w:p>
              </w:tc>
              <w:tc>
                <w:tcPr>
                  <w:tcW w:w="649" w:type="dxa"/>
                  <w:vAlign w:val="center"/>
                </w:tcPr>
                <w:p w14:paraId="4F1AF52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58.37</w:t>
                  </w:r>
                </w:p>
              </w:tc>
              <w:tc>
                <w:tcPr>
                  <w:tcW w:w="649" w:type="dxa"/>
                  <w:vAlign w:val="center"/>
                </w:tcPr>
                <w:p w14:paraId="7CBFF35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55.63</w:t>
                  </w:r>
                </w:p>
              </w:tc>
              <w:tc>
                <w:tcPr>
                  <w:tcW w:w="694" w:type="dxa"/>
                  <w:vAlign w:val="center"/>
                </w:tcPr>
                <w:p w14:paraId="0C4655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52.74</w:t>
                  </w:r>
                </w:p>
              </w:tc>
              <w:tc>
                <w:tcPr>
                  <w:tcW w:w="671" w:type="dxa"/>
                  <w:vAlign w:val="center"/>
                </w:tcPr>
                <w:p w14:paraId="516986C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49.98</w:t>
                  </w:r>
                </w:p>
              </w:tc>
              <w:tc>
                <w:tcPr>
                  <w:tcW w:w="671" w:type="dxa"/>
                  <w:vAlign w:val="center"/>
                </w:tcPr>
                <w:p w14:paraId="28336DE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48.50</w:t>
                  </w:r>
                </w:p>
              </w:tc>
              <w:tc>
                <w:tcPr>
                  <w:tcW w:w="671" w:type="dxa"/>
                  <w:vAlign w:val="center"/>
                </w:tcPr>
                <w:p w14:paraId="563AD62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47.12</w:t>
                  </w:r>
                </w:p>
              </w:tc>
              <w:tc>
                <w:tcPr>
                  <w:tcW w:w="671" w:type="dxa"/>
                  <w:vAlign w:val="center"/>
                </w:tcPr>
                <w:p w14:paraId="6716AEF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45.36</w:t>
                  </w:r>
                </w:p>
              </w:tc>
              <w:tc>
                <w:tcPr>
                  <w:tcW w:w="797" w:type="dxa"/>
                  <w:tcBorders>
                    <w:right w:val="single" w:color="000000" w:sz="10" w:space="0"/>
                  </w:tcBorders>
                  <w:vAlign w:val="center"/>
                </w:tcPr>
                <w:p w14:paraId="3EB7926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44.97</w:t>
                  </w:r>
                </w:p>
              </w:tc>
            </w:tr>
            <w:tr w14:paraId="413EC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928" w:type="dxa"/>
                  <w:tcBorders>
                    <w:left w:val="single" w:color="000000" w:sz="10" w:space="0"/>
                  </w:tcBorders>
                  <w:vAlign w:val="center"/>
                </w:tcPr>
                <w:p w14:paraId="48E0542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7"/>
                      <w:sz w:val="21"/>
                      <w:szCs w:val="21"/>
                    </w:rPr>
                    <w:t>挖掘机</w:t>
                  </w:r>
                </w:p>
              </w:tc>
              <w:tc>
                <w:tcPr>
                  <w:tcW w:w="869" w:type="dxa"/>
                  <w:vAlign w:val="center"/>
                </w:tcPr>
                <w:p w14:paraId="7E5530C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95</w:t>
                  </w:r>
                </w:p>
              </w:tc>
              <w:tc>
                <w:tcPr>
                  <w:tcW w:w="649" w:type="dxa"/>
                  <w:vAlign w:val="center"/>
                </w:tcPr>
                <w:p w14:paraId="1C4A6A9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68.98</w:t>
                  </w:r>
                </w:p>
              </w:tc>
              <w:tc>
                <w:tcPr>
                  <w:tcW w:w="649" w:type="dxa"/>
                  <w:vAlign w:val="center"/>
                </w:tcPr>
                <w:p w14:paraId="74AD622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62.96</w:t>
                  </w:r>
                </w:p>
              </w:tc>
              <w:tc>
                <w:tcPr>
                  <w:tcW w:w="649" w:type="dxa"/>
                  <w:vAlign w:val="center"/>
                </w:tcPr>
                <w:p w14:paraId="1E5A1FC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59.44</w:t>
                  </w:r>
                </w:p>
              </w:tc>
              <w:tc>
                <w:tcPr>
                  <w:tcW w:w="694" w:type="dxa"/>
                  <w:vAlign w:val="center"/>
                </w:tcPr>
                <w:p w14:paraId="458D29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56.94</w:t>
                  </w:r>
                </w:p>
              </w:tc>
              <w:tc>
                <w:tcPr>
                  <w:tcW w:w="671" w:type="dxa"/>
                  <w:vAlign w:val="center"/>
                </w:tcPr>
                <w:p w14:paraId="12940DE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55.00</w:t>
                  </w:r>
                </w:p>
              </w:tc>
              <w:tc>
                <w:tcPr>
                  <w:tcW w:w="671" w:type="dxa"/>
                  <w:vAlign w:val="center"/>
                </w:tcPr>
                <w:p w14:paraId="0E9CB1A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53.42</w:t>
                  </w:r>
                </w:p>
              </w:tc>
              <w:tc>
                <w:tcPr>
                  <w:tcW w:w="671" w:type="dxa"/>
                  <w:vAlign w:val="center"/>
                </w:tcPr>
                <w:p w14:paraId="2EA2B66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52.08</w:t>
                  </w:r>
                </w:p>
              </w:tc>
              <w:tc>
                <w:tcPr>
                  <w:tcW w:w="671" w:type="dxa"/>
                  <w:vAlign w:val="center"/>
                </w:tcPr>
                <w:p w14:paraId="35176CE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50.92</w:t>
                  </w:r>
                </w:p>
              </w:tc>
              <w:tc>
                <w:tcPr>
                  <w:tcW w:w="797" w:type="dxa"/>
                  <w:tcBorders>
                    <w:right w:val="single" w:color="000000" w:sz="10" w:space="0"/>
                  </w:tcBorders>
                  <w:vAlign w:val="center"/>
                </w:tcPr>
                <w:p w14:paraId="32B8339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49.89</w:t>
                  </w:r>
                </w:p>
              </w:tc>
            </w:tr>
            <w:tr w14:paraId="2C6A6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28" w:type="dxa"/>
                  <w:tcBorders>
                    <w:left w:val="single" w:color="000000" w:sz="10" w:space="0"/>
                  </w:tcBorders>
                  <w:vAlign w:val="center"/>
                </w:tcPr>
                <w:p w14:paraId="1F6DF7A5">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装载机</w:t>
                  </w:r>
                </w:p>
              </w:tc>
              <w:tc>
                <w:tcPr>
                  <w:tcW w:w="869" w:type="dxa"/>
                  <w:vAlign w:val="center"/>
                </w:tcPr>
                <w:p w14:paraId="4E8D253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95</w:t>
                  </w:r>
                </w:p>
              </w:tc>
              <w:tc>
                <w:tcPr>
                  <w:tcW w:w="649" w:type="dxa"/>
                  <w:vAlign w:val="center"/>
                </w:tcPr>
                <w:p w14:paraId="2E4C8D2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68.98</w:t>
                  </w:r>
                </w:p>
              </w:tc>
              <w:tc>
                <w:tcPr>
                  <w:tcW w:w="649" w:type="dxa"/>
                  <w:vAlign w:val="center"/>
                </w:tcPr>
                <w:p w14:paraId="075A0C0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62.96</w:t>
                  </w:r>
                </w:p>
              </w:tc>
              <w:tc>
                <w:tcPr>
                  <w:tcW w:w="649" w:type="dxa"/>
                  <w:vAlign w:val="center"/>
                </w:tcPr>
                <w:p w14:paraId="109518C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59.44</w:t>
                  </w:r>
                </w:p>
              </w:tc>
              <w:tc>
                <w:tcPr>
                  <w:tcW w:w="694" w:type="dxa"/>
                  <w:vAlign w:val="center"/>
                </w:tcPr>
                <w:p w14:paraId="64AED34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56.94</w:t>
                  </w:r>
                </w:p>
              </w:tc>
              <w:tc>
                <w:tcPr>
                  <w:tcW w:w="671" w:type="dxa"/>
                  <w:vAlign w:val="center"/>
                </w:tcPr>
                <w:p w14:paraId="23321F5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55.00</w:t>
                  </w:r>
                </w:p>
              </w:tc>
              <w:tc>
                <w:tcPr>
                  <w:tcW w:w="671" w:type="dxa"/>
                  <w:vAlign w:val="center"/>
                </w:tcPr>
                <w:p w14:paraId="1E31D99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53.42</w:t>
                  </w:r>
                </w:p>
              </w:tc>
              <w:tc>
                <w:tcPr>
                  <w:tcW w:w="671" w:type="dxa"/>
                  <w:vAlign w:val="center"/>
                </w:tcPr>
                <w:p w14:paraId="340D43D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52.08</w:t>
                  </w:r>
                </w:p>
              </w:tc>
              <w:tc>
                <w:tcPr>
                  <w:tcW w:w="671" w:type="dxa"/>
                  <w:vAlign w:val="center"/>
                </w:tcPr>
                <w:p w14:paraId="257C2DC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50.92</w:t>
                  </w:r>
                </w:p>
              </w:tc>
              <w:tc>
                <w:tcPr>
                  <w:tcW w:w="797" w:type="dxa"/>
                  <w:tcBorders>
                    <w:right w:val="single" w:color="000000" w:sz="10" w:space="0"/>
                  </w:tcBorders>
                  <w:vAlign w:val="center"/>
                </w:tcPr>
                <w:p w14:paraId="0782D41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49.89</w:t>
                  </w:r>
                </w:p>
              </w:tc>
            </w:tr>
            <w:tr w14:paraId="1F4B5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28" w:type="dxa"/>
                  <w:tcBorders>
                    <w:left w:val="single" w:color="000000" w:sz="10" w:space="0"/>
                  </w:tcBorders>
                  <w:vAlign w:val="center"/>
                </w:tcPr>
                <w:p w14:paraId="40162825">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8"/>
                      <w:sz w:val="21"/>
                      <w:szCs w:val="21"/>
                    </w:rPr>
                    <w:t>电锯</w:t>
                  </w:r>
                </w:p>
              </w:tc>
              <w:tc>
                <w:tcPr>
                  <w:tcW w:w="869" w:type="dxa"/>
                  <w:vAlign w:val="center"/>
                </w:tcPr>
                <w:p w14:paraId="39B44CD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95</w:t>
                  </w:r>
                </w:p>
              </w:tc>
              <w:tc>
                <w:tcPr>
                  <w:tcW w:w="649" w:type="dxa"/>
                  <w:vAlign w:val="center"/>
                </w:tcPr>
                <w:p w14:paraId="76267EE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68.98</w:t>
                  </w:r>
                </w:p>
              </w:tc>
              <w:tc>
                <w:tcPr>
                  <w:tcW w:w="649" w:type="dxa"/>
                  <w:vAlign w:val="center"/>
                </w:tcPr>
                <w:p w14:paraId="0B43FFA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62.96</w:t>
                  </w:r>
                </w:p>
              </w:tc>
              <w:tc>
                <w:tcPr>
                  <w:tcW w:w="649" w:type="dxa"/>
                  <w:vAlign w:val="center"/>
                </w:tcPr>
                <w:p w14:paraId="0FE0F5B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59.44</w:t>
                  </w:r>
                </w:p>
              </w:tc>
              <w:tc>
                <w:tcPr>
                  <w:tcW w:w="694" w:type="dxa"/>
                  <w:vAlign w:val="center"/>
                </w:tcPr>
                <w:p w14:paraId="0F22422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56.94</w:t>
                  </w:r>
                </w:p>
              </w:tc>
              <w:tc>
                <w:tcPr>
                  <w:tcW w:w="671" w:type="dxa"/>
                  <w:vAlign w:val="center"/>
                </w:tcPr>
                <w:p w14:paraId="57C8E21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55.00</w:t>
                  </w:r>
                </w:p>
              </w:tc>
              <w:tc>
                <w:tcPr>
                  <w:tcW w:w="671" w:type="dxa"/>
                  <w:vAlign w:val="center"/>
                </w:tcPr>
                <w:p w14:paraId="415D2C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53.42</w:t>
                  </w:r>
                </w:p>
              </w:tc>
              <w:tc>
                <w:tcPr>
                  <w:tcW w:w="671" w:type="dxa"/>
                  <w:vAlign w:val="center"/>
                </w:tcPr>
                <w:p w14:paraId="54381E1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52.08</w:t>
                  </w:r>
                </w:p>
              </w:tc>
              <w:tc>
                <w:tcPr>
                  <w:tcW w:w="671" w:type="dxa"/>
                  <w:vAlign w:val="center"/>
                </w:tcPr>
                <w:p w14:paraId="75734A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50.92</w:t>
                  </w:r>
                </w:p>
              </w:tc>
              <w:tc>
                <w:tcPr>
                  <w:tcW w:w="797" w:type="dxa"/>
                  <w:tcBorders>
                    <w:right w:val="single" w:color="000000" w:sz="10" w:space="0"/>
                  </w:tcBorders>
                  <w:vAlign w:val="center"/>
                </w:tcPr>
                <w:p w14:paraId="0C538BE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49.89</w:t>
                  </w:r>
                </w:p>
              </w:tc>
            </w:tr>
            <w:tr w14:paraId="2DACE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928" w:type="dxa"/>
                  <w:tcBorders>
                    <w:left w:val="single" w:color="000000" w:sz="10" w:space="0"/>
                    <w:bottom w:val="single" w:color="000000" w:sz="10" w:space="0"/>
                  </w:tcBorders>
                  <w:vAlign w:val="center"/>
                </w:tcPr>
                <w:p w14:paraId="6800531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7"/>
                      <w:sz w:val="21"/>
                      <w:szCs w:val="21"/>
                    </w:rPr>
                    <w:t>重型卡车</w:t>
                  </w:r>
                </w:p>
              </w:tc>
              <w:tc>
                <w:tcPr>
                  <w:tcW w:w="869" w:type="dxa"/>
                  <w:tcBorders>
                    <w:bottom w:val="single" w:color="000000" w:sz="10" w:space="0"/>
                  </w:tcBorders>
                  <w:vAlign w:val="center"/>
                </w:tcPr>
                <w:p w14:paraId="10839D8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85</w:t>
                  </w:r>
                </w:p>
              </w:tc>
              <w:tc>
                <w:tcPr>
                  <w:tcW w:w="649" w:type="dxa"/>
                  <w:tcBorders>
                    <w:bottom w:val="single" w:color="000000" w:sz="10" w:space="0"/>
                  </w:tcBorders>
                  <w:vAlign w:val="center"/>
                </w:tcPr>
                <w:p w14:paraId="66C4BDA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59.04</w:t>
                  </w:r>
                </w:p>
              </w:tc>
              <w:tc>
                <w:tcPr>
                  <w:tcW w:w="649" w:type="dxa"/>
                  <w:tcBorders>
                    <w:bottom w:val="single" w:color="000000" w:sz="10" w:space="0"/>
                  </w:tcBorders>
                  <w:vAlign w:val="center"/>
                </w:tcPr>
                <w:p w14:paraId="6C281D0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52.69</w:t>
                  </w:r>
                </w:p>
              </w:tc>
              <w:tc>
                <w:tcPr>
                  <w:tcW w:w="649" w:type="dxa"/>
                  <w:tcBorders>
                    <w:bottom w:val="single" w:color="000000" w:sz="10" w:space="0"/>
                  </w:tcBorders>
                  <w:vAlign w:val="center"/>
                </w:tcPr>
                <w:p w14:paraId="06A7271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position w:val="1"/>
                      <w:sz w:val="21"/>
                      <w:szCs w:val="21"/>
                    </w:rPr>
                    <w:t>50.03</w:t>
                  </w:r>
                </w:p>
              </w:tc>
              <w:tc>
                <w:tcPr>
                  <w:tcW w:w="694" w:type="dxa"/>
                  <w:tcBorders>
                    <w:bottom w:val="single" w:color="000000" w:sz="10" w:space="0"/>
                  </w:tcBorders>
                  <w:vAlign w:val="center"/>
                </w:tcPr>
                <w:p w14:paraId="36AC97E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47.31</w:t>
                  </w:r>
                </w:p>
              </w:tc>
              <w:tc>
                <w:tcPr>
                  <w:tcW w:w="671" w:type="dxa"/>
                  <w:tcBorders>
                    <w:bottom w:val="single" w:color="000000" w:sz="10" w:space="0"/>
                  </w:tcBorders>
                  <w:vAlign w:val="center"/>
                </w:tcPr>
                <w:p w14:paraId="2EC9C15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44.92</w:t>
                  </w:r>
                </w:p>
              </w:tc>
              <w:tc>
                <w:tcPr>
                  <w:tcW w:w="671" w:type="dxa"/>
                  <w:tcBorders>
                    <w:bottom w:val="single" w:color="000000" w:sz="10" w:space="0"/>
                  </w:tcBorders>
                  <w:vAlign w:val="center"/>
                </w:tcPr>
                <w:p w14:paraId="08094C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41.32</w:t>
                  </w:r>
                </w:p>
              </w:tc>
              <w:tc>
                <w:tcPr>
                  <w:tcW w:w="671" w:type="dxa"/>
                  <w:tcBorders>
                    <w:bottom w:val="single" w:color="000000" w:sz="10" w:space="0"/>
                  </w:tcBorders>
                  <w:vAlign w:val="center"/>
                </w:tcPr>
                <w:p w14:paraId="67095E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38.12</w:t>
                  </w:r>
                </w:p>
              </w:tc>
              <w:tc>
                <w:tcPr>
                  <w:tcW w:w="671" w:type="dxa"/>
                  <w:tcBorders>
                    <w:bottom w:val="single" w:color="000000" w:sz="10" w:space="0"/>
                  </w:tcBorders>
                  <w:vAlign w:val="center"/>
                </w:tcPr>
                <w:p w14:paraId="6700A9E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35.81</w:t>
                  </w:r>
                </w:p>
              </w:tc>
              <w:tc>
                <w:tcPr>
                  <w:tcW w:w="797" w:type="dxa"/>
                  <w:tcBorders>
                    <w:bottom w:val="single" w:color="000000" w:sz="10" w:space="0"/>
                    <w:right w:val="single" w:color="000000" w:sz="10" w:space="0"/>
                  </w:tcBorders>
                  <w:vAlign w:val="center"/>
                </w:tcPr>
                <w:p w14:paraId="061F546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1"/>
                      <w:sz w:val="21"/>
                      <w:szCs w:val="21"/>
                    </w:rPr>
                    <w:t>34.37</w:t>
                  </w:r>
                </w:p>
              </w:tc>
            </w:tr>
          </w:tbl>
          <w:p w14:paraId="6F3770D8">
            <w:pPr>
              <w:pStyle w:val="76"/>
              <w:spacing w:before="171" w:line="399" w:lineRule="auto"/>
              <w:ind w:left="108" w:right="103" w:firstLine="482"/>
              <w:jc w:val="both"/>
              <w:rPr>
                <w:color w:val="auto"/>
                <w:sz w:val="24"/>
                <w:szCs w:val="24"/>
              </w:rPr>
            </w:pPr>
            <w:r>
              <w:rPr>
                <w:color w:val="auto"/>
                <w:spacing w:val="-1"/>
                <w:sz w:val="24"/>
                <w:szCs w:val="24"/>
              </w:rPr>
              <w:t>上述噪声源均为间歇性声源，由表中数据可知，至</w:t>
            </w:r>
            <w:r>
              <w:rPr>
                <w:rFonts w:ascii="Times New Roman" w:hAnsi="Times New Roman" w:eastAsia="Times New Roman" w:cs="Times New Roman"/>
                <w:color w:val="auto"/>
                <w:spacing w:val="-1"/>
                <w:sz w:val="24"/>
                <w:szCs w:val="24"/>
              </w:rPr>
              <w:t>100</w:t>
            </w:r>
            <w:r>
              <w:rPr>
                <w:rFonts w:hint="eastAsia" w:ascii="Times New Roman" w:hAnsi="Times New Roman" w:eastAsia="宋体" w:cs="Times New Roman"/>
                <w:color w:val="auto"/>
                <w:spacing w:val="-1"/>
                <w:sz w:val="24"/>
                <w:szCs w:val="24"/>
                <w:lang w:val="en-US" w:eastAsia="zh-CN"/>
              </w:rPr>
              <w:t>m</w:t>
            </w:r>
            <w:r>
              <w:rPr>
                <w:color w:val="auto"/>
                <w:spacing w:val="-1"/>
                <w:sz w:val="24"/>
                <w:szCs w:val="24"/>
              </w:rPr>
              <w:t>处夜间噪声低于</w:t>
            </w:r>
            <w:r>
              <w:rPr>
                <w:color w:val="auto"/>
                <w:spacing w:val="6"/>
                <w:sz w:val="24"/>
                <w:szCs w:val="24"/>
              </w:rPr>
              <w:t>《建筑施工场界环境噪声排放标准》（</w:t>
            </w:r>
            <w:r>
              <w:rPr>
                <w:rFonts w:ascii="Times New Roman" w:hAnsi="Times New Roman" w:eastAsia="Times New Roman" w:cs="Times New Roman"/>
                <w:color w:val="auto"/>
                <w:sz w:val="24"/>
                <w:szCs w:val="24"/>
              </w:rPr>
              <w:t>GB</w:t>
            </w:r>
            <w:r>
              <w:rPr>
                <w:rFonts w:ascii="Times New Roman" w:hAnsi="Times New Roman" w:eastAsia="Times New Roman" w:cs="Times New Roman"/>
                <w:color w:val="auto"/>
                <w:spacing w:val="6"/>
                <w:sz w:val="24"/>
                <w:szCs w:val="24"/>
              </w:rPr>
              <w:t>1252</w:t>
            </w:r>
            <w:r>
              <w:rPr>
                <w:rFonts w:ascii="Times New Roman" w:hAnsi="Times New Roman" w:eastAsia="Times New Roman" w:cs="Times New Roman"/>
                <w:color w:val="auto"/>
                <w:spacing w:val="5"/>
                <w:sz w:val="24"/>
                <w:szCs w:val="24"/>
              </w:rPr>
              <w:t>3-2011</w:t>
            </w:r>
            <w:r>
              <w:rPr>
                <w:color w:val="auto"/>
                <w:spacing w:val="5"/>
                <w:sz w:val="24"/>
                <w:szCs w:val="24"/>
              </w:rPr>
              <w:t>）的限值（昼间噪声</w:t>
            </w:r>
            <w:r>
              <w:rPr>
                <w:rFonts w:ascii="Times New Roman" w:hAnsi="Times New Roman" w:eastAsia="Times New Roman" w:cs="Times New Roman"/>
                <w:color w:val="auto"/>
                <w:spacing w:val="-3"/>
                <w:sz w:val="24"/>
                <w:szCs w:val="24"/>
              </w:rPr>
              <w:t>70dB(A)</w:t>
            </w:r>
            <w:r>
              <w:rPr>
                <w:color w:val="auto"/>
                <w:spacing w:val="-3"/>
                <w:sz w:val="24"/>
                <w:szCs w:val="24"/>
              </w:rPr>
              <w:t>，夜间噪声</w:t>
            </w:r>
            <w:r>
              <w:rPr>
                <w:rFonts w:ascii="Times New Roman" w:hAnsi="Times New Roman" w:eastAsia="Times New Roman" w:cs="Times New Roman"/>
                <w:color w:val="auto"/>
                <w:spacing w:val="-3"/>
                <w:sz w:val="24"/>
                <w:szCs w:val="24"/>
              </w:rPr>
              <w:t>55dB(A)</w:t>
            </w:r>
            <w:r>
              <w:rPr>
                <w:color w:val="auto"/>
                <w:spacing w:val="-3"/>
                <w:sz w:val="24"/>
                <w:szCs w:val="24"/>
              </w:rPr>
              <w:t>）。可见施工期夜间不可避免的要对周围环境产</w:t>
            </w:r>
            <w:r>
              <w:rPr>
                <w:color w:val="auto"/>
                <w:sz w:val="24"/>
                <w:szCs w:val="24"/>
              </w:rPr>
              <w:t>生一定噪声污染。本环评要求建设方在施工作业中必须合理安排各类施工机械的工作时间，按照《建筑施工场界环境噪声排放标准》对施工场界进行噪</w:t>
            </w:r>
            <w:r>
              <w:rPr>
                <w:color w:val="auto"/>
                <w:spacing w:val="-3"/>
                <w:sz w:val="24"/>
                <w:szCs w:val="24"/>
              </w:rPr>
              <w:t>声控制。</w:t>
            </w:r>
          </w:p>
          <w:p w14:paraId="0DDFBDE5">
            <w:pPr>
              <w:pStyle w:val="76"/>
              <w:spacing w:before="49" w:line="390" w:lineRule="auto"/>
              <w:ind w:left="112" w:right="40" w:firstLine="480"/>
              <w:jc w:val="both"/>
              <w:rPr>
                <w:color w:val="auto"/>
                <w:sz w:val="24"/>
                <w:szCs w:val="24"/>
              </w:rPr>
            </w:pPr>
            <w:r>
              <w:rPr>
                <w:color w:val="auto"/>
                <w:spacing w:val="-5"/>
                <w:sz w:val="24"/>
                <w:szCs w:val="24"/>
              </w:rPr>
              <w:t>项目区野生动物种群结构简单，并且项目区的野生动物受</w:t>
            </w:r>
            <w:r>
              <w:rPr>
                <w:color w:val="auto"/>
                <w:spacing w:val="-6"/>
                <w:sz w:val="24"/>
                <w:szCs w:val="24"/>
              </w:rPr>
              <w:t>人为活动影响，</w:t>
            </w:r>
            <w:r>
              <w:rPr>
                <w:color w:val="auto"/>
                <w:sz w:val="24"/>
                <w:szCs w:val="24"/>
              </w:rPr>
              <w:t>分布数量已不多，而且对人为噪声源已有一定适应性，因此施工期的施工噪</w:t>
            </w:r>
            <w:r>
              <w:rPr>
                <w:color w:val="auto"/>
                <w:spacing w:val="-1"/>
                <w:sz w:val="24"/>
                <w:szCs w:val="24"/>
              </w:rPr>
              <w:t>声对野生动物虽有一定干扰，但造成的危害不大。</w:t>
            </w:r>
          </w:p>
          <w:p w14:paraId="460A971E">
            <w:pPr>
              <w:pStyle w:val="76"/>
              <w:spacing w:line="361" w:lineRule="exact"/>
              <w:ind w:left="601"/>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3</w:t>
            </w:r>
            <w:r>
              <w:rPr>
                <w:color w:val="auto"/>
                <w:spacing w:val="-2"/>
                <w:position w:val="2"/>
                <w:sz w:val="24"/>
                <w:szCs w:val="24"/>
              </w:rPr>
              <w:t>）施工期噪声防治措施</w:t>
            </w:r>
          </w:p>
          <w:p w14:paraId="14266235">
            <w:pPr>
              <w:pStyle w:val="76"/>
              <w:spacing w:before="163" w:line="362" w:lineRule="auto"/>
              <w:ind w:left="108" w:right="127" w:firstLine="480"/>
              <w:rPr>
                <w:color w:val="auto"/>
                <w:sz w:val="24"/>
                <w:szCs w:val="24"/>
              </w:rPr>
            </w:pPr>
            <w:r>
              <w:rPr>
                <w:color w:val="auto"/>
                <w:sz w:val="24"/>
                <w:szCs w:val="24"/>
              </w:rPr>
              <w:t>施工期产生的噪声，主要来源于包括施工现场的</w:t>
            </w:r>
            <w:r>
              <w:rPr>
                <w:color w:val="auto"/>
                <w:spacing w:val="-1"/>
                <w:sz w:val="24"/>
                <w:szCs w:val="24"/>
              </w:rPr>
              <w:t>各类机械设备、设备装</w:t>
            </w:r>
            <w:r>
              <w:rPr>
                <w:color w:val="auto"/>
                <w:sz w:val="24"/>
                <w:szCs w:val="24"/>
              </w:rPr>
              <w:t>卸碰撞噪声和机械设备调试噪声。施工期噪声影响是</w:t>
            </w:r>
            <w:r>
              <w:rPr>
                <w:color w:val="auto"/>
                <w:spacing w:val="-1"/>
                <w:sz w:val="24"/>
                <w:szCs w:val="24"/>
              </w:rPr>
              <w:t>暂时的、短期的行为，</w:t>
            </w:r>
            <w:r>
              <w:rPr>
                <w:color w:val="auto"/>
                <w:sz w:val="24"/>
                <w:szCs w:val="24"/>
              </w:rPr>
              <w:t>随着工程竣工，施工噪声对环境的不利影响将不再存</w:t>
            </w:r>
            <w:r>
              <w:rPr>
                <w:color w:val="auto"/>
                <w:spacing w:val="-1"/>
                <w:sz w:val="24"/>
                <w:szCs w:val="24"/>
              </w:rPr>
              <w:t>在。为减少施工期噪声</w:t>
            </w:r>
            <w:r>
              <w:rPr>
                <w:color w:val="auto"/>
                <w:sz w:val="24"/>
                <w:szCs w:val="24"/>
              </w:rPr>
              <w:t>对周围环境的影响，需要规范施工形成，采</w:t>
            </w:r>
            <w:r>
              <w:rPr>
                <w:color w:val="auto"/>
                <w:spacing w:val="-1"/>
                <w:sz w:val="24"/>
                <w:szCs w:val="24"/>
              </w:rPr>
              <w:t>取如下噪声控制措施：</w:t>
            </w:r>
          </w:p>
          <w:p w14:paraId="6AE7021D">
            <w:pPr>
              <w:pStyle w:val="76"/>
              <w:spacing w:before="1" w:line="329" w:lineRule="auto"/>
              <w:ind w:left="114" w:right="103" w:firstLine="486"/>
              <w:rPr>
                <w:color w:val="auto"/>
                <w:sz w:val="24"/>
                <w:szCs w:val="24"/>
              </w:rPr>
            </w:pPr>
            <w:r>
              <w:rPr>
                <w:color w:val="auto"/>
                <w:spacing w:val="-4"/>
                <w:sz w:val="24"/>
                <w:szCs w:val="24"/>
              </w:rPr>
              <w:t>（</w:t>
            </w:r>
            <w:r>
              <w:rPr>
                <w:rFonts w:ascii="Times New Roman" w:hAnsi="Times New Roman" w:eastAsia="Times New Roman" w:cs="Times New Roman"/>
                <w:color w:val="auto"/>
                <w:spacing w:val="-4"/>
                <w:sz w:val="24"/>
                <w:szCs w:val="24"/>
              </w:rPr>
              <w:t>1</w:t>
            </w:r>
            <w:r>
              <w:rPr>
                <w:color w:val="auto"/>
                <w:spacing w:val="-4"/>
                <w:sz w:val="24"/>
                <w:szCs w:val="24"/>
              </w:rPr>
              <w:t>）合理安排施工机械的使用，减少或限制高噪声设备的使用时间，加</w:t>
            </w:r>
            <w:r>
              <w:rPr>
                <w:color w:val="auto"/>
                <w:spacing w:val="-1"/>
                <w:sz w:val="24"/>
                <w:szCs w:val="24"/>
              </w:rPr>
              <w:t>强各种施工机械的维修保养，合理安排施工计划，禁止夜间进行产生环境噪</w:t>
            </w:r>
            <w:r>
              <w:rPr>
                <w:color w:val="auto"/>
                <w:spacing w:val="-2"/>
                <w:sz w:val="24"/>
                <w:szCs w:val="24"/>
              </w:rPr>
              <w:t>声的建筑施工作业。</w:t>
            </w:r>
          </w:p>
          <w:p w14:paraId="7EEE1452">
            <w:pPr>
              <w:pStyle w:val="76"/>
              <w:spacing w:before="1" w:line="329" w:lineRule="auto"/>
              <w:ind w:left="114" w:right="103" w:firstLine="486"/>
              <w:rPr>
                <w:rFonts w:ascii="宋体" w:hAnsi="宋体" w:eastAsia="宋体" w:cs="宋体"/>
                <w:color w:val="auto"/>
                <w:spacing w:val="-4"/>
                <w:sz w:val="24"/>
                <w:szCs w:val="24"/>
              </w:rPr>
            </w:pPr>
            <w:r>
              <w:rPr>
                <w:b w:val="0"/>
                <w:bCs/>
                <w:color w:val="auto"/>
                <w:spacing w:val="-4"/>
                <w:sz w:val="24"/>
                <w:szCs w:val="24"/>
              </w:rPr>
              <w:t>（</w:t>
            </w:r>
            <w:r>
              <w:rPr>
                <w:rFonts w:ascii="宋体" w:hAnsi="宋体" w:eastAsia="宋体" w:cs="宋体"/>
                <w:color w:val="auto"/>
                <w:spacing w:val="-4"/>
                <w:sz w:val="24"/>
                <w:szCs w:val="24"/>
              </w:rPr>
              <w:t>2）文明施工，应尽量选用低噪声设备，对操作人员进行相应的环保知识教育；在土石方施工阶段，必须严格控制推土机的一次推土量、装载机的装载量，并保证施工机械的正常运转，严禁超负荷运转；在结构施工阶段，对混凝土泵、混凝土罐车可搭简易棚围护降噪，加强对混凝土泵、混凝土罐车操作人员的培训及责任心教育，保证混凝土泵、混凝土罐车平稳运行。</w:t>
            </w:r>
          </w:p>
          <w:p w14:paraId="2018105C">
            <w:pPr>
              <w:pStyle w:val="76"/>
              <w:spacing w:before="1" w:line="329" w:lineRule="auto"/>
              <w:ind w:left="114" w:right="103" w:firstLine="486"/>
              <w:rPr>
                <w:rFonts w:ascii="宋体" w:hAnsi="宋体" w:eastAsia="宋体" w:cs="宋体"/>
                <w:color w:val="auto"/>
                <w:spacing w:val="-4"/>
                <w:sz w:val="24"/>
                <w:szCs w:val="24"/>
              </w:rPr>
            </w:pPr>
            <w:r>
              <w:rPr>
                <w:rFonts w:ascii="宋体" w:hAnsi="宋体" w:eastAsia="宋体" w:cs="宋体"/>
                <w:color w:val="auto"/>
                <w:spacing w:val="-4"/>
                <w:sz w:val="24"/>
                <w:szCs w:val="24"/>
              </w:rPr>
              <w:t>（3）合理安排运输车辆的路线和行驶速度。</w:t>
            </w:r>
          </w:p>
          <w:p w14:paraId="041F1821">
            <w:pPr>
              <w:pStyle w:val="76"/>
              <w:spacing w:before="158" w:line="369" w:lineRule="auto"/>
              <w:ind w:left="111" w:right="127" w:firstLine="478"/>
              <w:rPr>
                <w:color w:val="auto"/>
                <w:sz w:val="24"/>
                <w:szCs w:val="24"/>
              </w:rPr>
            </w:pPr>
            <w:r>
              <w:rPr>
                <w:color w:val="auto"/>
                <w:sz w:val="24"/>
                <w:szCs w:val="24"/>
              </w:rPr>
              <w:t>通过上述措施，施工场界噪声可以达到《建筑</w:t>
            </w:r>
            <w:r>
              <w:rPr>
                <w:color w:val="auto"/>
                <w:spacing w:val="-1"/>
                <w:sz w:val="24"/>
                <w:szCs w:val="24"/>
              </w:rPr>
              <w:t>施工场界环境噪声排放标准》（</w:t>
            </w:r>
            <w:r>
              <w:rPr>
                <w:rFonts w:ascii="Times New Roman" w:hAnsi="Times New Roman" w:eastAsia="Times New Roman" w:cs="Times New Roman"/>
                <w:color w:val="auto"/>
                <w:spacing w:val="-1"/>
                <w:sz w:val="24"/>
                <w:szCs w:val="24"/>
              </w:rPr>
              <w:t>GB12523-2011</w:t>
            </w:r>
            <w:r>
              <w:rPr>
                <w:color w:val="auto"/>
                <w:spacing w:val="5"/>
                <w:sz w:val="24"/>
                <w:szCs w:val="24"/>
              </w:rPr>
              <w:t>），</w:t>
            </w:r>
            <w:r>
              <w:rPr>
                <w:color w:val="auto"/>
                <w:spacing w:val="-1"/>
                <w:sz w:val="24"/>
                <w:szCs w:val="24"/>
              </w:rPr>
              <w:t>对环境影响较小。</w:t>
            </w:r>
          </w:p>
          <w:p w14:paraId="14BD3B38">
            <w:pPr>
              <w:pStyle w:val="76"/>
              <w:spacing w:before="1" w:line="220" w:lineRule="auto"/>
              <w:ind w:left="586"/>
              <w:outlineLvl w:val="1"/>
              <w:rPr>
                <w:color w:val="auto"/>
                <w:sz w:val="24"/>
                <w:szCs w:val="24"/>
              </w:rPr>
            </w:pPr>
            <w:r>
              <w:rPr>
                <w:rFonts w:ascii="Times New Roman" w:hAnsi="Times New Roman" w:eastAsia="Times New Roman" w:cs="Times New Roman"/>
                <w:b/>
                <w:bCs/>
                <w:color w:val="auto"/>
                <w:spacing w:val="-4"/>
                <w:sz w:val="24"/>
                <w:szCs w:val="24"/>
              </w:rPr>
              <w:t>4</w:t>
            </w:r>
            <w:r>
              <w:rPr>
                <w:b/>
                <w:bCs/>
                <w:color w:val="auto"/>
                <w:spacing w:val="-4"/>
                <w:sz w:val="24"/>
                <w:szCs w:val="24"/>
              </w:rPr>
              <w:t>、施工期固体废物污染防治措施</w:t>
            </w:r>
          </w:p>
          <w:p w14:paraId="7365BF98">
            <w:pPr>
              <w:pStyle w:val="76"/>
              <w:spacing w:before="193" w:line="220" w:lineRule="auto"/>
              <w:ind w:left="588"/>
              <w:rPr>
                <w:color w:val="auto"/>
                <w:sz w:val="24"/>
                <w:szCs w:val="24"/>
              </w:rPr>
            </w:pPr>
            <w:r>
              <w:rPr>
                <w:color w:val="auto"/>
                <w:spacing w:val="-1"/>
                <w:sz w:val="24"/>
                <w:szCs w:val="24"/>
              </w:rPr>
              <w:t>施工期固废主要是施工建筑垃圾、工人产生的生活垃圾等。</w:t>
            </w:r>
          </w:p>
          <w:p w14:paraId="5536C341">
            <w:pPr>
              <w:pStyle w:val="76"/>
              <w:spacing w:before="193" w:line="221" w:lineRule="auto"/>
              <w:ind w:left="586"/>
              <w:rPr>
                <w:color w:val="auto"/>
                <w:sz w:val="24"/>
                <w:szCs w:val="24"/>
              </w:rPr>
            </w:pPr>
            <w:r>
              <w:rPr>
                <w:rFonts w:ascii="Times New Roman" w:hAnsi="Times New Roman" w:eastAsia="Times New Roman" w:cs="Times New Roman"/>
                <w:b/>
                <w:bCs/>
                <w:color w:val="auto"/>
                <w:spacing w:val="-4"/>
                <w:sz w:val="24"/>
                <w:szCs w:val="24"/>
              </w:rPr>
              <w:t>4.1</w:t>
            </w:r>
            <w:r>
              <w:rPr>
                <w:b/>
                <w:bCs/>
                <w:color w:val="auto"/>
                <w:spacing w:val="-4"/>
                <w:sz w:val="24"/>
                <w:szCs w:val="24"/>
              </w:rPr>
              <w:t>建筑垃圾</w:t>
            </w:r>
          </w:p>
          <w:p w14:paraId="0587B7B6">
            <w:pPr>
              <w:pStyle w:val="76"/>
              <w:spacing w:before="194" w:line="369" w:lineRule="auto"/>
              <w:ind w:left="109" w:right="101" w:firstLine="483"/>
              <w:jc w:val="both"/>
              <w:rPr>
                <w:color w:val="auto"/>
                <w:sz w:val="24"/>
                <w:szCs w:val="24"/>
              </w:rPr>
            </w:pPr>
            <w:r>
              <w:rPr>
                <w:color w:val="auto"/>
                <w:sz w:val="24"/>
                <w:szCs w:val="24"/>
              </w:rPr>
              <w:t>项目施工过程中可能会产生少量的建筑垃圾。施工建筑垃圾可作为筑路材料，定期用封闭式废土运输车及时清运，并送到指定倾倒点处置，不得随意抛弃、转移和扩散；部分废弃钢筋、钢板等可回收固废，集中收集后进行回用；必须外运的弃土以及建筑废料应运至</w:t>
            </w:r>
            <w:r>
              <w:rPr>
                <w:color w:val="auto"/>
                <w:spacing w:val="-1"/>
                <w:sz w:val="24"/>
                <w:szCs w:val="24"/>
              </w:rPr>
              <w:t>专门的建筑垃圾堆放场。</w:t>
            </w:r>
          </w:p>
          <w:p w14:paraId="40A06C0A">
            <w:pPr>
              <w:pStyle w:val="76"/>
              <w:spacing w:before="1" w:line="220" w:lineRule="auto"/>
              <w:ind w:left="586"/>
              <w:rPr>
                <w:color w:val="auto"/>
                <w:sz w:val="24"/>
                <w:szCs w:val="24"/>
              </w:rPr>
            </w:pPr>
            <w:r>
              <w:rPr>
                <w:rFonts w:ascii="Times New Roman" w:hAnsi="Times New Roman" w:eastAsia="Times New Roman" w:cs="Times New Roman"/>
                <w:b/>
                <w:bCs/>
                <w:color w:val="auto"/>
                <w:spacing w:val="-2"/>
                <w:sz w:val="24"/>
                <w:szCs w:val="24"/>
              </w:rPr>
              <w:t>4.2</w:t>
            </w:r>
            <w:r>
              <w:rPr>
                <w:b/>
                <w:bCs/>
                <w:color w:val="auto"/>
                <w:spacing w:val="-2"/>
                <w:sz w:val="24"/>
                <w:szCs w:val="24"/>
              </w:rPr>
              <w:t>生活垃圾</w:t>
            </w:r>
          </w:p>
          <w:p w14:paraId="131A9FE5">
            <w:pPr>
              <w:pStyle w:val="76"/>
              <w:spacing w:before="193" w:line="369" w:lineRule="auto"/>
              <w:ind w:left="110" w:right="103" w:firstLine="480"/>
              <w:rPr>
                <w:color w:val="auto"/>
                <w:sz w:val="24"/>
                <w:szCs w:val="24"/>
              </w:rPr>
            </w:pPr>
            <w:r>
              <w:rPr>
                <w:color w:val="auto"/>
                <w:sz w:val="24"/>
                <w:szCs w:val="24"/>
              </w:rPr>
              <w:t>生活垃圾以有机类废物为主，其成份为易拉罐、矿泉水瓶、塑料袋等。由于这些生活垃圾的污染物含量很高，由建设单位在施工区设临时垃圾箱或</w:t>
            </w:r>
            <w:r>
              <w:rPr>
                <w:color w:val="auto"/>
                <w:spacing w:val="-1"/>
                <w:sz w:val="24"/>
                <w:szCs w:val="24"/>
              </w:rPr>
              <w:t>有防护措施的堆放点收集后，统一运送至生活垃圾填埋场卫生填埋。</w:t>
            </w:r>
          </w:p>
          <w:p w14:paraId="2E99D43F">
            <w:pPr>
              <w:pStyle w:val="9"/>
              <w:widowControl w:val="0"/>
              <w:numPr>
                <w:ilvl w:val="0"/>
                <w:numId w:val="0"/>
              </w:numPr>
              <w:spacing w:before="40" w:after="40" w:line="372" w:lineRule="auto"/>
              <w:ind w:firstLine="480" w:firstLineChars="200"/>
              <w:jc w:val="both"/>
              <w:outlineLvl w:val="3"/>
              <w:rPr>
                <w:color w:val="auto"/>
              </w:rPr>
            </w:pPr>
            <w:r>
              <w:rPr>
                <w:b w:val="0"/>
                <w:bCs/>
                <w:color w:val="auto"/>
                <w:sz w:val="24"/>
                <w:szCs w:val="24"/>
              </w:rPr>
              <w:t>经以上分析可知，根据各类固体废物的不同特点，分别采取不同的、行之有效的处理措施，项目建设过程中产生的各类固体废物均可得到妥善的、合理可行的处理处置，并将其对周围环境带</w:t>
            </w:r>
            <w:r>
              <w:rPr>
                <w:b w:val="0"/>
                <w:bCs/>
                <w:color w:val="auto"/>
                <w:spacing w:val="-1"/>
                <w:sz w:val="24"/>
                <w:szCs w:val="24"/>
              </w:rPr>
              <w:t>来的影响降低到最低程度。</w:t>
            </w:r>
          </w:p>
        </w:tc>
      </w:tr>
      <w:tr w14:paraId="1ADE2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464" w:type="dxa"/>
            <w:tcMar>
              <w:left w:w="28" w:type="dxa"/>
              <w:right w:w="28" w:type="dxa"/>
            </w:tcMar>
            <w:vAlign w:val="center"/>
          </w:tcPr>
          <w:p w14:paraId="074CB12F">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运营</w:t>
            </w:r>
          </w:p>
          <w:p w14:paraId="4F113A9F">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期环</w:t>
            </w:r>
          </w:p>
          <w:p w14:paraId="4C24C342">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境影</w:t>
            </w:r>
          </w:p>
          <w:p w14:paraId="4E29F19A">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响和</w:t>
            </w:r>
          </w:p>
          <w:p w14:paraId="03CDA0E0">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保护</w:t>
            </w:r>
          </w:p>
          <w:p w14:paraId="49A80C05">
            <w:pPr>
              <w:pStyle w:val="26"/>
              <w:adjustRightInd w:val="0"/>
              <w:snapToGrid w:val="0"/>
              <w:spacing w:before="0" w:beforeAutospacing="0" w:after="0" w:afterAutospacing="0"/>
              <w:jc w:val="center"/>
              <w:rPr>
                <w:rFonts w:ascii="Times New Roman" w:hAnsi="Times New Roman"/>
                <w:color w:val="auto"/>
                <w:kern w:val="2"/>
                <w:szCs w:val="24"/>
                <w:highlight w:val="none"/>
              </w:rPr>
            </w:pPr>
            <w:r>
              <w:rPr>
                <w:rFonts w:ascii="Times New Roman" w:hAnsi="Times New Roman"/>
                <w:color w:val="auto"/>
                <w:kern w:val="2"/>
                <w:szCs w:val="24"/>
                <w:highlight w:val="none"/>
              </w:rPr>
              <w:t>措施</w:t>
            </w:r>
          </w:p>
        </w:tc>
        <w:tc>
          <w:tcPr>
            <w:tcW w:w="7978" w:type="dxa"/>
            <w:vAlign w:val="center"/>
          </w:tcPr>
          <w:p w14:paraId="4CDA9271">
            <w:pPr>
              <w:pStyle w:val="76"/>
              <w:spacing w:before="188" w:line="221" w:lineRule="auto"/>
              <w:ind w:left="596"/>
              <w:rPr>
                <w:color w:val="auto"/>
                <w:sz w:val="24"/>
                <w:szCs w:val="24"/>
              </w:rPr>
            </w:pPr>
            <w:r>
              <w:rPr>
                <w:rFonts w:ascii="Times New Roman" w:hAnsi="Times New Roman" w:eastAsia="Times New Roman" w:cs="Times New Roman"/>
                <w:b/>
                <w:bCs/>
                <w:color w:val="auto"/>
                <w:spacing w:val="-12"/>
                <w:sz w:val="24"/>
                <w:szCs w:val="24"/>
              </w:rPr>
              <w:t>1</w:t>
            </w:r>
            <w:r>
              <w:rPr>
                <w:b/>
                <w:bCs/>
                <w:color w:val="auto"/>
                <w:spacing w:val="-12"/>
                <w:sz w:val="24"/>
                <w:szCs w:val="24"/>
              </w:rPr>
              <w:t>、废气</w:t>
            </w:r>
          </w:p>
          <w:p w14:paraId="32417C32">
            <w:pPr>
              <w:pStyle w:val="76"/>
              <w:spacing w:before="155" w:line="361" w:lineRule="exact"/>
              <w:ind w:left="601"/>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1</w:t>
            </w:r>
            <w:r>
              <w:rPr>
                <w:color w:val="auto"/>
                <w:spacing w:val="-2"/>
                <w:position w:val="2"/>
                <w:sz w:val="24"/>
                <w:szCs w:val="24"/>
              </w:rPr>
              <w:t>）</w:t>
            </w:r>
            <w:r>
              <w:rPr>
                <w:rFonts w:ascii="Times New Roman" w:hAnsi="Times New Roman" w:eastAsia="Times New Roman" w:cs="Times New Roman"/>
                <w:color w:val="auto"/>
                <w:spacing w:val="-2"/>
                <w:position w:val="2"/>
                <w:sz w:val="24"/>
                <w:szCs w:val="24"/>
              </w:rPr>
              <w:t>MPCVD</w:t>
            </w:r>
            <w:r>
              <w:rPr>
                <w:color w:val="auto"/>
                <w:spacing w:val="-2"/>
                <w:position w:val="2"/>
                <w:sz w:val="24"/>
                <w:szCs w:val="24"/>
              </w:rPr>
              <w:t>沉积尾气</w:t>
            </w:r>
          </w:p>
          <w:p w14:paraId="7E15A80F">
            <w:pPr>
              <w:pStyle w:val="76"/>
              <w:spacing w:before="158" w:line="369" w:lineRule="auto"/>
              <w:ind w:left="108" w:right="101" w:firstLine="476"/>
              <w:rPr>
                <w:color w:val="auto"/>
                <w:sz w:val="24"/>
                <w:szCs w:val="24"/>
              </w:rPr>
            </w:pPr>
            <w:r>
              <w:rPr>
                <w:rFonts w:ascii="Times New Roman" w:hAnsi="Times New Roman" w:eastAsia="Times New Roman" w:cs="Times New Roman"/>
                <w:color w:val="auto"/>
                <w:sz w:val="24"/>
                <w:szCs w:val="24"/>
              </w:rPr>
              <w:t>MPCVD</w:t>
            </w:r>
            <w:r>
              <w:rPr>
                <w:color w:val="auto"/>
                <w:spacing w:val="2"/>
                <w:sz w:val="24"/>
                <w:szCs w:val="24"/>
              </w:rPr>
              <w:t>沉积过程，通入的气体为氢气、甲烷、氩气和二氧化碳，根据</w:t>
            </w:r>
            <w:r>
              <w:rPr>
                <w:color w:val="auto"/>
                <w:spacing w:val="-1"/>
                <w:sz w:val="24"/>
                <w:szCs w:val="24"/>
              </w:rPr>
              <w:t>工程分析</w:t>
            </w:r>
            <w:r>
              <w:rPr>
                <w:rFonts w:ascii="Times New Roman" w:hAnsi="Times New Roman" w:eastAsia="Times New Roman" w:cs="Times New Roman"/>
                <w:color w:val="auto"/>
                <w:spacing w:val="-1"/>
                <w:sz w:val="24"/>
                <w:szCs w:val="24"/>
              </w:rPr>
              <w:t>MPCVD</w:t>
            </w:r>
            <w:r>
              <w:rPr>
                <w:color w:val="auto"/>
                <w:spacing w:val="-1"/>
                <w:sz w:val="24"/>
                <w:szCs w:val="24"/>
              </w:rPr>
              <w:t>沉积原理介绍，甲烷、二氧化碳和氢气在</w:t>
            </w:r>
            <w:r>
              <w:rPr>
                <w:rFonts w:ascii="Times New Roman" w:hAnsi="Times New Roman" w:eastAsia="Times New Roman" w:cs="Times New Roman"/>
                <w:color w:val="auto"/>
                <w:spacing w:val="-1"/>
                <w:sz w:val="24"/>
                <w:szCs w:val="24"/>
              </w:rPr>
              <w:t>MPCVD</w:t>
            </w:r>
            <w:r>
              <w:rPr>
                <w:color w:val="auto"/>
                <w:spacing w:val="-1"/>
                <w:sz w:val="24"/>
                <w:szCs w:val="24"/>
              </w:rPr>
              <w:t>系统中</w:t>
            </w:r>
            <w:r>
              <w:rPr>
                <w:color w:val="auto"/>
                <w:sz w:val="24"/>
                <w:szCs w:val="24"/>
              </w:rPr>
              <w:t>进行等离子化，形成含碳活性基团和氢原子，其中碳沉积在晶种上从而生成人造金刚石，氩气和二氧化碳气体充当沉积环境保护气体，</w:t>
            </w:r>
            <w:r>
              <w:rPr>
                <w:rFonts w:hint="eastAsia"/>
                <w:color w:val="auto"/>
                <w:sz w:val="24"/>
                <w:szCs w:val="24"/>
                <w:lang w:val="en-US" w:eastAsia="zh-CN"/>
              </w:rPr>
              <w:t>未分解的甲烷和</w:t>
            </w:r>
            <w:r>
              <w:rPr>
                <w:color w:val="auto"/>
                <w:sz w:val="24"/>
                <w:szCs w:val="24"/>
              </w:rPr>
              <w:t>多余的氢气、氩气和二氧化碳排出，该气体在工作时为连续排放。在沉积过程中，整个沉积系统的温度可达到上千度，从通入的</w:t>
            </w:r>
            <w:r>
              <w:rPr>
                <w:color w:val="auto"/>
                <w:spacing w:val="-3"/>
                <w:sz w:val="24"/>
                <w:szCs w:val="24"/>
              </w:rPr>
              <w:t>气体成分来看，元素为</w:t>
            </w:r>
            <w:r>
              <w:rPr>
                <w:rFonts w:ascii="Times New Roman" w:hAnsi="Times New Roman" w:eastAsia="Times New Roman" w:cs="Times New Roman"/>
                <w:color w:val="auto"/>
                <w:spacing w:val="-3"/>
                <w:sz w:val="24"/>
                <w:szCs w:val="24"/>
              </w:rPr>
              <w:t>C</w:t>
            </w:r>
            <w:r>
              <w:rPr>
                <w:color w:val="auto"/>
                <w:spacing w:val="-3"/>
                <w:sz w:val="24"/>
                <w:szCs w:val="24"/>
              </w:rPr>
              <w:t>、</w:t>
            </w:r>
            <w:r>
              <w:rPr>
                <w:rFonts w:ascii="Times New Roman" w:hAnsi="Times New Roman" w:eastAsia="Times New Roman" w:cs="Times New Roman"/>
                <w:color w:val="auto"/>
                <w:spacing w:val="-3"/>
                <w:sz w:val="24"/>
                <w:szCs w:val="24"/>
              </w:rPr>
              <w:t>H</w:t>
            </w:r>
            <w:r>
              <w:rPr>
                <w:color w:val="auto"/>
                <w:spacing w:val="-3"/>
                <w:sz w:val="24"/>
                <w:szCs w:val="24"/>
              </w:rPr>
              <w:t>、</w:t>
            </w:r>
            <w:r>
              <w:rPr>
                <w:rFonts w:ascii="Times New Roman" w:hAnsi="Times New Roman" w:eastAsia="Times New Roman" w:cs="Times New Roman"/>
                <w:color w:val="auto"/>
                <w:spacing w:val="-3"/>
                <w:sz w:val="24"/>
                <w:szCs w:val="24"/>
              </w:rPr>
              <w:t>O</w:t>
            </w:r>
            <w:r>
              <w:rPr>
                <w:color w:val="auto"/>
                <w:spacing w:val="-3"/>
                <w:sz w:val="24"/>
                <w:szCs w:val="24"/>
              </w:rPr>
              <w:t>，因此不可</w:t>
            </w:r>
            <w:r>
              <w:rPr>
                <w:color w:val="auto"/>
                <w:spacing w:val="-4"/>
                <w:sz w:val="24"/>
                <w:szCs w:val="24"/>
              </w:rPr>
              <w:t>能生成有机卤化物。</w:t>
            </w:r>
            <w:r>
              <w:rPr>
                <w:color w:val="auto"/>
                <w:spacing w:val="2"/>
                <w:sz w:val="24"/>
                <w:szCs w:val="24"/>
              </w:rPr>
              <w:t>根据沉积原理和金刚石成分组成，</w:t>
            </w:r>
            <w:r>
              <w:rPr>
                <w:rFonts w:ascii="Times New Roman" w:hAnsi="Times New Roman" w:eastAsia="Times New Roman" w:cs="Times New Roman"/>
                <w:color w:val="auto"/>
                <w:sz w:val="24"/>
                <w:szCs w:val="24"/>
              </w:rPr>
              <w:t>MPCVD</w:t>
            </w:r>
            <w:r>
              <w:rPr>
                <w:color w:val="auto"/>
                <w:spacing w:val="2"/>
                <w:sz w:val="24"/>
                <w:szCs w:val="24"/>
              </w:rPr>
              <w:t>沉积尾气为</w:t>
            </w:r>
            <w:r>
              <w:rPr>
                <w:rFonts w:hint="eastAsia"/>
                <w:color w:val="auto"/>
                <w:spacing w:val="2"/>
                <w:sz w:val="24"/>
                <w:szCs w:val="24"/>
                <w:lang w:val="en-US" w:eastAsia="zh-CN"/>
              </w:rPr>
              <w:t>甲烷、</w:t>
            </w:r>
            <w:r>
              <w:rPr>
                <w:color w:val="auto"/>
                <w:spacing w:val="2"/>
                <w:sz w:val="24"/>
                <w:szCs w:val="24"/>
              </w:rPr>
              <w:t>氢气、氩气和二</w:t>
            </w:r>
            <w:r>
              <w:rPr>
                <w:color w:val="auto"/>
                <w:spacing w:val="-4"/>
                <w:sz w:val="24"/>
                <w:szCs w:val="24"/>
              </w:rPr>
              <w:t>氧化碳为主，其中氢气量为</w:t>
            </w:r>
            <w:r>
              <w:rPr>
                <w:rFonts w:hint="eastAsia" w:ascii="Times New Roman" w:hAnsi="Times New Roman" w:eastAsia="宋体" w:cs="Times New Roman"/>
                <w:color w:val="auto"/>
                <w:spacing w:val="-4"/>
                <w:sz w:val="24"/>
                <w:szCs w:val="24"/>
                <w:highlight w:val="none"/>
                <w:lang w:val="en-US" w:eastAsia="zh-CN"/>
              </w:rPr>
              <w:t>3775.8</w:t>
            </w:r>
            <w:r>
              <w:rPr>
                <w:rFonts w:ascii="Times New Roman" w:hAnsi="Times New Roman" w:eastAsia="Times New Roman" w:cs="Times New Roman"/>
                <w:color w:val="auto"/>
                <w:spacing w:val="-4"/>
                <w:sz w:val="24"/>
                <w:szCs w:val="24"/>
                <w:highlight w:val="none"/>
              </w:rPr>
              <w:t>kg/a</w:t>
            </w:r>
            <w:r>
              <w:rPr>
                <w:color w:val="auto"/>
                <w:spacing w:val="-4"/>
                <w:sz w:val="24"/>
                <w:szCs w:val="24"/>
                <w:highlight w:val="none"/>
              </w:rPr>
              <w:t>、氩气为</w:t>
            </w:r>
            <w:r>
              <w:rPr>
                <w:rFonts w:hint="eastAsia" w:ascii="Times New Roman" w:hAnsi="Times New Roman" w:eastAsia="宋体" w:cs="Times New Roman"/>
                <w:color w:val="auto"/>
                <w:spacing w:val="-4"/>
                <w:sz w:val="24"/>
                <w:szCs w:val="24"/>
                <w:highlight w:val="none"/>
                <w:lang w:val="en-US" w:eastAsia="zh-CN"/>
              </w:rPr>
              <w:t>4281.6</w:t>
            </w:r>
            <w:r>
              <w:rPr>
                <w:rFonts w:ascii="Times New Roman" w:hAnsi="Times New Roman" w:eastAsia="Times New Roman" w:cs="Times New Roman"/>
                <w:color w:val="auto"/>
                <w:spacing w:val="-4"/>
                <w:sz w:val="24"/>
                <w:szCs w:val="24"/>
                <w:highlight w:val="none"/>
              </w:rPr>
              <w:t>kg/a</w:t>
            </w:r>
            <w:r>
              <w:rPr>
                <w:color w:val="auto"/>
                <w:spacing w:val="-4"/>
                <w:sz w:val="24"/>
                <w:szCs w:val="24"/>
                <w:highlight w:val="none"/>
              </w:rPr>
              <w:t>、二氧化碳</w:t>
            </w:r>
            <w:r>
              <w:rPr>
                <w:rFonts w:hint="eastAsia" w:ascii="Times New Roman" w:hAnsi="Times New Roman" w:eastAsia="宋体" w:cs="Times New Roman"/>
                <w:color w:val="auto"/>
                <w:spacing w:val="-4"/>
                <w:sz w:val="24"/>
                <w:szCs w:val="24"/>
                <w:highlight w:val="none"/>
                <w:lang w:val="en-US" w:eastAsia="zh-CN"/>
              </w:rPr>
              <w:t>1455.1</w:t>
            </w:r>
            <w:r>
              <w:rPr>
                <w:rFonts w:ascii="Times New Roman" w:hAnsi="Times New Roman" w:eastAsia="Times New Roman" w:cs="Times New Roman"/>
                <w:color w:val="auto"/>
                <w:spacing w:val="-4"/>
                <w:sz w:val="24"/>
                <w:szCs w:val="24"/>
                <w:highlight w:val="none"/>
              </w:rPr>
              <w:t>kg/a</w:t>
            </w:r>
            <w:r>
              <w:rPr>
                <w:rFonts w:hint="eastAsia" w:ascii="Times New Roman" w:hAnsi="Times New Roman" w:eastAsia="宋体" w:cs="Times New Roman"/>
                <w:color w:val="auto"/>
                <w:spacing w:val="-4"/>
                <w:sz w:val="24"/>
                <w:szCs w:val="24"/>
                <w:highlight w:val="none"/>
                <w:lang w:eastAsia="zh-CN"/>
              </w:rPr>
              <w:t>，</w:t>
            </w:r>
            <w:r>
              <w:rPr>
                <w:color w:val="auto"/>
                <w:spacing w:val="1"/>
                <w:sz w:val="24"/>
                <w:szCs w:val="24"/>
                <w:highlight w:val="none"/>
              </w:rPr>
              <w:t>未反应完全的甲烷废气</w:t>
            </w:r>
            <w:r>
              <w:rPr>
                <w:rFonts w:hint="eastAsia" w:ascii="Times New Roman" w:hAnsi="Times New Roman" w:cs="Times New Roman"/>
                <w:color w:val="auto"/>
                <w:spacing w:val="1"/>
                <w:sz w:val="24"/>
                <w:szCs w:val="24"/>
                <w:highlight w:val="none"/>
                <w:lang w:val="en-US" w:eastAsia="zh-CN"/>
              </w:rPr>
              <w:t>2698.92</w:t>
            </w:r>
            <w:r>
              <w:rPr>
                <w:rFonts w:ascii="Times New Roman" w:hAnsi="Times New Roman" w:eastAsia="Times New Roman" w:cs="Times New Roman"/>
                <w:color w:val="auto"/>
                <w:sz w:val="24"/>
                <w:szCs w:val="24"/>
                <w:highlight w:val="none"/>
              </w:rPr>
              <w:t>kg</w:t>
            </w:r>
            <w:r>
              <w:rPr>
                <w:rFonts w:ascii="Times New Roman" w:hAnsi="Times New Roman" w:eastAsia="Times New Roman" w:cs="Times New Roman"/>
                <w:color w:val="auto"/>
                <w:spacing w:val="1"/>
                <w:sz w:val="24"/>
                <w:szCs w:val="24"/>
                <w:highlight w:val="none"/>
              </w:rPr>
              <w:t>/a</w:t>
            </w:r>
            <w:r>
              <w:rPr>
                <w:color w:val="auto"/>
                <w:spacing w:val="1"/>
                <w:sz w:val="24"/>
                <w:szCs w:val="24"/>
                <w:highlight w:val="none"/>
              </w:rPr>
              <w:t>。由于甲烷</w:t>
            </w:r>
            <w:r>
              <w:rPr>
                <w:rFonts w:hint="eastAsia"/>
                <w:color w:val="auto"/>
                <w:spacing w:val="1"/>
                <w:sz w:val="24"/>
                <w:szCs w:val="24"/>
                <w:highlight w:val="none"/>
                <w:lang w:val="en-US" w:eastAsia="zh-CN"/>
              </w:rPr>
              <w:t>的分解效率</w:t>
            </w:r>
            <w:r>
              <w:rPr>
                <w:rFonts w:hint="default" w:ascii="Times New Roman" w:hAnsi="Times New Roman" w:cs="Times New Roman"/>
                <w:color w:val="auto"/>
                <w:spacing w:val="1"/>
                <w:sz w:val="24"/>
                <w:szCs w:val="24"/>
                <w:highlight w:val="none"/>
                <w:lang w:val="en-US" w:eastAsia="zh-CN"/>
              </w:rPr>
              <w:t>约</w:t>
            </w:r>
            <w:r>
              <w:rPr>
                <w:rFonts w:hint="eastAsia" w:ascii="Times New Roman" w:hAnsi="Times New Roman" w:cs="Times New Roman"/>
                <w:color w:val="auto"/>
                <w:spacing w:val="1"/>
                <w:sz w:val="24"/>
                <w:szCs w:val="24"/>
                <w:highlight w:val="none"/>
                <w:lang w:val="en-US" w:eastAsia="zh-CN"/>
              </w:rPr>
              <w:t>1</w:t>
            </w:r>
            <w:r>
              <w:rPr>
                <w:rFonts w:hint="default" w:ascii="Times New Roman" w:hAnsi="Times New Roman" w:cs="Times New Roman"/>
                <w:color w:val="auto"/>
                <w:spacing w:val="1"/>
                <w:sz w:val="24"/>
                <w:szCs w:val="24"/>
                <w:highlight w:val="none"/>
                <w:lang w:val="en-US" w:eastAsia="zh-CN"/>
              </w:rPr>
              <w:t>0%</w:t>
            </w:r>
            <w:r>
              <w:rPr>
                <w:color w:val="auto"/>
                <w:sz w:val="24"/>
                <w:szCs w:val="24"/>
                <w:highlight w:val="none"/>
              </w:rPr>
              <w:t>，因此</w:t>
            </w:r>
            <w:r>
              <w:rPr>
                <w:color w:val="auto"/>
                <w:spacing w:val="-1"/>
                <w:sz w:val="24"/>
                <w:szCs w:val="24"/>
                <w:highlight w:val="none"/>
              </w:rPr>
              <w:t>未分解的甲烷废气</w:t>
            </w:r>
            <w:r>
              <w:rPr>
                <w:rFonts w:hint="eastAsia"/>
                <w:color w:val="auto"/>
                <w:spacing w:val="-1"/>
                <w:sz w:val="24"/>
                <w:szCs w:val="24"/>
                <w:highlight w:val="none"/>
                <w:lang w:val="en-US" w:eastAsia="zh-CN"/>
              </w:rPr>
              <w:t>为</w:t>
            </w:r>
            <w:r>
              <w:rPr>
                <w:rFonts w:hint="eastAsia" w:ascii="Times New Roman" w:hAnsi="Times New Roman" w:cs="Times New Roman"/>
                <w:color w:val="auto"/>
                <w:spacing w:val="1"/>
                <w:sz w:val="24"/>
                <w:szCs w:val="24"/>
                <w:highlight w:val="none"/>
                <w:lang w:val="en-US" w:eastAsia="zh-CN"/>
              </w:rPr>
              <w:t>2698.92</w:t>
            </w:r>
            <w:r>
              <w:rPr>
                <w:rFonts w:ascii="Times New Roman" w:hAnsi="Times New Roman" w:eastAsia="Times New Roman" w:cs="Times New Roman"/>
                <w:color w:val="auto"/>
                <w:sz w:val="24"/>
                <w:szCs w:val="24"/>
                <w:highlight w:val="none"/>
              </w:rPr>
              <w:t>kg</w:t>
            </w:r>
            <w:r>
              <w:rPr>
                <w:rFonts w:ascii="Times New Roman" w:hAnsi="Times New Roman" w:eastAsia="Times New Roman" w:cs="Times New Roman"/>
                <w:color w:val="auto"/>
                <w:spacing w:val="1"/>
                <w:sz w:val="24"/>
                <w:szCs w:val="24"/>
                <w:highlight w:val="none"/>
              </w:rPr>
              <w:t>/a</w:t>
            </w:r>
            <w:r>
              <w:rPr>
                <w:color w:val="auto"/>
                <w:spacing w:val="-1"/>
                <w:sz w:val="24"/>
                <w:szCs w:val="24"/>
                <w:highlight w:val="none"/>
              </w:rPr>
              <w:t>。</w:t>
            </w:r>
          </w:p>
          <w:p w14:paraId="37CF202A">
            <w:pPr>
              <w:pStyle w:val="76"/>
              <w:spacing w:before="79" w:line="369" w:lineRule="auto"/>
              <w:ind w:left="111" w:right="101" w:firstLine="472"/>
              <w:jc w:val="both"/>
              <w:rPr>
                <w:color w:val="auto"/>
                <w:sz w:val="24"/>
                <w:szCs w:val="24"/>
              </w:rPr>
            </w:pPr>
            <w:r>
              <w:rPr>
                <w:rFonts w:ascii="Times New Roman" w:hAnsi="Times New Roman" w:eastAsia="Times New Roman" w:cs="Times New Roman"/>
                <w:color w:val="auto"/>
                <w:sz w:val="24"/>
                <w:szCs w:val="24"/>
              </w:rPr>
              <w:t>MPCVD</w:t>
            </w:r>
            <w:r>
              <w:rPr>
                <w:color w:val="auto"/>
                <w:spacing w:val="2"/>
                <w:sz w:val="24"/>
                <w:szCs w:val="24"/>
              </w:rPr>
              <w:t>沉积完成后在金刚石晶种表面生长了金刚石单晶（</w:t>
            </w:r>
            <w:r>
              <w:rPr>
                <w:rFonts w:ascii="Times New Roman" w:hAnsi="Times New Roman" w:eastAsia="Times New Roman" w:cs="Times New Roman"/>
                <w:color w:val="auto"/>
                <w:sz w:val="24"/>
                <w:szCs w:val="24"/>
              </w:rPr>
              <w:t>C</w:t>
            </w:r>
            <w:r>
              <w:rPr>
                <w:rFonts w:hint="eastAsia" w:ascii="Times New Roman" w:hAnsi="Times New Roman" w:eastAsia="宋体" w:cs="Times New Roman"/>
                <w:color w:val="auto"/>
                <w:sz w:val="24"/>
                <w:szCs w:val="24"/>
                <w:lang w:val="en-US" w:eastAsia="zh-CN"/>
              </w:rPr>
              <w:t>V</w:t>
            </w:r>
            <w:r>
              <w:rPr>
                <w:rFonts w:ascii="Times New Roman" w:hAnsi="Times New Roman" w:eastAsia="Times New Roman" w:cs="Times New Roman"/>
                <w:color w:val="auto"/>
                <w:sz w:val="24"/>
                <w:szCs w:val="24"/>
              </w:rPr>
              <w:t>D</w:t>
            </w:r>
            <w:r>
              <w:rPr>
                <w:color w:val="auto"/>
                <w:spacing w:val="15"/>
                <w:sz w:val="24"/>
                <w:szCs w:val="24"/>
              </w:rPr>
              <w:t>），</w:t>
            </w:r>
            <w:r>
              <w:rPr>
                <w:color w:val="auto"/>
                <w:spacing w:val="2"/>
                <w:sz w:val="24"/>
                <w:szCs w:val="24"/>
              </w:rPr>
              <w:t>产</w:t>
            </w:r>
            <w:r>
              <w:rPr>
                <w:color w:val="auto"/>
                <w:sz w:val="24"/>
                <w:szCs w:val="24"/>
              </w:rPr>
              <w:t>生的沉积废气</w:t>
            </w:r>
            <w:r>
              <w:rPr>
                <w:rFonts w:hint="eastAsia"/>
                <w:color w:val="auto"/>
                <w:sz w:val="24"/>
                <w:szCs w:val="24"/>
                <w:lang w:val="en-US" w:eastAsia="zh-CN"/>
              </w:rPr>
              <w:t>为</w:t>
            </w:r>
            <w:r>
              <w:rPr>
                <w:rFonts w:hint="eastAsia"/>
                <w:color w:val="auto"/>
                <w:spacing w:val="2"/>
                <w:sz w:val="24"/>
                <w:szCs w:val="24"/>
                <w:lang w:val="en-US" w:eastAsia="zh-CN"/>
              </w:rPr>
              <w:t>甲烷、</w:t>
            </w:r>
            <w:r>
              <w:rPr>
                <w:color w:val="auto"/>
                <w:spacing w:val="2"/>
                <w:sz w:val="24"/>
                <w:szCs w:val="24"/>
              </w:rPr>
              <w:t>氢气、氩气和二</w:t>
            </w:r>
            <w:r>
              <w:rPr>
                <w:color w:val="auto"/>
                <w:spacing w:val="-4"/>
                <w:sz w:val="24"/>
                <w:szCs w:val="24"/>
              </w:rPr>
              <w:t>氧化碳</w:t>
            </w:r>
            <w:r>
              <w:rPr>
                <w:color w:val="auto"/>
                <w:sz w:val="24"/>
                <w:szCs w:val="24"/>
              </w:rPr>
              <w:t>，沉积前后氢气体积大体不变（由于温度升高甚至体积略有增加）。考虑到氢气较轻，所以只要保持</w:t>
            </w:r>
            <w:r>
              <w:rPr>
                <w:rFonts w:ascii="Times New Roman" w:hAnsi="Times New Roman" w:eastAsia="Times New Roman" w:cs="Times New Roman"/>
                <w:color w:val="auto"/>
                <w:sz w:val="24"/>
                <w:szCs w:val="24"/>
              </w:rPr>
              <w:t>MPCVD</w:t>
            </w:r>
            <w:r>
              <w:rPr>
                <w:color w:val="auto"/>
                <w:spacing w:val="-1"/>
                <w:sz w:val="24"/>
                <w:szCs w:val="24"/>
              </w:rPr>
              <w:t>沉积车间内空气流动，禁止明火，氢气排放到大气中基本无危险。</w:t>
            </w:r>
          </w:p>
          <w:p w14:paraId="3A739639">
            <w:pPr>
              <w:pStyle w:val="76"/>
              <w:spacing w:before="1" w:line="354" w:lineRule="auto"/>
              <w:ind w:left="111" w:right="103" w:firstLine="472"/>
              <w:rPr>
                <w:color w:val="auto"/>
                <w:sz w:val="24"/>
                <w:szCs w:val="24"/>
                <w:highlight w:val="none"/>
              </w:rPr>
            </w:pPr>
            <w:r>
              <w:rPr>
                <w:rFonts w:ascii="Times New Roman" w:hAnsi="Times New Roman" w:eastAsia="Times New Roman" w:cs="Times New Roman"/>
                <w:color w:val="auto"/>
                <w:sz w:val="24"/>
                <w:szCs w:val="24"/>
                <w:highlight w:val="none"/>
              </w:rPr>
              <w:t>MPCVD</w:t>
            </w:r>
            <w:r>
              <w:rPr>
                <w:color w:val="auto"/>
                <w:spacing w:val="2"/>
                <w:sz w:val="24"/>
                <w:szCs w:val="24"/>
                <w:highlight w:val="none"/>
              </w:rPr>
              <w:t>长晶炉设备自带有排放尾气的气泵，排气口直接连接管道收集</w:t>
            </w:r>
            <w:r>
              <w:rPr>
                <w:rFonts w:hint="eastAsia"/>
                <w:color w:val="auto"/>
                <w:spacing w:val="2"/>
                <w:sz w:val="24"/>
                <w:szCs w:val="24"/>
                <w:highlight w:val="none"/>
                <w:lang w:eastAsia="zh-CN"/>
              </w:rPr>
              <w:t>，</w:t>
            </w:r>
            <w:r>
              <w:rPr>
                <w:rFonts w:hint="eastAsia"/>
                <w:color w:val="auto"/>
                <w:spacing w:val="2"/>
                <w:sz w:val="24"/>
                <w:szCs w:val="24"/>
                <w:highlight w:val="none"/>
                <w:lang w:val="en-US" w:eastAsia="zh-CN"/>
              </w:rPr>
              <w:t>与</w:t>
            </w:r>
            <w:r>
              <w:rPr>
                <w:rFonts w:hint="default" w:ascii="Times New Roman" w:hAnsi="Times New Roman" w:cs="Times New Roman"/>
                <w:color w:val="auto"/>
                <w:spacing w:val="2"/>
                <w:sz w:val="24"/>
                <w:szCs w:val="24"/>
                <w:highlight w:val="none"/>
                <w:lang w:val="en-US" w:eastAsia="zh-CN"/>
              </w:rPr>
              <w:t>甲烷进行等离子化</w:t>
            </w:r>
            <w:r>
              <w:rPr>
                <w:rFonts w:hint="eastAsia" w:ascii="Times New Roman" w:hAnsi="Times New Roman" w:cs="Times New Roman"/>
                <w:color w:val="auto"/>
                <w:spacing w:val="2"/>
                <w:sz w:val="24"/>
                <w:szCs w:val="24"/>
                <w:highlight w:val="none"/>
                <w:lang w:val="en-US" w:eastAsia="zh-CN"/>
              </w:rPr>
              <w:t>产生的单质碳颗粒（见下一段）一同经过袋式除尘器处理后</w:t>
            </w:r>
            <w:r>
              <w:rPr>
                <w:color w:val="auto"/>
                <w:spacing w:val="-1"/>
                <w:sz w:val="24"/>
                <w:szCs w:val="24"/>
                <w:highlight w:val="none"/>
              </w:rPr>
              <w:t>引致车间外</w:t>
            </w:r>
            <w:r>
              <w:rPr>
                <w:rFonts w:hint="eastAsia"/>
                <w:color w:val="auto"/>
                <w:spacing w:val="-1"/>
                <w:sz w:val="24"/>
                <w:szCs w:val="24"/>
                <w:highlight w:val="none"/>
                <w:lang w:val="en-US" w:eastAsia="zh-CN"/>
              </w:rPr>
              <w:t>通过一</w:t>
            </w:r>
            <w:r>
              <w:rPr>
                <w:rFonts w:hint="eastAsia" w:ascii="Times New Roman" w:hAnsi="Times New Roman" w:eastAsia="Times New Roman" w:cs="Times New Roman"/>
                <w:color w:val="auto"/>
                <w:sz w:val="24"/>
                <w:szCs w:val="24"/>
                <w:highlight w:val="none"/>
                <w:lang w:val="en-US" w:eastAsia="zh-CN"/>
              </w:rPr>
              <w:t>根15m高排气</w:t>
            </w:r>
            <w:r>
              <w:rPr>
                <w:rFonts w:hint="eastAsia"/>
                <w:color w:val="auto"/>
                <w:spacing w:val="-1"/>
                <w:sz w:val="24"/>
                <w:szCs w:val="24"/>
                <w:highlight w:val="none"/>
                <w:lang w:val="en-US" w:eastAsia="zh-CN"/>
              </w:rPr>
              <w:t>筒有组织排放</w:t>
            </w:r>
            <w:r>
              <w:rPr>
                <w:color w:val="auto"/>
                <w:spacing w:val="-1"/>
                <w:sz w:val="24"/>
                <w:szCs w:val="24"/>
                <w:highlight w:val="none"/>
              </w:rPr>
              <w:t>。</w:t>
            </w:r>
          </w:p>
          <w:p w14:paraId="648C4357">
            <w:pPr>
              <w:pStyle w:val="76"/>
              <w:spacing w:before="79" w:line="369" w:lineRule="auto"/>
              <w:ind w:left="111" w:right="101" w:firstLine="472"/>
              <w:jc w:val="both"/>
              <w:rPr>
                <w:rFonts w:hint="default" w:ascii="Times New Roman" w:hAnsi="Times New Roman" w:cs="Times New Roman"/>
                <w:color w:val="auto"/>
                <w:spacing w:val="-1"/>
                <w:sz w:val="24"/>
                <w:szCs w:val="24"/>
                <w:lang w:val="en-US" w:eastAsia="zh-CN"/>
              </w:rPr>
            </w:pPr>
            <w:r>
              <w:rPr>
                <w:rFonts w:hint="default"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lang w:val="en-US" w:eastAsia="zh-CN"/>
              </w:rPr>
              <w:t>2</w:t>
            </w:r>
            <w:r>
              <w:rPr>
                <w:rFonts w:hint="default"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lang w:val="en-US" w:eastAsia="zh-CN"/>
              </w:rPr>
              <w:t>单质碳颗粒</w:t>
            </w:r>
          </w:p>
          <w:p w14:paraId="5A019578">
            <w:pPr>
              <w:pStyle w:val="76"/>
              <w:spacing w:before="79" w:line="369" w:lineRule="auto"/>
              <w:ind w:left="111" w:right="101" w:firstLine="472"/>
              <w:jc w:val="both"/>
              <w:rPr>
                <w:rFonts w:hint="default" w:ascii="Times New Roman" w:hAnsi="Times New Roman" w:eastAsia="宋体" w:cs="Times New Roman"/>
                <w:color w:val="auto"/>
                <w:spacing w:val="-1"/>
                <w:sz w:val="24"/>
                <w:szCs w:val="24"/>
                <w:vertAlign w:val="baseline"/>
                <w:lang w:val="en-US" w:eastAsia="zh-CN"/>
              </w:rPr>
            </w:pPr>
            <w:r>
              <w:rPr>
                <w:rFonts w:hint="default" w:ascii="Times New Roman" w:hAnsi="Times New Roman" w:eastAsia="Times New Roman" w:cs="Times New Roman"/>
                <w:color w:val="auto"/>
                <w:sz w:val="24"/>
                <w:szCs w:val="24"/>
              </w:rPr>
              <w:t>MPCVD</w:t>
            </w:r>
            <w:r>
              <w:rPr>
                <w:rFonts w:hint="default" w:ascii="Times New Roman" w:hAnsi="Times New Roman" w:cs="Times New Roman"/>
                <w:color w:val="auto"/>
                <w:spacing w:val="2"/>
                <w:sz w:val="24"/>
                <w:szCs w:val="24"/>
              </w:rPr>
              <w:t>长晶炉设备</w:t>
            </w:r>
            <w:r>
              <w:rPr>
                <w:rFonts w:hint="default" w:ascii="Times New Roman" w:hAnsi="Times New Roman" w:cs="Times New Roman"/>
                <w:color w:val="auto"/>
                <w:spacing w:val="2"/>
                <w:sz w:val="24"/>
                <w:szCs w:val="24"/>
                <w:lang w:val="en-US" w:eastAsia="zh-CN"/>
              </w:rPr>
              <w:t>对甲烷进行等离子化后，并非所有碳都能沉积为金刚石，未沉积的碳为纳米级的碳颗粒，产生量为224.91kg/a，</w:t>
            </w:r>
            <w:r>
              <w:rPr>
                <w:rFonts w:hint="eastAsia" w:ascii="Times New Roman" w:hAnsi="Times New Roman" w:cs="Times New Roman"/>
                <w:color w:val="auto"/>
                <w:spacing w:val="2"/>
                <w:sz w:val="24"/>
                <w:szCs w:val="24"/>
                <w:lang w:val="en-US" w:eastAsia="zh-CN"/>
              </w:rPr>
              <w:t>随沉积尾气一同经袋式除尘器处理后通过一根15m高排气筒排放</w:t>
            </w:r>
            <w:r>
              <w:rPr>
                <w:rFonts w:hint="eastAsia" w:ascii="Times New Roman" w:hAnsi="Times New Roman" w:cs="Times New Roman"/>
                <w:color w:val="auto"/>
                <w:spacing w:val="2"/>
                <w:sz w:val="24"/>
                <w:szCs w:val="24"/>
                <w:highlight w:val="none"/>
                <w:lang w:val="en-US" w:eastAsia="zh-CN"/>
              </w:rPr>
              <w:t>。</w:t>
            </w:r>
            <w:r>
              <w:rPr>
                <w:rFonts w:hint="eastAsia" w:ascii="Times New Roman" w:hAnsi="Times New Roman" w:cs="Times New Roman"/>
                <w:color w:val="auto"/>
                <w:spacing w:val="2"/>
                <w:sz w:val="24"/>
                <w:szCs w:val="24"/>
                <w:lang w:val="en-US" w:eastAsia="zh-CN"/>
              </w:rPr>
              <w:t>袋式除尘器设置于排气筒底端，废气从设备产生至排气筒排出均为密闭管道，因此收集效率为100%，袋式除尘器处理效率95%，</w:t>
            </w:r>
            <w:r>
              <w:rPr>
                <w:rFonts w:hint="eastAsia" w:ascii="Times New Roman" w:hAnsi="Times New Roman" w:cs="Times New Roman"/>
                <w:color w:val="auto"/>
                <w:spacing w:val="2"/>
                <w:sz w:val="24"/>
                <w:szCs w:val="24"/>
                <w:highlight w:val="none"/>
                <w:lang w:val="en-US" w:eastAsia="zh-CN"/>
              </w:rPr>
              <w:t>风机风量为10000m</w:t>
            </w:r>
            <w:r>
              <w:rPr>
                <w:rFonts w:hint="eastAsia" w:ascii="Times New Roman" w:hAnsi="Times New Roman" w:cs="Times New Roman"/>
                <w:color w:val="auto"/>
                <w:spacing w:val="2"/>
                <w:sz w:val="24"/>
                <w:szCs w:val="24"/>
                <w:highlight w:val="none"/>
                <w:vertAlign w:val="superscript"/>
                <w:lang w:val="en-US" w:eastAsia="zh-CN"/>
              </w:rPr>
              <w:t>3</w:t>
            </w:r>
            <w:r>
              <w:rPr>
                <w:rFonts w:hint="eastAsia" w:ascii="Times New Roman" w:hAnsi="Times New Roman" w:cs="Times New Roman"/>
                <w:color w:val="auto"/>
                <w:spacing w:val="2"/>
                <w:sz w:val="24"/>
                <w:szCs w:val="24"/>
                <w:highlight w:val="none"/>
                <w:vertAlign w:val="baseline"/>
                <w:lang w:val="en-US" w:eastAsia="zh-CN"/>
              </w:rPr>
              <w:t>/h</w:t>
            </w:r>
            <w:r>
              <w:rPr>
                <w:rFonts w:hint="eastAsia" w:ascii="Times New Roman" w:hAnsi="Times New Roman" w:cs="Times New Roman"/>
                <w:color w:val="auto"/>
                <w:spacing w:val="2"/>
                <w:sz w:val="24"/>
                <w:szCs w:val="24"/>
                <w:vertAlign w:val="baseline"/>
                <w:lang w:val="en-US" w:eastAsia="zh-CN"/>
              </w:rPr>
              <w:t>，则排放量为11.25</w:t>
            </w:r>
            <w:r>
              <w:rPr>
                <w:rFonts w:hint="default" w:ascii="Times New Roman" w:hAnsi="Times New Roman" w:cs="Times New Roman"/>
                <w:color w:val="auto"/>
                <w:spacing w:val="2"/>
                <w:sz w:val="24"/>
                <w:szCs w:val="24"/>
                <w:lang w:val="en-US" w:eastAsia="zh-CN"/>
              </w:rPr>
              <w:t>kg/a</w:t>
            </w:r>
            <w:r>
              <w:rPr>
                <w:rFonts w:hint="eastAsia" w:ascii="Times New Roman" w:hAnsi="Times New Roman" w:cs="Times New Roman"/>
                <w:color w:val="auto"/>
                <w:spacing w:val="2"/>
                <w:sz w:val="24"/>
                <w:szCs w:val="24"/>
                <w:lang w:val="en-US" w:eastAsia="zh-CN"/>
              </w:rPr>
              <w:t>，排放速率3.85g/h，排放浓度0.39mg/m</w:t>
            </w:r>
            <w:r>
              <w:rPr>
                <w:rFonts w:hint="eastAsia" w:ascii="Times New Roman" w:hAnsi="Times New Roman" w:cs="Times New Roman"/>
                <w:color w:val="auto"/>
                <w:spacing w:val="2"/>
                <w:sz w:val="24"/>
                <w:szCs w:val="24"/>
                <w:vertAlign w:val="superscript"/>
                <w:lang w:val="en-US" w:eastAsia="zh-CN"/>
              </w:rPr>
              <w:t>3</w:t>
            </w:r>
            <w:r>
              <w:rPr>
                <w:rFonts w:hint="eastAsia" w:ascii="Times New Roman" w:hAnsi="Times New Roman" w:cs="Times New Roman"/>
                <w:color w:val="auto"/>
                <w:spacing w:val="2"/>
                <w:sz w:val="24"/>
                <w:szCs w:val="24"/>
                <w:vertAlign w:val="baseline"/>
                <w:lang w:val="en-US" w:eastAsia="zh-CN"/>
              </w:rPr>
              <w:t>。符合</w:t>
            </w:r>
            <w:r>
              <w:rPr>
                <w:rFonts w:hint="default" w:ascii="Times New Roman" w:hAnsi="Times New Roman" w:eastAsia="宋体" w:cs="Times New Roman"/>
                <w:color w:val="auto"/>
                <w:kern w:val="2"/>
                <w:sz w:val="24"/>
                <w:szCs w:val="24"/>
                <w:highlight w:val="none"/>
                <w:lang w:val="en-US" w:eastAsia="zh-CN" w:bidi="ar-SA"/>
              </w:rPr>
              <w:t>《大气污染物综合排放标准》（GB16297-1996）中表2新污染源大气污染物排放限值</w:t>
            </w:r>
            <w:r>
              <w:rPr>
                <w:rFonts w:hint="eastAsia" w:ascii="Times New Roman" w:hAnsi="Times New Roman" w:eastAsia="宋体" w:cs="Times New Roman"/>
                <w:color w:val="auto"/>
                <w:kern w:val="2"/>
                <w:sz w:val="24"/>
                <w:szCs w:val="24"/>
                <w:highlight w:val="none"/>
                <w:lang w:val="en-US" w:eastAsia="zh-CN" w:bidi="ar-SA"/>
              </w:rPr>
              <w:t>（15m排气筒3.5kg/h，120mg/m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p>
          <w:p w14:paraId="6EF3F345">
            <w:pPr>
              <w:pStyle w:val="76"/>
              <w:keepNext w:val="0"/>
              <w:keepLines w:val="0"/>
              <w:pageBreakBefore w:val="0"/>
              <w:widowControl w:val="0"/>
              <w:kinsoku/>
              <w:wordWrap/>
              <w:overflowPunct/>
              <w:topLinePunct w:val="0"/>
              <w:autoSpaceDE/>
              <w:autoSpaceDN/>
              <w:bidi w:val="0"/>
              <w:spacing w:line="360" w:lineRule="auto"/>
              <w:ind w:left="0" w:right="0" w:firstLine="476" w:firstLineChars="200"/>
              <w:jc w:val="both"/>
              <w:textAlignment w:val="auto"/>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w:t>
            </w:r>
            <w:r>
              <w:rPr>
                <w:rFonts w:hint="eastAsia" w:ascii="Times New Roman" w:hAnsi="Times New Roman" w:cs="Times New Roman"/>
                <w:color w:val="auto"/>
                <w:spacing w:val="-1"/>
                <w:sz w:val="24"/>
                <w:szCs w:val="24"/>
                <w:lang w:val="en-US" w:eastAsia="zh-CN"/>
              </w:rPr>
              <w:t>3</w:t>
            </w:r>
            <w:r>
              <w:rPr>
                <w:rFonts w:hint="default" w:ascii="Times New Roman" w:hAnsi="Times New Roman" w:cs="Times New Roman"/>
                <w:color w:val="auto"/>
                <w:spacing w:val="-1"/>
                <w:sz w:val="24"/>
                <w:szCs w:val="24"/>
              </w:rPr>
              <w:t>）激光切割废气</w:t>
            </w:r>
          </w:p>
          <w:p w14:paraId="1D34D15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72" w:firstLineChars="200"/>
              <w:textAlignment w:val="auto"/>
              <w:rPr>
                <w:rFonts w:hint="default" w:ascii="Times New Roman" w:hAnsi="Times New Roman" w:cs="Times New Roman"/>
                <w:color w:val="auto"/>
                <w:spacing w:val="-3"/>
                <w:position w:val="2"/>
                <w:sz w:val="24"/>
                <w:szCs w:val="24"/>
                <w:lang w:val="en-US"/>
              </w:rPr>
            </w:pPr>
            <w:r>
              <w:rPr>
                <w:color w:val="auto"/>
                <w:spacing w:val="-2"/>
                <w:sz w:val="24"/>
                <w:szCs w:val="24"/>
              </w:rPr>
              <w:t>项目产品体积及质量很小，切割过程产生的颗粒物粒径很小</w:t>
            </w:r>
            <w:r>
              <w:rPr>
                <w:rFonts w:hint="eastAsia"/>
                <w:color w:val="auto"/>
                <w:spacing w:val="-2"/>
                <w:sz w:val="24"/>
                <w:szCs w:val="24"/>
                <w:lang w:eastAsia="zh-CN"/>
              </w:rPr>
              <w:t>，</w:t>
            </w:r>
            <w:r>
              <w:rPr>
                <w:rFonts w:hint="eastAsia"/>
                <w:color w:val="auto"/>
                <w:spacing w:val="-2"/>
                <w:sz w:val="24"/>
                <w:szCs w:val="24"/>
                <w:lang w:val="en-US" w:eastAsia="zh-CN"/>
              </w:rPr>
              <w:t>基本为石墨</w:t>
            </w:r>
            <w:r>
              <w:rPr>
                <w:color w:val="auto"/>
                <w:spacing w:val="-2"/>
                <w:sz w:val="24"/>
                <w:szCs w:val="24"/>
              </w:rPr>
              <w:t>。根据产品规格，金刚石密度约为</w:t>
            </w:r>
            <w:r>
              <w:rPr>
                <w:rFonts w:ascii="Times New Roman" w:hAnsi="Times New Roman" w:eastAsia="Times New Roman" w:cs="Times New Roman"/>
                <w:color w:val="auto"/>
                <w:spacing w:val="-2"/>
                <w:sz w:val="24"/>
                <w:szCs w:val="24"/>
              </w:rPr>
              <w:t>3.52g/cm</w:t>
            </w:r>
            <w:r>
              <w:rPr>
                <w:rFonts w:ascii="Times New Roman" w:hAnsi="Times New Roman" w:eastAsia="Times New Roman" w:cs="Times New Roman"/>
                <w:color w:val="auto"/>
                <w:spacing w:val="-2"/>
                <w:position w:val="7"/>
                <w:sz w:val="15"/>
                <w:szCs w:val="15"/>
              </w:rPr>
              <w:t>3</w:t>
            </w:r>
            <w:r>
              <w:rPr>
                <w:color w:val="auto"/>
                <w:spacing w:val="-2"/>
                <w:sz w:val="24"/>
                <w:szCs w:val="24"/>
              </w:rPr>
              <w:t>，项目年生产金刚石</w:t>
            </w:r>
            <w:r>
              <w:rPr>
                <w:rFonts w:hint="eastAsia" w:eastAsia="宋体" w:cs="Times New Roman"/>
                <w:color w:val="auto"/>
                <w:spacing w:val="-2"/>
                <w:sz w:val="24"/>
                <w:szCs w:val="24"/>
                <w:lang w:val="en-US" w:eastAsia="zh-CN"/>
              </w:rPr>
              <w:t>25.1</w:t>
            </w:r>
            <w:r>
              <w:rPr>
                <w:rFonts w:ascii="Times New Roman" w:hAnsi="Times New Roman" w:eastAsia="Times New Roman" w:cs="Times New Roman"/>
                <w:color w:val="auto"/>
                <w:spacing w:val="-2"/>
                <w:sz w:val="24"/>
                <w:szCs w:val="24"/>
              </w:rPr>
              <w:t>kg</w:t>
            </w:r>
            <w:r>
              <w:rPr>
                <w:color w:val="auto"/>
                <w:spacing w:val="-2"/>
                <w:sz w:val="24"/>
                <w:szCs w:val="24"/>
              </w:rPr>
              <w:t>，</w:t>
            </w:r>
            <w:r>
              <w:rPr>
                <w:rFonts w:hint="eastAsia"/>
                <w:color w:val="auto"/>
                <w:spacing w:val="-2"/>
                <w:sz w:val="24"/>
                <w:szCs w:val="24"/>
                <w:lang w:val="en-US" w:eastAsia="zh-CN"/>
              </w:rPr>
              <w:t>以及多晶金刚石和不合格废料45.2kg，</w:t>
            </w:r>
            <w:r>
              <w:rPr>
                <w:color w:val="auto"/>
                <w:spacing w:val="-2"/>
                <w:sz w:val="24"/>
                <w:szCs w:val="24"/>
              </w:rPr>
              <w:t>考虑最不</w:t>
            </w:r>
            <w:r>
              <w:rPr>
                <w:color w:val="auto"/>
                <w:sz w:val="24"/>
                <w:szCs w:val="24"/>
              </w:rPr>
              <w:t>利因素，则产品总体积为</w:t>
            </w:r>
            <w:r>
              <w:rPr>
                <w:rFonts w:ascii="Times New Roman" w:hAnsi="Times New Roman" w:eastAsia="Times New Roman" w:cs="Times New Roman"/>
                <w:color w:val="auto"/>
                <w:sz w:val="24"/>
                <w:szCs w:val="24"/>
              </w:rPr>
              <w:t>0.</w:t>
            </w:r>
            <w:r>
              <w:rPr>
                <w:rFonts w:hint="eastAsia" w:eastAsia="宋体" w:cs="Times New Roman"/>
                <w:color w:val="auto"/>
                <w:sz w:val="24"/>
                <w:szCs w:val="24"/>
                <w:lang w:val="en-US" w:eastAsia="zh-CN"/>
              </w:rPr>
              <w:t>0</w:t>
            </w:r>
            <w:r>
              <w:rPr>
                <w:rFonts w:hint="eastAsia" w:cs="Times New Roman"/>
                <w:color w:val="auto"/>
                <w:sz w:val="24"/>
                <w:szCs w:val="24"/>
                <w:lang w:val="en-US" w:eastAsia="zh-CN"/>
              </w:rPr>
              <w:t>21</w:t>
            </w:r>
            <w:r>
              <w:rPr>
                <w:rFonts w:ascii="Times New Roman" w:hAnsi="Times New Roman" w:eastAsia="Times New Roman" w:cs="Times New Roman"/>
                <w:color w:val="auto"/>
                <w:sz w:val="24"/>
                <w:szCs w:val="24"/>
              </w:rPr>
              <w:t>m</w:t>
            </w:r>
            <w:r>
              <w:rPr>
                <w:rFonts w:ascii="Times New Roman" w:hAnsi="Times New Roman" w:eastAsia="Times New Roman" w:cs="Times New Roman"/>
                <w:color w:val="auto"/>
                <w:position w:val="7"/>
                <w:sz w:val="15"/>
                <w:szCs w:val="15"/>
              </w:rPr>
              <w:t>3</w:t>
            </w:r>
            <w:r>
              <w:rPr>
                <w:color w:val="auto"/>
                <w:sz w:val="24"/>
                <w:szCs w:val="24"/>
              </w:rPr>
              <w:t>。参考《排放源统计调查产排污核算方法和</w:t>
            </w:r>
            <w:r>
              <w:rPr>
                <w:color w:val="auto"/>
                <w:spacing w:val="1"/>
                <w:sz w:val="24"/>
                <w:szCs w:val="24"/>
              </w:rPr>
              <w:t>系数手册》</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w:t>
            </w:r>
            <w:r>
              <w:rPr>
                <w:color w:val="auto"/>
                <w:spacing w:val="1"/>
                <w:sz w:val="24"/>
                <w:szCs w:val="24"/>
              </w:rPr>
              <w:t>砖瓦、石材等建筑材料制造行业系数手册</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3032</w:t>
            </w:r>
            <w:r>
              <w:rPr>
                <w:color w:val="auto"/>
                <w:spacing w:val="1"/>
                <w:sz w:val="24"/>
                <w:szCs w:val="24"/>
              </w:rPr>
              <w:t>建筑</w:t>
            </w:r>
            <w:r>
              <w:rPr>
                <w:color w:val="auto"/>
                <w:sz w:val="24"/>
                <w:szCs w:val="24"/>
              </w:rPr>
              <w:t>用石加工行业</w:t>
            </w:r>
            <w:r>
              <w:rPr>
                <w:rFonts w:hint="eastAsia"/>
                <w:color w:val="auto"/>
                <w:sz w:val="24"/>
                <w:szCs w:val="24"/>
                <w:lang w:eastAsia="zh-CN"/>
              </w:rPr>
              <w:t>‘</w:t>
            </w:r>
            <w:r>
              <w:rPr>
                <w:color w:val="auto"/>
                <w:sz w:val="24"/>
                <w:szCs w:val="24"/>
              </w:rPr>
              <w:t>产品：人造石材，原料名称：碎石颗粒、粉料、不饱和树脂</w:t>
            </w:r>
            <w:r>
              <w:rPr>
                <w:color w:val="auto"/>
                <w:spacing w:val="-1"/>
                <w:sz w:val="24"/>
                <w:szCs w:val="24"/>
              </w:rPr>
              <w:t>等，工艺名称：真空凝胶固化成型、锯解、抛光、裁切</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color w:val="auto"/>
                <w:spacing w:val="-1"/>
                <w:sz w:val="24"/>
                <w:szCs w:val="24"/>
              </w:rPr>
              <w:t>颗粒物产生</w:t>
            </w:r>
            <w:r>
              <w:rPr>
                <w:color w:val="auto"/>
                <w:spacing w:val="11"/>
                <w:sz w:val="24"/>
                <w:szCs w:val="24"/>
              </w:rPr>
              <w:t>系数</w:t>
            </w:r>
            <w:r>
              <w:rPr>
                <w:rFonts w:ascii="Times New Roman" w:hAnsi="Times New Roman" w:eastAsia="Times New Roman" w:cs="Times New Roman"/>
                <w:color w:val="auto"/>
                <w:spacing w:val="11"/>
                <w:sz w:val="24"/>
                <w:szCs w:val="24"/>
              </w:rPr>
              <w:t>0.051</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11"/>
                <w:sz w:val="24"/>
                <w:szCs w:val="24"/>
              </w:rPr>
              <w:t>/m</w:t>
            </w:r>
            <w:r>
              <w:rPr>
                <w:rFonts w:ascii="Times New Roman" w:hAnsi="Times New Roman" w:eastAsia="Times New Roman" w:cs="Times New Roman"/>
                <w:color w:val="auto"/>
                <w:spacing w:val="11"/>
                <w:position w:val="7"/>
                <w:sz w:val="15"/>
                <w:szCs w:val="15"/>
              </w:rPr>
              <w:t>3</w:t>
            </w:r>
            <w:r>
              <w:rPr>
                <w:color w:val="auto"/>
                <w:spacing w:val="11"/>
                <w:sz w:val="24"/>
                <w:szCs w:val="24"/>
              </w:rPr>
              <w:t>—产品</w:t>
            </w:r>
            <w:r>
              <w:rPr>
                <w:rFonts w:hint="eastAsia"/>
                <w:color w:val="auto"/>
                <w:spacing w:val="11"/>
                <w:sz w:val="24"/>
                <w:szCs w:val="24"/>
                <w:lang w:eastAsia="zh-CN"/>
              </w:rPr>
              <w:t>”</w:t>
            </w:r>
            <w:r>
              <w:rPr>
                <w:color w:val="auto"/>
                <w:spacing w:val="11"/>
                <w:sz w:val="24"/>
                <w:szCs w:val="24"/>
              </w:rPr>
              <w:t>核算本项目切割工序颗粒物产生量为</w:t>
            </w:r>
            <w:r>
              <w:rPr>
                <w:rFonts w:hint="eastAsia" w:eastAsia="宋体" w:cs="Times New Roman"/>
                <w:color w:val="auto"/>
                <w:spacing w:val="1"/>
                <w:sz w:val="24"/>
                <w:szCs w:val="24"/>
                <w:lang w:val="en-US" w:eastAsia="zh-CN"/>
              </w:rPr>
              <w:t>1.08</w:t>
            </w:r>
            <w:r>
              <w:rPr>
                <w:rFonts w:ascii="Times New Roman" w:hAnsi="Times New Roman" w:eastAsia="Times New Roman" w:cs="Times New Roman"/>
                <w:color w:val="auto"/>
                <w:sz w:val="24"/>
                <w:szCs w:val="24"/>
              </w:rPr>
              <w:t>g</w:t>
            </w:r>
            <w:r>
              <w:rPr>
                <w:rFonts w:ascii="Times New Roman" w:hAnsi="Times New Roman" w:eastAsia="Times New Roman" w:cs="Times New Roman"/>
                <w:color w:val="auto"/>
                <w:spacing w:val="1"/>
                <w:sz w:val="24"/>
                <w:szCs w:val="24"/>
              </w:rPr>
              <w:t>/a</w:t>
            </w:r>
            <w:r>
              <w:rPr>
                <w:rFonts w:hint="eastAsia" w:eastAsia="宋体" w:cs="Times New Roman"/>
                <w:color w:val="auto"/>
                <w:spacing w:val="1"/>
                <w:sz w:val="24"/>
                <w:szCs w:val="24"/>
                <w:lang w:eastAsia="zh-CN"/>
              </w:rPr>
              <w:t>（</w:t>
            </w:r>
            <w:r>
              <w:rPr>
                <w:rFonts w:hint="eastAsia" w:eastAsia="宋体" w:cs="Times New Roman"/>
                <w:color w:val="auto"/>
                <w:spacing w:val="1"/>
                <w:sz w:val="24"/>
                <w:szCs w:val="24"/>
                <w:lang w:val="en-US" w:eastAsia="zh-CN"/>
              </w:rPr>
              <w:t>0.</w:t>
            </w:r>
            <w:r>
              <w:rPr>
                <w:rFonts w:hint="eastAsia" w:cs="Times New Roman"/>
                <w:color w:val="auto"/>
                <w:spacing w:val="1"/>
                <w:sz w:val="24"/>
                <w:szCs w:val="24"/>
                <w:lang w:val="en-US" w:eastAsia="zh-CN"/>
              </w:rPr>
              <w:t>123</w:t>
            </w:r>
            <w:r>
              <w:rPr>
                <w:rFonts w:hint="eastAsia" w:eastAsia="宋体" w:cs="Times New Roman"/>
                <w:color w:val="auto"/>
                <w:spacing w:val="1"/>
                <w:sz w:val="24"/>
                <w:szCs w:val="24"/>
                <w:lang w:val="en-US" w:eastAsia="zh-CN"/>
              </w:rPr>
              <w:t>m</w:t>
            </w:r>
            <w:r>
              <w:rPr>
                <w:rFonts w:hint="eastAsia" w:eastAsia="宋体" w:cs="Times New Roman"/>
                <w:color w:val="auto"/>
                <w:spacing w:val="1"/>
                <w:sz w:val="24"/>
                <w:szCs w:val="24"/>
                <w:vertAlign w:val="baseline"/>
                <w:lang w:val="en-US" w:eastAsia="zh-CN"/>
              </w:rPr>
              <w:t>g/h</w:t>
            </w:r>
            <w:r>
              <w:rPr>
                <w:rFonts w:hint="eastAsia" w:eastAsia="宋体" w:cs="Times New Roman"/>
                <w:color w:val="auto"/>
                <w:spacing w:val="1"/>
                <w:sz w:val="24"/>
                <w:szCs w:val="24"/>
                <w:lang w:eastAsia="zh-CN"/>
              </w:rPr>
              <w:t>）</w:t>
            </w:r>
            <w:r>
              <w:rPr>
                <w:color w:val="auto"/>
                <w:spacing w:val="1"/>
                <w:sz w:val="24"/>
                <w:szCs w:val="24"/>
              </w:rPr>
              <w:t>。</w:t>
            </w:r>
            <w:r>
              <w:rPr>
                <w:rFonts w:hint="eastAsia"/>
                <w:color w:val="auto"/>
                <w:spacing w:val="1"/>
                <w:sz w:val="24"/>
                <w:szCs w:val="24"/>
                <w:lang w:val="en-US" w:eastAsia="zh-CN"/>
              </w:rPr>
              <w:t>每台激光切割设备均自带滤尘袋，颗粒物经滤尘袋收集后，未收集部分通过一根集气管道集中于一根15m高排气筒排放，因颗粒物从产生至排放均为密闭管道，因此收集效率100%，风机风量5000m</w:t>
            </w:r>
            <w:r>
              <w:rPr>
                <w:rFonts w:hint="eastAsia"/>
                <w:color w:val="auto"/>
                <w:spacing w:val="1"/>
                <w:sz w:val="24"/>
                <w:szCs w:val="24"/>
                <w:vertAlign w:val="superscript"/>
                <w:lang w:val="en-US" w:eastAsia="zh-CN"/>
              </w:rPr>
              <w:t>3</w:t>
            </w:r>
            <w:r>
              <w:rPr>
                <w:rFonts w:hint="eastAsia"/>
                <w:color w:val="auto"/>
                <w:spacing w:val="1"/>
                <w:sz w:val="24"/>
                <w:szCs w:val="24"/>
                <w:vertAlign w:val="baseline"/>
                <w:lang w:val="en-US" w:eastAsia="zh-CN"/>
              </w:rPr>
              <w:t>/h，且</w:t>
            </w:r>
            <w:r>
              <w:rPr>
                <w:rFonts w:hint="eastAsia"/>
                <w:color w:val="auto"/>
                <w:spacing w:val="1"/>
                <w:sz w:val="24"/>
                <w:szCs w:val="24"/>
                <w:lang w:val="en-US" w:eastAsia="zh-CN"/>
              </w:rPr>
              <w:t>由于颗粒物产生量极小，因此</w:t>
            </w:r>
            <w:r>
              <w:rPr>
                <w:color w:val="auto"/>
                <w:spacing w:val="1"/>
                <w:sz w:val="24"/>
                <w:szCs w:val="24"/>
              </w:rPr>
              <w:t>激光切割废气</w:t>
            </w:r>
            <w:r>
              <w:rPr>
                <w:rFonts w:hint="eastAsia"/>
                <w:color w:val="auto"/>
                <w:spacing w:val="1"/>
                <w:sz w:val="24"/>
                <w:szCs w:val="24"/>
                <w:lang w:val="en-US" w:eastAsia="zh-CN"/>
              </w:rPr>
              <w:t>不设置除尘器，滤尘袋收集效率约50%，因此</w:t>
            </w:r>
            <w:r>
              <w:rPr>
                <w:color w:val="auto"/>
                <w:spacing w:val="11"/>
                <w:sz w:val="24"/>
                <w:szCs w:val="24"/>
              </w:rPr>
              <w:t>本项目切割工序颗粒物</w:t>
            </w:r>
            <w:r>
              <w:rPr>
                <w:rFonts w:hint="eastAsia"/>
                <w:color w:val="auto"/>
                <w:spacing w:val="11"/>
                <w:sz w:val="24"/>
                <w:szCs w:val="24"/>
                <w:lang w:val="en-US" w:eastAsia="zh-CN"/>
              </w:rPr>
              <w:t>排放</w:t>
            </w:r>
            <w:r>
              <w:rPr>
                <w:color w:val="auto"/>
                <w:spacing w:val="11"/>
                <w:sz w:val="24"/>
                <w:szCs w:val="24"/>
              </w:rPr>
              <w:t>量为</w:t>
            </w:r>
            <w:r>
              <w:rPr>
                <w:rFonts w:hint="eastAsia" w:eastAsia="宋体" w:cs="Times New Roman"/>
                <w:color w:val="auto"/>
                <w:spacing w:val="1"/>
                <w:sz w:val="24"/>
                <w:szCs w:val="24"/>
                <w:lang w:val="en-US" w:eastAsia="zh-CN"/>
              </w:rPr>
              <w:t>0.54</w:t>
            </w:r>
            <w:r>
              <w:rPr>
                <w:rFonts w:ascii="Times New Roman" w:hAnsi="Times New Roman" w:eastAsia="Times New Roman" w:cs="Times New Roman"/>
                <w:color w:val="auto"/>
                <w:sz w:val="24"/>
                <w:szCs w:val="24"/>
              </w:rPr>
              <w:t>g</w:t>
            </w:r>
            <w:r>
              <w:rPr>
                <w:rFonts w:ascii="Times New Roman" w:hAnsi="Times New Roman" w:eastAsia="Times New Roman" w:cs="Times New Roman"/>
                <w:color w:val="auto"/>
                <w:spacing w:val="1"/>
                <w:sz w:val="24"/>
                <w:szCs w:val="24"/>
              </w:rPr>
              <w:t>/a</w:t>
            </w:r>
            <w:r>
              <w:rPr>
                <w:rFonts w:hint="eastAsia" w:eastAsia="宋体" w:cs="Times New Roman"/>
                <w:color w:val="auto"/>
                <w:spacing w:val="1"/>
                <w:sz w:val="24"/>
                <w:szCs w:val="24"/>
                <w:lang w:eastAsia="zh-CN"/>
              </w:rPr>
              <w:t>（</w:t>
            </w:r>
            <w:r>
              <w:rPr>
                <w:rFonts w:hint="eastAsia" w:eastAsia="宋体" w:cs="Times New Roman"/>
                <w:color w:val="auto"/>
                <w:spacing w:val="1"/>
                <w:sz w:val="24"/>
                <w:szCs w:val="24"/>
                <w:lang w:val="en-US" w:eastAsia="zh-CN"/>
              </w:rPr>
              <w:t>0.</w:t>
            </w:r>
            <w:r>
              <w:rPr>
                <w:rFonts w:hint="eastAsia" w:cs="Times New Roman"/>
                <w:color w:val="auto"/>
                <w:spacing w:val="1"/>
                <w:sz w:val="24"/>
                <w:szCs w:val="24"/>
                <w:lang w:val="en-US" w:eastAsia="zh-CN"/>
              </w:rPr>
              <w:t>108</w:t>
            </w:r>
            <w:r>
              <w:rPr>
                <w:rFonts w:hint="eastAsia" w:eastAsia="宋体" w:cs="Times New Roman"/>
                <w:color w:val="auto"/>
                <w:spacing w:val="1"/>
                <w:sz w:val="24"/>
                <w:szCs w:val="24"/>
                <w:lang w:val="en-US" w:eastAsia="zh-CN"/>
              </w:rPr>
              <w:t>m</w:t>
            </w:r>
            <w:r>
              <w:rPr>
                <w:rFonts w:hint="eastAsia" w:eastAsia="宋体" w:cs="Times New Roman"/>
                <w:color w:val="auto"/>
                <w:spacing w:val="1"/>
                <w:sz w:val="24"/>
                <w:szCs w:val="24"/>
                <w:vertAlign w:val="baseline"/>
                <w:lang w:val="en-US" w:eastAsia="zh-CN"/>
              </w:rPr>
              <w:t>g/h</w:t>
            </w:r>
            <w:r>
              <w:rPr>
                <w:rFonts w:hint="eastAsia" w:eastAsia="宋体" w:cs="Times New Roman"/>
                <w:color w:val="auto"/>
                <w:spacing w:val="1"/>
                <w:sz w:val="24"/>
                <w:szCs w:val="24"/>
                <w:lang w:eastAsia="zh-CN"/>
              </w:rPr>
              <w:t>）。</w:t>
            </w:r>
          </w:p>
          <w:p w14:paraId="71F31A3E">
            <w:pPr>
              <w:pStyle w:val="76"/>
              <w:keepNext w:val="0"/>
              <w:keepLines w:val="0"/>
              <w:pageBreakBefore w:val="0"/>
              <w:widowControl w:val="0"/>
              <w:kinsoku/>
              <w:wordWrap/>
              <w:overflowPunct/>
              <w:topLinePunct w:val="0"/>
              <w:autoSpaceDE/>
              <w:autoSpaceDN/>
              <w:bidi w:val="0"/>
              <w:spacing w:line="360" w:lineRule="auto"/>
              <w:ind w:left="0" w:right="0" w:firstLine="476" w:firstLineChars="200"/>
              <w:jc w:val="both"/>
              <w:textAlignment w:val="auto"/>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w:t>
            </w:r>
            <w:r>
              <w:rPr>
                <w:rFonts w:hint="eastAsia" w:ascii="Times New Roman" w:hAnsi="Times New Roman" w:cs="Times New Roman"/>
                <w:color w:val="auto"/>
                <w:spacing w:val="-1"/>
                <w:sz w:val="24"/>
                <w:szCs w:val="24"/>
                <w:lang w:val="en-US" w:eastAsia="zh-CN"/>
              </w:rPr>
              <w:t>4</w:t>
            </w:r>
            <w:r>
              <w:rPr>
                <w:rFonts w:hint="default" w:ascii="Times New Roman" w:hAnsi="Times New Roman" w:cs="Times New Roman"/>
                <w:color w:val="auto"/>
                <w:spacing w:val="-1"/>
                <w:sz w:val="24"/>
                <w:szCs w:val="24"/>
              </w:rPr>
              <w:t>）</w:t>
            </w:r>
            <w:r>
              <w:rPr>
                <w:rFonts w:hint="eastAsia" w:ascii="Times New Roman" w:hAnsi="Times New Roman" w:cs="Times New Roman"/>
                <w:color w:val="auto"/>
                <w:spacing w:val="-1"/>
                <w:sz w:val="24"/>
                <w:szCs w:val="24"/>
                <w:lang w:val="en-US" w:eastAsia="zh-CN"/>
              </w:rPr>
              <w:t>抛光打磨</w:t>
            </w:r>
            <w:r>
              <w:rPr>
                <w:rFonts w:hint="default" w:ascii="Times New Roman" w:hAnsi="Times New Roman" w:cs="Times New Roman"/>
                <w:color w:val="auto"/>
                <w:spacing w:val="-1"/>
                <w:sz w:val="24"/>
                <w:szCs w:val="24"/>
              </w:rPr>
              <w:t>废气</w:t>
            </w:r>
          </w:p>
          <w:p w14:paraId="7BB0E99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72" w:firstLineChars="200"/>
              <w:textAlignment w:val="auto"/>
              <w:rPr>
                <w:rFonts w:hint="default"/>
                <w:b/>
                <w:bCs/>
                <w:color w:val="auto"/>
                <w:sz w:val="24"/>
                <w:highlight w:val="none"/>
                <w:lang w:val="en-US"/>
              </w:rPr>
            </w:pPr>
            <w:r>
              <w:rPr>
                <w:color w:val="auto"/>
                <w:spacing w:val="-2"/>
                <w:sz w:val="24"/>
                <w:szCs w:val="24"/>
              </w:rPr>
              <w:t>项目产品体积及质量很小，</w:t>
            </w:r>
            <w:r>
              <w:rPr>
                <w:rFonts w:hint="eastAsia"/>
                <w:color w:val="auto"/>
                <w:spacing w:val="-2"/>
                <w:sz w:val="24"/>
                <w:szCs w:val="24"/>
                <w:lang w:val="en-US" w:eastAsia="zh-CN"/>
              </w:rPr>
              <w:t>抛光打磨</w:t>
            </w:r>
            <w:r>
              <w:rPr>
                <w:color w:val="auto"/>
                <w:spacing w:val="-2"/>
                <w:sz w:val="24"/>
                <w:szCs w:val="24"/>
              </w:rPr>
              <w:t>过程产生的颗粒物粒径很小</w:t>
            </w:r>
            <w:r>
              <w:rPr>
                <w:rFonts w:hint="eastAsia"/>
                <w:color w:val="auto"/>
                <w:spacing w:val="-2"/>
                <w:sz w:val="24"/>
                <w:szCs w:val="24"/>
                <w:lang w:eastAsia="zh-CN"/>
              </w:rPr>
              <w:t>，</w:t>
            </w:r>
            <w:r>
              <w:rPr>
                <w:rFonts w:hint="eastAsia"/>
                <w:color w:val="auto"/>
                <w:spacing w:val="-2"/>
                <w:sz w:val="24"/>
                <w:szCs w:val="24"/>
                <w:lang w:val="en-US" w:eastAsia="zh-CN"/>
              </w:rPr>
              <w:t>基本为碎钻</w:t>
            </w:r>
            <w:r>
              <w:rPr>
                <w:color w:val="auto"/>
                <w:spacing w:val="-2"/>
                <w:sz w:val="24"/>
                <w:szCs w:val="24"/>
              </w:rPr>
              <w:t>。根据产品规格，金刚石密度约为</w:t>
            </w:r>
            <w:r>
              <w:rPr>
                <w:rFonts w:ascii="Times New Roman" w:hAnsi="Times New Roman" w:eastAsia="Times New Roman" w:cs="Times New Roman"/>
                <w:color w:val="auto"/>
                <w:spacing w:val="-2"/>
                <w:sz w:val="24"/>
                <w:szCs w:val="24"/>
              </w:rPr>
              <w:t>3.52g/cm</w:t>
            </w:r>
            <w:r>
              <w:rPr>
                <w:rFonts w:ascii="Times New Roman" w:hAnsi="Times New Roman" w:eastAsia="Times New Roman" w:cs="Times New Roman"/>
                <w:color w:val="auto"/>
                <w:spacing w:val="-2"/>
                <w:position w:val="7"/>
                <w:sz w:val="15"/>
                <w:szCs w:val="15"/>
              </w:rPr>
              <w:t>3</w:t>
            </w:r>
            <w:r>
              <w:rPr>
                <w:color w:val="auto"/>
                <w:spacing w:val="-2"/>
                <w:sz w:val="24"/>
                <w:szCs w:val="24"/>
              </w:rPr>
              <w:t>，项目年生产金刚石</w:t>
            </w:r>
            <w:r>
              <w:rPr>
                <w:rFonts w:hint="eastAsia" w:eastAsia="宋体" w:cs="Times New Roman"/>
                <w:color w:val="auto"/>
                <w:spacing w:val="-2"/>
                <w:sz w:val="24"/>
                <w:szCs w:val="24"/>
                <w:lang w:val="en-US" w:eastAsia="zh-CN"/>
              </w:rPr>
              <w:t>25.1</w:t>
            </w:r>
            <w:r>
              <w:rPr>
                <w:rFonts w:ascii="Times New Roman" w:hAnsi="Times New Roman" w:eastAsia="Times New Roman" w:cs="Times New Roman"/>
                <w:color w:val="auto"/>
                <w:spacing w:val="-2"/>
                <w:sz w:val="24"/>
                <w:szCs w:val="24"/>
              </w:rPr>
              <w:t>kg</w:t>
            </w:r>
            <w:r>
              <w:rPr>
                <w:color w:val="auto"/>
                <w:spacing w:val="-2"/>
                <w:sz w:val="24"/>
                <w:szCs w:val="24"/>
              </w:rPr>
              <w:t>，</w:t>
            </w:r>
            <w:r>
              <w:rPr>
                <w:rFonts w:hint="eastAsia"/>
                <w:color w:val="auto"/>
                <w:spacing w:val="-2"/>
                <w:sz w:val="24"/>
                <w:szCs w:val="24"/>
                <w:lang w:val="en-US" w:eastAsia="zh-CN"/>
              </w:rPr>
              <w:t>以及多晶金刚石和不合格废料45.2kg，多晶金刚石和不合格废料无需抛光打磨，</w:t>
            </w:r>
            <w:r>
              <w:rPr>
                <w:color w:val="auto"/>
                <w:spacing w:val="-2"/>
                <w:sz w:val="24"/>
                <w:szCs w:val="24"/>
              </w:rPr>
              <w:t>考虑最不</w:t>
            </w:r>
            <w:r>
              <w:rPr>
                <w:color w:val="auto"/>
                <w:sz w:val="24"/>
                <w:szCs w:val="24"/>
              </w:rPr>
              <w:t>利因素，则产品总体积为</w:t>
            </w:r>
            <w:r>
              <w:rPr>
                <w:rFonts w:ascii="Times New Roman" w:hAnsi="Times New Roman" w:eastAsia="Times New Roman" w:cs="Times New Roman"/>
                <w:color w:val="auto"/>
                <w:sz w:val="24"/>
                <w:szCs w:val="24"/>
              </w:rPr>
              <w:t>0.</w:t>
            </w:r>
            <w:r>
              <w:rPr>
                <w:rFonts w:hint="eastAsia" w:eastAsia="宋体" w:cs="Times New Roman"/>
                <w:color w:val="auto"/>
                <w:sz w:val="24"/>
                <w:szCs w:val="24"/>
                <w:lang w:val="en-US" w:eastAsia="zh-CN"/>
              </w:rPr>
              <w:t>0</w:t>
            </w:r>
            <w:r>
              <w:rPr>
                <w:rFonts w:hint="eastAsia" w:cs="Times New Roman"/>
                <w:color w:val="auto"/>
                <w:sz w:val="24"/>
                <w:szCs w:val="24"/>
                <w:lang w:val="en-US" w:eastAsia="zh-CN"/>
              </w:rPr>
              <w:t>07</w:t>
            </w:r>
            <w:r>
              <w:rPr>
                <w:rFonts w:ascii="Times New Roman" w:hAnsi="Times New Roman" w:eastAsia="Times New Roman" w:cs="Times New Roman"/>
                <w:color w:val="auto"/>
                <w:sz w:val="24"/>
                <w:szCs w:val="24"/>
              </w:rPr>
              <w:t>m</w:t>
            </w:r>
            <w:r>
              <w:rPr>
                <w:rFonts w:ascii="Times New Roman" w:hAnsi="Times New Roman" w:eastAsia="Times New Roman" w:cs="Times New Roman"/>
                <w:color w:val="auto"/>
                <w:position w:val="7"/>
                <w:sz w:val="15"/>
                <w:szCs w:val="15"/>
              </w:rPr>
              <w:t>3</w:t>
            </w:r>
            <w:r>
              <w:rPr>
                <w:color w:val="auto"/>
                <w:sz w:val="24"/>
                <w:szCs w:val="24"/>
              </w:rPr>
              <w:t>。参考《排放源统计调查产排污核算方法和</w:t>
            </w:r>
            <w:r>
              <w:rPr>
                <w:color w:val="auto"/>
                <w:spacing w:val="1"/>
                <w:sz w:val="24"/>
                <w:szCs w:val="24"/>
              </w:rPr>
              <w:t>系数手册》</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w:t>
            </w:r>
            <w:r>
              <w:rPr>
                <w:color w:val="auto"/>
                <w:spacing w:val="1"/>
                <w:sz w:val="24"/>
                <w:szCs w:val="24"/>
              </w:rPr>
              <w:t>砖瓦、石材等建筑材料制造行业系数手册</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3032</w:t>
            </w:r>
            <w:r>
              <w:rPr>
                <w:color w:val="auto"/>
                <w:spacing w:val="1"/>
                <w:sz w:val="24"/>
                <w:szCs w:val="24"/>
              </w:rPr>
              <w:t>建筑</w:t>
            </w:r>
            <w:r>
              <w:rPr>
                <w:color w:val="auto"/>
                <w:sz w:val="24"/>
                <w:szCs w:val="24"/>
              </w:rPr>
              <w:t>用石加工行业</w:t>
            </w:r>
            <w:r>
              <w:rPr>
                <w:rFonts w:hint="eastAsia"/>
                <w:color w:val="auto"/>
                <w:sz w:val="24"/>
                <w:szCs w:val="24"/>
                <w:lang w:eastAsia="zh-CN"/>
              </w:rPr>
              <w:t>‘</w:t>
            </w:r>
            <w:r>
              <w:rPr>
                <w:color w:val="auto"/>
                <w:sz w:val="24"/>
                <w:szCs w:val="24"/>
              </w:rPr>
              <w:t>产品：人造石材，原料名称：碎石颗粒、粉料、不饱和树脂</w:t>
            </w:r>
            <w:r>
              <w:rPr>
                <w:color w:val="auto"/>
                <w:spacing w:val="-1"/>
                <w:sz w:val="24"/>
                <w:szCs w:val="24"/>
              </w:rPr>
              <w:t>等，工艺名称：真空凝胶固化成型、锯解、抛光、裁切</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color w:val="auto"/>
                <w:spacing w:val="-1"/>
                <w:sz w:val="24"/>
                <w:szCs w:val="24"/>
              </w:rPr>
              <w:t>颗粒物产生</w:t>
            </w:r>
            <w:r>
              <w:rPr>
                <w:color w:val="auto"/>
                <w:spacing w:val="11"/>
                <w:sz w:val="24"/>
                <w:szCs w:val="24"/>
              </w:rPr>
              <w:t>系数</w:t>
            </w:r>
            <w:r>
              <w:rPr>
                <w:rFonts w:ascii="Times New Roman" w:hAnsi="Times New Roman" w:eastAsia="Times New Roman" w:cs="Times New Roman"/>
                <w:color w:val="auto"/>
                <w:spacing w:val="11"/>
                <w:sz w:val="24"/>
                <w:szCs w:val="24"/>
              </w:rPr>
              <w:t>0.051</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11"/>
                <w:sz w:val="24"/>
                <w:szCs w:val="24"/>
              </w:rPr>
              <w:t>/m</w:t>
            </w:r>
            <w:r>
              <w:rPr>
                <w:rFonts w:ascii="Times New Roman" w:hAnsi="Times New Roman" w:eastAsia="Times New Roman" w:cs="Times New Roman"/>
                <w:color w:val="auto"/>
                <w:spacing w:val="11"/>
                <w:position w:val="7"/>
                <w:sz w:val="15"/>
                <w:szCs w:val="15"/>
              </w:rPr>
              <w:t>3</w:t>
            </w:r>
            <w:r>
              <w:rPr>
                <w:color w:val="auto"/>
                <w:spacing w:val="11"/>
                <w:sz w:val="24"/>
                <w:szCs w:val="24"/>
              </w:rPr>
              <w:t>—产品</w:t>
            </w:r>
            <w:r>
              <w:rPr>
                <w:rFonts w:hint="eastAsia"/>
                <w:color w:val="auto"/>
                <w:spacing w:val="11"/>
                <w:sz w:val="24"/>
                <w:szCs w:val="24"/>
                <w:lang w:eastAsia="zh-CN"/>
              </w:rPr>
              <w:t>”</w:t>
            </w:r>
            <w:r>
              <w:rPr>
                <w:color w:val="auto"/>
                <w:spacing w:val="11"/>
                <w:sz w:val="24"/>
                <w:szCs w:val="24"/>
              </w:rPr>
              <w:t>核算本项目切割工序颗粒物产生量为</w:t>
            </w:r>
            <w:r>
              <w:rPr>
                <w:rFonts w:hint="eastAsia" w:cs="Times New Roman"/>
                <w:color w:val="auto"/>
                <w:spacing w:val="1"/>
                <w:sz w:val="24"/>
                <w:szCs w:val="24"/>
                <w:lang w:val="en-US" w:eastAsia="zh-CN"/>
              </w:rPr>
              <w:t>0.36</w:t>
            </w:r>
            <w:r>
              <w:rPr>
                <w:rFonts w:ascii="Times New Roman" w:hAnsi="Times New Roman" w:eastAsia="Times New Roman" w:cs="Times New Roman"/>
                <w:color w:val="auto"/>
                <w:sz w:val="24"/>
                <w:szCs w:val="24"/>
              </w:rPr>
              <w:t>g</w:t>
            </w:r>
            <w:r>
              <w:rPr>
                <w:rFonts w:ascii="Times New Roman" w:hAnsi="Times New Roman" w:eastAsia="Times New Roman" w:cs="Times New Roman"/>
                <w:color w:val="auto"/>
                <w:spacing w:val="1"/>
                <w:sz w:val="24"/>
                <w:szCs w:val="24"/>
              </w:rPr>
              <w:t>/a</w:t>
            </w:r>
            <w:r>
              <w:rPr>
                <w:rFonts w:hint="eastAsia" w:eastAsia="宋体" w:cs="Times New Roman"/>
                <w:color w:val="auto"/>
                <w:spacing w:val="1"/>
                <w:sz w:val="24"/>
                <w:szCs w:val="24"/>
                <w:lang w:eastAsia="zh-CN"/>
              </w:rPr>
              <w:t>（</w:t>
            </w:r>
            <w:r>
              <w:rPr>
                <w:rFonts w:hint="eastAsia" w:eastAsia="宋体" w:cs="Times New Roman"/>
                <w:color w:val="auto"/>
                <w:spacing w:val="1"/>
                <w:sz w:val="24"/>
                <w:szCs w:val="24"/>
                <w:lang w:val="en-US" w:eastAsia="zh-CN"/>
              </w:rPr>
              <w:t>0.</w:t>
            </w:r>
            <w:r>
              <w:rPr>
                <w:rFonts w:hint="eastAsia" w:cs="Times New Roman"/>
                <w:color w:val="auto"/>
                <w:spacing w:val="1"/>
                <w:sz w:val="24"/>
                <w:szCs w:val="24"/>
                <w:lang w:val="en-US" w:eastAsia="zh-CN"/>
              </w:rPr>
              <w:t>41</w:t>
            </w:r>
            <w:r>
              <w:rPr>
                <w:rFonts w:hint="eastAsia" w:eastAsia="宋体" w:cs="Times New Roman"/>
                <w:color w:val="auto"/>
                <w:spacing w:val="1"/>
                <w:sz w:val="24"/>
                <w:szCs w:val="24"/>
                <w:lang w:val="en-US" w:eastAsia="zh-CN"/>
              </w:rPr>
              <w:t>m</w:t>
            </w:r>
            <w:r>
              <w:rPr>
                <w:rFonts w:hint="eastAsia" w:eastAsia="宋体" w:cs="Times New Roman"/>
                <w:color w:val="auto"/>
                <w:spacing w:val="1"/>
                <w:sz w:val="24"/>
                <w:szCs w:val="24"/>
                <w:vertAlign w:val="baseline"/>
                <w:lang w:val="en-US" w:eastAsia="zh-CN"/>
              </w:rPr>
              <w:t>g/h</w:t>
            </w:r>
            <w:r>
              <w:rPr>
                <w:rFonts w:hint="eastAsia" w:eastAsia="宋体" w:cs="Times New Roman"/>
                <w:color w:val="auto"/>
                <w:spacing w:val="1"/>
                <w:sz w:val="24"/>
                <w:szCs w:val="24"/>
                <w:lang w:eastAsia="zh-CN"/>
              </w:rPr>
              <w:t>）</w:t>
            </w:r>
            <w:r>
              <w:rPr>
                <w:color w:val="auto"/>
                <w:spacing w:val="1"/>
                <w:sz w:val="24"/>
                <w:szCs w:val="24"/>
              </w:rPr>
              <w:t>。</w:t>
            </w:r>
            <w:r>
              <w:rPr>
                <w:rFonts w:hint="eastAsia"/>
                <w:color w:val="auto"/>
                <w:spacing w:val="1"/>
                <w:sz w:val="24"/>
                <w:szCs w:val="24"/>
                <w:lang w:val="en-US" w:eastAsia="zh-CN"/>
              </w:rPr>
              <w:t>由于打磨过程需用水冷却，为湿法打磨，因此抛光打磨几乎不产生废气。抛光打磨产生的颗粒物在冷却水中沉淀为固体废物排放。</w:t>
            </w:r>
          </w:p>
          <w:p w14:paraId="535DA9C9">
            <w:pPr>
              <w:pStyle w:val="76"/>
              <w:keepNext w:val="0"/>
              <w:keepLines w:val="0"/>
              <w:pageBreakBefore w:val="0"/>
              <w:widowControl w:val="0"/>
              <w:kinsoku/>
              <w:wordWrap/>
              <w:overflowPunct/>
              <w:topLinePunct w:val="0"/>
              <w:autoSpaceDE/>
              <w:autoSpaceDN/>
              <w:bidi w:val="0"/>
              <w:spacing w:line="360" w:lineRule="auto"/>
              <w:ind w:left="0" w:leftChars="0" w:right="0" w:firstLine="468" w:firstLineChars="200"/>
              <w:textAlignment w:val="auto"/>
              <w:rPr>
                <w:color w:val="auto"/>
                <w:sz w:val="24"/>
                <w:szCs w:val="24"/>
              </w:rPr>
            </w:pPr>
            <w:r>
              <w:rPr>
                <w:rFonts w:hint="default" w:ascii="Times New Roman" w:hAnsi="Times New Roman" w:cs="Times New Roman"/>
                <w:color w:val="auto"/>
                <w:spacing w:val="-3"/>
                <w:position w:val="2"/>
                <w:sz w:val="24"/>
                <w:szCs w:val="24"/>
              </w:rPr>
              <w:t>（</w:t>
            </w:r>
            <w:r>
              <w:rPr>
                <w:rFonts w:hint="eastAsia" w:ascii="Times New Roman" w:hAnsi="Times New Roman" w:cs="Times New Roman"/>
                <w:color w:val="auto"/>
                <w:spacing w:val="-3"/>
                <w:position w:val="2"/>
                <w:sz w:val="24"/>
                <w:szCs w:val="24"/>
                <w:lang w:val="en-US" w:eastAsia="zh-CN"/>
              </w:rPr>
              <w:t>5</w:t>
            </w:r>
            <w:r>
              <w:rPr>
                <w:rFonts w:hint="default" w:ascii="Times New Roman" w:hAnsi="Times New Roman" w:cs="Times New Roman"/>
                <w:color w:val="auto"/>
                <w:spacing w:val="-3"/>
                <w:position w:val="2"/>
                <w:sz w:val="24"/>
                <w:szCs w:val="24"/>
              </w:rPr>
              <w:t>）</w:t>
            </w:r>
            <w:r>
              <w:rPr>
                <w:color w:val="auto"/>
                <w:spacing w:val="-3"/>
                <w:position w:val="2"/>
                <w:sz w:val="24"/>
                <w:szCs w:val="24"/>
              </w:rPr>
              <w:t>食堂油烟</w:t>
            </w:r>
          </w:p>
          <w:p w14:paraId="5B97100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b/>
                <w:bCs/>
                <w:color w:val="auto"/>
                <w:sz w:val="24"/>
                <w:highlight w:val="none"/>
              </w:rPr>
            </w:pPr>
            <w:r>
              <w:rPr>
                <w:color w:val="auto"/>
                <w:sz w:val="24"/>
                <w:szCs w:val="24"/>
              </w:rPr>
              <w:t>本项目设置</w:t>
            </w:r>
            <w:r>
              <w:rPr>
                <w:rFonts w:hint="eastAsia"/>
                <w:color w:val="auto"/>
                <w:sz w:val="24"/>
                <w:szCs w:val="24"/>
                <w:lang w:val="en-US" w:eastAsia="zh-CN"/>
              </w:rPr>
              <w:t>1</w:t>
            </w:r>
            <w:r>
              <w:rPr>
                <w:color w:val="auto"/>
                <w:sz w:val="24"/>
                <w:szCs w:val="24"/>
              </w:rPr>
              <w:t>个食堂，食</w:t>
            </w:r>
            <w:r>
              <w:rPr>
                <w:color w:val="auto"/>
                <w:sz w:val="24"/>
                <w:szCs w:val="24"/>
                <w:highlight w:val="none"/>
              </w:rPr>
              <w:t>堂预计用餐人数为</w:t>
            </w:r>
            <w:r>
              <w:rPr>
                <w:rFonts w:hint="eastAsia" w:eastAsia="宋体" w:cs="Times New Roman"/>
                <w:color w:val="auto"/>
                <w:sz w:val="24"/>
                <w:szCs w:val="24"/>
                <w:highlight w:val="none"/>
                <w:lang w:val="en-US" w:eastAsia="zh-CN"/>
              </w:rPr>
              <w:t>68</w:t>
            </w:r>
            <w:r>
              <w:rPr>
                <w:color w:val="auto"/>
                <w:sz w:val="24"/>
                <w:szCs w:val="24"/>
                <w:highlight w:val="none"/>
              </w:rPr>
              <w:t>人</w:t>
            </w:r>
            <w:r>
              <w:rPr>
                <w:rFonts w:ascii="Times New Roman" w:hAnsi="Times New Roman" w:eastAsia="Times New Roman" w:cs="Times New Roman"/>
                <w:color w:val="auto"/>
                <w:sz w:val="24"/>
                <w:szCs w:val="24"/>
                <w:highlight w:val="none"/>
              </w:rPr>
              <w:t>/d</w:t>
            </w:r>
            <w:r>
              <w:rPr>
                <w:color w:val="auto"/>
                <w:sz w:val="24"/>
                <w:szCs w:val="24"/>
                <w:highlight w:val="none"/>
              </w:rPr>
              <w:t>，设</w:t>
            </w:r>
            <w:r>
              <w:rPr>
                <w:color w:val="auto"/>
                <w:sz w:val="24"/>
                <w:szCs w:val="24"/>
              </w:rPr>
              <w:t>置</w:t>
            </w:r>
            <w:r>
              <w:rPr>
                <w:rFonts w:ascii="Times New Roman" w:hAnsi="Times New Roman" w:eastAsia="Times New Roman" w:cs="Times New Roman"/>
                <w:color w:val="auto"/>
                <w:sz w:val="24"/>
                <w:szCs w:val="24"/>
              </w:rPr>
              <w:t>4</w:t>
            </w:r>
            <w:r>
              <w:rPr>
                <w:color w:val="auto"/>
                <w:spacing w:val="-1"/>
                <w:sz w:val="24"/>
                <w:szCs w:val="24"/>
              </w:rPr>
              <w:t>个基准灶</w:t>
            </w:r>
            <w:r>
              <w:rPr>
                <w:color w:val="auto"/>
                <w:spacing w:val="2"/>
                <w:sz w:val="24"/>
                <w:szCs w:val="24"/>
              </w:rPr>
              <w:t>头，食堂每天使用约</w:t>
            </w:r>
            <w:r>
              <w:rPr>
                <w:rFonts w:ascii="Times New Roman" w:hAnsi="Times New Roman" w:eastAsia="Times New Roman" w:cs="Times New Roman"/>
                <w:color w:val="auto"/>
                <w:spacing w:val="2"/>
                <w:sz w:val="24"/>
                <w:szCs w:val="24"/>
              </w:rPr>
              <w:t>4</w:t>
            </w:r>
            <w:r>
              <w:rPr>
                <w:color w:val="auto"/>
                <w:spacing w:val="2"/>
                <w:sz w:val="24"/>
                <w:szCs w:val="24"/>
              </w:rPr>
              <w:t>小时，以天然气为燃料。食堂</w:t>
            </w:r>
            <w:r>
              <w:rPr>
                <w:color w:val="auto"/>
                <w:spacing w:val="1"/>
                <w:sz w:val="24"/>
                <w:szCs w:val="24"/>
              </w:rPr>
              <w:t>产生的废气主要是油烟</w:t>
            </w:r>
            <w:r>
              <w:rPr>
                <w:color w:val="auto"/>
                <w:spacing w:val="-5"/>
                <w:sz w:val="24"/>
                <w:szCs w:val="24"/>
              </w:rPr>
              <w:t>废气</w:t>
            </w:r>
            <w:r>
              <w:rPr>
                <w:rFonts w:hint="eastAsia"/>
                <w:color w:val="auto"/>
                <w:spacing w:val="-5"/>
                <w:sz w:val="24"/>
                <w:szCs w:val="24"/>
                <w:lang w:eastAsia="zh-CN"/>
              </w:rPr>
              <w:t>，</w:t>
            </w:r>
            <w:r>
              <w:rPr>
                <w:color w:val="auto"/>
                <w:spacing w:val="-5"/>
                <w:sz w:val="24"/>
                <w:szCs w:val="24"/>
              </w:rPr>
              <w:t>根据《环境保护实用数据手册》资料，人均日食用油用量约</w:t>
            </w:r>
            <w:r>
              <w:rPr>
                <w:rFonts w:ascii="Times New Roman" w:hAnsi="Times New Roman" w:eastAsia="Times New Roman" w:cs="Times New Roman"/>
                <w:color w:val="auto"/>
                <w:spacing w:val="-5"/>
                <w:sz w:val="24"/>
                <w:szCs w:val="24"/>
              </w:rPr>
              <w:t>40g/</w:t>
            </w:r>
            <w:r>
              <w:rPr>
                <w:color w:val="auto"/>
                <w:spacing w:val="-5"/>
                <w:sz w:val="24"/>
                <w:szCs w:val="24"/>
              </w:rPr>
              <w:t>人·</w:t>
            </w:r>
            <w:r>
              <w:rPr>
                <w:rFonts w:ascii="Times New Roman" w:hAnsi="Times New Roman" w:eastAsia="Times New Roman" w:cs="Times New Roman"/>
                <w:color w:val="auto"/>
                <w:spacing w:val="-5"/>
                <w:sz w:val="24"/>
                <w:szCs w:val="24"/>
              </w:rPr>
              <w:t>d</w:t>
            </w:r>
            <w:r>
              <w:rPr>
                <w:color w:val="auto"/>
                <w:spacing w:val="-5"/>
                <w:sz w:val="24"/>
                <w:szCs w:val="24"/>
              </w:rPr>
              <w:t>，</w:t>
            </w:r>
            <w:r>
              <w:rPr>
                <w:color w:val="auto"/>
                <w:spacing w:val="1"/>
                <w:sz w:val="24"/>
                <w:szCs w:val="24"/>
              </w:rPr>
              <w:t>一般油烟挥发量占总耗油量的</w:t>
            </w:r>
            <w:r>
              <w:rPr>
                <w:rFonts w:ascii="Times New Roman" w:hAnsi="Times New Roman" w:eastAsia="Times New Roman" w:cs="Times New Roman"/>
                <w:color w:val="auto"/>
                <w:spacing w:val="1"/>
                <w:sz w:val="24"/>
                <w:szCs w:val="24"/>
              </w:rPr>
              <w:t>2</w:t>
            </w:r>
            <w:r>
              <w:rPr>
                <w:color w:val="auto"/>
                <w:spacing w:val="1"/>
                <w:sz w:val="24"/>
                <w:szCs w:val="24"/>
              </w:rPr>
              <w:t>～</w:t>
            </w:r>
            <w:r>
              <w:rPr>
                <w:rFonts w:ascii="Times New Roman" w:hAnsi="Times New Roman" w:eastAsia="Times New Roman" w:cs="Times New Roman"/>
                <w:color w:val="auto"/>
                <w:spacing w:val="1"/>
                <w:sz w:val="24"/>
                <w:szCs w:val="24"/>
              </w:rPr>
              <w:t>4%</w:t>
            </w:r>
            <w:r>
              <w:rPr>
                <w:color w:val="auto"/>
                <w:spacing w:val="1"/>
                <w:sz w:val="24"/>
                <w:szCs w:val="24"/>
              </w:rPr>
              <w:t>，平均为</w:t>
            </w:r>
            <w:r>
              <w:rPr>
                <w:rFonts w:ascii="Times New Roman" w:hAnsi="Times New Roman" w:eastAsia="Times New Roman" w:cs="Times New Roman"/>
                <w:color w:val="auto"/>
                <w:spacing w:val="1"/>
                <w:sz w:val="24"/>
                <w:szCs w:val="24"/>
              </w:rPr>
              <w:t>3.0%</w:t>
            </w:r>
            <w:r>
              <w:rPr>
                <w:color w:val="auto"/>
                <w:spacing w:val="1"/>
                <w:sz w:val="24"/>
                <w:szCs w:val="24"/>
              </w:rPr>
              <w:t>，则</w:t>
            </w:r>
            <w:r>
              <w:rPr>
                <w:color w:val="auto"/>
                <w:sz w:val="24"/>
                <w:szCs w:val="24"/>
              </w:rPr>
              <w:t>项目食堂油烟产生量</w:t>
            </w:r>
            <w:r>
              <w:rPr>
                <w:color w:val="auto"/>
                <w:spacing w:val="-1"/>
                <w:sz w:val="24"/>
                <w:szCs w:val="24"/>
              </w:rPr>
              <w:t>为</w:t>
            </w:r>
            <w:r>
              <w:rPr>
                <w:rFonts w:ascii="Times New Roman" w:hAnsi="Times New Roman" w:eastAsia="Times New Roman" w:cs="Times New Roman"/>
                <w:color w:val="auto"/>
                <w:spacing w:val="-1"/>
                <w:sz w:val="24"/>
                <w:szCs w:val="24"/>
              </w:rPr>
              <w:t>0.045kg/h</w:t>
            </w:r>
            <w:r>
              <w:rPr>
                <w:color w:val="auto"/>
                <w:spacing w:val="-1"/>
                <w:sz w:val="24"/>
                <w:szCs w:val="24"/>
              </w:rPr>
              <w:t>（</w:t>
            </w:r>
            <w:r>
              <w:rPr>
                <w:rFonts w:ascii="Times New Roman" w:hAnsi="Times New Roman" w:eastAsia="Times New Roman" w:cs="Times New Roman"/>
                <w:color w:val="auto"/>
                <w:spacing w:val="-1"/>
                <w:sz w:val="24"/>
                <w:szCs w:val="24"/>
              </w:rPr>
              <w:t>0.063t/a</w:t>
            </w:r>
            <w:r>
              <w:rPr>
                <w:color w:val="auto"/>
                <w:spacing w:val="4"/>
                <w:sz w:val="24"/>
                <w:szCs w:val="24"/>
              </w:rPr>
              <w:t>），</w:t>
            </w:r>
            <w:r>
              <w:rPr>
                <w:color w:val="auto"/>
                <w:spacing w:val="-1"/>
                <w:sz w:val="24"/>
                <w:szCs w:val="24"/>
              </w:rPr>
              <w:t>单个食堂风机风量为</w:t>
            </w:r>
            <w:r>
              <w:rPr>
                <w:rFonts w:ascii="Times New Roman" w:hAnsi="Times New Roman" w:eastAsia="Times New Roman" w:cs="Times New Roman"/>
                <w:color w:val="auto"/>
                <w:spacing w:val="-1"/>
                <w:sz w:val="24"/>
                <w:szCs w:val="24"/>
              </w:rPr>
              <w:t>20000m</w:t>
            </w:r>
            <w:r>
              <w:rPr>
                <w:rFonts w:ascii="Times New Roman" w:hAnsi="Times New Roman" w:eastAsia="Times New Roman" w:cs="Times New Roman"/>
                <w:color w:val="auto"/>
                <w:spacing w:val="-1"/>
                <w:position w:val="7"/>
                <w:sz w:val="15"/>
                <w:szCs w:val="15"/>
              </w:rPr>
              <w:t>3</w:t>
            </w:r>
            <w:r>
              <w:rPr>
                <w:rFonts w:ascii="Times New Roman" w:hAnsi="Times New Roman" w:eastAsia="Times New Roman" w:cs="Times New Roman"/>
                <w:color w:val="auto"/>
                <w:spacing w:val="-1"/>
                <w:sz w:val="24"/>
                <w:szCs w:val="24"/>
              </w:rPr>
              <w:t>/h</w:t>
            </w:r>
            <w:r>
              <w:rPr>
                <w:color w:val="auto"/>
                <w:spacing w:val="-1"/>
                <w:sz w:val="24"/>
                <w:szCs w:val="24"/>
              </w:rPr>
              <w:t>，本项目食堂油烟</w:t>
            </w:r>
            <w:r>
              <w:rPr>
                <w:color w:val="auto"/>
                <w:spacing w:val="-2"/>
                <w:sz w:val="24"/>
                <w:szCs w:val="24"/>
              </w:rPr>
              <w:t>产生浓度为</w:t>
            </w:r>
            <w:r>
              <w:rPr>
                <w:rFonts w:ascii="Times New Roman" w:hAnsi="Times New Roman" w:eastAsia="Times New Roman" w:cs="Times New Roman"/>
                <w:color w:val="auto"/>
                <w:spacing w:val="-2"/>
                <w:sz w:val="24"/>
                <w:szCs w:val="24"/>
              </w:rPr>
              <w:t>4.5mg/m</w:t>
            </w:r>
            <w:r>
              <w:rPr>
                <w:rFonts w:ascii="Times New Roman" w:hAnsi="Times New Roman" w:eastAsia="Times New Roman" w:cs="Times New Roman"/>
                <w:color w:val="auto"/>
                <w:spacing w:val="-2"/>
                <w:position w:val="7"/>
                <w:sz w:val="15"/>
                <w:szCs w:val="15"/>
              </w:rPr>
              <w:t>3</w:t>
            </w:r>
            <w:r>
              <w:rPr>
                <w:color w:val="auto"/>
                <w:spacing w:val="-2"/>
                <w:sz w:val="24"/>
                <w:szCs w:val="24"/>
              </w:rPr>
              <w:t>。项目产生的油烟废气采用静电油烟净化器处理后引至</w:t>
            </w:r>
            <w:r>
              <w:rPr>
                <w:color w:val="auto"/>
                <w:spacing w:val="3"/>
                <w:sz w:val="24"/>
                <w:szCs w:val="24"/>
              </w:rPr>
              <w:t>楼顶排放（处理效率按</w:t>
            </w:r>
            <w:r>
              <w:rPr>
                <w:rFonts w:ascii="Times New Roman" w:hAnsi="Times New Roman" w:eastAsia="Times New Roman" w:cs="Times New Roman"/>
                <w:color w:val="auto"/>
                <w:spacing w:val="3"/>
                <w:sz w:val="24"/>
                <w:szCs w:val="24"/>
              </w:rPr>
              <w:t>75%</w:t>
            </w:r>
            <w:r>
              <w:rPr>
                <w:color w:val="auto"/>
                <w:spacing w:val="18"/>
                <w:sz w:val="24"/>
                <w:szCs w:val="24"/>
              </w:rPr>
              <w:t>），</w:t>
            </w:r>
            <w:r>
              <w:rPr>
                <w:color w:val="auto"/>
                <w:spacing w:val="3"/>
                <w:sz w:val="24"/>
                <w:szCs w:val="24"/>
              </w:rPr>
              <w:t>经处理后食堂油烟废气排放量为</w:t>
            </w:r>
            <w:r>
              <w:rPr>
                <w:rFonts w:ascii="Times New Roman" w:hAnsi="Times New Roman" w:eastAsia="Times New Roman" w:cs="Times New Roman"/>
                <w:color w:val="auto"/>
                <w:spacing w:val="3"/>
                <w:sz w:val="24"/>
                <w:szCs w:val="24"/>
              </w:rPr>
              <w:t>0.0</w:t>
            </w:r>
            <w:r>
              <w:rPr>
                <w:rFonts w:hint="eastAsia" w:eastAsia="宋体" w:cs="Times New Roman"/>
                <w:color w:val="auto"/>
                <w:spacing w:val="3"/>
                <w:sz w:val="24"/>
                <w:szCs w:val="24"/>
                <w:lang w:val="en-US" w:eastAsia="zh-CN"/>
              </w:rPr>
              <w:t>05</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3"/>
                <w:sz w:val="24"/>
                <w:szCs w:val="24"/>
              </w:rPr>
              <w:t>/h</w:t>
            </w:r>
            <w:r>
              <w:rPr>
                <w:color w:val="auto"/>
                <w:spacing w:val="-3"/>
                <w:sz w:val="24"/>
                <w:szCs w:val="24"/>
              </w:rPr>
              <w:t>（</w:t>
            </w:r>
            <w:r>
              <w:rPr>
                <w:rFonts w:ascii="Times New Roman" w:hAnsi="Times New Roman" w:eastAsia="Times New Roman" w:cs="Times New Roman"/>
                <w:color w:val="auto"/>
                <w:spacing w:val="-3"/>
                <w:sz w:val="24"/>
                <w:szCs w:val="24"/>
              </w:rPr>
              <w:t>0.0</w:t>
            </w:r>
            <w:r>
              <w:rPr>
                <w:rFonts w:hint="eastAsia" w:eastAsia="宋体" w:cs="Times New Roman"/>
                <w:color w:val="auto"/>
                <w:spacing w:val="-3"/>
                <w:sz w:val="24"/>
                <w:szCs w:val="24"/>
                <w:lang w:val="en-US" w:eastAsia="zh-CN"/>
              </w:rPr>
              <w:t>07</w:t>
            </w:r>
            <w:r>
              <w:rPr>
                <w:rFonts w:ascii="Times New Roman" w:hAnsi="Times New Roman" w:eastAsia="Times New Roman" w:cs="Times New Roman"/>
                <w:color w:val="auto"/>
                <w:spacing w:val="-3"/>
                <w:sz w:val="24"/>
                <w:szCs w:val="24"/>
              </w:rPr>
              <w:t>t/a</w:t>
            </w:r>
            <w:r>
              <w:rPr>
                <w:color w:val="auto"/>
                <w:spacing w:val="-8"/>
                <w:sz w:val="24"/>
                <w:szCs w:val="24"/>
              </w:rPr>
              <w:t>），</w:t>
            </w:r>
            <w:r>
              <w:rPr>
                <w:color w:val="auto"/>
                <w:spacing w:val="-3"/>
                <w:sz w:val="24"/>
                <w:szCs w:val="24"/>
              </w:rPr>
              <w:t>排放浓度为</w:t>
            </w:r>
            <w:r>
              <w:rPr>
                <w:rFonts w:hint="eastAsia"/>
                <w:color w:val="auto"/>
                <w:spacing w:val="-3"/>
                <w:sz w:val="24"/>
                <w:szCs w:val="24"/>
                <w:lang w:val="en-US" w:eastAsia="zh-CN"/>
              </w:rPr>
              <w:t>0.51</w:t>
            </w:r>
            <w:r>
              <w:rPr>
                <w:rFonts w:ascii="Times New Roman" w:hAnsi="Times New Roman" w:eastAsia="Times New Roman" w:cs="Times New Roman"/>
                <w:color w:val="auto"/>
                <w:spacing w:val="-3"/>
                <w:sz w:val="24"/>
                <w:szCs w:val="24"/>
              </w:rPr>
              <w:t>mg/m</w:t>
            </w:r>
            <w:r>
              <w:rPr>
                <w:rFonts w:ascii="Times New Roman" w:hAnsi="Times New Roman" w:eastAsia="Times New Roman" w:cs="Times New Roman"/>
                <w:color w:val="auto"/>
                <w:spacing w:val="-3"/>
                <w:position w:val="7"/>
                <w:sz w:val="15"/>
                <w:szCs w:val="15"/>
              </w:rPr>
              <w:t>3</w:t>
            </w:r>
            <w:r>
              <w:rPr>
                <w:color w:val="auto"/>
                <w:spacing w:val="-3"/>
                <w:sz w:val="24"/>
                <w:szCs w:val="24"/>
              </w:rPr>
              <w:t>，符合《饮食</w:t>
            </w:r>
            <w:r>
              <w:rPr>
                <w:color w:val="auto"/>
                <w:spacing w:val="-4"/>
                <w:sz w:val="24"/>
                <w:szCs w:val="24"/>
              </w:rPr>
              <w:t>业油烟排放标准（试行）》</w:t>
            </w:r>
            <w:r>
              <w:rPr>
                <w:color w:val="auto"/>
                <w:spacing w:val="-1"/>
                <w:sz w:val="24"/>
                <w:szCs w:val="24"/>
              </w:rPr>
              <w:t>（</w:t>
            </w:r>
            <w:r>
              <w:rPr>
                <w:rFonts w:ascii="Times New Roman" w:hAnsi="Times New Roman" w:eastAsia="Times New Roman" w:cs="Times New Roman"/>
                <w:color w:val="auto"/>
                <w:spacing w:val="-1"/>
                <w:sz w:val="24"/>
                <w:szCs w:val="24"/>
              </w:rPr>
              <w:t>GB18484-2001</w:t>
            </w:r>
            <w:r>
              <w:rPr>
                <w:color w:val="auto"/>
                <w:spacing w:val="-1"/>
                <w:sz w:val="24"/>
                <w:szCs w:val="24"/>
              </w:rPr>
              <w:t>）中中型标准要求。</w:t>
            </w:r>
          </w:p>
          <w:p w14:paraId="49A7C0A1">
            <w:pPr>
              <w:pStyle w:val="76"/>
              <w:keepNext w:val="0"/>
              <w:keepLines w:val="0"/>
              <w:pageBreakBefore w:val="0"/>
              <w:widowControl w:val="0"/>
              <w:kinsoku/>
              <w:wordWrap/>
              <w:overflowPunct/>
              <w:topLinePunct w:val="0"/>
              <w:autoSpaceDE/>
              <w:autoSpaceDN/>
              <w:bidi w:val="0"/>
              <w:spacing w:line="360" w:lineRule="auto"/>
              <w:ind w:left="0" w:leftChars="0" w:right="0" w:firstLine="472" w:firstLineChars="200"/>
              <w:textAlignment w:val="auto"/>
              <w:rPr>
                <w:color w:val="auto"/>
                <w:sz w:val="24"/>
                <w:szCs w:val="24"/>
                <w:highlight w:val="none"/>
              </w:rPr>
            </w:pPr>
            <w:r>
              <w:rPr>
                <w:rFonts w:hint="default" w:ascii="Times New Roman" w:hAnsi="Times New Roman" w:cs="Times New Roman"/>
                <w:color w:val="auto"/>
                <w:spacing w:val="-2"/>
                <w:position w:val="2"/>
                <w:sz w:val="24"/>
                <w:szCs w:val="24"/>
                <w:highlight w:val="none"/>
              </w:rPr>
              <w:t>（</w:t>
            </w:r>
            <w:r>
              <w:rPr>
                <w:rFonts w:hint="eastAsia" w:ascii="Times New Roman" w:hAnsi="Times New Roman" w:cs="Times New Roman"/>
                <w:color w:val="auto"/>
                <w:spacing w:val="-2"/>
                <w:position w:val="2"/>
                <w:sz w:val="24"/>
                <w:szCs w:val="24"/>
                <w:highlight w:val="none"/>
                <w:lang w:val="en-US" w:eastAsia="zh-CN"/>
              </w:rPr>
              <w:t>6</w:t>
            </w:r>
            <w:r>
              <w:rPr>
                <w:rFonts w:hint="default" w:ascii="Times New Roman" w:hAnsi="Times New Roman" w:cs="Times New Roman"/>
                <w:color w:val="auto"/>
                <w:spacing w:val="-2"/>
                <w:position w:val="2"/>
                <w:sz w:val="24"/>
                <w:szCs w:val="24"/>
                <w:highlight w:val="none"/>
              </w:rPr>
              <w:t>）</w:t>
            </w:r>
            <w:r>
              <w:rPr>
                <w:color w:val="auto"/>
                <w:spacing w:val="-2"/>
                <w:position w:val="2"/>
                <w:sz w:val="24"/>
                <w:szCs w:val="24"/>
                <w:highlight w:val="none"/>
              </w:rPr>
              <w:t>污染防治措施可行分析</w:t>
            </w:r>
          </w:p>
          <w:p w14:paraId="51E81FDA">
            <w:pPr>
              <w:pStyle w:val="76"/>
              <w:keepNext w:val="0"/>
              <w:keepLines w:val="0"/>
              <w:pageBreakBefore w:val="0"/>
              <w:widowControl w:val="0"/>
              <w:kinsoku/>
              <w:wordWrap/>
              <w:overflowPunct/>
              <w:topLinePunct w:val="0"/>
              <w:autoSpaceDE/>
              <w:autoSpaceDN/>
              <w:bidi w:val="0"/>
              <w:spacing w:line="360" w:lineRule="auto"/>
              <w:ind w:left="0" w:leftChars="0" w:right="0" w:firstLine="468" w:firstLineChars="200"/>
              <w:textAlignment w:val="auto"/>
              <w:rPr>
                <w:b/>
                <w:bCs/>
                <w:color w:val="auto"/>
                <w:sz w:val="24"/>
                <w:highlight w:val="none"/>
              </w:rPr>
            </w:pPr>
            <w:r>
              <w:rPr>
                <w:color w:val="auto"/>
                <w:spacing w:val="-3"/>
                <w:sz w:val="24"/>
                <w:szCs w:val="24"/>
                <w:highlight w:val="none"/>
              </w:rPr>
              <w:t>对照《排污许可证申请与核发技术规范总则》（</w:t>
            </w:r>
            <w:r>
              <w:rPr>
                <w:rFonts w:ascii="Times New Roman" w:hAnsi="Times New Roman" w:eastAsia="Times New Roman" w:cs="Times New Roman"/>
                <w:color w:val="auto"/>
                <w:spacing w:val="-3"/>
                <w:sz w:val="24"/>
                <w:szCs w:val="24"/>
                <w:highlight w:val="none"/>
              </w:rPr>
              <w:t>HJ942-2018</w:t>
            </w:r>
            <w:r>
              <w:rPr>
                <w:color w:val="auto"/>
                <w:spacing w:val="-3"/>
                <w:sz w:val="24"/>
                <w:szCs w:val="24"/>
                <w:highlight w:val="none"/>
              </w:rPr>
              <w:t>）、《排污</w:t>
            </w:r>
            <w:r>
              <w:rPr>
                <w:color w:val="auto"/>
                <w:spacing w:val="3"/>
                <w:sz w:val="24"/>
                <w:szCs w:val="24"/>
                <w:highlight w:val="none"/>
              </w:rPr>
              <w:t>许可证申请与核发技术规范石墨及其他非金属矿物制品制造》（</w:t>
            </w:r>
            <w:r>
              <w:rPr>
                <w:rFonts w:ascii="Times New Roman" w:hAnsi="Times New Roman" w:eastAsia="Times New Roman" w:cs="Times New Roman"/>
                <w:color w:val="auto"/>
                <w:sz w:val="24"/>
                <w:szCs w:val="24"/>
                <w:highlight w:val="none"/>
              </w:rPr>
              <w:t>HJ</w:t>
            </w:r>
            <w:r>
              <w:rPr>
                <w:rFonts w:ascii="Times New Roman" w:hAnsi="Times New Roman" w:eastAsia="Times New Roman" w:cs="Times New Roman"/>
                <w:color w:val="auto"/>
                <w:spacing w:val="3"/>
                <w:sz w:val="24"/>
                <w:szCs w:val="24"/>
                <w:highlight w:val="none"/>
              </w:rPr>
              <w:t>1119</w:t>
            </w:r>
            <w:r>
              <w:rPr>
                <w:color w:val="auto"/>
                <w:spacing w:val="3"/>
                <w:sz w:val="24"/>
                <w:szCs w:val="24"/>
                <w:highlight w:val="none"/>
              </w:rPr>
              <w:t>—</w:t>
            </w:r>
            <w:r>
              <w:rPr>
                <w:rFonts w:ascii="Times New Roman" w:hAnsi="Times New Roman" w:eastAsia="Times New Roman" w:cs="Times New Roman"/>
                <w:color w:val="auto"/>
                <w:spacing w:val="-6"/>
                <w:sz w:val="24"/>
                <w:szCs w:val="24"/>
                <w:highlight w:val="none"/>
              </w:rPr>
              <w:t>2020</w:t>
            </w:r>
            <w:r>
              <w:rPr>
                <w:color w:val="auto"/>
                <w:spacing w:val="-6"/>
                <w:sz w:val="24"/>
                <w:szCs w:val="24"/>
                <w:highlight w:val="none"/>
              </w:rPr>
              <w:t>）技术要求</w:t>
            </w:r>
            <w:r>
              <w:rPr>
                <w:rFonts w:hint="eastAsia"/>
                <w:color w:val="auto"/>
                <w:spacing w:val="-6"/>
                <w:sz w:val="24"/>
                <w:szCs w:val="24"/>
                <w:highlight w:val="none"/>
                <w:lang w:eastAsia="zh-CN"/>
              </w:rPr>
              <w:t>，</w:t>
            </w:r>
            <w:r>
              <w:rPr>
                <w:color w:val="auto"/>
                <w:spacing w:val="-1"/>
                <w:sz w:val="24"/>
                <w:szCs w:val="24"/>
                <w:highlight w:val="none"/>
              </w:rPr>
              <w:t>本项目</w:t>
            </w:r>
            <w:r>
              <w:rPr>
                <w:rFonts w:hint="eastAsia"/>
                <w:color w:val="auto"/>
                <w:spacing w:val="-1"/>
                <w:sz w:val="24"/>
                <w:szCs w:val="24"/>
                <w:highlight w:val="none"/>
                <w:lang w:val="en-US" w:eastAsia="zh-CN"/>
              </w:rPr>
              <w:t>生产过程产生的颗粒物先经过生产设备的滤尘袋，后经排气管道通过15m高排气筒（DA001）有组织排出；生产过程使用后的沉积尾气经袋式除尘器处理后经15m高排气筒（DA002）排放；生活污水经隔油池处理后排入园区污水管网，最终排入民生工业园区污水处理厂；项目产生的一般固体废物经分类收集至固废暂存间后，定期外售处理；工作人员产生的生活垃圾收集于垃圾箱后定期拉运处理。综上，本项目污染物排放措施可行</w:t>
            </w:r>
            <w:r>
              <w:rPr>
                <w:color w:val="auto"/>
                <w:spacing w:val="-1"/>
                <w:sz w:val="24"/>
                <w:szCs w:val="24"/>
                <w:highlight w:val="none"/>
              </w:rPr>
              <w:t>。</w:t>
            </w:r>
          </w:p>
          <w:p w14:paraId="41BAC22B">
            <w:pPr>
              <w:pStyle w:val="76"/>
              <w:keepNext w:val="0"/>
              <w:keepLines w:val="0"/>
              <w:pageBreakBefore w:val="0"/>
              <w:widowControl w:val="0"/>
              <w:kinsoku/>
              <w:wordWrap/>
              <w:overflowPunct/>
              <w:topLinePunct w:val="0"/>
              <w:autoSpaceDE/>
              <w:autoSpaceDN/>
              <w:bidi w:val="0"/>
              <w:spacing w:line="360" w:lineRule="auto"/>
              <w:ind w:left="0" w:leftChars="0" w:right="0" w:firstLine="472" w:firstLineChars="200"/>
              <w:textAlignment w:val="auto"/>
              <w:rPr>
                <w:color w:val="auto"/>
                <w:sz w:val="24"/>
                <w:szCs w:val="24"/>
              </w:rPr>
            </w:pPr>
            <w:r>
              <w:rPr>
                <w:rFonts w:hint="default" w:ascii="Times New Roman" w:hAnsi="Times New Roman" w:cs="Times New Roman"/>
                <w:color w:val="auto"/>
                <w:spacing w:val="-2"/>
                <w:position w:val="2"/>
                <w:sz w:val="24"/>
                <w:szCs w:val="24"/>
              </w:rPr>
              <w:t>（</w:t>
            </w:r>
            <w:r>
              <w:rPr>
                <w:rFonts w:hint="eastAsia" w:ascii="Times New Roman" w:hAnsi="Times New Roman" w:cs="Times New Roman"/>
                <w:color w:val="auto"/>
                <w:spacing w:val="-2"/>
                <w:position w:val="2"/>
                <w:sz w:val="24"/>
                <w:szCs w:val="24"/>
                <w:lang w:val="en-US" w:eastAsia="zh-CN"/>
              </w:rPr>
              <w:t>7</w:t>
            </w:r>
            <w:r>
              <w:rPr>
                <w:rFonts w:hint="default" w:ascii="Times New Roman" w:hAnsi="Times New Roman" w:cs="Times New Roman"/>
                <w:color w:val="auto"/>
                <w:spacing w:val="-2"/>
                <w:position w:val="2"/>
                <w:sz w:val="24"/>
                <w:szCs w:val="24"/>
              </w:rPr>
              <w:t>）环境</w:t>
            </w:r>
            <w:r>
              <w:rPr>
                <w:color w:val="auto"/>
                <w:spacing w:val="-3"/>
                <w:position w:val="2"/>
                <w:sz w:val="24"/>
                <w:szCs w:val="24"/>
              </w:rPr>
              <w:t>影响分析</w:t>
            </w:r>
          </w:p>
          <w:p w14:paraId="162886F1">
            <w:pPr>
              <w:pStyle w:val="76"/>
              <w:keepNext w:val="0"/>
              <w:keepLines w:val="0"/>
              <w:pageBreakBefore w:val="0"/>
              <w:widowControl w:val="0"/>
              <w:kinsoku/>
              <w:wordWrap/>
              <w:overflowPunct/>
              <w:topLinePunct w:val="0"/>
              <w:autoSpaceDE/>
              <w:autoSpaceDN/>
              <w:bidi w:val="0"/>
              <w:spacing w:line="360" w:lineRule="auto"/>
              <w:ind w:left="0" w:leftChars="0" w:right="0" w:firstLine="472" w:firstLineChars="200"/>
              <w:textAlignment w:val="auto"/>
              <w:rPr>
                <w:color w:val="auto"/>
                <w:sz w:val="24"/>
                <w:szCs w:val="24"/>
              </w:rPr>
            </w:pPr>
            <w:r>
              <w:rPr>
                <w:color w:val="auto"/>
                <w:spacing w:val="-2"/>
                <w:sz w:val="24"/>
                <w:szCs w:val="24"/>
              </w:rPr>
              <w:t>根据《建设项目环境影响报告表编制技术指南（污染影响类</w:t>
            </w:r>
            <w:r>
              <w:rPr>
                <w:color w:val="auto"/>
                <w:spacing w:val="-32"/>
                <w:sz w:val="24"/>
                <w:szCs w:val="24"/>
              </w:rPr>
              <w:t>）（</w:t>
            </w:r>
            <w:r>
              <w:rPr>
                <w:color w:val="auto"/>
                <w:spacing w:val="-2"/>
                <w:sz w:val="24"/>
                <w:szCs w:val="24"/>
              </w:rPr>
              <w:t>试行）》</w:t>
            </w:r>
            <w:r>
              <w:rPr>
                <w:color w:val="auto"/>
                <w:sz w:val="24"/>
                <w:szCs w:val="24"/>
              </w:rPr>
              <w:t>要求“结合建设项目所在区域环境质量现状、环境保护目标、项目采取的污</w:t>
            </w:r>
            <w:r>
              <w:rPr>
                <w:color w:val="auto"/>
                <w:spacing w:val="-5"/>
                <w:sz w:val="24"/>
                <w:szCs w:val="24"/>
              </w:rPr>
              <w:t>染治理措施及污染物排放强度、排放方式，定性分析</w:t>
            </w:r>
            <w:r>
              <w:rPr>
                <w:color w:val="auto"/>
                <w:spacing w:val="-6"/>
                <w:sz w:val="24"/>
                <w:szCs w:val="24"/>
              </w:rPr>
              <w:t>废气排放的环境影响”。</w:t>
            </w:r>
            <w:r>
              <w:rPr>
                <w:color w:val="auto"/>
                <w:spacing w:val="-2"/>
                <w:sz w:val="24"/>
                <w:szCs w:val="24"/>
              </w:rPr>
              <w:t>因此本次环评环境影响分析进行定性分析。</w:t>
            </w:r>
          </w:p>
          <w:p w14:paraId="4991031F">
            <w:pPr>
              <w:pStyle w:val="76"/>
              <w:keepNext w:val="0"/>
              <w:keepLines w:val="0"/>
              <w:pageBreakBefore w:val="0"/>
              <w:widowControl w:val="0"/>
              <w:kinsoku/>
              <w:wordWrap/>
              <w:overflowPunct/>
              <w:topLinePunct w:val="0"/>
              <w:autoSpaceDE/>
              <w:autoSpaceDN/>
              <w:bidi w:val="0"/>
              <w:spacing w:line="360" w:lineRule="auto"/>
              <w:ind w:left="0" w:leftChars="0" w:right="0" w:firstLine="480" w:firstLineChars="200"/>
              <w:jc w:val="both"/>
              <w:textAlignment w:val="auto"/>
              <w:rPr>
                <w:color w:val="auto"/>
                <w:sz w:val="24"/>
                <w:szCs w:val="24"/>
              </w:rPr>
            </w:pPr>
            <w:r>
              <w:rPr>
                <w:color w:val="auto"/>
                <w:sz w:val="24"/>
                <w:szCs w:val="24"/>
              </w:rPr>
              <w:t>项目区所在区域属于达标区</w:t>
            </w:r>
            <w:r>
              <w:rPr>
                <w:color w:val="auto"/>
                <w:spacing w:val="-1"/>
                <w:sz w:val="24"/>
                <w:szCs w:val="24"/>
              </w:rPr>
              <w:t>。项目</w:t>
            </w:r>
            <w:r>
              <w:rPr>
                <w:color w:val="auto"/>
                <w:spacing w:val="-2"/>
                <w:sz w:val="24"/>
                <w:szCs w:val="24"/>
              </w:rPr>
              <w:t>区所在区域污染物均达标。</w:t>
            </w:r>
          </w:p>
          <w:p w14:paraId="3BE754E1">
            <w:pPr>
              <w:pStyle w:val="76"/>
              <w:keepNext w:val="0"/>
              <w:keepLines w:val="0"/>
              <w:pageBreakBefore w:val="0"/>
              <w:widowControl w:val="0"/>
              <w:kinsoku/>
              <w:wordWrap/>
              <w:overflowPunct/>
              <w:topLinePunct w:val="0"/>
              <w:autoSpaceDE/>
              <w:autoSpaceDN/>
              <w:bidi w:val="0"/>
              <w:spacing w:line="360" w:lineRule="auto"/>
              <w:ind w:left="0" w:leftChars="0" w:right="0" w:firstLine="480" w:firstLineChars="200"/>
              <w:textAlignment w:val="auto"/>
              <w:rPr>
                <w:color w:val="auto"/>
                <w:sz w:val="24"/>
                <w:szCs w:val="24"/>
              </w:rPr>
            </w:pPr>
            <w:r>
              <w:rPr>
                <w:color w:val="auto"/>
                <w:sz w:val="24"/>
                <w:szCs w:val="24"/>
              </w:rPr>
              <w:t>本项目厂界外</w:t>
            </w:r>
            <w:r>
              <w:rPr>
                <w:rFonts w:ascii="Times New Roman" w:hAnsi="Times New Roman" w:eastAsia="Times New Roman" w:cs="Times New Roman"/>
                <w:color w:val="auto"/>
                <w:sz w:val="24"/>
                <w:szCs w:val="24"/>
              </w:rPr>
              <w:t>500</w:t>
            </w:r>
            <w:r>
              <w:rPr>
                <w:color w:val="auto"/>
                <w:sz w:val="24"/>
                <w:szCs w:val="24"/>
              </w:rPr>
              <w:t>米范围内无自然保护区、风景名胜区、文化区，不存</w:t>
            </w:r>
            <w:r>
              <w:rPr>
                <w:color w:val="auto"/>
                <w:spacing w:val="-1"/>
                <w:sz w:val="24"/>
                <w:szCs w:val="24"/>
              </w:rPr>
              <w:t>在环境空气保护目标。</w:t>
            </w:r>
          </w:p>
          <w:p w14:paraId="054B17B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8" w:firstLineChars="200"/>
              <w:textAlignment w:val="auto"/>
              <w:rPr>
                <w:b/>
                <w:bCs/>
                <w:color w:val="auto"/>
                <w:sz w:val="24"/>
                <w:highlight w:val="none"/>
              </w:rPr>
            </w:pPr>
            <w:r>
              <w:rPr>
                <w:color w:val="auto"/>
                <w:spacing w:val="2"/>
                <w:sz w:val="24"/>
                <w:szCs w:val="24"/>
              </w:rPr>
              <w:t>本项目</w:t>
            </w:r>
            <w:r>
              <w:rPr>
                <w:rFonts w:ascii="Times New Roman" w:hAnsi="Times New Roman" w:eastAsia="Times New Roman" w:cs="Times New Roman"/>
                <w:color w:val="auto"/>
                <w:sz w:val="24"/>
                <w:szCs w:val="24"/>
              </w:rPr>
              <w:t>MPCVD</w:t>
            </w:r>
            <w:r>
              <w:rPr>
                <w:color w:val="auto"/>
                <w:spacing w:val="2"/>
                <w:sz w:val="24"/>
                <w:szCs w:val="24"/>
              </w:rPr>
              <w:t>沉积废气主要是</w:t>
            </w:r>
            <w:r>
              <w:rPr>
                <w:rFonts w:hint="eastAsia"/>
                <w:color w:val="auto"/>
                <w:spacing w:val="2"/>
                <w:sz w:val="24"/>
                <w:szCs w:val="24"/>
                <w:lang w:val="en-US" w:eastAsia="zh-CN"/>
              </w:rPr>
              <w:t>甲烷、</w:t>
            </w:r>
            <w:r>
              <w:rPr>
                <w:color w:val="auto"/>
                <w:spacing w:val="2"/>
                <w:sz w:val="24"/>
                <w:szCs w:val="24"/>
              </w:rPr>
              <w:t>氢气、氩气和二氧化碳，</w:t>
            </w:r>
            <w:r>
              <w:rPr>
                <w:rFonts w:hint="eastAsia"/>
                <w:color w:val="auto"/>
                <w:sz w:val="24"/>
                <w:szCs w:val="24"/>
                <w:lang w:val="en-US" w:eastAsia="zh-CN"/>
              </w:rPr>
              <w:t>单质碳颗粒与沉积废气一同经袋式除尘器处理后有组织排放；</w:t>
            </w:r>
            <w:r>
              <w:rPr>
                <w:color w:val="auto"/>
                <w:sz w:val="24"/>
                <w:szCs w:val="24"/>
              </w:rPr>
              <w:t>激光切割</w:t>
            </w:r>
            <w:r>
              <w:rPr>
                <w:rFonts w:hint="eastAsia"/>
                <w:color w:val="auto"/>
                <w:sz w:val="24"/>
                <w:szCs w:val="24"/>
                <w:lang w:val="en-US" w:eastAsia="zh-CN"/>
              </w:rPr>
              <w:t>产生的废气经设备自带的滤尘袋过滤后，经集气管道通过排气筒有组织排放</w:t>
            </w:r>
            <w:r>
              <w:rPr>
                <w:color w:val="auto"/>
                <w:sz w:val="24"/>
                <w:szCs w:val="24"/>
              </w:rPr>
              <w:t>；</w:t>
            </w:r>
            <w:r>
              <w:rPr>
                <w:color w:val="auto"/>
                <w:spacing w:val="2"/>
                <w:sz w:val="24"/>
                <w:szCs w:val="24"/>
              </w:rPr>
              <w:t>厨房油烟经油烟净化器处理后排放，</w:t>
            </w:r>
            <w:r>
              <w:rPr>
                <w:color w:val="auto"/>
                <w:spacing w:val="-1"/>
                <w:sz w:val="24"/>
                <w:szCs w:val="24"/>
              </w:rPr>
              <w:t>各类污染</w:t>
            </w:r>
            <w:r>
              <w:rPr>
                <w:color w:val="auto"/>
                <w:spacing w:val="-1"/>
                <w:sz w:val="24"/>
                <w:szCs w:val="24"/>
                <w:highlight w:val="none"/>
              </w:rPr>
              <w:t>物可实现达标排放。对照《排污许可证申请与核发技术规范总则》</w:t>
            </w:r>
            <w:r>
              <w:rPr>
                <w:color w:val="auto"/>
                <w:spacing w:val="-2"/>
                <w:sz w:val="24"/>
                <w:szCs w:val="24"/>
                <w:highlight w:val="none"/>
              </w:rPr>
              <w:t>（</w:t>
            </w:r>
            <w:r>
              <w:rPr>
                <w:rFonts w:ascii="Times New Roman" w:hAnsi="Times New Roman" w:eastAsia="Times New Roman" w:cs="Times New Roman"/>
                <w:color w:val="auto"/>
                <w:spacing w:val="-2"/>
                <w:sz w:val="24"/>
                <w:szCs w:val="24"/>
                <w:highlight w:val="none"/>
              </w:rPr>
              <w:t>HJ942-2018</w:t>
            </w:r>
            <w:r>
              <w:rPr>
                <w:color w:val="auto"/>
                <w:spacing w:val="-2"/>
                <w:sz w:val="24"/>
                <w:szCs w:val="24"/>
                <w:highlight w:val="none"/>
              </w:rPr>
              <w:t>）、《排污许可证申</w:t>
            </w:r>
            <w:r>
              <w:rPr>
                <w:color w:val="auto"/>
                <w:spacing w:val="-2"/>
                <w:sz w:val="24"/>
                <w:szCs w:val="24"/>
              </w:rPr>
              <w:t>请与核</w:t>
            </w:r>
            <w:r>
              <w:rPr>
                <w:color w:val="auto"/>
                <w:spacing w:val="-3"/>
                <w:sz w:val="24"/>
                <w:szCs w:val="24"/>
              </w:rPr>
              <w:t>发技术规范石墨及其他非金属矿物</w:t>
            </w:r>
            <w:r>
              <w:rPr>
                <w:color w:val="auto"/>
                <w:spacing w:val="7"/>
                <w:sz w:val="24"/>
                <w:szCs w:val="24"/>
              </w:rPr>
              <w:t>制品制造》（</w:t>
            </w:r>
            <w:r>
              <w:rPr>
                <w:rFonts w:ascii="Times New Roman" w:hAnsi="Times New Roman" w:eastAsia="Times New Roman" w:cs="Times New Roman"/>
                <w:color w:val="auto"/>
                <w:sz w:val="24"/>
                <w:szCs w:val="24"/>
              </w:rPr>
              <w:t>HJ</w:t>
            </w:r>
            <w:r>
              <w:rPr>
                <w:rFonts w:ascii="Times New Roman" w:hAnsi="Times New Roman" w:eastAsia="Times New Roman" w:cs="Times New Roman"/>
                <w:color w:val="auto"/>
                <w:spacing w:val="7"/>
                <w:sz w:val="24"/>
                <w:szCs w:val="24"/>
              </w:rPr>
              <w:t>1119-2020</w:t>
            </w:r>
            <w:r>
              <w:rPr>
                <w:color w:val="auto"/>
                <w:spacing w:val="7"/>
                <w:sz w:val="24"/>
                <w:szCs w:val="24"/>
              </w:rPr>
              <w:t>）</w:t>
            </w:r>
            <w:r>
              <w:rPr>
                <w:color w:val="auto"/>
                <w:spacing w:val="2"/>
                <w:sz w:val="24"/>
                <w:szCs w:val="24"/>
              </w:rPr>
              <w:t>相关标准规定要求，本次环评</w:t>
            </w:r>
            <w:r>
              <w:rPr>
                <w:color w:val="auto"/>
                <w:spacing w:val="1"/>
                <w:sz w:val="24"/>
                <w:szCs w:val="24"/>
              </w:rPr>
              <w:t>提出污染治理措施是可行的。</w:t>
            </w:r>
            <w:r>
              <w:rPr>
                <w:color w:val="auto"/>
                <w:spacing w:val="-1"/>
                <w:sz w:val="24"/>
                <w:szCs w:val="24"/>
              </w:rPr>
              <w:t>因此本项目废气对周边大气环境影响较小。</w:t>
            </w:r>
          </w:p>
          <w:p w14:paraId="491B4A89">
            <w:pPr>
              <w:keepNext w:val="0"/>
              <w:keepLines w:val="0"/>
              <w:pageBreakBefore w:val="0"/>
              <w:widowControl/>
              <w:suppressLineNumbers w:val="0"/>
              <w:kinsoku/>
              <w:wordWrap/>
              <w:overflowPunct/>
              <w:topLinePunct w:val="0"/>
              <w:autoSpaceDE/>
              <w:autoSpaceDN/>
              <w:bidi w:val="0"/>
              <w:spacing w:line="360" w:lineRule="auto"/>
              <w:ind w:right="0"/>
              <w:jc w:val="left"/>
              <w:textAlignment w:val="auto"/>
              <w:rPr>
                <w:rFonts w:hint="default"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非正常工况</w:t>
            </w:r>
          </w:p>
          <w:p w14:paraId="2CF21BD5">
            <w:pPr>
              <w:widowControl/>
              <w:spacing w:line="360" w:lineRule="auto"/>
              <w:ind w:firstLine="480" w:firstLineChars="200"/>
              <w:rPr>
                <w:rFonts w:hint="eastAsia" w:cs="Times New Roman"/>
                <w:color w:val="auto"/>
                <w:sz w:val="24"/>
                <w:szCs w:val="32"/>
                <w:highlight w:val="none"/>
                <w:lang w:val="en-US" w:eastAsia="zh-CN"/>
              </w:rPr>
            </w:pPr>
            <w:r>
              <w:rPr>
                <w:rFonts w:hint="default" w:ascii="Times New Roman" w:hAnsi="Times New Roman" w:cs="Times New Roman"/>
                <w:color w:val="auto"/>
                <w:sz w:val="24"/>
                <w:szCs w:val="32"/>
                <w:highlight w:val="none"/>
              </w:rPr>
              <w:t>本项目非正常工况主要为</w:t>
            </w:r>
            <w:r>
              <w:rPr>
                <w:rFonts w:hint="eastAsia" w:cs="Times New Roman"/>
                <w:color w:val="auto"/>
                <w:sz w:val="24"/>
                <w:szCs w:val="32"/>
                <w:highlight w:val="none"/>
                <w:lang w:val="en-US" w:eastAsia="zh-CN"/>
              </w:rPr>
              <w:t>除尘器失效、运行异常</w:t>
            </w:r>
            <w:r>
              <w:rPr>
                <w:rFonts w:hint="eastAsia" w:ascii="Times New Roman" w:hAnsi="Times New Roman" w:cs="Times New Roman"/>
                <w:color w:val="auto"/>
                <w:sz w:val="24"/>
                <w:szCs w:val="32"/>
                <w:highlight w:val="none"/>
                <w:lang w:eastAsia="zh-CN"/>
              </w:rPr>
              <w:t>，</w:t>
            </w:r>
            <w:r>
              <w:rPr>
                <w:rFonts w:hint="eastAsia" w:ascii="Times New Roman" w:hAnsi="Times New Roman" w:cs="Times New Roman"/>
                <w:color w:val="auto"/>
                <w:sz w:val="24"/>
                <w:szCs w:val="32"/>
                <w:highlight w:val="none"/>
                <w:lang w:val="en-US" w:eastAsia="zh-CN"/>
              </w:rPr>
              <w:t>即处理效率为“0”的情况下计算</w:t>
            </w:r>
            <w:r>
              <w:rPr>
                <w:rFonts w:hint="eastAsia" w:cs="Times New Roman"/>
                <w:color w:val="auto"/>
                <w:sz w:val="24"/>
                <w:szCs w:val="32"/>
                <w:highlight w:val="none"/>
                <w:lang w:val="en-US" w:eastAsia="zh-CN"/>
              </w:rPr>
              <w:t>。</w:t>
            </w:r>
          </w:p>
          <w:p w14:paraId="6B7C21CC">
            <w:pPr>
              <w:widowControl/>
              <w:spacing w:line="360" w:lineRule="auto"/>
              <w:ind w:firstLine="480" w:firstLineChars="200"/>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eastAsia="Times New Roman" w:cs="Times New Roman"/>
                <w:color w:val="auto"/>
                <w:sz w:val="24"/>
                <w:szCs w:val="24"/>
              </w:rPr>
              <w:t>MPCVD</w:t>
            </w:r>
            <w:r>
              <w:rPr>
                <w:rFonts w:hint="default" w:ascii="Times New Roman" w:hAnsi="Times New Roman" w:cs="Times New Roman"/>
                <w:color w:val="auto"/>
                <w:spacing w:val="2"/>
                <w:sz w:val="24"/>
                <w:szCs w:val="24"/>
              </w:rPr>
              <w:t>长晶炉设备</w:t>
            </w:r>
            <w:r>
              <w:rPr>
                <w:rFonts w:hint="default" w:ascii="Times New Roman" w:hAnsi="Times New Roman" w:cs="Times New Roman"/>
                <w:color w:val="auto"/>
                <w:spacing w:val="2"/>
                <w:sz w:val="24"/>
                <w:szCs w:val="24"/>
                <w:lang w:val="en-US" w:eastAsia="zh-CN"/>
              </w:rPr>
              <w:t>对甲烷进行等离子化</w:t>
            </w:r>
            <w:r>
              <w:rPr>
                <w:rFonts w:hint="eastAsia" w:ascii="Times New Roman" w:hAnsi="Times New Roman" w:cs="Times New Roman"/>
                <w:color w:val="auto"/>
                <w:spacing w:val="2"/>
                <w:sz w:val="24"/>
                <w:szCs w:val="24"/>
                <w:lang w:val="en-US" w:eastAsia="zh-CN"/>
              </w:rPr>
              <w:t>过程</w:t>
            </w:r>
            <w:r>
              <w:rPr>
                <w:rFonts w:hint="eastAsia" w:ascii="Times New Roman" w:hAnsi="Times New Roman" w:cs="Times New Roman"/>
                <w:color w:val="auto"/>
                <w:sz w:val="24"/>
                <w:szCs w:val="32"/>
                <w:highlight w:val="none"/>
                <w:lang w:val="en-US" w:eastAsia="zh-CN"/>
              </w:rPr>
              <w:t>产生的单质碳颗粒</w:t>
            </w:r>
            <w:r>
              <w:rPr>
                <w:rFonts w:hint="eastAsia" w:cs="Times New Roman"/>
                <w:color w:val="auto"/>
                <w:sz w:val="24"/>
                <w:szCs w:val="32"/>
                <w:highlight w:val="none"/>
                <w:lang w:val="en-US" w:eastAsia="zh-CN"/>
              </w:rPr>
              <w:t>经袋式除尘器</w:t>
            </w:r>
            <w:r>
              <w:rPr>
                <w:rFonts w:hint="default" w:ascii="Times New Roman" w:hAnsi="Times New Roman" w:cs="Times New Roman"/>
                <w:color w:val="auto"/>
                <w:sz w:val="24"/>
                <w:szCs w:val="32"/>
                <w:highlight w:val="none"/>
              </w:rPr>
              <w:t>处理后通过1根经15米高排气筒（DA00</w:t>
            </w:r>
            <w:r>
              <w:rPr>
                <w:rFonts w:hint="eastAsia" w:cs="Times New Roman"/>
                <w:color w:val="auto"/>
                <w:sz w:val="24"/>
                <w:szCs w:val="32"/>
                <w:highlight w:val="none"/>
                <w:lang w:val="en-US" w:eastAsia="zh-CN"/>
              </w:rPr>
              <w:t>1</w:t>
            </w:r>
            <w:r>
              <w:rPr>
                <w:rFonts w:hint="default" w:ascii="Times New Roman" w:hAnsi="Times New Roman" w:cs="Times New Roman"/>
                <w:color w:val="auto"/>
                <w:sz w:val="24"/>
                <w:szCs w:val="32"/>
                <w:highlight w:val="none"/>
              </w:rPr>
              <w:t>）排放。</w:t>
            </w:r>
            <w:r>
              <w:rPr>
                <w:rFonts w:hint="default" w:ascii="Times New Roman" w:hAnsi="Times New Roman" w:cs="Times New Roman"/>
                <w:color w:val="auto"/>
                <w:sz w:val="24"/>
                <w:szCs w:val="24"/>
                <w:highlight w:val="none"/>
              </w:rPr>
              <w:t>产生量</w:t>
            </w:r>
            <w:r>
              <w:rPr>
                <w:rFonts w:hint="eastAsia" w:cs="Times New Roman"/>
                <w:color w:val="auto"/>
                <w:sz w:val="24"/>
                <w:szCs w:val="24"/>
                <w:highlight w:val="none"/>
                <w:lang w:val="en-US" w:eastAsia="zh-CN"/>
              </w:rPr>
              <w:t>224.91kg</w:t>
            </w:r>
            <w:r>
              <w:rPr>
                <w:rFonts w:hint="default" w:ascii="Times New Roman" w:hAnsi="Times New Roman" w:cs="Times New Roman"/>
                <w:color w:val="auto"/>
                <w:sz w:val="24"/>
                <w:szCs w:val="24"/>
                <w:highlight w:val="none"/>
              </w:rPr>
              <w:t>/a，</w:t>
            </w:r>
            <w:r>
              <w:rPr>
                <w:rFonts w:hint="eastAsia" w:ascii="Times New Roman" w:hAnsi="Times New Roman" w:cs="Times New Roman"/>
                <w:color w:val="auto"/>
                <w:sz w:val="24"/>
                <w:szCs w:val="24"/>
                <w:highlight w:val="none"/>
                <w:lang w:val="en-US" w:eastAsia="zh-CN"/>
              </w:rPr>
              <w:t>年工作时长2920h，则DA001除尘器</w:t>
            </w:r>
            <w:r>
              <w:rPr>
                <w:rFonts w:hint="eastAsia" w:ascii="Times New Roman" w:hAnsi="Times New Roman" w:cs="Times New Roman"/>
                <w:color w:val="auto"/>
                <w:sz w:val="24"/>
                <w:szCs w:val="32"/>
                <w:highlight w:val="none"/>
                <w:lang w:val="en-US" w:eastAsia="zh-CN"/>
              </w:rPr>
              <w:t>处理效率为“0”的情况下排放</w:t>
            </w:r>
            <w:r>
              <w:rPr>
                <w:rFonts w:hint="default" w:ascii="Times New Roman" w:hAnsi="Times New Roman" w:cs="Times New Roman"/>
                <w:color w:val="auto"/>
                <w:sz w:val="24"/>
                <w:szCs w:val="24"/>
                <w:highlight w:val="none"/>
              </w:rPr>
              <w:t>速率</w:t>
            </w:r>
            <w:r>
              <w:rPr>
                <w:rFonts w:hint="eastAsia"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0.077</w:t>
            </w:r>
            <w:r>
              <w:rPr>
                <w:rFonts w:hint="default" w:ascii="Times New Roman" w:hAnsi="Times New Roman" w:cs="Times New Roman"/>
                <w:color w:val="auto"/>
                <w:sz w:val="24"/>
                <w:szCs w:val="24"/>
                <w:highlight w:val="none"/>
              </w:rPr>
              <w:t>kg/h。</w:t>
            </w:r>
            <w:r>
              <w:rPr>
                <w:rFonts w:hint="eastAsia" w:ascii="Times New Roman" w:hAnsi="Times New Roman" w:cs="Times New Roman"/>
                <w:color w:val="auto"/>
                <w:sz w:val="24"/>
                <w:szCs w:val="32"/>
                <w:highlight w:val="none"/>
                <w:lang w:val="en-US" w:eastAsia="zh-CN"/>
              </w:rPr>
              <w:t>排放</w:t>
            </w:r>
            <w:r>
              <w:rPr>
                <w:rFonts w:hint="eastAsia" w:ascii="Times New Roman" w:hAnsi="Times New Roman" w:cs="Times New Roman"/>
                <w:color w:val="auto"/>
                <w:sz w:val="24"/>
                <w:szCs w:val="24"/>
                <w:highlight w:val="none"/>
                <w:lang w:val="en-US" w:eastAsia="zh-CN"/>
              </w:rPr>
              <w:t>浓度</w:t>
            </w:r>
            <w:r>
              <w:rPr>
                <w:rFonts w:hint="eastAsia" w:cs="Times New Roman"/>
                <w:color w:val="auto"/>
                <w:sz w:val="24"/>
                <w:szCs w:val="24"/>
                <w:highlight w:val="none"/>
                <w:lang w:val="en-US" w:eastAsia="zh-CN"/>
              </w:rPr>
              <w:t>7.7</w:t>
            </w:r>
            <w:r>
              <w:rPr>
                <w:rFonts w:hint="default" w:ascii="Times New Roman" w:hAnsi="Times New Roman" w:cs="Times New Roman"/>
                <w:b w:val="0"/>
                <w:bCs w:val="0"/>
                <w:color w:val="auto"/>
                <w:sz w:val="24"/>
                <w:szCs w:val="24"/>
                <w:highlight w:val="none"/>
              </w:rPr>
              <w:t>mg/m³</w:t>
            </w:r>
            <w:r>
              <w:rPr>
                <w:rFonts w:hint="eastAsia" w:ascii="Times New Roman" w:hAnsi="Times New Roman" w:cs="Times New Roman"/>
                <w:b w:val="0"/>
                <w:bCs w:val="0"/>
                <w:color w:val="auto"/>
                <w:sz w:val="24"/>
                <w:szCs w:val="24"/>
                <w:highlight w:val="none"/>
                <w:lang w:eastAsia="zh-CN"/>
              </w:rPr>
              <w:t>。</w:t>
            </w:r>
          </w:p>
          <w:p w14:paraId="1798A472">
            <w:pPr>
              <w:widowControl/>
              <w:spacing w:line="360" w:lineRule="auto"/>
              <w:ind w:firstLine="480" w:firstLineChars="200"/>
              <w:rPr>
                <w:rFonts w:hint="default" w:ascii="Times New Roman" w:hAnsi="Times New Roman" w:cs="Times New Roman"/>
                <w:color w:val="auto"/>
                <w:sz w:val="24"/>
                <w:szCs w:val="32"/>
                <w:highlight w:val="none"/>
                <w:lang w:val="en-US"/>
              </w:rPr>
            </w:pPr>
            <w:r>
              <w:rPr>
                <w:rFonts w:hint="eastAsia" w:ascii="Times New Roman" w:hAnsi="Times New Roman" w:cs="Times New Roman"/>
                <w:color w:val="auto"/>
                <w:sz w:val="24"/>
                <w:szCs w:val="32"/>
                <w:highlight w:val="none"/>
                <w:lang w:val="en-US" w:eastAsia="zh-CN"/>
              </w:rPr>
              <w:t>激光切割粉尘</w:t>
            </w:r>
            <w:r>
              <w:rPr>
                <w:rFonts w:hint="eastAsia" w:cs="Times New Roman"/>
                <w:color w:val="auto"/>
                <w:sz w:val="24"/>
                <w:szCs w:val="32"/>
                <w:highlight w:val="none"/>
                <w:lang w:val="en-US" w:eastAsia="zh-CN"/>
              </w:rPr>
              <w:t>经滤尘袋</w:t>
            </w:r>
            <w:r>
              <w:rPr>
                <w:rFonts w:hint="default" w:ascii="Times New Roman" w:hAnsi="Times New Roman" w:cs="Times New Roman"/>
                <w:color w:val="auto"/>
                <w:sz w:val="24"/>
                <w:szCs w:val="32"/>
                <w:highlight w:val="none"/>
              </w:rPr>
              <w:t>处理后通过1根经15米高排气筒（DA002）排放。需要</w:t>
            </w:r>
            <w:r>
              <w:rPr>
                <w:rFonts w:hint="eastAsia" w:ascii="Times New Roman" w:hAnsi="Times New Roman" w:cs="Times New Roman"/>
                <w:color w:val="auto"/>
                <w:sz w:val="24"/>
                <w:szCs w:val="32"/>
                <w:highlight w:val="none"/>
                <w:lang w:val="en-US" w:eastAsia="zh-CN"/>
              </w:rPr>
              <w:t>激光切割</w:t>
            </w:r>
            <w:r>
              <w:rPr>
                <w:rFonts w:hint="default" w:ascii="Times New Roman" w:hAnsi="Times New Roman" w:cs="Times New Roman"/>
                <w:color w:val="auto"/>
                <w:sz w:val="24"/>
                <w:szCs w:val="32"/>
                <w:highlight w:val="none"/>
              </w:rPr>
              <w:t>处理的</w:t>
            </w:r>
            <w:r>
              <w:rPr>
                <w:rFonts w:hint="eastAsia" w:ascii="Times New Roman" w:hAnsi="Times New Roman" w:cs="Times New Roman"/>
                <w:color w:val="auto"/>
                <w:sz w:val="24"/>
                <w:szCs w:val="32"/>
                <w:highlight w:val="none"/>
                <w:lang w:val="en-US" w:eastAsia="zh-CN"/>
              </w:rPr>
              <w:t>材料</w:t>
            </w:r>
            <w:r>
              <w:rPr>
                <w:rFonts w:hint="default" w:ascii="Times New Roman" w:hAnsi="Times New Roman" w:cs="Times New Roman"/>
                <w:color w:val="auto"/>
                <w:sz w:val="24"/>
                <w:szCs w:val="32"/>
                <w:highlight w:val="none"/>
              </w:rPr>
              <w:t>为</w:t>
            </w:r>
            <w:r>
              <w:rPr>
                <w:rFonts w:hint="eastAsia" w:cs="Times New Roman"/>
                <w:color w:val="auto"/>
                <w:sz w:val="24"/>
                <w:szCs w:val="32"/>
                <w:highlight w:val="none"/>
                <w:lang w:val="en-US" w:eastAsia="zh-CN"/>
              </w:rPr>
              <w:t>45.2kg</w:t>
            </w:r>
            <w:r>
              <w:rPr>
                <w:rFonts w:hint="default" w:ascii="Times New Roman" w:hAnsi="Times New Roman" w:cs="Times New Roman"/>
                <w:color w:val="auto"/>
                <w:sz w:val="24"/>
                <w:szCs w:val="32"/>
                <w:highlight w:val="none"/>
              </w:rPr>
              <w:t>/a，有效工作时间按2</w:t>
            </w:r>
            <w:r>
              <w:rPr>
                <w:rFonts w:hint="eastAsia" w:ascii="Times New Roman" w:hAnsi="Times New Roman" w:cs="Times New Roman"/>
                <w:color w:val="auto"/>
                <w:sz w:val="24"/>
                <w:szCs w:val="32"/>
                <w:highlight w:val="none"/>
                <w:lang w:val="en-US" w:eastAsia="zh-CN"/>
              </w:rPr>
              <w:t>920</w:t>
            </w:r>
            <w:r>
              <w:rPr>
                <w:rFonts w:hint="default" w:ascii="Times New Roman" w:hAnsi="Times New Roman" w:cs="Times New Roman"/>
                <w:color w:val="auto"/>
                <w:sz w:val="24"/>
                <w:szCs w:val="32"/>
                <w:highlight w:val="none"/>
              </w:rPr>
              <w:t>h计，</w:t>
            </w:r>
            <w:r>
              <w:rPr>
                <w:rFonts w:hint="eastAsia" w:ascii="Times New Roman" w:hAnsi="Times New Roman" w:cs="Times New Roman"/>
                <w:color w:val="auto"/>
                <w:sz w:val="24"/>
                <w:szCs w:val="24"/>
                <w:highlight w:val="none"/>
                <w:lang w:val="en-US" w:eastAsia="zh-CN"/>
              </w:rPr>
              <w:t>除尘器</w:t>
            </w:r>
            <w:r>
              <w:rPr>
                <w:rFonts w:hint="eastAsia" w:ascii="Times New Roman" w:hAnsi="Times New Roman" w:cs="Times New Roman"/>
                <w:color w:val="auto"/>
                <w:sz w:val="24"/>
                <w:szCs w:val="32"/>
                <w:highlight w:val="none"/>
                <w:lang w:val="en-US" w:eastAsia="zh-CN"/>
              </w:rPr>
              <w:t>处理效率为“0”的情况下</w:t>
            </w:r>
            <w:r>
              <w:rPr>
                <w:rFonts w:hint="default" w:ascii="Times New Roman" w:hAnsi="Times New Roman" w:cs="Times New Roman"/>
                <w:color w:val="auto"/>
                <w:sz w:val="24"/>
                <w:szCs w:val="32"/>
                <w:highlight w:val="none"/>
              </w:rPr>
              <w:t>则粉尘</w:t>
            </w:r>
            <w:r>
              <w:rPr>
                <w:rFonts w:hint="eastAsia" w:ascii="Times New Roman" w:hAnsi="Times New Roman" w:cs="Times New Roman"/>
                <w:color w:val="auto"/>
                <w:sz w:val="24"/>
                <w:szCs w:val="32"/>
                <w:highlight w:val="none"/>
                <w:lang w:val="en-US" w:eastAsia="zh-CN"/>
              </w:rPr>
              <w:t>排放</w:t>
            </w:r>
            <w:r>
              <w:rPr>
                <w:rFonts w:hint="default" w:ascii="Times New Roman" w:hAnsi="Times New Roman" w:cs="Times New Roman"/>
                <w:color w:val="auto"/>
                <w:sz w:val="24"/>
                <w:szCs w:val="32"/>
                <w:highlight w:val="none"/>
              </w:rPr>
              <w:t>量</w:t>
            </w:r>
            <w:r>
              <w:rPr>
                <w:rFonts w:hint="eastAsia" w:ascii="Times New Roman" w:hAnsi="Times New Roman" w:cs="Times New Roman"/>
                <w:color w:val="auto"/>
                <w:sz w:val="24"/>
                <w:szCs w:val="32"/>
                <w:highlight w:val="none"/>
                <w:lang w:eastAsia="zh-CN"/>
              </w:rPr>
              <w:t>：</w:t>
            </w:r>
            <w:r>
              <w:rPr>
                <w:rFonts w:hint="eastAsia" w:eastAsia="宋体" w:cs="Times New Roman"/>
                <w:color w:val="auto"/>
                <w:spacing w:val="1"/>
                <w:sz w:val="24"/>
                <w:szCs w:val="24"/>
                <w:lang w:val="en-US" w:eastAsia="zh-CN"/>
              </w:rPr>
              <w:t>1.08</w:t>
            </w:r>
            <w:r>
              <w:rPr>
                <w:rFonts w:ascii="Times New Roman" w:hAnsi="Times New Roman" w:eastAsia="Times New Roman" w:cs="Times New Roman"/>
                <w:color w:val="auto"/>
                <w:sz w:val="24"/>
                <w:szCs w:val="24"/>
              </w:rPr>
              <w:t>g</w:t>
            </w:r>
            <w:r>
              <w:rPr>
                <w:rFonts w:ascii="Times New Roman" w:hAnsi="Times New Roman" w:eastAsia="Times New Roman" w:cs="Times New Roman"/>
                <w:color w:val="auto"/>
                <w:spacing w:val="1"/>
                <w:sz w:val="24"/>
                <w:szCs w:val="24"/>
              </w:rPr>
              <w:t>/a</w:t>
            </w:r>
            <w:r>
              <w:rPr>
                <w:rFonts w:hint="default" w:ascii="Times New Roman" w:hAnsi="Times New Roman" w:cs="Times New Roman"/>
                <w:color w:val="auto"/>
                <w:sz w:val="24"/>
                <w:szCs w:val="32"/>
                <w:highlight w:val="none"/>
              </w:rPr>
              <w:t>，</w:t>
            </w:r>
            <w:r>
              <w:rPr>
                <w:rFonts w:hint="eastAsia" w:ascii="Times New Roman" w:hAnsi="Times New Roman" w:cs="Times New Roman"/>
                <w:color w:val="auto"/>
                <w:sz w:val="24"/>
                <w:szCs w:val="32"/>
                <w:highlight w:val="none"/>
                <w:lang w:val="en-US" w:eastAsia="zh-CN"/>
              </w:rPr>
              <w:t>排放</w:t>
            </w:r>
            <w:r>
              <w:rPr>
                <w:rFonts w:hint="default" w:ascii="Times New Roman" w:hAnsi="Times New Roman" w:cs="Times New Roman"/>
                <w:color w:val="auto"/>
                <w:sz w:val="24"/>
                <w:szCs w:val="32"/>
                <w:highlight w:val="none"/>
              </w:rPr>
              <w:t>浓度为</w:t>
            </w:r>
            <w:r>
              <w:rPr>
                <w:rFonts w:hint="eastAsia" w:eastAsia="宋体" w:cs="Times New Roman"/>
                <w:color w:val="auto"/>
                <w:spacing w:val="1"/>
                <w:sz w:val="24"/>
                <w:szCs w:val="24"/>
                <w:lang w:val="en-US" w:eastAsia="zh-CN"/>
              </w:rPr>
              <w:t>0.</w:t>
            </w:r>
            <w:r>
              <w:rPr>
                <w:rFonts w:hint="eastAsia" w:cs="Times New Roman"/>
                <w:color w:val="auto"/>
                <w:spacing w:val="1"/>
                <w:sz w:val="24"/>
                <w:szCs w:val="24"/>
                <w:lang w:val="en-US" w:eastAsia="zh-CN"/>
              </w:rPr>
              <w:t>123</w:t>
            </w:r>
            <w:r>
              <w:rPr>
                <w:rFonts w:hint="eastAsia" w:eastAsia="宋体" w:cs="Times New Roman"/>
                <w:color w:val="auto"/>
                <w:spacing w:val="1"/>
                <w:sz w:val="24"/>
                <w:szCs w:val="24"/>
                <w:lang w:val="en-US" w:eastAsia="zh-CN"/>
              </w:rPr>
              <w:t>m</w:t>
            </w:r>
            <w:r>
              <w:rPr>
                <w:rFonts w:hint="eastAsia" w:eastAsia="宋体" w:cs="Times New Roman"/>
                <w:color w:val="auto"/>
                <w:spacing w:val="1"/>
                <w:sz w:val="24"/>
                <w:szCs w:val="24"/>
                <w:vertAlign w:val="baseline"/>
                <w:lang w:val="en-US" w:eastAsia="zh-CN"/>
              </w:rPr>
              <w:t>g/h。</w:t>
            </w:r>
          </w:p>
          <w:p w14:paraId="3E3E6A66">
            <w:pPr>
              <w:widowControl/>
              <w:spacing w:line="360" w:lineRule="auto"/>
              <w:ind w:firstLine="480" w:firstLineChars="200"/>
              <w:rPr>
                <w:rFonts w:hint="default" w:ascii="Times New Roman" w:hAnsi="Times New Roman" w:cs="Times New Roman"/>
                <w:color w:val="auto"/>
                <w:sz w:val="24"/>
                <w:szCs w:val="32"/>
                <w:highlight w:val="none"/>
              </w:rPr>
            </w:pPr>
            <w:r>
              <w:rPr>
                <w:rFonts w:hint="default" w:ascii="Times New Roman" w:hAnsi="Times New Roman" w:cs="Times New Roman"/>
                <w:color w:val="auto"/>
                <w:sz w:val="24"/>
                <w:szCs w:val="32"/>
                <w:highlight w:val="none"/>
              </w:rPr>
              <w:t>非正常工况废气污染物产生及排放情况详见表4-</w:t>
            </w:r>
            <w:r>
              <w:rPr>
                <w:rFonts w:hint="eastAsia" w:ascii="Times New Roman" w:hAnsi="Times New Roman" w:cs="Times New Roman"/>
                <w:color w:val="auto"/>
                <w:sz w:val="24"/>
                <w:szCs w:val="32"/>
                <w:highlight w:val="none"/>
                <w:lang w:val="en-US" w:eastAsia="zh-CN"/>
              </w:rPr>
              <w:t>3</w:t>
            </w:r>
            <w:r>
              <w:rPr>
                <w:rFonts w:hint="default" w:ascii="Times New Roman" w:hAnsi="Times New Roman" w:cs="Times New Roman"/>
                <w:color w:val="auto"/>
                <w:sz w:val="24"/>
                <w:szCs w:val="32"/>
                <w:highlight w:val="none"/>
              </w:rPr>
              <w:t>。</w:t>
            </w:r>
          </w:p>
          <w:p w14:paraId="6ED80A70">
            <w:pPr>
              <w:pStyle w:val="8"/>
              <w:keepNext w:val="0"/>
              <w:numPr>
                <w:ilvl w:val="2"/>
                <w:numId w:val="0"/>
              </w:numPr>
              <w:tabs>
                <w:tab w:val="left" w:pos="851"/>
              </w:tabs>
              <w:spacing w:before="0" w:beforeLines="0" w:after="0" w:afterLines="0" w:line="240" w:lineRule="auto"/>
              <w:jc w:val="center"/>
              <w:textAlignment w:val="bottom"/>
              <w:rPr>
                <w:rFonts w:hint="default" w:ascii="Times New Roman" w:hAnsi="Times New Roman" w:cs="Times New Roman"/>
                <w:b/>
                <w:bCs/>
                <w:color w:val="auto"/>
                <w:sz w:val="21"/>
                <w:szCs w:val="22"/>
                <w:highlight w:val="none"/>
              </w:rPr>
            </w:pPr>
            <w:r>
              <w:rPr>
                <w:rFonts w:hint="default" w:ascii="Times New Roman" w:hAnsi="Times New Roman" w:cs="Times New Roman"/>
                <w:b/>
                <w:bCs/>
                <w:color w:val="auto"/>
                <w:sz w:val="21"/>
                <w:szCs w:val="22"/>
                <w:highlight w:val="none"/>
              </w:rPr>
              <w:t>表4-</w:t>
            </w:r>
            <w:r>
              <w:rPr>
                <w:rFonts w:hint="eastAsia" w:ascii="Times New Roman" w:hAnsi="Times New Roman" w:cs="Times New Roman"/>
                <w:b/>
                <w:bCs/>
                <w:color w:val="auto"/>
                <w:sz w:val="21"/>
                <w:szCs w:val="22"/>
                <w:highlight w:val="none"/>
                <w:lang w:val="en-US" w:eastAsia="zh-CN"/>
              </w:rPr>
              <w:t>3</w:t>
            </w:r>
            <w:r>
              <w:rPr>
                <w:rFonts w:hint="default" w:ascii="Times New Roman" w:hAnsi="Times New Roman" w:cs="Times New Roman"/>
                <w:b/>
                <w:bCs/>
                <w:color w:val="auto"/>
                <w:sz w:val="21"/>
                <w:szCs w:val="22"/>
                <w:highlight w:val="none"/>
              </w:rPr>
              <w:t xml:space="preserve">   非正常工况废气污染物产生及排放情况</w:t>
            </w:r>
          </w:p>
          <w:tbl>
            <w:tblPr>
              <w:tblStyle w:val="29"/>
              <w:tblW w:w="499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7"/>
              <w:gridCol w:w="893"/>
              <w:gridCol w:w="1027"/>
              <w:gridCol w:w="840"/>
              <w:gridCol w:w="853"/>
              <w:gridCol w:w="1307"/>
              <w:gridCol w:w="2055"/>
            </w:tblGrid>
            <w:tr w14:paraId="6732E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1" w:type="pct"/>
                  <w:noWrap w:val="0"/>
                  <w:vAlign w:val="center"/>
                </w:tcPr>
                <w:p w14:paraId="1D12E0A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排放源</w:t>
                  </w:r>
                </w:p>
              </w:tc>
              <w:tc>
                <w:tcPr>
                  <w:tcW w:w="575" w:type="pct"/>
                  <w:noWrap w:val="0"/>
                  <w:vAlign w:val="center"/>
                </w:tcPr>
                <w:p w14:paraId="68E20D9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662" w:type="pct"/>
                  <w:noWrap w:val="0"/>
                  <w:vAlign w:val="center"/>
                </w:tcPr>
                <w:p w14:paraId="0977871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排放速率kg/h</w:t>
                  </w:r>
                </w:p>
              </w:tc>
              <w:tc>
                <w:tcPr>
                  <w:tcW w:w="541" w:type="pct"/>
                  <w:noWrap w:val="0"/>
                  <w:vAlign w:val="center"/>
                </w:tcPr>
                <w:p w14:paraId="0C8C66F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排放浓度mg/m³</w:t>
                  </w:r>
                </w:p>
              </w:tc>
              <w:tc>
                <w:tcPr>
                  <w:tcW w:w="550" w:type="pct"/>
                  <w:noWrap w:val="0"/>
                  <w:vAlign w:val="center"/>
                </w:tcPr>
                <w:p w14:paraId="7C86D05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持续</w:t>
                  </w:r>
                </w:p>
                <w:p w14:paraId="1227E06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时间</w:t>
                  </w:r>
                </w:p>
              </w:tc>
              <w:tc>
                <w:tcPr>
                  <w:tcW w:w="843" w:type="pct"/>
                  <w:noWrap w:val="0"/>
                  <w:vAlign w:val="center"/>
                </w:tcPr>
                <w:p w14:paraId="416C893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非正常工况</w:t>
                  </w:r>
                </w:p>
              </w:tc>
              <w:tc>
                <w:tcPr>
                  <w:tcW w:w="1325" w:type="pct"/>
                  <w:noWrap w:val="0"/>
                  <w:vAlign w:val="center"/>
                </w:tcPr>
                <w:p w14:paraId="6CC856A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应对措施</w:t>
                  </w:r>
                </w:p>
              </w:tc>
            </w:tr>
            <w:tr w14:paraId="7D4C5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01" w:type="pct"/>
                  <w:noWrap w:val="0"/>
                  <w:vAlign w:val="center"/>
                </w:tcPr>
                <w:p w14:paraId="10BD6128">
                  <w:pPr>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单质碳颗粒</w:t>
                  </w:r>
                </w:p>
              </w:tc>
              <w:tc>
                <w:tcPr>
                  <w:tcW w:w="575" w:type="pct"/>
                  <w:noWrap w:val="0"/>
                  <w:vAlign w:val="center"/>
                </w:tcPr>
                <w:p w14:paraId="61C6F14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662" w:type="pct"/>
                  <w:noWrap w:val="0"/>
                  <w:vAlign w:val="center"/>
                </w:tcPr>
                <w:p w14:paraId="493C784E">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 w:val="24"/>
                      <w:szCs w:val="32"/>
                      <w:highlight w:val="none"/>
                      <w:lang w:val="en-US" w:eastAsia="zh-CN"/>
                    </w:rPr>
                    <w:t>0.077</w:t>
                  </w:r>
                </w:p>
              </w:tc>
              <w:tc>
                <w:tcPr>
                  <w:tcW w:w="541" w:type="pct"/>
                  <w:noWrap w:val="0"/>
                  <w:vAlign w:val="center"/>
                </w:tcPr>
                <w:p w14:paraId="34F816F5">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7.7</w:t>
                  </w:r>
                </w:p>
              </w:tc>
              <w:tc>
                <w:tcPr>
                  <w:tcW w:w="550" w:type="pct"/>
                  <w:noWrap w:val="0"/>
                  <w:vAlign w:val="center"/>
                </w:tcPr>
                <w:p w14:paraId="67390E5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1h</w:t>
                  </w:r>
                </w:p>
              </w:tc>
              <w:tc>
                <w:tcPr>
                  <w:tcW w:w="843" w:type="pct"/>
                  <w:noWrap w:val="0"/>
                  <w:vAlign w:val="center"/>
                </w:tcPr>
                <w:p w14:paraId="44D95F1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布袋破损</w:t>
                  </w:r>
                </w:p>
              </w:tc>
              <w:tc>
                <w:tcPr>
                  <w:tcW w:w="1325" w:type="pct"/>
                  <w:noWrap w:val="0"/>
                  <w:vAlign w:val="center"/>
                </w:tcPr>
                <w:p w14:paraId="359D482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日常维护、及时检修、定期更换布袋</w:t>
                  </w:r>
                </w:p>
              </w:tc>
            </w:tr>
            <w:tr w14:paraId="6B83D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501" w:type="pct"/>
                  <w:noWrap w:val="0"/>
                  <w:vAlign w:val="center"/>
                </w:tcPr>
                <w:p w14:paraId="3907BF87">
                  <w:pPr>
                    <w:jc w:val="center"/>
                    <w:rPr>
                      <w:rFonts w:hint="default" w:ascii="Times New Roman" w:hAnsi="Times New Roman" w:cs="Times New Roman"/>
                      <w:color w:val="auto"/>
                      <w:szCs w:val="21"/>
                      <w:highlight w:val="none"/>
                    </w:rPr>
                  </w:pPr>
                  <w:r>
                    <w:rPr>
                      <w:rFonts w:hint="eastAsia" w:ascii="Times New Roman" w:hAnsi="Times New Roman" w:cs="Times New Roman"/>
                      <w:color w:val="auto"/>
                      <w:sz w:val="21"/>
                      <w:szCs w:val="24"/>
                      <w:highlight w:val="none"/>
                      <w:lang w:val="en-US" w:eastAsia="zh-CN"/>
                    </w:rPr>
                    <w:t>激光切割粉尘</w:t>
                  </w:r>
                </w:p>
              </w:tc>
              <w:tc>
                <w:tcPr>
                  <w:tcW w:w="575" w:type="pct"/>
                  <w:noWrap w:val="0"/>
                  <w:vAlign w:val="center"/>
                </w:tcPr>
                <w:p w14:paraId="59CCFEE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662" w:type="pct"/>
                  <w:noWrap w:val="0"/>
                  <w:vAlign w:val="center"/>
                </w:tcPr>
                <w:p w14:paraId="144015CD">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0.123mg/h</w:t>
                  </w:r>
                </w:p>
              </w:tc>
              <w:tc>
                <w:tcPr>
                  <w:tcW w:w="541" w:type="pct"/>
                  <w:noWrap w:val="0"/>
                  <w:vAlign w:val="center"/>
                </w:tcPr>
                <w:p w14:paraId="55D350B6">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50" w:type="pct"/>
                  <w:noWrap w:val="0"/>
                  <w:vAlign w:val="center"/>
                </w:tcPr>
                <w:p w14:paraId="0F358B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1h</w:t>
                  </w:r>
                </w:p>
              </w:tc>
              <w:tc>
                <w:tcPr>
                  <w:tcW w:w="843" w:type="pct"/>
                  <w:noWrap w:val="0"/>
                  <w:vAlign w:val="center"/>
                </w:tcPr>
                <w:p w14:paraId="205E1A21">
                  <w:pPr>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滤尘</w:t>
                  </w:r>
                  <w:r>
                    <w:rPr>
                      <w:rFonts w:hint="default" w:ascii="Times New Roman" w:hAnsi="Times New Roman" w:cs="Times New Roman"/>
                      <w:color w:val="auto"/>
                      <w:szCs w:val="21"/>
                      <w:highlight w:val="none"/>
                    </w:rPr>
                    <w:t>袋破损</w:t>
                  </w:r>
                </w:p>
              </w:tc>
              <w:tc>
                <w:tcPr>
                  <w:tcW w:w="1325" w:type="pct"/>
                  <w:noWrap w:val="0"/>
                  <w:vAlign w:val="center"/>
                </w:tcPr>
                <w:p w14:paraId="63937C4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日常维护、及时检修、定期更换布袋</w:t>
                  </w:r>
                </w:p>
              </w:tc>
            </w:tr>
          </w:tbl>
          <w:p w14:paraId="5DDC448D">
            <w:pPr>
              <w:pStyle w:val="13"/>
              <w:spacing w:before="0" w:after="0" w:line="360" w:lineRule="auto"/>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非正常工况下，建设单位要定时检修，保证环保设备的正常运营。为了进一步减少非正常工况废气污染物排放，拟采取以下措施：</w:t>
            </w:r>
          </w:p>
          <w:p w14:paraId="7FD80540">
            <w:pPr>
              <w:pStyle w:val="13"/>
              <w:spacing w:before="0" w:after="0" w:line="360" w:lineRule="auto"/>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①双回路电源，防止突然断电引起非正常排放。</w:t>
            </w:r>
          </w:p>
          <w:p w14:paraId="0EBCF18F">
            <w:pPr>
              <w:pStyle w:val="13"/>
              <w:spacing w:before="0" w:after="0" w:line="360" w:lineRule="auto"/>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②定期检查、维修、维护各种设备，尤其是各种动力泵、各种风机等。</w:t>
            </w:r>
          </w:p>
          <w:p w14:paraId="4A6F860A">
            <w:pPr>
              <w:pStyle w:val="13"/>
              <w:spacing w:before="0" w:after="0" w:line="360" w:lineRule="auto"/>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③加强管理和培训，防止因操作失误或玩忽职守引起非正常排放。</w:t>
            </w:r>
          </w:p>
          <w:p w14:paraId="035391B0">
            <w:pPr>
              <w:pStyle w:val="76"/>
              <w:keepNext w:val="0"/>
              <w:keepLines w:val="0"/>
              <w:pageBreakBefore w:val="0"/>
              <w:widowControl w:val="0"/>
              <w:kinsoku/>
              <w:wordWrap/>
              <w:overflowPunct/>
              <w:topLinePunct w:val="0"/>
              <w:autoSpaceDE/>
              <w:autoSpaceDN/>
              <w:bidi w:val="0"/>
              <w:spacing w:line="360" w:lineRule="auto"/>
              <w:ind w:left="0" w:leftChars="0" w:right="0" w:firstLine="480" w:firstLineChars="200"/>
              <w:textAlignment w:val="auto"/>
              <w:rPr>
                <w:color w:val="auto"/>
                <w:spacing w:val="-3"/>
                <w:sz w:val="24"/>
                <w:szCs w:val="24"/>
              </w:rPr>
            </w:pPr>
            <w:r>
              <w:rPr>
                <w:rFonts w:hint="default" w:ascii="Times New Roman" w:hAnsi="Times New Roman" w:cs="Times New Roman"/>
                <w:color w:val="auto"/>
                <w:sz w:val="24"/>
                <w:szCs w:val="24"/>
                <w:highlight w:val="none"/>
              </w:rPr>
              <w:t>④加强环境管理，在冬季等不利气象条件下，停产检修。</w:t>
            </w:r>
          </w:p>
          <w:p w14:paraId="49C53948">
            <w:pPr>
              <w:pStyle w:val="76"/>
              <w:keepNext w:val="0"/>
              <w:keepLines w:val="0"/>
              <w:pageBreakBefore w:val="0"/>
              <w:widowControl w:val="0"/>
              <w:kinsoku/>
              <w:wordWrap/>
              <w:overflowPunct/>
              <w:topLinePunct w:val="0"/>
              <w:autoSpaceDE/>
              <w:autoSpaceDN/>
              <w:bidi w:val="0"/>
              <w:spacing w:line="360" w:lineRule="auto"/>
              <w:ind w:left="0" w:leftChars="0" w:right="0" w:firstLine="468" w:firstLineChars="200"/>
              <w:textAlignment w:val="auto"/>
              <w:rPr>
                <w:color w:val="auto"/>
                <w:sz w:val="24"/>
                <w:szCs w:val="24"/>
              </w:rPr>
            </w:pPr>
            <w:r>
              <w:rPr>
                <w:rFonts w:hint="default" w:ascii="Times New Roman" w:hAnsi="Times New Roman" w:cs="Times New Roman"/>
                <w:color w:val="auto"/>
                <w:spacing w:val="-3"/>
                <w:sz w:val="24"/>
                <w:szCs w:val="24"/>
              </w:rPr>
              <w:t>（</w:t>
            </w:r>
            <w:r>
              <w:rPr>
                <w:rFonts w:hint="eastAsia" w:ascii="Times New Roman" w:hAnsi="Times New Roman" w:cs="Times New Roman"/>
                <w:color w:val="auto"/>
                <w:spacing w:val="-3"/>
                <w:sz w:val="24"/>
                <w:szCs w:val="24"/>
                <w:lang w:val="en-US" w:eastAsia="zh-CN"/>
              </w:rPr>
              <w:t>9</w:t>
            </w:r>
            <w:r>
              <w:rPr>
                <w:rFonts w:hint="default" w:ascii="Times New Roman" w:hAnsi="Times New Roman" w:cs="Times New Roman"/>
                <w:color w:val="auto"/>
                <w:spacing w:val="-3"/>
                <w:sz w:val="24"/>
                <w:szCs w:val="24"/>
              </w:rPr>
              <w:t>）</w:t>
            </w:r>
            <w:r>
              <w:rPr>
                <w:color w:val="auto"/>
                <w:spacing w:val="-3"/>
                <w:sz w:val="24"/>
                <w:szCs w:val="24"/>
              </w:rPr>
              <w:t>废气监测制度</w:t>
            </w:r>
          </w:p>
          <w:p w14:paraId="01BF811E">
            <w:pPr>
              <w:pStyle w:val="76"/>
              <w:keepNext w:val="0"/>
              <w:keepLines w:val="0"/>
              <w:pageBreakBefore w:val="0"/>
              <w:widowControl w:val="0"/>
              <w:kinsoku/>
              <w:wordWrap/>
              <w:overflowPunct/>
              <w:topLinePunct w:val="0"/>
              <w:autoSpaceDE/>
              <w:autoSpaceDN/>
              <w:bidi w:val="0"/>
              <w:spacing w:line="360" w:lineRule="auto"/>
              <w:ind w:left="0" w:leftChars="0" w:right="0" w:firstLine="480" w:firstLineChars="200"/>
              <w:textAlignment w:val="auto"/>
              <w:rPr>
                <w:color w:val="auto"/>
                <w:sz w:val="24"/>
                <w:szCs w:val="24"/>
              </w:rPr>
            </w:pPr>
            <w:r>
              <w:rPr>
                <w:color w:val="auto"/>
                <w:sz w:val="24"/>
                <w:szCs w:val="24"/>
              </w:rPr>
              <w:t>根据项目生产特点和主要污染物的排放情况，按照《排污单位自行监测</w:t>
            </w:r>
            <w:r>
              <w:rPr>
                <w:color w:val="auto"/>
                <w:spacing w:val="1"/>
                <w:sz w:val="24"/>
                <w:szCs w:val="24"/>
              </w:rPr>
              <w:t>技术指南总则》（</w:t>
            </w:r>
            <w:r>
              <w:rPr>
                <w:rFonts w:ascii="Times New Roman" w:hAnsi="Times New Roman" w:eastAsia="Times New Roman" w:cs="Times New Roman"/>
                <w:color w:val="auto"/>
                <w:sz w:val="24"/>
                <w:szCs w:val="24"/>
              </w:rPr>
              <w:t>HJ</w:t>
            </w:r>
            <w:r>
              <w:rPr>
                <w:rFonts w:ascii="Times New Roman" w:hAnsi="Times New Roman" w:eastAsia="Times New Roman" w:cs="Times New Roman"/>
                <w:color w:val="auto"/>
                <w:spacing w:val="1"/>
                <w:sz w:val="24"/>
                <w:szCs w:val="24"/>
              </w:rPr>
              <w:t>819-2017</w:t>
            </w:r>
            <w:r>
              <w:rPr>
                <w:color w:val="auto"/>
                <w:spacing w:val="1"/>
                <w:sz w:val="24"/>
                <w:szCs w:val="24"/>
              </w:rPr>
              <w:t>）、《排污许可证申请与核发</w:t>
            </w:r>
            <w:r>
              <w:rPr>
                <w:color w:val="auto"/>
                <w:sz w:val="24"/>
                <w:szCs w:val="24"/>
              </w:rPr>
              <w:t>技术规范石墨</w:t>
            </w:r>
            <w:r>
              <w:rPr>
                <w:color w:val="auto"/>
                <w:spacing w:val="-2"/>
                <w:sz w:val="24"/>
                <w:szCs w:val="24"/>
              </w:rPr>
              <w:t>及其他非金属矿物制品制造》（</w:t>
            </w:r>
            <w:r>
              <w:rPr>
                <w:rFonts w:ascii="Times New Roman" w:hAnsi="Times New Roman" w:eastAsia="Times New Roman" w:cs="Times New Roman"/>
                <w:color w:val="auto"/>
                <w:spacing w:val="-2"/>
                <w:sz w:val="24"/>
                <w:szCs w:val="24"/>
              </w:rPr>
              <w:t>HJ1119-202</w:t>
            </w:r>
            <w:r>
              <w:rPr>
                <w:rFonts w:ascii="Times New Roman" w:hAnsi="Times New Roman" w:eastAsia="Times New Roman" w:cs="Times New Roman"/>
                <w:color w:val="auto"/>
                <w:spacing w:val="-3"/>
                <w:sz w:val="24"/>
                <w:szCs w:val="24"/>
              </w:rPr>
              <w:t>0</w:t>
            </w:r>
            <w:r>
              <w:rPr>
                <w:color w:val="auto"/>
                <w:spacing w:val="-3"/>
                <w:sz w:val="24"/>
                <w:szCs w:val="24"/>
              </w:rPr>
              <w:t>）</w:t>
            </w:r>
            <w:r>
              <w:rPr>
                <w:color w:val="auto"/>
                <w:spacing w:val="-1"/>
                <w:sz w:val="24"/>
                <w:szCs w:val="24"/>
              </w:rPr>
              <w:t>制定监测计划，见下表。</w:t>
            </w:r>
          </w:p>
          <w:p w14:paraId="7C51A9C9">
            <w:pPr>
              <w:pStyle w:val="8"/>
              <w:keepNext w:val="0"/>
              <w:numPr>
                <w:ilvl w:val="2"/>
                <w:numId w:val="0"/>
              </w:numPr>
              <w:tabs>
                <w:tab w:val="left" w:pos="851"/>
              </w:tabs>
              <w:spacing w:before="0" w:beforeLines="0" w:after="0" w:afterLines="0" w:line="240" w:lineRule="auto"/>
              <w:jc w:val="center"/>
              <w:textAlignment w:val="bottom"/>
              <w:rPr>
                <w:rFonts w:hint="default" w:ascii="Times New Roman" w:hAnsi="Times New Roman" w:cs="Times New Roman"/>
                <w:color w:val="auto"/>
                <w:sz w:val="21"/>
                <w:szCs w:val="22"/>
                <w:highlight w:val="none"/>
              </w:rPr>
            </w:pPr>
            <w:r>
              <w:rPr>
                <w:rFonts w:hint="default" w:ascii="Times New Roman" w:hAnsi="Times New Roman" w:cs="Times New Roman"/>
                <w:color w:val="auto"/>
                <w:sz w:val="21"/>
                <w:szCs w:val="22"/>
                <w:highlight w:val="none"/>
              </w:rPr>
              <w:t>表4-</w:t>
            </w:r>
            <w:r>
              <w:rPr>
                <w:rFonts w:hint="eastAsia" w:cs="Times New Roman"/>
                <w:color w:val="auto"/>
                <w:sz w:val="21"/>
                <w:szCs w:val="22"/>
                <w:highlight w:val="none"/>
                <w:lang w:val="en-US" w:eastAsia="zh-CN"/>
              </w:rPr>
              <w:t xml:space="preserve">4 </w:t>
            </w:r>
            <w:r>
              <w:rPr>
                <w:rFonts w:hint="default" w:ascii="Times New Roman" w:hAnsi="Times New Roman" w:cs="Times New Roman"/>
                <w:color w:val="auto"/>
                <w:sz w:val="21"/>
                <w:szCs w:val="22"/>
                <w:highlight w:val="none"/>
              </w:rPr>
              <w:t>废气监测计划一览表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237"/>
              <w:gridCol w:w="1108"/>
              <w:gridCol w:w="4040"/>
            </w:tblGrid>
            <w:tr w14:paraId="45508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5" w:type="pct"/>
                  <w:tcBorders>
                    <w:bottom w:val="single" w:color="auto" w:sz="12" w:space="0"/>
                  </w:tcBorders>
                  <w:noWrap w:val="0"/>
                  <w:vAlign w:val="center"/>
                </w:tcPr>
                <w:p w14:paraId="57A56DD9">
                  <w:pPr>
                    <w:topLinePunct/>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监测位置</w:t>
                  </w:r>
                </w:p>
              </w:tc>
              <w:tc>
                <w:tcPr>
                  <w:tcW w:w="797" w:type="pct"/>
                  <w:tcBorders>
                    <w:bottom w:val="single" w:color="auto" w:sz="12" w:space="0"/>
                  </w:tcBorders>
                  <w:noWrap w:val="0"/>
                  <w:vAlign w:val="center"/>
                </w:tcPr>
                <w:p w14:paraId="26411BDA">
                  <w:pPr>
                    <w:topLinePunct/>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监测因子</w:t>
                  </w:r>
                </w:p>
              </w:tc>
              <w:tc>
                <w:tcPr>
                  <w:tcW w:w="714" w:type="pct"/>
                  <w:tcBorders>
                    <w:bottom w:val="single" w:color="auto" w:sz="12" w:space="0"/>
                  </w:tcBorders>
                  <w:noWrap w:val="0"/>
                  <w:vAlign w:val="center"/>
                </w:tcPr>
                <w:p w14:paraId="3699897A">
                  <w:pPr>
                    <w:topLinePunct/>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监测频次</w:t>
                  </w:r>
                </w:p>
              </w:tc>
              <w:tc>
                <w:tcPr>
                  <w:tcW w:w="2603" w:type="pct"/>
                  <w:tcBorders>
                    <w:bottom w:val="single" w:color="auto" w:sz="12" w:space="0"/>
                  </w:tcBorders>
                  <w:noWrap w:val="0"/>
                  <w:vAlign w:val="center"/>
                </w:tcPr>
                <w:p w14:paraId="7B00D8CE">
                  <w:pPr>
                    <w:topLinePunct/>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执行标准</w:t>
                  </w:r>
                </w:p>
              </w:tc>
            </w:tr>
            <w:tr w14:paraId="7FE57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5" w:type="pct"/>
                  <w:noWrap w:val="0"/>
                  <w:vAlign w:val="center"/>
                </w:tcPr>
                <w:p w14:paraId="1B16BD3E">
                  <w:pPr>
                    <w:topLinePun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厂界上风向1个点、下风向3个点</w:t>
                  </w:r>
                </w:p>
              </w:tc>
              <w:tc>
                <w:tcPr>
                  <w:tcW w:w="797" w:type="pct"/>
                  <w:noWrap w:val="0"/>
                  <w:vAlign w:val="center"/>
                </w:tcPr>
                <w:p w14:paraId="1C656B67">
                  <w:pPr>
                    <w:topLinePun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714" w:type="pct"/>
                  <w:noWrap w:val="0"/>
                  <w:vAlign w:val="center"/>
                </w:tcPr>
                <w:p w14:paraId="4E076B0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1次/年</w:t>
                  </w:r>
                </w:p>
              </w:tc>
              <w:tc>
                <w:tcPr>
                  <w:tcW w:w="2603" w:type="pct"/>
                  <w:noWrap w:val="0"/>
                  <w:vAlign w:val="center"/>
                </w:tcPr>
                <w:p w14:paraId="519C873F">
                  <w:pPr>
                    <w:topLinePunct/>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《大气污染物综合排放标准》（</w:t>
                  </w:r>
                  <w:r>
                    <w:rPr>
                      <w:rFonts w:hint="default" w:ascii="Times New Roman" w:hAnsi="Times New Roman" w:eastAsia="Times New Roman" w:cs="Times New Roman"/>
                      <w:color w:val="auto"/>
                      <w:highlight w:val="none"/>
                    </w:rPr>
                    <w:t>GB16297-1996</w:t>
                  </w:r>
                  <w:r>
                    <w:rPr>
                      <w:rFonts w:hint="default" w:ascii="Times New Roman" w:hAnsi="Times New Roman" w:cs="Times New Roman"/>
                      <w:color w:val="auto"/>
                      <w:highlight w:val="none"/>
                    </w:rPr>
                    <w:t>）表</w:t>
                  </w:r>
                  <w:r>
                    <w:rPr>
                      <w:rFonts w:hint="default" w:ascii="Times New Roman" w:hAnsi="Times New Roman" w:eastAsia="Times New Roman" w:cs="Times New Roman"/>
                      <w:color w:val="auto"/>
                      <w:highlight w:val="none"/>
                    </w:rPr>
                    <w:t>2</w:t>
                  </w:r>
                  <w:r>
                    <w:rPr>
                      <w:rFonts w:hint="default" w:ascii="Times New Roman" w:hAnsi="Times New Roman" w:cs="Times New Roman"/>
                      <w:color w:val="auto"/>
                      <w:highlight w:val="none"/>
                    </w:rPr>
                    <w:t>中相关限值要求</w:t>
                  </w:r>
                  <w:r>
                    <w:rPr>
                      <w:rFonts w:hint="default" w:ascii="Times New Roman" w:hAnsi="Times New Roman" w:cs="Times New Roman"/>
                      <w:color w:val="auto"/>
                      <w:szCs w:val="21"/>
                      <w:highlight w:val="none"/>
                    </w:rPr>
                    <w:t>（颗粒物：1.0mg/m³）</w:t>
                  </w:r>
                </w:p>
              </w:tc>
            </w:tr>
          </w:tbl>
          <w:p w14:paraId="147BAE49">
            <w:pPr>
              <w:pStyle w:val="8"/>
              <w:pageBreakBefore w:val="0"/>
              <w:kinsoku/>
              <w:wordWrap/>
              <w:overflowPunct/>
              <w:topLinePunct w:val="0"/>
              <w:autoSpaceDE/>
              <w:autoSpaceDN/>
              <w:bidi w:val="0"/>
              <w:spacing w:beforeLines="0" w:afterLines="0" w:line="360" w:lineRule="auto"/>
              <w:ind w:right="0"/>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2.废水</w:t>
            </w:r>
          </w:p>
          <w:p w14:paraId="21E0822F">
            <w:pPr>
              <w:pageBreakBefore w:val="0"/>
              <w:kinsoku/>
              <w:wordWrap/>
              <w:overflowPunct/>
              <w:topLinePunct w:val="0"/>
              <w:autoSpaceDE/>
              <w:autoSpaceDN/>
              <w:bidi w:val="0"/>
              <w:spacing w:line="360" w:lineRule="auto"/>
              <w:ind w:right="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2.1环境影响分析</w:t>
            </w:r>
          </w:p>
          <w:p w14:paraId="148FCC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本项目污水排放主要为生活污水，生活污水排放量约</w:t>
            </w:r>
            <w:r>
              <w:rPr>
                <w:rFonts w:hint="eastAsia" w:cs="Times New Roman"/>
                <w:color w:val="auto"/>
                <w:sz w:val="24"/>
                <w:szCs w:val="24"/>
                <w:highlight w:val="none"/>
                <w:lang w:val="en-US" w:eastAsia="zh-CN"/>
              </w:rPr>
              <w:t>998.2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/a，主要污染物为COD、</w:t>
            </w:r>
            <w:r>
              <w:rPr>
                <w:rFonts w:hint="eastAsia"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OD、NH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-N等，项目</w:t>
            </w:r>
            <w:r>
              <w:rPr>
                <w:rFonts w:hint="eastAsia" w:cs="Times New Roman"/>
                <w:color w:val="auto"/>
                <w:sz w:val="24"/>
                <w:szCs w:val="24"/>
                <w:highlight w:val="none"/>
                <w:lang w:val="en-US" w:eastAsia="zh-CN"/>
              </w:rPr>
              <w:t>产生的</w:t>
            </w: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经隔油池处理后</w:t>
            </w:r>
            <w:r>
              <w:rPr>
                <w:rFonts w:hint="default" w:ascii="Times New Roman" w:hAnsi="Times New Roman" w:eastAsia="宋体" w:cs="Times New Roman"/>
                <w:color w:val="auto"/>
                <w:sz w:val="24"/>
                <w:szCs w:val="24"/>
                <w:highlight w:val="none"/>
              </w:rPr>
              <w:t>排入</w:t>
            </w:r>
            <w:r>
              <w:rPr>
                <w:rFonts w:hint="eastAsia" w:cs="Times New Roman"/>
                <w:color w:val="auto"/>
                <w:sz w:val="24"/>
                <w:szCs w:val="24"/>
                <w:highlight w:val="none"/>
                <w:lang w:val="en-US" w:eastAsia="zh-CN"/>
              </w:rPr>
              <w:t>民生工业园区污水处理厂</w:t>
            </w:r>
            <w:r>
              <w:rPr>
                <w:rFonts w:hint="default" w:ascii="Times New Roman" w:hAnsi="Times New Roman" w:eastAsia="宋体" w:cs="Times New Roman"/>
                <w:color w:val="auto"/>
                <w:sz w:val="24"/>
                <w:szCs w:val="24"/>
                <w:highlight w:val="none"/>
              </w:rPr>
              <w:t>。</w:t>
            </w:r>
          </w:p>
          <w:p w14:paraId="3D96B9FD">
            <w:pPr>
              <w:pStyle w:val="7"/>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污水排放属间接排放，每天的污水量产生量较小，污染物浓度较低，排入污水处理厂对其冲击负荷小，不会影响污水处理厂的正常运行。综上所述，本项目的废水排放通过相应的措施处理后对周边水环境影响较小</w:t>
            </w:r>
            <w:r>
              <w:rPr>
                <w:rFonts w:hint="eastAsia" w:ascii="Times New Roman" w:hAnsi="Times New Roman" w:eastAsia="宋体" w:cs="Times New Roman"/>
                <w:b w:val="0"/>
                <w:bCs w:val="0"/>
                <w:color w:val="auto"/>
                <w:kern w:val="2"/>
                <w:sz w:val="24"/>
                <w:szCs w:val="24"/>
                <w:highlight w:val="none"/>
                <w:lang w:val="en-US" w:eastAsia="zh-CN" w:bidi="ar-SA"/>
              </w:rPr>
              <w:t>。</w:t>
            </w:r>
          </w:p>
          <w:p w14:paraId="6900AD57">
            <w:pPr>
              <w:pStyle w:val="8"/>
              <w:pageBreakBefore w:val="0"/>
              <w:kinsoku/>
              <w:wordWrap/>
              <w:overflowPunct/>
              <w:topLinePunct w:val="0"/>
              <w:autoSpaceDE/>
              <w:autoSpaceDN/>
              <w:bidi w:val="0"/>
              <w:spacing w:beforeLines="0" w:afterLines="0" w:line="360" w:lineRule="auto"/>
              <w:ind w:right="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2.2</w:t>
            </w:r>
            <w:r>
              <w:rPr>
                <w:rFonts w:hint="default" w:ascii="Times New Roman" w:hAnsi="Times New Roman" w:eastAsia="宋体" w:cs="Times New Roman"/>
                <w:b/>
                <w:bCs/>
                <w:color w:val="auto"/>
                <w:sz w:val="24"/>
                <w:szCs w:val="24"/>
                <w:highlight w:val="none"/>
              </w:rPr>
              <w:t>废水产生情况及处置措施</w:t>
            </w:r>
          </w:p>
          <w:p w14:paraId="4C0ECF9B">
            <w:pPr>
              <w:pStyle w:val="76"/>
              <w:keepNext w:val="0"/>
              <w:keepLines w:val="0"/>
              <w:pageBreakBefore w:val="0"/>
              <w:widowControl w:val="0"/>
              <w:kinsoku/>
              <w:wordWrap/>
              <w:overflowPunct/>
              <w:topLinePunct w:val="0"/>
              <w:autoSpaceDE/>
              <w:autoSpaceDN/>
              <w:bidi w:val="0"/>
              <w:adjustRightInd/>
              <w:snapToGrid/>
              <w:spacing w:line="360" w:lineRule="auto"/>
              <w:ind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1</w:t>
            </w:r>
            <w:r>
              <w:rPr>
                <w:rFonts w:hint="default" w:ascii="Times New Roman" w:hAnsi="Times New Roman" w:eastAsia="宋体" w:cs="Times New Roman"/>
                <w:b w:val="0"/>
                <w:bCs w:val="0"/>
                <w:color w:val="auto"/>
                <w:spacing w:val="-5"/>
                <w:sz w:val="24"/>
                <w:szCs w:val="24"/>
                <w:lang w:eastAsia="zh-CN"/>
              </w:rPr>
              <w:t>）</w:t>
            </w:r>
            <w:r>
              <w:rPr>
                <w:rFonts w:hint="default" w:ascii="Times New Roman" w:hAnsi="Times New Roman" w:eastAsia="宋体" w:cs="Times New Roman"/>
                <w:b w:val="0"/>
                <w:bCs w:val="0"/>
                <w:color w:val="auto"/>
                <w:spacing w:val="-5"/>
                <w:sz w:val="24"/>
                <w:szCs w:val="24"/>
                <w:lang w:val="en-US" w:eastAsia="zh-CN"/>
              </w:rPr>
              <w:t>清洗用水</w:t>
            </w:r>
          </w:p>
          <w:p w14:paraId="16733CF6">
            <w:pPr>
              <w:pStyle w:val="7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b w:val="0"/>
                <w:bCs w:val="0"/>
                <w:color w:val="auto"/>
                <w:spacing w:val="-5"/>
                <w:sz w:val="24"/>
                <w:szCs w:val="24"/>
                <w:vertAlign w:val="baseline"/>
                <w:lang w:val="en-US" w:eastAsia="zh-CN"/>
              </w:rPr>
            </w:pPr>
            <w:r>
              <w:rPr>
                <w:rFonts w:hint="default" w:ascii="Times New Roman" w:hAnsi="Times New Roman" w:cs="Times New Roman"/>
                <w:color w:val="auto"/>
                <w:sz w:val="24"/>
                <w:szCs w:val="24"/>
                <w:lang w:val="en-US" w:eastAsia="zh-CN"/>
              </w:rPr>
              <w:t>晶种在</w:t>
            </w:r>
            <w:r>
              <w:rPr>
                <w:rFonts w:hint="default" w:ascii="Times New Roman" w:hAnsi="Times New Roman" w:cs="Times New Roman"/>
                <w:color w:val="auto"/>
                <w:sz w:val="24"/>
                <w:szCs w:val="24"/>
              </w:rPr>
              <w:t>放入</w:t>
            </w:r>
            <w:r>
              <w:rPr>
                <w:rFonts w:hint="default" w:ascii="Times New Roman" w:hAnsi="Times New Roman" w:cs="Times New Roman"/>
                <w:color w:val="auto"/>
                <w:sz w:val="24"/>
                <w:szCs w:val="24"/>
                <w:lang w:val="en-US" w:eastAsia="zh-CN"/>
              </w:rPr>
              <w:t>设备</w:t>
            </w:r>
            <w:r>
              <w:rPr>
                <w:rFonts w:hint="default" w:ascii="Times New Roman" w:hAnsi="Times New Roman" w:eastAsia="Times New Roman" w:cs="Times New Roman"/>
                <w:color w:val="auto"/>
                <w:sz w:val="24"/>
                <w:szCs w:val="24"/>
              </w:rPr>
              <w:t>CVD</w:t>
            </w:r>
            <w:r>
              <w:rPr>
                <w:rFonts w:hint="default" w:ascii="Times New Roman" w:hAnsi="Times New Roman" w:cs="Times New Roman"/>
                <w:color w:val="auto"/>
                <w:sz w:val="24"/>
                <w:szCs w:val="24"/>
              </w:rPr>
              <w:t>沉积腔体进行沉积</w:t>
            </w:r>
            <w:r>
              <w:rPr>
                <w:rFonts w:hint="default" w:ascii="Times New Roman" w:hAnsi="Times New Roman" w:cs="Times New Roman"/>
                <w:color w:val="auto"/>
                <w:sz w:val="24"/>
                <w:szCs w:val="24"/>
                <w:lang w:val="en-US" w:eastAsia="zh-CN"/>
              </w:rPr>
              <w:t>之前，需</w:t>
            </w:r>
            <w:r>
              <w:rPr>
                <w:rFonts w:hint="default" w:ascii="Times New Roman" w:hAnsi="Times New Roman" w:cs="Times New Roman"/>
                <w:color w:val="auto"/>
                <w:sz w:val="24"/>
                <w:szCs w:val="24"/>
              </w:rPr>
              <w:t>通过超声波清洗机</w:t>
            </w:r>
            <w:r>
              <w:rPr>
                <w:rFonts w:hint="default" w:ascii="Times New Roman" w:hAnsi="Times New Roman" w:cs="Times New Roman"/>
                <w:color w:val="auto"/>
                <w:sz w:val="24"/>
                <w:szCs w:val="24"/>
                <w:lang w:val="en-US" w:eastAsia="zh-CN"/>
              </w:rPr>
              <w:t>进行</w:t>
            </w:r>
            <w:r>
              <w:rPr>
                <w:rFonts w:hint="default" w:ascii="Times New Roman" w:hAnsi="Times New Roman" w:cs="Times New Roman"/>
                <w:color w:val="auto"/>
                <w:sz w:val="24"/>
                <w:szCs w:val="24"/>
              </w:rPr>
              <w:t>清洗</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清洗废水中主要污染物为晶种表面的杂质。</w:t>
            </w:r>
            <w:r>
              <w:rPr>
                <w:rFonts w:hint="default" w:ascii="Times New Roman" w:hAnsi="Times New Roman" w:cs="Times New Roman"/>
                <w:color w:val="auto"/>
                <w:sz w:val="24"/>
                <w:szCs w:val="24"/>
                <w:lang w:val="en-US" w:eastAsia="zh-CN"/>
              </w:rPr>
              <w:t>根据业主提供资料，清洗用水约1L/片</w:t>
            </w:r>
            <w:r>
              <w:rPr>
                <w:rFonts w:hint="eastAsia" w:ascii="Times New Roman" w:hAnsi="Times New Roman" w:cs="Times New Roman"/>
                <w:color w:val="auto"/>
                <w:sz w:val="24"/>
                <w:szCs w:val="24"/>
                <w:lang w:val="en-US" w:eastAsia="zh-CN"/>
              </w:rPr>
              <w:t>金刚石</w:t>
            </w:r>
            <w:r>
              <w:rPr>
                <w:rFonts w:hint="default" w:ascii="Times New Roman" w:hAnsi="Times New Roman" w:cs="Times New Roman"/>
                <w:color w:val="auto"/>
                <w:sz w:val="24"/>
                <w:szCs w:val="24"/>
                <w:lang w:val="en-US" w:eastAsia="zh-CN"/>
              </w:rPr>
              <w:t>晶种，本项目原料晶种1500片，则清洗用水为1.5m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。清洗用水与生活污水一同排入园区污水管网，因用水量较少，损耗可忽略，则清洗用水排放量与使用量相同，为</w:t>
            </w:r>
            <w:r>
              <w:rPr>
                <w:rFonts w:hint="default" w:ascii="Times New Roman" w:hAnsi="Times New Roman" w:cs="Times New Roman"/>
                <w:color w:val="auto"/>
                <w:sz w:val="24"/>
                <w:szCs w:val="24"/>
                <w:lang w:val="en-US" w:eastAsia="zh-CN"/>
              </w:rPr>
              <w:t>1.5m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eastAsia" w:ascii="Times New Roman" w:hAnsi="Times New Roman" w:cs="Times New Roman"/>
                <w:color w:val="auto"/>
                <w:sz w:val="24"/>
                <w:szCs w:val="24"/>
                <w:vertAlign w:val="baseline"/>
                <w:lang w:val="en-US" w:eastAsia="zh-CN"/>
              </w:rPr>
              <w:t>。</w:t>
            </w:r>
          </w:p>
          <w:p w14:paraId="35F9BAFD">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2</w:t>
            </w:r>
            <w:r>
              <w:rPr>
                <w:rFonts w:hint="eastAsia" w:ascii="Times New Roman" w:hAnsi="Times New Roman"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激光切割冷却水</w:t>
            </w:r>
          </w:p>
          <w:p w14:paraId="5C781832">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eastAsia" w:ascii="Times New Roman" w:hAnsi="Times New Roman" w:cs="Times New Roman"/>
                <w:b w:val="0"/>
                <w:bCs w:val="0"/>
                <w:color w:val="auto"/>
                <w:spacing w:val="-5"/>
                <w:sz w:val="24"/>
                <w:szCs w:val="24"/>
                <w:lang w:val="en-US" w:eastAsia="zh-CN"/>
              </w:rPr>
              <w:t>本项目激光切割过程中，切割设备中的激光发生器需采用制冷剂冷却，制冷剂内通入纯水进行冷却，冷却水于设备内部循环使用，不与产品直接接触，且不外排。</w:t>
            </w:r>
          </w:p>
          <w:p w14:paraId="0F2CB625">
            <w:pPr>
              <w:pStyle w:val="76"/>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outlineLvl w:val="2"/>
              <w:rPr>
                <w:rFonts w:hint="default" w:ascii="Times New Roman" w:hAnsi="Times New Roman" w:eastAsia="宋体" w:cs="Times New Roman"/>
                <w:b w:val="0"/>
                <w:bCs w:val="0"/>
                <w:color w:val="auto"/>
                <w:spacing w:val="-5"/>
                <w:sz w:val="24"/>
                <w:szCs w:val="24"/>
                <w:lang w:val="en-US" w:eastAsia="zh-CN"/>
              </w:rPr>
            </w:pP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cs="Times New Roman"/>
                <w:b w:val="0"/>
                <w:bCs w:val="0"/>
                <w:color w:val="auto"/>
                <w:spacing w:val="-5"/>
                <w:sz w:val="24"/>
                <w:szCs w:val="24"/>
                <w:lang w:val="en-US" w:eastAsia="zh-CN"/>
              </w:rPr>
              <w:t>3</w:t>
            </w:r>
            <w:r>
              <w:rPr>
                <w:rFonts w:hint="default" w:ascii="Times New Roman" w:hAnsi="Times New Roman" w:eastAsia="宋体" w:cs="Times New Roman"/>
                <w:b w:val="0"/>
                <w:bCs w:val="0"/>
                <w:color w:val="auto"/>
                <w:spacing w:val="-5"/>
                <w:sz w:val="24"/>
                <w:szCs w:val="24"/>
                <w:lang w:eastAsia="zh-CN"/>
              </w:rPr>
              <w:t>）</w:t>
            </w:r>
            <w:r>
              <w:rPr>
                <w:rFonts w:hint="eastAsia" w:ascii="Times New Roman" w:hAnsi="Times New Roman" w:eastAsia="宋体" w:cs="Times New Roman"/>
                <w:b w:val="0"/>
                <w:bCs w:val="0"/>
                <w:color w:val="auto"/>
                <w:spacing w:val="-5"/>
                <w:sz w:val="24"/>
                <w:szCs w:val="24"/>
                <w:lang w:val="en-US" w:eastAsia="zh-CN"/>
              </w:rPr>
              <w:t>抛光</w:t>
            </w:r>
            <w:r>
              <w:rPr>
                <w:rFonts w:hint="default" w:ascii="Times New Roman" w:hAnsi="Times New Roman" w:eastAsia="宋体" w:cs="Times New Roman"/>
                <w:b w:val="0"/>
                <w:bCs w:val="0"/>
                <w:color w:val="auto"/>
                <w:spacing w:val="-5"/>
                <w:sz w:val="24"/>
                <w:szCs w:val="24"/>
                <w:lang w:val="en-US" w:eastAsia="zh-CN"/>
              </w:rPr>
              <w:t>冷却水</w:t>
            </w:r>
          </w:p>
          <w:p w14:paraId="59407A0F">
            <w:pPr>
              <w:pStyle w:val="7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2"/>
              <w:rPr>
                <w:rFonts w:hint="default" w:cs="Times New Roman"/>
                <w:color w:val="auto"/>
                <w:sz w:val="24"/>
                <w:szCs w:val="24"/>
                <w:highlight w:val="none"/>
                <w:lang w:val="en-US" w:eastAsia="zh-CN"/>
              </w:rPr>
            </w:pPr>
            <w:r>
              <w:rPr>
                <w:color w:val="auto"/>
                <w:sz w:val="24"/>
                <w:szCs w:val="24"/>
              </w:rPr>
              <w:t>经检验结果为单晶金刚石的合成钻石满足产品需求，通过专用</w:t>
            </w:r>
            <w:r>
              <w:rPr>
                <w:color w:val="auto"/>
                <w:spacing w:val="2"/>
                <w:sz w:val="24"/>
                <w:szCs w:val="24"/>
              </w:rPr>
              <w:t>抛光机，抛光做成合成钻石成</w:t>
            </w:r>
            <w:r>
              <w:rPr>
                <w:color w:val="auto"/>
                <w:spacing w:val="2"/>
                <w:sz w:val="24"/>
                <w:szCs w:val="24"/>
                <w:highlight w:val="none"/>
              </w:rPr>
              <w:t>品，</w:t>
            </w:r>
            <w:r>
              <w:rPr>
                <w:rFonts w:hint="eastAsia"/>
                <w:color w:val="auto"/>
                <w:spacing w:val="2"/>
                <w:sz w:val="24"/>
                <w:szCs w:val="24"/>
                <w:highlight w:val="none"/>
                <w:lang w:val="en-US" w:eastAsia="zh-CN"/>
              </w:rPr>
              <w:t>抛光时需要持续用水冷却，采用外购桶装</w:t>
            </w:r>
            <w:r>
              <w:rPr>
                <w:rFonts w:hint="default" w:ascii="Times New Roman" w:hAnsi="Times New Roman" w:cs="Times New Roman"/>
                <w:color w:val="auto"/>
                <w:spacing w:val="2"/>
                <w:sz w:val="24"/>
                <w:szCs w:val="24"/>
                <w:highlight w:val="none"/>
                <w:lang w:val="en-US" w:eastAsia="zh-CN"/>
              </w:rPr>
              <w:t>纯水（10L/桶）</w:t>
            </w:r>
            <w:r>
              <w:rPr>
                <w:rFonts w:hint="eastAsia"/>
                <w:color w:val="auto"/>
                <w:spacing w:val="2"/>
                <w:sz w:val="24"/>
                <w:szCs w:val="24"/>
                <w:highlight w:val="none"/>
                <w:lang w:val="en-US" w:eastAsia="zh-CN"/>
              </w:rPr>
              <w:t>，此过程</w:t>
            </w:r>
            <w:r>
              <w:rPr>
                <w:rFonts w:hint="default" w:ascii="Times New Roman" w:hAnsi="Times New Roman" w:cs="Times New Roman"/>
                <w:color w:val="auto"/>
                <w:sz w:val="24"/>
                <w:szCs w:val="24"/>
                <w:highlight w:val="none"/>
                <w:lang w:val="en-US" w:eastAsia="zh-CN"/>
              </w:rPr>
              <w:t>每台设备每月用水量为7~8L</w:t>
            </w:r>
            <w:r>
              <w:rPr>
                <w:rFonts w:hint="eastAsia" w:ascii="Times New Roman" w:hAnsi="Times New Roman" w:cs="Times New Roman"/>
                <w:color w:val="auto"/>
                <w:sz w:val="24"/>
                <w:szCs w:val="24"/>
                <w:highlight w:val="none"/>
                <w:lang w:val="en-US" w:eastAsia="zh-CN"/>
              </w:rPr>
              <w:t>，取8L，抛光设备为20台，则</w:t>
            </w:r>
            <w:r>
              <w:rPr>
                <w:rFonts w:hint="eastAsia" w:ascii="Times New Roman" w:hAnsi="Times New Roman" w:eastAsia="宋体" w:cs="Times New Roman"/>
                <w:b w:val="0"/>
                <w:bCs w:val="0"/>
                <w:color w:val="auto"/>
                <w:spacing w:val="-5"/>
                <w:sz w:val="24"/>
                <w:szCs w:val="24"/>
                <w:highlight w:val="none"/>
                <w:lang w:val="en-US" w:eastAsia="zh-CN"/>
              </w:rPr>
              <w:t>抛光</w:t>
            </w:r>
            <w:r>
              <w:rPr>
                <w:rFonts w:hint="default" w:ascii="Times New Roman" w:hAnsi="Times New Roman" w:eastAsia="宋体" w:cs="Times New Roman"/>
                <w:b w:val="0"/>
                <w:bCs w:val="0"/>
                <w:color w:val="auto"/>
                <w:spacing w:val="-5"/>
                <w:sz w:val="24"/>
                <w:szCs w:val="24"/>
                <w:highlight w:val="none"/>
                <w:lang w:val="en-US" w:eastAsia="zh-CN"/>
              </w:rPr>
              <w:t>冷却水</w:t>
            </w:r>
            <w:r>
              <w:rPr>
                <w:rFonts w:hint="eastAsia" w:ascii="Times New Roman" w:hAnsi="Times New Roman" w:cs="Times New Roman"/>
                <w:b w:val="0"/>
                <w:bCs w:val="0"/>
                <w:color w:val="auto"/>
                <w:spacing w:val="-5"/>
                <w:sz w:val="24"/>
                <w:szCs w:val="24"/>
                <w:highlight w:val="none"/>
                <w:lang w:val="en-US" w:eastAsia="zh-CN"/>
              </w:rPr>
              <w:t>用量为1.92m</w:t>
            </w:r>
            <w:r>
              <w:rPr>
                <w:rFonts w:hint="eastAsia" w:ascii="Times New Roman" w:hAnsi="Times New Roman" w:cs="Times New Roman"/>
                <w:b w:val="0"/>
                <w:bCs w:val="0"/>
                <w:color w:val="auto"/>
                <w:spacing w:val="-5"/>
                <w:sz w:val="24"/>
                <w:szCs w:val="24"/>
                <w:highlight w:val="none"/>
                <w:vertAlign w:val="superscript"/>
                <w:lang w:val="en-US" w:eastAsia="zh-CN"/>
              </w:rPr>
              <w:t>3</w:t>
            </w:r>
            <w:r>
              <w:rPr>
                <w:rFonts w:hint="eastAsia" w:ascii="Times New Roman" w:hAnsi="Times New Roman" w:cs="Times New Roman"/>
                <w:b w:val="0"/>
                <w:bCs w:val="0"/>
                <w:color w:val="auto"/>
                <w:spacing w:val="-5"/>
                <w:sz w:val="24"/>
                <w:szCs w:val="24"/>
                <w:highlight w:val="none"/>
                <w:vertAlign w:val="baseline"/>
                <w:lang w:val="en-US" w:eastAsia="zh-CN"/>
              </w:rPr>
              <w:t>/a。其中主要污染物为抛光产生的金刚石颗粒，排入园区污水管网，因用水量较少，过程损耗可忽略不计，则抛光冷却水排放量为</w:t>
            </w:r>
            <w:r>
              <w:rPr>
                <w:rFonts w:hint="eastAsia" w:ascii="Times New Roman" w:hAnsi="Times New Roman" w:cs="Times New Roman"/>
                <w:b w:val="0"/>
                <w:bCs w:val="0"/>
                <w:color w:val="auto"/>
                <w:spacing w:val="-5"/>
                <w:sz w:val="24"/>
                <w:szCs w:val="24"/>
                <w:highlight w:val="none"/>
                <w:lang w:val="en-US" w:eastAsia="zh-CN"/>
              </w:rPr>
              <w:t>1.92m</w:t>
            </w:r>
            <w:r>
              <w:rPr>
                <w:rFonts w:hint="eastAsia" w:ascii="Times New Roman" w:hAnsi="Times New Roman" w:cs="Times New Roman"/>
                <w:b w:val="0"/>
                <w:bCs w:val="0"/>
                <w:color w:val="auto"/>
                <w:spacing w:val="-5"/>
                <w:sz w:val="24"/>
                <w:szCs w:val="24"/>
                <w:highlight w:val="none"/>
                <w:vertAlign w:val="superscript"/>
                <w:lang w:val="en-US" w:eastAsia="zh-CN"/>
              </w:rPr>
              <w:t>3</w:t>
            </w:r>
            <w:r>
              <w:rPr>
                <w:rFonts w:hint="eastAsia" w:ascii="Times New Roman" w:hAnsi="Times New Roman" w:cs="Times New Roman"/>
                <w:b w:val="0"/>
                <w:bCs w:val="0"/>
                <w:color w:val="auto"/>
                <w:spacing w:val="-5"/>
                <w:sz w:val="24"/>
                <w:szCs w:val="24"/>
                <w:highlight w:val="none"/>
                <w:vertAlign w:val="baseline"/>
                <w:lang w:val="en-US" w:eastAsia="zh-CN"/>
              </w:rPr>
              <w:t>/a。</w:t>
            </w:r>
          </w:p>
          <w:p w14:paraId="0BE4C756">
            <w:pPr>
              <w:pStyle w:val="25"/>
              <w:keepNext w:val="0"/>
              <w:keepLines w:val="0"/>
              <w:pageBreakBefore w:val="0"/>
              <w:widowControl w:val="0"/>
              <w:kinsoku/>
              <w:wordWrap/>
              <w:overflowPunct/>
              <w:topLinePunct w:val="0"/>
              <w:autoSpaceDE/>
              <w:autoSpaceDN/>
              <w:bidi w:val="0"/>
              <w:adjustRightInd/>
              <w:snapToGrid/>
              <w:spacing w:after="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（4）生活污水</w:t>
            </w:r>
          </w:p>
          <w:p w14:paraId="64356D27">
            <w:pPr>
              <w:pStyle w:val="25"/>
              <w:keepNext w:val="0"/>
              <w:keepLines w:val="0"/>
              <w:pageBreakBefore w:val="0"/>
              <w:widowControl w:val="0"/>
              <w:kinsoku/>
              <w:wordWrap/>
              <w:overflowPunct/>
              <w:topLinePunct w:val="0"/>
              <w:autoSpaceDE/>
              <w:autoSpaceDN/>
              <w:bidi w:val="0"/>
              <w:adjustRightInd/>
              <w:snapToGrid/>
              <w:spacing w:after="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本项目营运期劳动定员</w:t>
            </w:r>
            <w:r>
              <w:rPr>
                <w:rFonts w:hint="eastAsia" w:cs="Times New Roman"/>
                <w:color w:val="auto"/>
                <w:sz w:val="24"/>
                <w:szCs w:val="24"/>
                <w:highlight w:val="none"/>
                <w:lang w:val="en-US" w:eastAsia="zh-CN"/>
              </w:rPr>
              <w:t>68</w:t>
            </w:r>
            <w:r>
              <w:rPr>
                <w:rFonts w:hint="eastAsia" w:ascii="Times New Roman" w:hAnsi="Times New Roman" w:eastAsia="宋体" w:cs="Times New Roman"/>
                <w:color w:val="auto"/>
                <w:sz w:val="24"/>
                <w:szCs w:val="24"/>
                <w:highlight w:val="none"/>
                <w:lang w:val="en-US" w:eastAsia="zh-CN"/>
              </w:rPr>
              <w:t>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生活污水</w:t>
            </w:r>
            <w:r>
              <w:rPr>
                <w:rFonts w:hint="default" w:ascii="Times New Roman" w:hAnsi="Times New Roman" w:eastAsia="宋体" w:cs="Times New Roman"/>
                <w:color w:val="auto"/>
                <w:sz w:val="24"/>
                <w:szCs w:val="24"/>
                <w:highlight w:val="none"/>
                <w:lang w:val="en-US" w:eastAsia="zh-CN"/>
              </w:rPr>
              <w:t>主要污染物为COD、SS、BOD</w:t>
            </w:r>
            <w:r>
              <w:rPr>
                <w:rFonts w:hint="default" w:ascii="Times New Roman" w:hAnsi="Times New Roman" w:eastAsia="宋体" w:cs="Times New Roman"/>
                <w:color w:val="auto"/>
                <w:sz w:val="24"/>
                <w:szCs w:val="24"/>
                <w:highlight w:val="none"/>
                <w:vertAlign w:val="subscript"/>
                <w:lang w:val="en-US" w:eastAsia="zh-CN"/>
              </w:rPr>
              <w:t>5</w:t>
            </w:r>
            <w:r>
              <w:rPr>
                <w:rFonts w:hint="default" w:ascii="Times New Roman" w:hAnsi="Times New Roman" w:eastAsia="宋体" w:cs="Times New Roman"/>
                <w:color w:val="auto"/>
                <w:sz w:val="24"/>
                <w:szCs w:val="24"/>
                <w:highlight w:val="none"/>
                <w:lang w:val="en-US" w:eastAsia="zh-CN"/>
              </w:rPr>
              <w:t>、NH</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-N等。每人每天用水量按照50L/人.d计，</w:t>
            </w:r>
            <w:r>
              <w:rPr>
                <w:rFonts w:hint="eastAsia" w:cs="Times New Roman"/>
                <w:color w:val="auto"/>
                <w:sz w:val="24"/>
                <w:szCs w:val="24"/>
                <w:highlight w:val="none"/>
                <w:lang w:val="en-US" w:eastAsia="zh-CN"/>
              </w:rPr>
              <w:t>年工作天数365天，</w:t>
            </w:r>
            <w:r>
              <w:rPr>
                <w:rFonts w:hint="default" w:ascii="Times New Roman" w:hAnsi="Times New Roman" w:eastAsia="宋体" w:cs="Times New Roman"/>
                <w:color w:val="auto"/>
                <w:sz w:val="24"/>
                <w:szCs w:val="24"/>
                <w:highlight w:val="none"/>
                <w:lang w:val="en-US" w:eastAsia="zh-CN"/>
              </w:rPr>
              <w:t>则用水量为</w:t>
            </w:r>
            <w:r>
              <w:rPr>
                <w:rFonts w:hint="eastAsia" w:cs="Times New Roman"/>
                <w:color w:val="auto"/>
                <w:sz w:val="24"/>
                <w:szCs w:val="24"/>
                <w:highlight w:val="none"/>
                <w:lang w:val="en-US" w:eastAsia="zh-CN"/>
              </w:rPr>
              <w:t>3.4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1241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，排放的污水量按用水量的80%计，则排水量约为</w:t>
            </w:r>
            <w:r>
              <w:rPr>
                <w:rFonts w:hint="eastAsia"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w:t>
            </w:r>
            <w:r>
              <w:rPr>
                <w:rFonts w:hint="eastAsia" w:cs="Times New Roman"/>
                <w:color w:val="auto"/>
                <w:sz w:val="24"/>
                <w:szCs w:val="24"/>
                <w:highlight w:val="none"/>
                <w:lang w:val="en-US" w:eastAsia="zh-CN"/>
              </w:rPr>
              <w:t>992.8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/a）。生活污水</w:t>
            </w:r>
            <w:r>
              <w:rPr>
                <w:rFonts w:hint="eastAsia" w:cs="Times New Roman"/>
                <w:color w:val="auto"/>
                <w:sz w:val="24"/>
                <w:szCs w:val="24"/>
                <w:highlight w:val="none"/>
                <w:lang w:val="en-US" w:eastAsia="zh-CN"/>
              </w:rPr>
              <w:t>经隔油池处理后</w:t>
            </w:r>
            <w:r>
              <w:rPr>
                <w:rFonts w:hint="default" w:ascii="Times New Roman" w:hAnsi="Times New Roman" w:eastAsia="宋体" w:cs="Times New Roman"/>
                <w:color w:val="auto"/>
                <w:sz w:val="24"/>
                <w:szCs w:val="24"/>
                <w:highlight w:val="none"/>
                <w:lang w:val="en-US" w:eastAsia="zh-CN"/>
              </w:rPr>
              <w:t>排入污水管网，最终排入</w:t>
            </w:r>
            <w:r>
              <w:rPr>
                <w:rFonts w:hint="eastAsia" w:cs="Times New Roman"/>
                <w:color w:val="auto"/>
                <w:sz w:val="24"/>
                <w:szCs w:val="24"/>
                <w:highlight w:val="none"/>
                <w:lang w:val="en-US" w:eastAsia="zh-CN"/>
              </w:rPr>
              <w:t>木垒民生工业园区污水处理站</w:t>
            </w:r>
            <w:r>
              <w:rPr>
                <w:rFonts w:hint="default" w:ascii="Times New Roman" w:hAnsi="Times New Roman" w:eastAsia="宋体" w:cs="Times New Roman"/>
                <w:color w:val="auto"/>
                <w:sz w:val="24"/>
                <w:szCs w:val="24"/>
                <w:highlight w:val="none"/>
                <w:lang w:val="en-US" w:eastAsia="zh-CN"/>
              </w:rPr>
              <w:t>，对项目区周围水环境影响较小。</w:t>
            </w:r>
          </w:p>
          <w:p w14:paraId="6F47A411">
            <w:pPr>
              <w:pStyle w:val="82"/>
              <w:pageBreakBefore w:val="0"/>
              <w:kinsoku/>
              <w:wordWrap/>
              <w:overflowPunct/>
              <w:topLinePunct w:val="0"/>
              <w:autoSpaceDE/>
              <w:autoSpaceDN/>
              <w:bidi w:val="0"/>
              <w:spacing w:line="240" w:lineRule="auto"/>
              <w:ind w:left="0" w:right="0" w:firstLine="422" w:firstLineChars="20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5生活</w:t>
            </w:r>
            <w:r>
              <w:rPr>
                <w:rFonts w:hint="default" w:ascii="Times New Roman" w:hAnsi="Times New Roman" w:eastAsia="宋体" w:cs="Times New Roman"/>
                <w:b/>
                <w:bCs/>
                <w:color w:val="auto"/>
                <w:sz w:val="21"/>
                <w:szCs w:val="21"/>
                <w:highlight w:val="none"/>
                <w:lang w:val="en-US" w:eastAsia="zh-CN"/>
              </w:rPr>
              <w:t>污水排放量及污染物浓度一览表</w:t>
            </w:r>
          </w:p>
          <w:tbl>
            <w:tblPr>
              <w:tblStyle w:val="30"/>
              <w:tblW w:w="496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849"/>
              <w:gridCol w:w="1066"/>
              <w:gridCol w:w="1048"/>
              <w:gridCol w:w="1613"/>
              <w:gridCol w:w="1016"/>
              <w:gridCol w:w="1054"/>
            </w:tblGrid>
            <w:tr w14:paraId="17F383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4" w:type="pct"/>
                  <w:vMerge w:val="restart"/>
                  <w:tcBorders>
                    <w:bottom w:val="single" w:color="auto" w:sz="4" w:space="0"/>
                  </w:tcBorders>
                  <w:vAlign w:val="center"/>
                </w:tcPr>
                <w:p w14:paraId="1B2B2F2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污染源</w:t>
                  </w:r>
                </w:p>
              </w:tc>
              <w:tc>
                <w:tcPr>
                  <w:tcW w:w="551" w:type="pct"/>
                  <w:vMerge w:val="restart"/>
                  <w:tcBorders>
                    <w:bottom w:val="single" w:color="auto" w:sz="4" w:space="0"/>
                  </w:tcBorders>
                  <w:vAlign w:val="center"/>
                </w:tcPr>
                <w:p w14:paraId="32CFFEB3">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污染物</w:t>
                  </w:r>
                </w:p>
              </w:tc>
              <w:tc>
                <w:tcPr>
                  <w:tcW w:w="1372" w:type="pct"/>
                  <w:gridSpan w:val="2"/>
                  <w:tcBorders>
                    <w:bottom w:val="single" w:color="auto" w:sz="4" w:space="0"/>
                  </w:tcBorders>
                  <w:vAlign w:val="center"/>
                </w:tcPr>
                <w:p w14:paraId="0FA6722E">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产生情况</w:t>
                  </w:r>
                </w:p>
              </w:tc>
              <w:tc>
                <w:tcPr>
                  <w:tcW w:w="1047" w:type="pct"/>
                  <w:vMerge w:val="restart"/>
                  <w:tcBorders>
                    <w:bottom w:val="single" w:color="auto" w:sz="4" w:space="0"/>
                  </w:tcBorders>
                  <w:vAlign w:val="center"/>
                </w:tcPr>
                <w:p w14:paraId="3F33FAC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排放去向</w:t>
                  </w:r>
                </w:p>
              </w:tc>
              <w:tc>
                <w:tcPr>
                  <w:tcW w:w="1343" w:type="pct"/>
                  <w:gridSpan w:val="2"/>
                  <w:tcBorders>
                    <w:bottom w:val="single" w:color="auto" w:sz="4" w:space="0"/>
                  </w:tcBorders>
                  <w:vAlign w:val="center"/>
                </w:tcPr>
                <w:p w14:paraId="04B87CE4">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排放情况</w:t>
                  </w:r>
                </w:p>
              </w:tc>
            </w:tr>
            <w:tr w14:paraId="2E062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4" w:type="pct"/>
                  <w:vMerge w:val="continue"/>
                  <w:tcBorders>
                    <w:top w:val="single" w:color="auto" w:sz="4" w:space="0"/>
                    <w:bottom w:val="single" w:color="auto" w:sz="12" w:space="0"/>
                  </w:tcBorders>
                  <w:vAlign w:val="center"/>
                </w:tcPr>
                <w:p w14:paraId="2FC50A62">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p>
              </w:tc>
              <w:tc>
                <w:tcPr>
                  <w:tcW w:w="551" w:type="pct"/>
                  <w:vMerge w:val="continue"/>
                  <w:tcBorders>
                    <w:top w:val="single" w:color="auto" w:sz="4" w:space="0"/>
                    <w:bottom w:val="single" w:color="auto" w:sz="12" w:space="0"/>
                  </w:tcBorders>
                  <w:vAlign w:val="center"/>
                </w:tcPr>
                <w:p w14:paraId="3CF3E6F8">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p>
              </w:tc>
              <w:tc>
                <w:tcPr>
                  <w:tcW w:w="692" w:type="pct"/>
                  <w:tcBorders>
                    <w:top w:val="single" w:color="auto" w:sz="4" w:space="0"/>
                    <w:bottom w:val="single" w:color="auto" w:sz="12" w:space="0"/>
                  </w:tcBorders>
                  <w:vAlign w:val="center"/>
                </w:tcPr>
                <w:p w14:paraId="1E1C57C5">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产生量</w:t>
                  </w:r>
                </w:p>
              </w:tc>
              <w:tc>
                <w:tcPr>
                  <w:tcW w:w="679" w:type="pct"/>
                  <w:tcBorders>
                    <w:top w:val="single" w:color="auto" w:sz="4" w:space="0"/>
                    <w:bottom w:val="single" w:color="auto" w:sz="12" w:space="0"/>
                  </w:tcBorders>
                  <w:vAlign w:val="center"/>
                </w:tcPr>
                <w:p w14:paraId="391CF569">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浓度</w:t>
                  </w:r>
                </w:p>
              </w:tc>
              <w:tc>
                <w:tcPr>
                  <w:tcW w:w="1047" w:type="pct"/>
                  <w:vMerge w:val="continue"/>
                  <w:tcBorders>
                    <w:top w:val="single" w:color="auto" w:sz="4" w:space="0"/>
                    <w:bottom w:val="single" w:color="auto" w:sz="12" w:space="0"/>
                  </w:tcBorders>
                  <w:vAlign w:val="center"/>
                </w:tcPr>
                <w:p w14:paraId="1FD31B6C">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p>
              </w:tc>
              <w:tc>
                <w:tcPr>
                  <w:tcW w:w="659" w:type="pct"/>
                  <w:tcBorders>
                    <w:top w:val="single" w:color="auto" w:sz="4" w:space="0"/>
                    <w:bottom w:val="single" w:color="auto" w:sz="12" w:space="0"/>
                  </w:tcBorders>
                  <w:vAlign w:val="center"/>
                </w:tcPr>
                <w:p w14:paraId="63BDC9EA">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排放量t/d</w:t>
                  </w:r>
                </w:p>
              </w:tc>
              <w:tc>
                <w:tcPr>
                  <w:tcW w:w="684" w:type="pct"/>
                  <w:tcBorders>
                    <w:top w:val="single" w:color="auto" w:sz="4" w:space="0"/>
                    <w:bottom w:val="single" w:color="auto" w:sz="12" w:space="0"/>
                  </w:tcBorders>
                  <w:vAlign w:val="center"/>
                </w:tcPr>
                <w:p w14:paraId="31CA43AD">
                  <w:pPr>
                    <w:pStyle w:val="70"/>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浓度mg/L</w:t>
                  </w:r>
                </w:p>
              </w:tc>
            </w:tr>
            <w:tr w14:paraId="26229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4" w:type="pct"/>
                  <w:vMerge w:val="restart"/>
                  <w:tcBorders>
                    <w:top w:val="single" w:color="auto" w:sz="12" w:space="0"/>
                    <w:tl2br w:val="nil"/>
                    <w:tr2bl w:val="nil"/>
                  </w:tcBorders>
                  <w:vAlign w:val="center"/>
                </w:tcPr>
                <w:p w14:paraId="24F674D0">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生活污水</w:t>
                  </w:r>
                </w:p>
                <w:p w14:paraId="631EBBEF">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992.8</w:t>
                  </w:r>
                  <w:r>
                    <w:rPr>
                      <w:rFonts w:hint="default" w:ascii="Times New Roman" w:hAnsi="Times New Roman" w:eastAsia="宋体" w:cs="Times New Roman"/>
                      <w:b w:val="0"/>
                      <w:bCs w:val="0"/>
                      <w:color w:val="auto"/>
                      <w:sz w:val="24"/>
                      <w:szCs w:val="24"/>
                      <w:highlight w:val="none"/>
                    </w:rPr>
                    <w:t>m</w:t>
                  </w:r>
                  <w:r>
                    <w:rPr>
                      <w:rFonts w:hint="default" w:ascii="Times New Roman" w:hAnsi="Times New Roman" w:eastAsia="宋体" w:cs="Times New Roman"/>
                      <w:b w:val="0"/>
                      <w:bCs w:val="0"/>
                      <w:color w:val="auto"/>
                      <w:sz w:val="24"/>
                      <w:szCs w:val="24"/>
                      <w:highlight w:val="none"/>
                      <w:vertAlign w:val="superscript"/>
                    </w:rPr>
                    <w:t>3</w:t>
                  </w:r>
                  <w:r>
                    <w:rPr>
                      <w:rFonts w:hint="default" w:ascii="Times New Roman" w:hAnsi="Times New Roman" w:eastAsia="宋体" w:cs="Times New Roman"/>
                      <w:b w:val="0"/>
                      <w:bCs w:val="0"/>
                      <w:color w:val="auto"/>
                      <w:sz w:val="21"/>
                      <w:szCs w:val="21"/>
                      <w:highlight w:val="none"/>
                      <w:lang w:val="en-US" w:eastAsia="zh-CN"/>
                    </w:rPr>
                    <w:t>/a</w:t>
                  </w:r>
                </w:p>
              </w:tc>
              <w:tc>
                <w:tcPr>
                  <w:tcW w:w="551" w:type="pct"/>
                  <w:tcBorders>
                    <w:top w:val="single" w:color="auto" w:sz="12" w:space="0"/>
                    <w:tl2br w:val="nil"/>
                    <w:tr2bl w:val="nil"/>
                  </w:tcBorders>
                  <w:vAlign w:val="center"/>
                </w:tcPr>
                <w:p w14:paraId="2E488E77">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COD</w:t>
                  </w:r>
                </w:p>
              </w:tc>
              <w:tc>
                <w:tcPr>
                  <w:tcW w:w="692" w:type="pct"/>
                  <w:tcBorders>
                    <w:top w:val="single" w:color="auto" w:sz="12" w:space="0"/>
                    <w:tl2br w:val="nil"/>
                    <w:tr2bl w:val="nil"/>
                  </w:tcBorders>
                  <w:vAlign w:val="center"/>
                </w:tcPr>
                <w:p w14:paraId="6AAB4DCE">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0.35</w:t>
                  </w:r>
                  <w:r>
                    <w:rPr>
                      <w:rFonts w:hint="default" w:ascii="Times New Roman" w:hAnsi="Times New Roman" w:eastAsia="宋体" w:cs="Times New Roman"/>
                      <w:b w:val="0"/>
                      <w:bCs w:val="0"/>
                      <w:color w:val="auto"/>
                      <w:sz w:val="21"/>
                      <w:szCs w:val="21"/>
                      <w:highlight w:val="none"/>
                      <w:lang w:val="en-US" w:eastAsia="zh-CN"/>
                    </w:rPr>
                    <w:t>t/a</w:t>
                  </w:r>
                </w:p>
              </w:tc>
              <w:tc>
                <w:tcPr>
                  <w:tcW w:w="679" w:type="pct"/>
                  <w:tcBorders>
                    <w:top w:val="single" w:color="auto" w:sz="12" w:space="0"/>
                    <w:tl2br w:val="nil"/>
                    <w:tr2bl w:val="nil"/>
                  </w:tcBorders>
                  <w:vAlign w:val="center"/>
                </w:tcPr>
                <w:p w14:paraId="3C8681FE">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350mg/L</w:t>
                  </w:r>
                </w:p>
              </w:tc>
              <w:tc>
                <w:tcPr>
                  <w:tcW w:w="1047" w:type="pct"/>
                  <w:vMerge w:val="restart"/>
                  <w:tcBorders>
                    <w:top w:val="single" w:color="auto" w:sz="12" w:space="0"/>
                    <w:tl2br w:val="nil"/>
                    <w:tr2bl w:val="nil"/>
                  </w:tcBorders>
                  <w:vAlign w:val="center"/>
                </w:tcPr>
                <w:p w14:paraId="0E6E3F10">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排入</w:t>
                  </w:r>
                  <w:r>
                    <w:rPr>
                      <w:rFonts w:hint="default" w:ascii="Times New Roman" w:hAnsi="Times New Roman" w:eastAsia="宋体" w:cs="Times New Roman"/>
                      <w:b w:val="0"/>
                      <w:bCs w:val="0"/>
                      <w:color w:val="auto"/>
                      <w:sz w:val="21"/>
                      <w:szCs w:val="21"/>
                      <w:highlight w:val="none"/>
                      <w:lang w:val="en-US" w:eastAsia="zh-CN"/>
                    </w:rPr>
                    <w:t>污水管网，最终排入</w:t>
                  </w:r>
                  <w:r>
                    <w:rPr>
                      <w:rFonts w:hint="eastAsia" w:cs="Times New Roman"/>
                      <w:b w:val="0"/>
                      <w:bCs w:val="0"/>
                      <w:color w:val="auto"/>
                      <w:sz w:val="21"/>
                      <w:szCs w:val="21"/>
                      <w:highlight w:val="none"/>
                      <w:lang w:val="en-US" w:eastAsia="zh-CN"/>
                    </w:rPr>
                    <w:t>民生工业园污水处理厂</w:t>
                  </w:r>
                </w:p>
              </w:tc>
              <w:tc>
                <w:tcPr>
                  <w:tcW w:w="1061" w:type="dxa"/>
                  <w:tcBorders>
                    <w:top w:val="single" w:color="auto" w:sz="12" w:space="0"/>
                    <w:tl2br w:val="nil"/>
                    <w:tr2bl w:val="nil"/>
                  </w:tcBorders>
                  <w:vAlign w:val="center"/>
                </w:tcPr>
                <w:p w14:paraId="4E42C306">
                  <w:pPr>
                    <w:pStyle w:val="70"/>
                    <w:keepNext w:val="0"/>
                    <w:keepLines w:val="0"/>
                    <w:pageBreakBefore w:val="0"/>
                    <w:widowControl w:val="0"/>
                    <w:kinsoku/>
                    <w:wordWrap/>
                    <w:overflowPunct/>
                    <w:topLinePunct w:val="0"/>
                    <w:autoSpaceDE/>
                    <w:autoSpaceDN/>
                    <w:bidi w:val="0"/>
                    <w:spacing w:line="240" w:lineRule="auto"/>
                    <w:ind w:left="0" w:leftChars="0" w:right="0" w:rightChars="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0.35</w:t>
                  </w:r>
                  <w:r>
                    <w:rPr>
                      <w:rFonts w:hint="default" w:ascii="Times New Roman" w:hAnsi="Times New Roman" w:eastAsia="宋体" w:cs="Times New Roman"/>
                      <w:b w:val="0"/>
                      <w:bCs w:val="0"/>
                      <w:color w:val="auto"/>
                      <w:sz w:val="21"/>
                      <w:szCs w:val="21"/>
                      <w:highlight w:val="none"/>
                      <w:lang w:val="en-US" w:eastAsia="zh-CN"/>
                    </w:rPr>
                    <w:t>t/a</w:t>
                  </w:r>
                </w:p>
              </w:tc>
              <w:tc>
                <w:tcPr>
                  <w:tcW w:w="684" w:type="pct"/>
                  <w:tcBorders>
                    <w:top w:val="single" w:color="auto" w:sz="12" w:space="0"/>
                    <w:tl2br w:val="nil"/>
                    <w:tr2bl w:val="nil"/>
                  </w:tcBorders>
                  <w:vAlign w:val="center"/>
                </w:tcPr>
                <w:p w14:paraId="420D3649">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350mg/L</w:t>
                  </w:r>
                </w:p>
              </w:tc>
            </w:tr>
            <w:tr w14:paraId="5048F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4" w:type="pct"/>
                  <w:vMerge w:val="continue"/>
                  <w:tcBorders>
                    <w:tl2br w:val="nil"/>
                    <w:tr2bl w:val="nil"/>
                  </w:tcBorders>
                  <w:vAlign w:val="center"/>
                </w:tcPr>
                <w:p w14:paraId="224A76E0">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551" w:type="pct"/>
                  <w:tcBorders>
                    <w:tl2br w:val="nil"/>
                    <w:tr2bl w:val="nil"/>
                  </w:tcBorders>
                  <w:vAlign w:val="center"/>
                </w:tcPr>
                <w:p w14:paraId="0E570F49">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SS</w:t>
                  </w:r>
                </w:p>
              </w:tc>
              <w:tc>
                <w:tcPr>
                  <w:tcW w:w="692" w:type="pct"/>
                  <w:tcBorders>
                    <w:tl2br w:val="nil"/>
                    <w:tr2bl w:val="nil"/>
                  </w:tcBorders>
                  <w:vAlign w:val="center"/>
                </w:tcPr>
                <w:p w14:paraId="23F2880F">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0.20</w:t>
                  </w:r>
                  <w:r>
                    <w:rPr>
                      <w:rFonts w:hint="default" w:ascii="Times New Roman" w:hAnsi="Times New Roman" w:eastAsia="宋体" w:cs="Times New Roman"/>
                      <w:b w:val="0"/>
                      <w:bCs w:val="0"/>
                      <w:color w:val="auto"/>
                      <w:sz w:val="21"/>
                      <w:szCs w:val="21"/>
                      <w:highlight w:val="none"/>
                      <w:lang w:val="en-US" w:eastAsia="zh-CN"/>
                    </w:rPr>
                    <w:t>t/a</w:t>
                  </w:r>
                </w:p>
              </w:tc>
              <w:tc>
                <w:tcPr>
                  <w:tcW w:w="679" w:type="pct"/>
                  <w:tcBorders>
                    <w:tl2br w:val="nil"/>
                    <w:tr2bl w:val="nil"/>
                  </w:tcBorders>
                  <w:vAlign w:val="center"/>
                </w:tcPr>
                <w:p w14:paraId="3E5B1C27">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200mg/L</w:t>
                  </w:r>
                </w:p>
              </w:tc>
              <w:tc>
                <w:tcPr>
                  <w:tcW w:w="1047" w:type="pct"/>
                  <w:vMerge w:val="continue"/>
                  <w:tcBorders>
                    <w:tl2br w:val="nil"/>
                    <w:tr2bl w:val="nil"/>
                  </w:tcBorders>
                  <w:vAlign w:val="center"/>
                </w:tcPr>
                <w:p w14:paraId="39534A3D">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061" w:type="dxa"/>
                  <w:tcBorders>
                    <w:tl2br w:val="nil"/>
                    <w:tr2bl w:val="nil"/>
                  </w:tcBorders>
                  <w:vAlign w:val="center"/>
                </w:tcPr>
                <w:p w14:paraId="74D9F251">
                  <w:pPr>
                    <w:pStyle w:val="70"/>
                    <w:keepNext w:val="0"/>
                    <w:keepLines w:val="0"/>
                    <w:pageBreakBefore w:val="0"/>
                    <w:widowControl w:val="0"/>
                    <w:kinsoku/>
                    <w:wordWrap/>
                    <w:overflowPunct/>
                    <w:topLinePunct w:val="0"/>
                    <w:autoSpaceDE/>
                    <w:autoSpaceDN/>
                    <w:bidi w:val="0"/>
                    <w:spacing w:line="240" w:lineRule="auto"/>
                    <w:ind w:left="0" w:leftChars="0" w:right="0" w:rightChars="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0.20</w:t>
                  </w:r>
                  <w:r>
                    <w:rPr>
                      <w:rFonts w:hint="default" w:ascii="Times New Roman" w:hAnsi="Times New Roman" w:eastAsia="宋体" w:cs="Times New Roman"/>
                      <w:b w:val="0"/>
                      <w:bCs w:val="0"/>
                      <w:color w:val="auto"/>
                      <w:sz w:val="21"/>
                      <w:szCs w:val="21"/>
                      <w:highlight w:val="none"/>
                      <w:lang w:val="en-US" w:eastAsia="zh-CN"/>
                    </w:rPr>
                    <w:t>t/a</w:t>
                  </w:r>
                </w:p>
              </w:tc>
              <w:tc>
                <w:tcPr>
                  <w:tcW w:w="684" w:type="pct"/>
                  <w:tcBorders>
                    <w:tl2br w:val="nil"/>
                    <w:tr2bl w:val="nil"/>
                  </w:tcBorders>
                  <w:vAlign w:val="center"/>
                </w:tcPr>
                <w:p w14:paraId="383B3669">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200mg/L</w:t>
                  </w:r>
                </w:p>
              </w:tc>
            </w:tr>
            <w:tr w14:paraId="3F4A8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4" w:type="pct"/>
                  <w:vMerge w:val="continue"/>
                  <w:tcBorders>
                    <w:tl2br w:val="nil"/>
                    <w:tr2bl w:val="nil"/>
                  </w:tcBorders>
                  <w:vAlign w:val="center"/>
                </w:tcPr>
                <w:p w14:paraId="484A7DB7">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551" w:type="pct"/>
                  <w:tcBorders>
                    <w:tl2br w:val="nil"/>
                    <w:tr2bl w:val="nil"/>
                  </w:tcBorders>
                  <w:vAlign w:val="center"/>
                </w:tcPr>
                <w:p w14:paraId="7344F355">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BOD</w:t>
                  </w:r>
                  <w:r>
                    <w:rPr>
                      <w:rFonts w:hint="default" w:ascii="Times New Roman" w:hAnsi="Times New Roman" w:eastAsia="宋体" w:cs="Times New Roman"/>
                      <w:b w:val="0"/>
                      <w:bCs w:val="0"/>
                      <w:color w:val="auto"/>
                      <w:sz w:val="21"/>
                      <w:szCs w:val="21"/>
                      <w:highlight w:val="none"/>
                      <w:vertAlign w:val="subscript"/>
                      <w:lang w:val="en-US" w:eastAsia="zh-CN"/>
                    </w:rPr>
                    <w:t>5</w:t>
                  </w:r>
                </w:p>
              </w:tc>
              <w:tc>
                <w:tcPr>
                  <w:tcW w:w="692" w:type="pct"/>
                  <w:tcBorders>
                    <w:tl2br w:val="nil"/>
                    <w:tr2bl w:val="nil"/>
                  </w:tcBorders>
                  <w:vAlign w:val="center"/>
                </w:tcPr>
                <w:p w14:paraId="73FC1A5F">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0.25</w:t>
                  </w:r>
                  <w:r>
                    <w:rPr>
                      <w:rFonts w:hint="default" w:ascii="Times New Roman" w:hAnsi="Times New Roman" w:eastAsia="宋体" w:cs="Times New Roman"/>
                      <w:b w:val="0"/>
                      <w:bCs w:val="0"/>
                      <w:color w:val="auto"/>
                      <w:sz w:val="21"/>
                      <w:szCs w:val="21"/>
                      <w:highlight w:val="none"/>
                      <w:lang w:val="en-US" w:eastAsia="zh-CN"/>
                    </w:rPr>
                    <w:t>t/a</w:t>
                  </w:r>
                </w:p>
              </w:tc>
              <w:tc>
                <w:tcPr>
                  <w:tcW w:w="679" w:type="pct"/>
                  <w:tcBorders>
                    <w:tl2br w:val="nil"/>
                    <w:tr2bl w:val="nil"/>
                  </w:tcBorders>
                  <w:vAlign w:val="center"/>
                </w:tcPr>
                <w:p w14:paraId="709DFDAD">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250mg/L</w:t>
                  </w:r>
                </w:p>
              </w:tc>
              <w:tc>
                <w:tcPr>
                  <w:tcW w:w="1047" w:type="pct"/>
                  <w:vMerge w:val="continue"/>
                  <w:tcBorders>
                    <w:tl2br w:val="nil"/>
                    <w:tr2bl w:val="nil"/>
                  </w:tcBorders>
                  <w:vAlign w:val="center"/>
                </w:tcPr>
                <w:p w14:paraId="4C4B92D7">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061" w:type="dxa"/>
                  <w:tcBorders>
                    <w:tl2br w:val="nil"/>
                    <w:tr2bl w:val="nil"/>
                  </w:tcBorders>
                  <w:vAlign w:val="center"/>
                </w:tcPr>
                <w:p w14:paraId="0BFF3A67">
                  <w:pPr>
                    <w:pStyle w:val="70"/>
                    <w:keepNext w:val="0"/>
                    <w:keepLines w:val="0"/>
                    <w:pageBreakBefore w:val="0"/>
                    <w:widowControl w:val="0"/>
                    <w:kinsoku/>
                    <w:wordWrap/>
                    <w:overflowPunct/>
                    <w:topLinePunct w:val="0"/>
                    <w:autoSpaceDE/>
                    <w:autoSpaceDN/>
                    <w:bidi w:val="0"/>
                    <w:spacing w:line="240" w:lineRule="auto"/>
                    <w:ind w:left="0" w:leftChars="0" w:right="0" w:rightChars="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0.25</w:t>
                  </w:r>
                  <w:r>
                    <w:rPr>
                      <w:rFonts w:hint="default" w:ascii="Times New Roman" w:hAnsi="Times New Roman" w:eastAsia="宋体" w:cs="Times New Roman"/>
                      <w:b w:val="0"/>
                      <w:bCs w:val="0"/>
                      <w:color w:val="auto"/>
                      <w:sz w:val="21"/>
                      <w:szCs w:val="21"/>
                      <w:highlight w:val="none"/>
                      <w:lang w:val="en-US" w:eastAsia="zh-CN"/>
                    </w:rPr>
                    <w:t>t/a</w:t>
                  </w:r>
                </w:p>
              </w:tc>
              <w:tc>
                <w:tcPr>
                  <w:tcW w:w="684" w:type="pct"/>
                  <w:tcBorders>
                    <w:tl2br w:val="nil"/>
                    <w:tr2bl w:val="nil"/>
                  </w:tcBorders>
                  <w:vAlign w:val="center"/>
                </w:tcPr>
                <w:p w14:paraId="350F2B26">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250mg/L</w:t>
                  </w:r>
                </w:p>
              </w:tc>
            </w:tr>
            <w:tr w14:paraId="0F01F2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4" w:type="pct"/>
                  <w:vMerge w:val="continue"/>
                  <w:tcBorders>
                    <w:tl2br w:val="nil"/>
                    <w:tr2bl w:val="nil"/>
                  </w:tcBorders>
                  <w:vAlign w:val="center"/>
                </w:tcPr>
                <w:p w14:paraId="646AFA15">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551" w:type="pct"/>
                  <w:tcBorders>
                    <w:tl2br w:val="nil"/>
                    <w:tr2bl w:val="nil"/>
                  </w:tcBorders>
                  <w:vAlign w:val="center"/>
                </w:tcPr>
                <w:p w14:paraId="5850976E">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NH</w:t>
                  </w:r>
                  <w:r>
                    <w:rPr>
                      <w:rFonts w:hint="default" w:ascii="Times New Roman" w:hAnsi="Times New Roman" w:eastAsia="宋体" w:cs="Times New Roman"/>
                      <w:b w:val="0"/>
                      <w:bCs w:val="0"/>
                      <w:color w:val="auto"/>
                      <w:sz w:val="21"/>
                      <w:szCs w:val="21"/>
                      <w:highlight w:val="none"/>
                      <w:vertAlign w:val="subscript"/>
                      <w:lang w:val="en-US" w:eastAsia="zh-CN"/>
                    </w:rPr>
                    <w:t>3</w:t>
                  </w:r>
                  <w:r>
                    <w:rPr>
                      <w:rFonts w:hint="default" w:ascii="Times New Roman" w:hAnsi="Times New Roman" w:eastAsia="宋体" w:cs="Times New Roman"/>
                      <w:b w:val="0"/>
                      <w:bCs w:val="0"/>
                      <w:color w:val="auto"/>
                      <w:sz w:val="21"/>
                      <w:szCs w:val="21"/>
                      <w:highlight w:val="none"/>
                      <w:lang w:val="en-US" w:eastAsia="zh-CN"/>
                    </w:rPr>
                    <w:t>-N</w:t>
                  </w:r>
                </w:p>
              </w:tc>
              <w:tc>
                <w:tcPr>
                  <w:tcW w:w="692" w:type="pct"/>
                  <w:tcBorders>
                    <w:tl2br w:val="nil"/>
                    <w:tr2bl w:val="nil"/>
                  </w:tcBorders>
                  <w:vAlign w:val="center"/>
                </w:tcPr>
                <w:p w14:paraId="5208F57D">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0.04</w:t>
                  </w:r>
                  <w:r>
                    <w:rPr>
                      <w:rFonts w:hint="default" w:ascii="Times New Roman" w:hAnsi="Times New Roman" w:eastAsia="宋体" w:cs="Times New Roman"/>
                      <w:b w:val="0"/>
                      <w:bCs w:val="0"/>
                      <w:color w:val="auto"/>
                      <w:sz w:val="21"/>
                      <w:szCs w:val="21"/>
                      <w:highlight w:val="none"/>
                      <w:lang w:val="en-US" w:eastAsia="zh-CN"/>
                    </w:rPr>
                    <w:t>t/a</w:t>
                  </w:r>
                </w:p>
              </w:tc>
              <w:tc>
                <w:tcPr>
                  <w:tcW w:w="679" w:type="pct"/>
                  <w:tcBorders>
                    <w:tl2br w:val="nil"/>
                    <w:tr2bl w:val="nil"/>
                  </w:tcBorders>
                  <w:vAlign w:val="center"/>
                </w:tcPr>
                <w:p w14:paraId="1BA0A1E8">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40mg/L</w:t>
                  </w:r>
                </w:p>
              </w:tc>
              <w:tc>
                <w:tcPr>
                  <w:tcW w:w="1047" w:type="pct"/>
                  <w:vMerge w:val="continue"/>
                  <w:tcBorders>
                    <w:tl2br w:val="nil"/>
                    <w:tr2bl w:val="nil"/>
                  </w:tcBorders>
                  <w:vAlign w:val="center"/>
                </w:tcPr>
                <w:p w14:paraId="65D54C2E">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061" w:type="dxa"/>
                  <w:tcBorders>
                    <w:tl2br w:val="nil"/>
                    <w:tr2bl w:val="nil"/>
                  </w:tcBorders>
                  <w:vAlign w:val="center"/>
                </w:tcPr>
                <w:p w14:paraId="13737DEE">
                  <w:pPr>
                    <w:pStyle w:val="70"/>
                    <w:keepNext w:val="0"/>
                    <w:keepLines w:val="0"/>
                    <w:pageBreakBefore w:val="0"/>
                    <w:widowControl w:val="0"/>
                    <w:kinsoku/>
                    <w:wordWrap/>
                    <w:overflowPunct/>
                    <w:topLinePunct w:val="0"/>
                    <w:autoSpaceDE/>
                    <w:autoSpaceDN/>
                    <w:bidi w:val="0"/>
                    <w:spacing w:line="240" w:lineRule="auto"/>
                    <w:ind w:left="0" w:leftChars="0" w:right="0" w:rightChars="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0.04</w:t>
                  </w:r>
                  <w:r>
                    <w:rPr>
                      <w:rFonts w:hint="default" w:ascii="Times New Roman" w:hAnsi="Times New Roman" w:eastAsia="宋体" w:cs="Times New Roman"/>
                      <w:b w:val="0"/>
                      <w:bCs w:val="0"/>
                      <w:color w:val="auto"/>
                      <w:sz w:val="21"/>
                      <w:szCs w:val="21"/>
                      <w:highlight w:val="none"/>
                      <w:lang w:val="en-US" w:eastAsia="zh-CN"/>
                    </w:rPr>
                    <w:t>t/a</w:t>
                  </w:r>
                </w:p>
              </w:tc>
              <w:tc>
                <w:tcPr>
                  <w:tcW w:w="684" w:type="pct"/>
                  <w:tcBorders>
                    <w:tl2br w:val="nil"/>
                    <w:tr2bl w:val="nil"/>
                  </w:tcBorders>
                  <w:vAlign w:val="center"/>
                </w:tcPr>
                <w:p w14:paraId="60B4EB05">
                  <w:pPr>
                    <w:pStyle w:val="70"/>
                    <w:keepNext w:val="0"/>
                    <w:keepLines w:val="0"/>
                    <w:pageBreakBefore w:val="0"/>
                    <w:widowControl w:val="0"/>
                    <w:kinsoku/>
                    <w:wordWrap/>
                    <w:overflowPunct/>
                    <w:topLinePunct w:val="0"/>
                    <w:autoSpaceDE/>
                    <w:autoSpaceDN/>
                    <w:bidi w:val="0"/>
                    <w:spacing w:line="240" w:lineRule="auto"/>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40mg/L</w:t>
                  </w:r>
                </w:p>
              </w:tc>
            </w:tr>
          </w:tbl>
          <w:p w14:paraId="391E7807">
            <w:pPr>
              <w:pStyle w:val="8"/>
              <w:pageBreakBefore w:val="0"/>
              <w:kinsoku/>
              <w:wordWrap/>
              <w:overflowPunct/>
              <w:topLinePunct w:val="0"/>
              <w:autoSpaceDE/>
              <w:autoSpaceDN/>
              <w:bidi w:val="0"/>
              <w:spacing w:beforeLines="0" w:afterLines="0" w:line="360" w:lineRule="auto"/>
              <w:ind w:right="0"/>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2.3</w:t>
            </w:r>
            <w:r>
              <w:rPr>
                <w:rFonts w:hint="default" w:ascii="Times New Roman" w:hAnsi="Times New Roman" w:eastAsia="宋体" w:cs="Times New Roman"/>
                <w:b/>
                <w:bCs/>
                <w:color w:val="auto"/>
                <w:sz w:val="24"/>
                <w:szCs w:val="24"/>
                <w:highlight w:val="none"/>
              </w:rPr>
              <w:t>污水处理措施依托可行性分析</w:t>
            </w:r>
          </w:p>
          <w:p w14:paraId="4C7FB104">
            <w:pPr>
              <w:pStyle w:val="25"/>
              <w:pageBreakBefore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所在的新型产业及轻工业区位于污水处理厂上游，相对高程差分别为36~91m。木垒县民生工业园区污水处理厂及配套管网工程管线已布设至新型产业及轻工业区管道长9.8km，均为重力排水管道，已铺设至项目所在区域。新疆维吾尔自治区环境保护厅于2017年5月6日出具《关于木垒县城乡园区一体化污水处理系统建设项目环境影响报告书的批复》（新环函[2017]657号）批准建设民生工业园区污水处理厂</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项目于2017年5月开工建设，2018年8月投入运行，并于2018年10月进行了验收，项目建设中基本执行了国家建设项目环境管理制度及“三同时”制度</w:t>
            </w:r>
            <w:r>
              <w:rPr>
                <w:rFonts w:hint="default" w:ascii="Times New Roman" w:hAnsi="Times New Roman" w:eastAsia="宋体" w:cs="Times New Roman"/>
                <w:color w:val="auto"/>
                <w:sz w:val="24"/>
                <w:szCs w:val="24"/>
                <w:highlight w:val="none"/>
              </w:rPr>
              <w:t>。位于木垒县城东北侧约15km，主要用于收纳木垒县城、民生工业园区(农副产品加工及民族特色旅游产业区、农副产品及食品加工区、新型产业及轻工业区)的生活污水和生产废水。</w:t>
            </w:r>
          </w:p>
          <w:p w14:paraId="014A03D2">
            <w:pPr>
              <w:pStyle w:val="25"/>
              <w:pageBreakBefore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项目预处理阶段采用“粗格栅+提升泵+细格栅+曝气沉砂池+水解酸化池+初沉池”处理工艺，二级处理工艺采用A/</w:t>
            </w:r>
            <w:r>
              <w:rPr>
                <w:rFonts w:hint="eastAsia"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rPr>
              <w:t>+MBR+臭氧消毒处理工艺；主要工程建设内容包括：业务用房、配电室、预处理车间、沉砂池、初沉池、A/O池、MBR池、二沉池、污泥脱水车间、回流及剩余污泥泵池、鼓风机房、臭氧接触池等，配套建设污水收集管网36135米、尾水排放管网1000米。该项目于2017年5月开始施工，2018年8月完工。并2018年10月进行了验收，并交新疆环保厅环评处公示。污水处理厂近期(202</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年)污水处理规模为1万m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/d，远期(2030年)污水处理规模为2万m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/d，目前的实际处理能力为8000m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/d，本项目废水产生量为</w:t>
            </w:r>
            <w:r>
              <w:rPr>
                <w:rFonts w:hint="eastAsia"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/d，污水处理厂剩余处理能力能够满足本项目需求。木垒县民生工业园区污水处理厂进水指标为COD≤500mg/L、BOD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≤300mg/L、SS≤400mg/L、NH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-N≤45mg/L、总氮≤70mg/L、总磷≤8mg/L，pH为6~9，本项目生活污水各污染物排放浓度为COD：3</w:t>
            </w:r>
            <w:r>
              <w:rPr>
                <w:rFonts w:hint="eastAsia"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250</w:t>
            </w:r>
            <w:r>
              <w:rPr>
                <w:rFonts w:hint="default" w:ascii="Times New Roman" w:hAnsi="Times New Roman" w:eastAsia="宋体" w:cs="Times New Roman"/>
                <w:color w:val="auto"/>
                <w:sz w:val="24"/>
                <w:szCs w:val="24"/>
                <w:highlight w:val="none"/>
              </w:rPr>
              <w:t>mg/L、SS：</w:t>
            </w:r>
            <w:r>
              <w:rPr>
                <w:rFonts w:hint="eastAsia" w:cs="Times New Roman"/>
                <w:color w:val="auto"/>
                <w:sz w:val="24"/>
                <w:szCs w:val="24"/>
                <w:highlight w:val="none"/>
                <w:lang w:val="en-US" w:eastAsia="zh-CN"/>
              </w:rPr>
              <w:t>200</w:t>
            </w:r>
            <w:r>
              <w:rPr>
                <w:rFonts w:hint="default" w:ascii="Times New Roman" w:hAnsi="Times New Roman" w:eastAsia="宋体" w:cs="Times New Roman"/>
                <w:color w:val="auto"/>
                <w:sz w:val="24"/>
                <w:szCs w:val="24"/>
                <w:highlight w:val="none"/>
              </w:rPr>
              <w:t>mg/L、氨氮：</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mg</w:t>
            </w:r>
            <w:r>
              <w:rPr>
                <w:rFonts w:hint="eastAsia" w:cs="Times New Roman"/>
                <w:color w:val="auto"/>
                <w:sz w:val="24"/>
                <w:szCs w:val="24"/>
                <w:highlight w:val="none"/>
                <w:lang w:val="en-US" w:eastAsia="zh-CN"/>
              </w:rPr>
              <w:t>/L</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满足《污水综合排放标准》（GB8978-1996）表4三级标准并同时满足木垒县民生工业园区污水处理厂进水水质标准要求。验收监测期间，出水各项目监测指标浓度均符合《城镇污水处理厂污染物排放标准》GB18918-2002中的表1基本控制项目一级A标准、表2部分一类污染物最高允许排放浓度（日均值）、表3选择控制项目最高排放浓度（日均值）的要求。最终出水达到《城镇污水处理厂污染物排放标准》(GB18918-2002)中的一级A标准，作为木垒光伏产业园用水或下游绿化灌溉水源。项目外排生活污水排放浓度可以达到民生工业园区污水管网接管标准，因此本项目生活污水排至民生工业园区污水处理厂可行。</w:t>
            </w:r>
          </w:p>
          <w:p w14:paraId="6134B04A">
            <w:pPr>
              <w:pStyle w:val="83"/>
              <w:pageBreakBefore w:val="0"/>
              <w:numPr>
                <w:ilvl w:val="0"/>
                <w:numId w:val="0"/>
              </w:numPr>
              <w:tabs>
                <w:tab w:val="left" w:pos="952"/>
              </w:tabs>
              <w:kinsoku/>
              <w:wordWrap/>
              <w:overflowPunct/>
              <w:topLinePunct w:val="0"/>
              <w:autoSpaceDE/>
              <w:autoSpaceDN/>
              <w:bidi w:val="0"/>
              <w:spacing w:line="360" w:lineRule="auto"/>
              <w:ind w:right="0" w:rightChars="0"/>
              <w:jc w:val="both"/>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2.4</w:t>
            </w:r>
            <w:r>
              <w:rPr>
                <w:rFonts w:hint="default" w:ascii="Times New Roman" w:hAnsi="Times New Roman" w:eastAsia="宋体" w:cs="Times New Roman"/>
                <w:b/>
                <w:bCs/>
                <w:color w:val="auto"/>
                <w:sz w:val="24"/>
                <w:szCs w:val="24"/>
                <w:highlight w:val="none"/>
              </w:rPr>
              <w:t>废水排放监测计划</w:t>
            </w:r>
          </w:p>
          <w:p w14:paraId="07CCA151">
            <w:pPr>
              <w:pStyle w:val="76"/>
              <w:spacing w:before="193" w:line="357" w:lineRule="auto"/>
              <w:ind w:left="108" w:right="101" w:firstLine="480"/>
              <w:jc w:val="both"/>
              <w:rPr>
                <w:color w:val="auto"/>
                <w:sz w:val="24"/>
                <w:szCs w:val="24"/>
              </w:rPr>
            </w:pPr>
            <w:r>
              <w:rPr>
                <w:color w:val="auto"/>
                <w:sz w:val="24"/>
                <w:szCs w:val="24"/>
              </w:rPr>
              <w:t>根据项目生产特点和主要污染物的排放情况，按照《排污单位自行监测</w:t>
            </w:r>
            <w:r>
              <w:rPr>
                <w:color w:val="auto"/>
                <w:spacing w:val="1"/>
                <w:sz w:val="24"/>
                <w:szCs w:val="24"/>
              </w:rPr>
              <w:t>技术指南总则》（</w:t>
            </w:r>
            <w:r>
              <w:rPr>
                <w:rFonts w:ascii="Times New Roman" w:hAnsi="Times New Roman" w:eastAsia="Times New Roman" w:cs="Times New Roman"/>
                <w:color w:val="auto"/>
                <w:sz w:val="24"/>
                <w:szCs w:val="24"/>
              </w:rPr>
              <w:t>HJ</w:t>
            </w:r>
            <w:r>
              <w:rPr>
                <w:rFonts w:ascii="Times New Roman" w:hAnsi="Times New Roman" w:eastAsia="Times New Roman" w:cs="Times New Roman"/>
                <w:color w:val="auto"/>
                <w:spacing w:val="1"/>
                <w:sz w:val="24"/>
                <w:szCs w:val="24"/>
              </w:rPr>
              <w:t>819-2017</w:t>
            </w:r>
            <w:r>
              <w:rPr>
                <w:color w:val="auto"/>
                <w:spacing w:val="1"/>
                <w:sz w:val="24"/>
                <w:szCs w:val="24"/>
              </w:rPr>
              <w:t>）、《排污许可证申请与核发</w:t>
            </w:r>
            <w:r>
              <w:rPr>
                <w:color w:val="auto"/>
                <w:sz w:val="24"/>
                <w:szCs w:val="24"/>
              </w:rPr>
              <w:t>技术规范石墨</w:t>
            </w:r>
            <w:r>
              <w:rPr>
                <w:color w:val="auto"/>
                <w:spacing w:val="-2"/>
                <w:sz w:val="24"/>
                <w:szCs w:val="24"/>
              </w:rPr>
              <w:t>及其他非金属矿物制品制造》（</w:t>
            </w:r>
            <w:r>
              <w:rPr>
                <w:rFonts w:ascii="Times New Roman" w:hAnsi="Times New Roman" w:eastAsia="Times New Roman" w:cs="Times New Roman"/>
                <w:color w:val="auto"/>
                <w:spacing w:val="-2"/>
                <w:sz w:val="24"/>
                <w:szCs w:val="24"/>
              </w:rPr>
              <w:t>HJ1119-202</w:t>
            </w:r>
            <w:r>
              <w:rPr>
                <w:rFonts w:ascii="Times New Roman" w:hAnsi="Times New Roman" w:eastAsia="Times New Roman" w:cs="Times New Roman"/>
                <w:color w:val="auto"/>
                <w:spacing w:val="-3"/>
                <w:sz w:val="24"/>
                <w:szCs w:val="24"/>
              </w:rPr>
              <w:t>0</w:t>
            </w:r>
            <w:r>
              <w:rPr>
                <w:color w:val="auto"/>
                <w:spacing w:val="-3"/>
                <w:sz w:val="24"/>
                <w:szCs w:val="24"/>
              </w:rPr>
              <w:t>）</w:t>
            </w:r>
            <w:r>
              <w:rPr>
                <w:color w:val="auto"/>
                <w:spacing w:val="-2"/>
                <w:sz w:val="24"/>
                <w:szCs w:val="24"/>
              </w:rPr>
              <w:t>制定</w:t>
            </w:r>
            <w:r>
              <w:rPr>
                <w:color w:val="auto"/>
                <w:spacing w:val="-3"/>
                <w:sz w:val="24"/>
                <w:szCs w:val="24"/>
              </w:rPr>
              <w:t>监测计划，制定本项目监测计划如</w:t>
            </w:r>
            <w:r>
              <w:rPr>
                <w:color w:val="auto"/>
                <w:spacing w:val="-5"/>
                <w:sz w:val="24"/>
                <w:szCs w:val="24"/>
              </w:rPr>
              <w:t>下。</w:t>
            </w:r>
          </w:p>
          <w:p w14:paraId="34E61DC4">
            <w:pPr>
              <w:pageBreakBefore w:val="0"/>
              <w:kinsoku/>
              <w:wordWrap/>
              <w:overflowPunct/>
              <w:topLinePunct w:val="0"/>
              <w:autoSpaceDE/>
              <w:autoSpaceDN/>
              <w:bidi w:val="0"/>
              <w:spacing w:line="240" w:lineRule="auto"/>
              <w:ind w:left="0" w:right="0" w:firstLine="422" w:firstLineChars="20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表4-</w:t>
            </w:r>
            <w:r>
              <w:rPr>
                <w:rFonts w:hint="eastAsia"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rPr>
              <w:t>项目运营期水污染物监测计划</w:t>
            </w:r>
          </w:p>
          <w:tbl>
            <w:tblPr>
              <w:tblStyle w:val="29"/>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88"/>
              <w:gridCol w:w="905"/>
              <w:gridCol w:w="1247"/>
              <w:gridCol w:w="1812"/>
              <w:gridCol w:w="1210"/>
              <w:gridCol w:w="1497"/>
            </w:tblGrid>
            <w:tr w14:paraId="741A59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701" w:type="pct"/>
                  <w:tcBorders>
                    <w:bottom w:val="single" w:color="000000" w:sz="12" w:space="0"/>
                  </w:tcBorders>
                  <w:vAlign w:val="center"/>
                </w:tcPr>
                <w:p w14:paraId="1008633C">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废水类别</w:t>
                  </w:r>
                </w:p>
              </w:tc>
              <w:tc>
                <w:tcPr>
                  <w:tcW w:w="583" w:type="pct"/>
                  <w:tcBorders>
                    <w:bottom w:val="single" w:color="000000" w:sz="12" w:space="0"/>
                  </w:tcBorders>
                  <w:vAlign w:val="center"/>
                </w:tcPr>
                <w:p w14:paraId="23DAA70D">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编号</w:t>
                  </w:r>
                </w:p>
              </w:tc>
              <w:tc>
                <w:tcPr>
                  <w:tcW w:w="803" w:type="pct"/>
                  <w:tcBorders>
                    <w:bottom w:val="single" w:color="000000" w:sz="12" w:space="0"/>
                  </w:tcBorders>
                  <w:vAlign w:val="center"/>
                </w:tcPr>
                <w:p w14:paraId="44FC5B8B">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监测位置</w:t>
                  </w:r>
                </w:p>
              </w:tc>
              <w:tc>
                <w:tcPr>
                  <w:tcW w:w="1167" w:type="pct"/>
                  <w:tcBorders>
                    <w:bottom w:val="single" w:color="000000" w:sz="12" w:space="0"/>
                  </w:tcBorders>
                  <w:vAlign w:val="center"/>
                </w:tcPr>
                <w:p w14:paraId="25FA5A10">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监测项目</w:t>
                  </w:r>
                </w:p>
              </w:tc>
              <w:tc>
                <w:tcPr>
                  <w:tcW w:w="779" w:type="pct"/>
                  <w:tcBorders>
                    <w:bottom w:val="single" w:color="000000" w:sz="12" w:space="0"/>
                  </w:tcBorders>
                  <w:vAlign w:val="center"/>
                </w:tcPr>
                <w:p w14:paraId="1DEA2B70">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监测频率</w:t>
                  </w:r>
                </w:p>
              </w:tc>
              <w:tc>
                <w:tcPr>
                  <w:tcW w:w="964" w:type="pct"/>
                  <w:tcBorders>
                    <w:bottom w:val="single" w:color="000000" w:sz="12" w:space="0"/>
                  </w:tcBorders>
                  <w:vAlign w:val="center"/>
                </w:tcPr>
                <w:p w14:paraId="5B384C5A">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实施单位</w:t>
                  </w:r>
                </w:p>
              </w:tc>
            </w:tr>
            <w:tr w14:paraId="3EF890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701" w:type="pct"/>
                  <w:tcBorders>
                    <w:top w:val="single" w:color="000000" w:sz="12" w:space="0"/>
                    <w:tl2br w:val="nil"/>
                    <w:tr2bl w:val="nil"/>
                  </w:tcBorders>
                  <w:vAlign w:val="center"/>
                </w:tcPr>
                <w:p w14:paraId="6DA4346A">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生活污水</w:t>
                  </w:r>
                </w:p>
              </w:tc>
              <w:tc>
                <w:tcPr>
                  <w:tcW w:w="583" w:type="pct"/>
                  <w:tcBorders>
                    <w:top w:val="single" w:color="000000" w:sz="12" w:space="0"/>
                    <w:tl2br w:val="nil"/>
                    <w:tr2bl w:val="nil"/>
                  </w:tcBorders>
                  <w:vAlign w:val="center"/>
                </w:tcPr>
                <w:p w14:paraId="4B75D9C0">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DW001</w:t>
                  </w:r>
                </w:p>
              </w:tc>
              <w:tc>
                <w:tcPr>
                  <w:tcW w:w="803" w:type="pct"/>
                  <w:tcBorders>
                    <w:top w:val="single" w:color="000000" w:sz="12" w:space="0"/>
                    <w:tl2br w:val="nil"/>
                    <w:tr2bl w:val="nil"/>
                  </w:tcBorders>
                  <w:vAlign w:val="center"/>
                </w:tcPr>
                <w:p w14:paraId="4FE64275">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废水总排口</w:t>
                  </w:r>
                </w:p>
              </w:tc>
              <w:tc>
                <w:tcPr>
                  <w:tcW w:w="1167" w:type="pct"/>
                  <w:tcBorders>
                    <w:top w:val="single" w:color="000000" w:sz="12" w:space="0"/>
                    <w:tl2br w:val="nil"/>
                    <w:tr2bl w:val="nil"/>
                  </w:tcBorders>
                  <w:vAlign w:val="center"/>
                </w:tcPr>
                <w:p w14:paraId="22E1D9AD">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pH、COD、氨氮、</w:t>
                  </w:r>
                </w:p>
                <w:p w14:paraId="58B639F0">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悬浮物</w:t>
                  </w:r>
                </w:p>
              </w:tc>
              <w:tc>
                <w:tcPr>
                  <w:tcW w:w="779" w:type="pct"/>
                  <w:tcBorders>
                    <w:top w:val="single" w:color="000000" w:sz="12" w:space="0"/>
                    <w:tl2br w:val="nil"/>
                    <w:tr2bl w:val="nil"/>
                  </w:tcBorders>
                  <w:vAlign w:val="center"/>
                </w:tcPr>
                <w:p w14:paraId="4B6293BE">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次/</w:t>
                  </w:r>
                  <w:r>
                    <w:rPr>
                      <w:rFonts w:hint="eastAsia" w:ascii="Times New Roman" w:hAnsi="Times New Roman" w:cs="Times New Roman"/>
                      <w:color w:val="auto"/>
                      <w:sz w:val="21"/>
                      <w:szCs w:val="21"/>
                      <w:highlight w:val="none"/>
                      <w:lang w:val="en-US" w:eastAsia="zh-CN"/>
                    </w:rPr>
                    <w:t>半年</w:t>
                  </w:r>
                </w:p>
              </w:tc>
              <w:tc>
                <w:tcPr>
                  <w:tcW w:w="964" w:type="pct"/>
                  <w:tcBorders>
                    <w:top w:val="single" w:color="000000" w:sz="12" w:space="0"/>
                    <w:tl2br w:val="nil"/>
                    <w:tr2bl w:val="nil"/>
                  </w:tcBorders>
                  <w:vAlign w:val="center"/>
                </w:tcPr>
                <w:p w14:paraId="0911BAED">
                  <w:pPr>
                    <w:pStyle w:val="8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企业自行委托</w:t>
                  </w:r>
                </w:p>
              </w:tc>
            </w:tr>
          </w:tbl>
          <w:p w14:paraId="3BD7E47B">
            <w:pPr>
              <w:pStyle w:val="76"/>
              <w:spacing w:before="180" w:line="221" w:lineRule="auto"/>
              <w:rPr>
                <w:color w:val="auto"/>
                <w:sz w:val="24"/>
                <w:szCs w:val="24"/>
              </w:rPr>
            </w:pPr>
            <w:r>
              <w:rPr>
                <w:rFonts w:ascii="Times New Roman" w:hAnsi="Times New Roman" w:eastAsia="Times New Roman" w:cs="Times New Roman"/>
                <w:b/>
                <w:bCs/>
                <w:color w:val="auto"/>
                <w:spacing w:val="-9"/>
                <w:sz w:val="24"/>
                <w:szCs w:val="24"/>
              </w:rPr>
              <w:t>3</w:t>
            </w:r>
            <w:r>
              <w:rPr>
                <w:b/>
                <w:bCs/>
                <w:color w:val="auto"/>
                <w:spacing w:val="-9"/>
                <w:sz w:val="24"/>
                <w:szCs w:val="24"/>
              </w:rPr>
              <w:t>、噪声</w:t>
            </w:r>
          </w:p>
          <w:p w14:paraId="3D4B188B">
            <w:pPr>
              <w:pStyle w:val="76"/>
              <w:spacing w:before="192" w:line="221" w:lineRule="auto"/>
              <w:rPr>
                <w:color w:val="auto"/>
                <w:sz w:val="24"/>
                <w:szCs w:val="24"/>
              </w:rPr>
            </w:pPr>
            <w:r>
              <w:rPr>
                <w:rFonts w:ascii="Times New Roman" w:hAnsi="Times New Roman" w:eastAsia="Times New Roman" w:cs="Times New Roman"/>
                <w:b/>
                <w:bCs/>
                <w:color w:val="auto"/>
                <w:spacing w:val="-4"/>
                <w:sz w:val="24"/>
                <w:szCs w:val="24"/>
              </w:rPr>
              <w:t>3.1</w:t>
            </w:r>
            <w:r>
              <w:rPr>
                <w:b/>
                <w:bCs/>
                <w:color w:val="auto"/>
                <w:spacing w:val="-4"/>
                <w:sz w:val="24"/>
                <w:szCs w:val="24"/>
              </w:rPr>
              <w:t>噪声源强分析</w:t>
            </w:r>
          </w:p>
          <w:p w14:paraId="67836C05">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color w:val="auto"/>
                <w:sz w:val="24"/>
                <w:szCs w:val="24"/>
              </w:rPr>
              <w:t>项目营运期主要噪声源是设备运行过程中产生机械噪声和运输车辆产生</w:t>
            </w:r>
            <w:r>
              <w:rPr>
                <w:color w:val="auto"/>
                <w:spacing w:val="2"/>
                <w:sz w:val="24"/>
                <w:szCs w:val="24"/>
              </w:rPr>
              <w:t>的交通噪声，源强在</w:t>
            </w:r>
            <w:r>
              <w:rPr>
                <w:rFonts w:ascii="Times New Roman" w:hAnsi="Times New Roman" w:eastAsia="Times New Roman" w:cs="Times New Roman"/>
                <w:color w:val="auto"/>
                <w:spacing w:val="2"/>
                <w:sz w:val="24"/>
                <w:szCs w:val="24"/>
              </w:rPr>
              <w:t>75~90</w:t>
            </w:r>
            <w:r>
              <w:rPr>
                <w:rFonts w:ascii="Times New Roman" w:hAnsi="Times New Roman" w:eastAsia="Times New Roman" w:cs="Times New Roman"/>
                <w:color w:val="auto"/>
                <w:sz w:val="24"/>
                <w:szCs w:val="24"/>
              </w:rPr>
              <w:t>dB</w:t>
            </w:r>
            <w:r>
              <w:rPr>
                <w:color w:val="auto"/>
                <w:spacing w:val="2"/>
                <w:sz w:val="24"/>
                <w:szCs w:val="24"/>
              </w:rPr>
              <w:t>（</w:t>
            </w:r>
            <w:r>
              <w:rPr>
                <w:rFonts w:ascii="Times New Roman" w:hAnsi="Times New Roman" w:eastAsia="Times New Roman" w:cs="Times New Roman"/>
                <w:color w:val="auto"/>
                <w:spacing w:val="2"/>
                <w:sz w:val="24"/>
                <w:szCs w:val="24"/>
              </w:rPr>
              <w:t>A</w:t>
            </w:r>
            <w:r>
              <w:rPr>
                <w:color w:val="auto"/>
                <w:spacing w:val="2"/>
                <w:sz w:val="24"/>
                <w:szCs w:val="24"/>
              </w:rPr>
              <w:t>）之间。针对以上噪声源</w:t>
            </w:r>
            <w:r>
              <w:rPr>
                <w:color w:val="auto"/>
                <w:spacing w:val="1"/>
                <w:sz w:val="24"/>
                <w:szCs w:val="24"/>
              </w:rPr>
              <w:t>产生情况，项目</w:t>
            </w:r>
            <w:r>
              <w:rPr>
                <w:color w:val="auto"/>
                <w:spacing w:val="-1"/>
                <w:sz w:val="24"/>
                <w:szCs w:val="24"/>
              </w:rPr>
              <w:t>将采取以下防噪、降噪措施：</w:t>
            </w:r>
          </w:p>
          <w:p w14:paraId="7115D07B">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rFonts w:ascii="Times New Roman" w:hAnsi="Times New Roman" w:eastAsia="Times New Roman" w:cs="Times New Roman"/>
                <w:color w:val="auto"/>
                <w:sz w:val="24"/>
                <w:szCs w:val="24"/>
              </w:rPr>
              <w:t>a.</w:t>
            </w:r>
            <w:r>
              <w:rPr>
                <w:color w:val="auto"/>
                <w:sz w:val="24"/>
                <w:szCs w:val="24"/>
              </w:rPr>
              <w:t>场地内设置限速禁鸣标识，派专人管理指挥</w:t>
            </w:r>
            <w:r>
              <w:rPr>
                <w:color w:val="auto"/>
                <w:spacing w:val="-1"/>
                <w:sz w:val="24"/>
                <w:szCs w:val="24"/>
              </w:rPr>
              <w:t>运输车辆，运输车辆进入场地后低速行驶，禁止鸣笛；</w:t>
            </w:r>
          </w:p>
          <w:p w14:paraId="042AB1CC">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rFonts w:ascii="Times New Roman" w:hAnsi="Times New Roman" w:eastAsia="Times New Roman" w:cs="Times New Roman"/>
                <w:color w:val="auto"/>
                <w:sz w:val="24"/>
                <w:szCs w:val="24"/>
              </w:rPr>
              <w:t>b.</w:t>
            </w:r>
            <w:r>
              <w:rPr>
                <w:color w:val="auto"/>
                <w:sz w:val="24"/>
                <w:szCs w:val="24"/>
              </w:rPr>
              <w:t>定期对装载设备进行检查、维护和保养，减少装载设备产生的非正常</w:t>
            </w:r>
            <w:r>
              <w:rPr>
                <w:color w:val="auto"/>
                <w:spacing w:val="-5"/>
                <w:sz w:val="24"/>
                <w:szCs w:val="24"/>
              </w:rPr>
              <w:t>噪声排放；</w:t>
            </w:r>
          </w:p>
          <w:p w14:paraId="323F7232">
            <w:pPr>
              <w:pStyle w:val="76"/>
              <w:keepNext w:val="0"/>
              <w:keepLines w:val="0"/>
              <w:pageBreakBefore w:val="0"/>
              <w:widowControl w:val="0"/>
              <w:kinsoku/>
              <w:wordWrap/>
              <w:overflowPunct/>
              <w:topLinePunct w:val="0"/>
              <w:autoSpaceDE/>
              <w:autoSpaceDN/>
              <w:bidi w:val="0"/>
              <w:spacing w:line="360" w:lineRule="auto"/>
              <w:ind w:left="0" w:right="0" w:firstLine="468" w:firstLineChars="200"/>
              <w:jc w:val="right"/>
              <w:textAlignment w:val="auto"/>
              <w:rPr>
                <w:color w:val="auto"/>
                <w:sz w:val="24"/>
                <w:szCs w:val="24"/>
              </w:rPr>
            </w:pPr>
            <w:r>
              <w:rPr>
                <w:rFonts w:ascii="Times New Roman" w:hAnsi="Times New Roman" w:eastAsia="Times New Roman" w:cs="Times New Roman"/>
                <w:color w:val="auto"/>
                <w:spacing w:val="-3"/>
                <w:sz w:val="24"/>
                <w:szCs w:val="24"/>
              </w:rPr>
              <w:t>c.</w:t>
            </w:r>
            <w:r>
              <w:rPr>
                <w:color w:val="auto"/>
                <w:spacing w:val="-3"/>
                <w:sz w:val="24"/>
                <w:szCs w:val="24"/>
              </w:rPr>
              <w:t>在满足生产要求的前提下，选用低噪声设备，从根本上降低噪声源强；</w:t>
            </w:r>
          </w:p>
          <w:p w14:paraId="592A5F42">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rFonts w:ascii="Times New Roman" w:hAnsi="Times New Roman" w:eastAsia="Times New Roman" w:cs="Times New Roman"/>
                <w:color w:val="auto"/>
                <w:sz w:val="24"/>
                <w:szCs w:val="24"/>
              </w:rPr>
              <w:t>d.</w:t>
            </w:r>
            <w:r>
              <w:rPr>
                <w:color w:val="auto"/>
                <w:sz w:val="24"/>
                <w:szCs w:val="24"/>
              </w:rPr>
              <w:t>风机等强噪声设备设置罩壳，利用隔声且考虑减</w:t>
            </w:r>
            <w:r>
              <w:rPr>
                <w:color w:val="auto"/>
                <w:spacing w:val="-1"/>
                <w:sz w:val="24"/>
                <w:szCs w:val="24"/>
              </w:rPr>
              <w:t>振等措施，有效地控</w:t>
            </w:r>
            <w:r>
              <w:rPr>
                <w:color w:val="auto"/>
                <w:spacing w:val="-2"/>
                <w:sz w:val="24"/>
                <w:szCs w:val="24"/>
              </w:rPr>
              <w:t>制噪声对环境的影响。</w:t>
            </w:r>
          </w:p>
          <w:p w14:paraId="60E7C25A">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rFonts w:ascii="Times New Roman" w:hAnsi="Times New Roman" w:eastAsia="Times New Roman" w:cs="Times New Roman"/>
                <w:color w:val="auto"/>
                <w:sz w:val="24"/>
                <w:szCs w:val="24"/>
              </w:rPr>
              <w:t>e.</w:t>
            </w:r>
            <w:r>
              <w:rPr>
                <w:color w:val="auto"/>
                <w:sz w:val="24"/>
                <w:szCs w:val="24"/>
              </w:rPr>
              <w:t>提高零部件的装配精度，加强运转部件的润</w:t>
            </w:r>
            <w:r>
              <w:rPr>
                <w:color w:val="auto"/>
                <w:spacing w:val="-1"/>
                <w:sz w:val="24"/>
                <w:szCs w:val="24"/>
              </w:rPr>
              <w:t>滑，降低摩擦力，对各连接部位安装弹性钢垫或橡胶衬垫，以减少传动装置间的振动；</w:t>
            </w:r>
          </w:p>
          <w:p w14:paraId="1BD53070">
            <w:pPr>
              <w:pStyle w:val="76"/>
              <w:keepNext w:val="0"/>
              <w:keepLines w:val="0"/>
              <w:pageBreakBefore w:val="0"/>
              <w:widowControl w:val="0"/>
              <w:kinsoku/>
              <w:wordWrap/>
              <w:overflowPunct/>
              <w:topLinePunct w:val="0"/>
              <w:autoSpaceDE/>
              <w:autoSpaceDN/>
              <w:bidi w:val="0"/>
              <w:spacing w:line="360" w:lineRule="auto"/>
              <w:ind w:left="0" w:right="0" w:firstLine="464" w:firstLineChars="200"/>
              <w:textAlignment w:val="auto"/>
              <w:rPr>
                <w:color w:val="auto"/>
                <w:sz w:val="24"/>
                <w:szCs w:val="24"/>
              </w:rPr>
            </w:pPr>
            <w:r>
              <w:rPr>
                <w:rFonts w:ascii="Times New Roman" w:hAnsi="Times New Roman" w:eastAsia="Times New Roman" w:cs="Times New Roman"/>
                <w:color w:val="auto"/>
                <w:spacing w:val="-4"/>
                <w:sz w:val="24"/>
                <w:szCs w:val="24"/>
              </w:rPr>
              <w:t>f.</w:t>
            </w:r>
            <w:r>
              <w:rPr>
                <w:color w:val="auto"/>
                <w:spacing w:val="-4"/>
                <w:sz w:val="24"/>
                <w:szCs w:val="24"/>
              </w:rPr>
              <w:t>为了减小风机噪声和振动对环境的影响，风机前后均采用石棉布软接头</w:t>
            </w:r>
            <w:r>
              <w:rPr>
                <w:color w:val="auto"/>
                <w:spacing w:val="-1"/>
                <w:sz w:val="24"/>
                <w:szCs w:val="24"/>
              </w:rPr>
              <w:t>连接，在风机安装时采用下垫减振橡胶减振；</w:t>
            </w:r>
          </w:p>
          <w:p w14:paraId="201CAB5A">
            <w:pPr>
              <w:pStyle w:val="76"/>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color w:val="auto"/>
                <w:sz w:val="24"/>
                <w:szCs w:val="24"/>
              </w:rPr>
            </w:pPr>
            <w:r>
              <w:rPr>
                <w:rFonts w:ascii="Times New Roman" w:hAnsi="Times New Roman" w:eastAsia="Times New Roman" w:cs="Times New Roman"/>
                <w:color w:val="auto"/>
                <w:spacing w:val="-1"/>
                <w:sz w:val="24"/>
                <w:szCs w:val="24"/>
              </w:rPr>
              <w:t>g.</w:t>
            </w:r>
            <w:r>
              <w:rPr>
                <w:color w:val="auto"/>
                <w:spacing w:val="-1"/>
                <w:sz w:val="24"/>
                <w:szCs w:val="24"/>
              </w:rPr>
              <w:t>种植绿化带起到一定的隔声降噪作用。</w:t>
            </w:r>
          </w:p>
          <w:p w14:paraId="5BC28D41">
            <w:pPr>
              <w:keepNext w:val="0"/>
              <w:keepLines w:val="0"/>
              <w:pageBreakBefore w:val="0"/>
              <w:widowControl w:val="0"/>
              <w:kinsoku/>
              <w:wordWrap/>
              <w:overflowPunct/>
              <w:topLinePunct w:val="0"/>
              <w:autoSpaceDE/>
              <w:autoSpaceDN/>
              <w:bidi w:val="0"/>
              <w:adjustRightInd w:val="0"/>
              <w:snapToGrid w:val="0"/>
              <w:spacing w:line="360" w:lineRule="auto"/>
              <w:ind w:left="0" w:right="0" w:firstLine="484" w:firstLineChars="200"/>
              <w:textAlignment w:val="auto"/>
              <w:rPr>
                <w:b/>
                <w:bCs/>
                <w:color w:val="auto"/>
                <w:sz w:val="24"/>
                <w:highlight w:val="none"/>
              </w:rPr>
            </w:pPr>
            <w:r>
              <w:rPr>
                <w:color w:val="auto"/>
                <w:spacing w:val="1"/>
                <w:sz w:val="24"/>
                <w:szCs w:val="24"/>
              </w:rPr>
              <w:t>经采取上述措施后，本项目噪声源强可降低</w:t>
            </w:r>
            <w:r>
              <w:rPr>
                <w:rFonts w:ascii="Times New Roman" w:hAnsi="Times New Roman" w:eastAsia="Times New Roman" w:cs="Times New Roman"/>
                <w:color w:val="auto"/>
                <w:spacing w:val="1"/>
                <w:sz w:val="24"/>
                <w:szCs w:val="24"/>
              </w:rPr>
              <w:t>20</w:t>
            </w:r>
            <w:r>
              <w:rPr>
                <w:rFonts w:ascii="Times New Roman" w:hAnsi="Times New Roman" w:eastAsia="Times New Roman" w:cs="Times New Roman"/>
                <w:color w:val="auto"/>
                <w:sz w:val="24"/>
                <w:szCs w:val="24"/>
              </w:rPr>
              <w:t>dB</w:t>
            </w:r>
            <w:r>
              <w:rPr>
                <w:color w:val="auto"/>
                <w:spacing w:val="1"/>
                <w:sz w:val="24"/>
                <w:szCs w:val="24"/>
              </w:rPr>
              <w:t>（</w:t>
            </w:r>
            <w:r>
              <w:rPr>
                <w:rFonts w:ascii="Times New Roman" w:hAnsi="Times New Roman" w:eastAsia="Times New Roman" w:cs="Times New Roman"/>
                <w:color w:val="auto"/>
                <w:spacing w:val="1"/>
                <w:sz w:val="24"/>
                <w:szCs w:val="24"/>
              </w:rPr>
              <w:t>A</w:t>
            </w:r>
            <w:r>
              <w:rPr>
                <w:color w:val="auto"/>
                <w:spacing w:val="1"/>
                <w:sz w:val="24"/>
                <w:szCs w:val="24"/>
              </w:rPr>
              <w:t>）左右。本项目主</w:t>
            </w:r>
            <w:r>
              <w:rPr>
                <w:color w:val="auto"/>
                <w:spacing w:val="4"/>
                <w:sz w:val="24"/>
                <w:szCs w:val="24"/>
              </w:rPr>
              <w:t>要噪声源见表</w:t>
            </w:r>
            <w:r>
              <w:rPr>
                <w:rFonts w:ascii="Times New Roman" w:hAnsi="Times New Roman" w:eastAsia="Times New Roman" w:cs="Times New Roman"/>
                <w:color w:val="auto"/>
                <w:spacing w:val="4"/>
                <w:sz w:val="24"/>
                <w:szCs w:val="24"/>
              </w:rPr>
              <w:t>4-</w:t>
            </w:r>
            <w:r>
              <w:rPr>
                <w:rFonts w:hint="eastAsia" w:eastAsia="宋体" w:cs="Times New Roman"/>
                <w:color w:val="auto"/>
                <w:spacing w:val="4"/>
                <w:sz w:val="24"/>
                <w:szCs w:val="24"/>
                <w:lang w:val="en-US" w:eastAsia="zh-CN"/>
              </w:rPr>
              <w:t>7</w:t>
            </w:r>
            <w:r>
              <w:rPr>
                <w:color w:val="auto"/>
                <w:spacing w:val="4"/>
                <w:sz w:val="24"/>
                <w:szCs w:val="24"/>
              </w:rPr>
              <w:t>。</w:t>
            </w:r>
          </w:p>
          <w:p w14:paraId="367C1263">
            <w:pPr>
              <w:pStyle w:val="10"/>
              <w:spacing w:line="520" w:lineRule="exact"/>
              <w:rPr>
                <w:color w:val="auto"/>
                <w:sz w:val="21"/>
                <w:szCs w:val="21"/>
                <w:highlight w:val="none"/>
              </w:rPr>
            </w:pPr>
            <w:r>
              <w:rPr>
                <w:color w:val="auto"/>
                <w:sz w:val="21"/>
                <w:szCs w:val="21"/>
                <w:highlight w:val="none"/>
              </w:rPr>
              <w:t>表</w:t>
            </w:r>
            <w:r>
              <w:rPr>
                <w:rFonts w:hint="eastAsia"/>
                <w:color w:val="auto"/>
                <w:sz w:val="21"/>
                <w:szCs w:val="21"/>
                <w:highlight w:val="none"/>
                <w:lang w:val="en-US" w:eastAsia="zh-CN"/>
              </w:rPr>
              <w:t>4-7</w:t>
            </w:r>
            <w:r>
              <w:rPr>
                <w:rFonts w:hint="eastAsia"/>
                <w:color w:val="auto"/>
                <w:sz w:val="21"/>
                <w:szCs w:val="21"/>
                <w:highlight w:val="none"/>
              </w:rPr>
              <w:t>工业企业噪声源请调查清单（室内声源）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
              <w:gridCol w:w="380"/>
              <w:gridCol w:w="379"/>
              <w:gridCol w:w="645"/>
              <w:gridCol w:w="761"/>
              <w:gridCol w:w="587"/>
              <w:gridCol w:w="560"/>
              <w:gridCol w:w="453"/>
              <w:gridCol w:w="560"/>
              <w:gridCol w:w="480"/>
              <w:gridCol w:w="787"/>
              <w:gridCol w:w="613"/>
              <w:gridCol w:w="627"/>
              <w:gridCol w:w="541"/>
            </w:tblGrid>
            <w:tr w14:paraId="0B0E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restart"/>
                  <w:noWrap w:val="0"/>
                  <w:vAlign w:val="center"/>
                </w:tcPr>
                <w:p w14:paraId="44014F54">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建筑物名称</w:t>
                  </w:r>
                </w:p>
              </w:tc>
              <w:tc>
                <w:tcPr>
                  <w:tcW w:w="245" w:type="pct"/>
                  <w:vMerge w:val="restart"/>
                  <w:noWrap w:val="0"/>
                  <w:vAlign w:val="center"/>
                </w:tcPr>
                <w:p w14:paraId="767F692D">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244" w:type="pct"/>
                  <w:vMerge w:val="restart"/>
                  <w:noWrap w:val="0"/>
                  <w:vAlign w:val="center"/>
                </w:tcPr>
                <w:p w14:paraId="64D6F45F">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型号</w:t>
                  </w:r>
                </w:p>
              </w:tc>
              <w:tc>
                <w:tcPr>
                  <w:tcW w:w="416" w:type="pct"/>
                  <w:vMerge w:val="restart"/>
                  <w:noWrap w:val="0"/>
                  <w:vAlign w:val="center"/>
                </w:tcPr>
                <w:p w14:paraId="4F3161D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单台设备声源源强dB(A)</w:t>
                  </w:r>
                </w:p>
              </w:tc>
              <w:tc>
                <w:tcPr>
                  <w:tcW w:w="490" w:type="pct"/>
                  <w:vMerge w:val="restart"/>
                  <w:noWrap w:val="0"/>
                  <w:vAlign w:val="center"/>
                </w:tcPr>
                <w:p w14:paraId="318EBD3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声源控制措施</w:t>
                  </w:r>
                </w:p>
              </w:tc>
              <w:tc>
                <w:tcPr>
                  <w:tcW w:w="1031" w:type="pct"/>
                  <w:gridSpan w:val="3"/>
                  <w:noWrap w:val="0"/>
                  <w:vAlign w:val="center"/>
                </w:tcPr>
                <w:p w14:paraId="00DE85A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空间相对位置</w:t>
                  </w:r>
                </w:p>
              </w:tc>
              <w:tc>
                <w:tcPr>
                  <w:tcW w:w="361" w:type="pct"/>
                  <w:vMerge w:val="restart"/>
                  <w:noWrap w:val="0"/>
                  <w:vAlign w:val="center"/>
                </w:tcPr>
                <w:p w14:paraId="791A3A43">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距室内边界距离/m</w:t>
                  </w:r>
                </w:p>
              </w:tc>
              <w:tc>
                <w:tcPr>
                  <w:tcW w:w="309" w:type="pct"/>
                  <w:vMerge w:val="restart"/>
                  <w:noWrap w:val="0"/>
                  <w:vAlign w:val="center"/>
                </w:tcPr>
                <w:p w14:paraId="74709418">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室内边界声级/dB(A)</w:t>
                  </w:r>
                </w:p>
              </w:tc>
              <w:tc>
                <w:tcPr>
                  <w:tcW w:w="507" w:type="pct"/>
                  <w:vMerge w:val="restart"/>
                  <w:noWrap w:val="0"/>
                  <w:vAlign w:val="center"/>
                </w:tcPr>
                <w:p w14:paraId="254FF5D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运行时段</w:t>
                  </w:r>
                </w:p>
              </w:tc>
              <w:tc>
                <w:tcPr>
                  <w:tcW w:w="395" w:type="pct"/>
                  <w:vMerge w:val="restart"/>
                  <w:noWrap w:val="0"/>
                  <w:vAlign w:val="center"/>
                </w:tcPr>
                <w:p w14:paraId="00191519">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建筑插入损失/dB(A)</w:t>
                  </w:r>
                </w:p>
              </w:tc>
              <w:tc>
                <w:tcPr>
                  <w:tcW w:w="753" w:type="pct"/>
                  <w:gridSpan w:val="2"/>
                  <w:noWrap w:val="0"/>
                  <w:vAlign w:val="center"/>
                </w:tcPr>
                <w:p w14:paraId="3576523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建筑物外噪声</w:t>
                  </w:r>
                </w:p>
              </w:tc>
            </w:tr>
            <w:tr w14:paraId="3200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continue"/>
                  <w:noWrap w:val="0"/>
                  <w:vAlign w:val="center"/>
                </w:tcPr>
                <w:p w14:paraId="3D2CCF9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245" w:type="pct"/>
                  <w:vMerge w:val="continue"/>
                  <w:noWrap w:val="0"/>
                  <w:vAlign w:val="center"/>
                </w:tcPr>
                <w:p w14:paraId="7C7CC4B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244" w:type="pct"/>
                  <w:vMerge w:val="continue"/>
                  <w:noWrap w:val="0"/>
                  <w:vAlign w:val="center"/>
                </w:tcPr>
                <w:p w14:paraId="08D7C4F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416" w:type="pct"/>
                  <w:vMerge w:val="continue"/>
                  <w:noWrap w:val="0"/>
                  <w:vAlign w:val="center"/>
                </w:tcPr>
                <w:p w14:paraId="4AFD57ED">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490" w:type="pct"/>
                  <w:vMerge w:val="continue"/>
                  <w:noWrap w:val="0"/>
                  <w:vAlign w:val="center"/>
                </w:tcPr>
                <w:p w14:paraId="04759ADD">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378" w:type="pct"/>
                  <w:noWrap w:val="0"/>
                  <w:vAlign w:val="center"/>
                </w:tcPr>
                <w:p w14:paraId="12BBB74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X</w:t>
                  </w:r>
                </w:p>
              </w:tc>
              <w:tc>
                <w:tcPr>
                  <w:tcW w:w="361" w:type="pct"/>
                  <w:noWrap w:val="0"/>
                  <w:vAlign w:val="center"/>
                </w:tcPr>
                <w:p w14:paraId="718BA8E5">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Y</w:t>
                  </w:r>
                </w:p>
              </w:tc>
              <w:tc>
                <w:tcPr>
                  <w:tcW w:w="292" w:type="pct"/>
                  <w:noWrap w:val="0"/>
                  <w:vAlign w:val="center"/>
                </w:tcPr>
                <w:p w14:paraId="324E8034">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Z</w:t>
                  </w:r>
                </w:p>
              </w:tc>
              <w:tc>
                <w:tcPr>
                  <w:tcW w:w="361" w:type="pct"/>
                  <w:vMerge w:val="continue"/>
                  <w:noWrap w:val="0"/>
                  <w:vAlign w:val="center"/>
                </w:tcPr>
                <w:p w14:paraId="65AF0DF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309" w:type="pct"/>
                  <w:vMerge w:val="continue"/>
                  <w:noWrap w:val="0"/>
                  <w:vAlign w:val="center"/>
                </w:tcPr>
                <w:p w14:paraId="6E8C55C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507" w:type="pct"/>
                  <w:vMerge w:val="continue"/>
                  <w:noWrap w:val="0"/>
                  <w:vAlign w:val="center"/>
                </w:tcPr>
                <w:p w14:paraId="1331A28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395" w:type="pct"/>
                  <w:vMerge w:val="continue"/>
                  <w:noWrap w:val="0"/>
                  <w:vAlign w:val="center"/>
                </w:tcPr>
                <w:p w14:paraId="2B8514F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p>
              </w:tc>
              <w:tc>
                <w:tcPr>
                  <w:tcW w:w="404" w:type="pct"/>
                  <w:noWrap w:val="0"/>
                  <w:vAlign w:val="center"/>
                </w:tcPr>
                <w:p w14:paraId="5BF27497">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声压级/dB(A)</w:t>
                  </w:r>
                </w:p>
              </w:tc>
              <w:tc>
                <w:tcPr>
                  <w:tcW w:w="348" w:type="pct"/>
                  <w:noWrap w:val="0"/>
                  <w:vAlign w:val="center"/>
                </w:tcPr>
                <w:p w14:paraId="1B9A9A55">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建筑物外距离（m）</w:t>
                  </w:r>
                </w:p>
              </w:tc>
            </w:tr>
            <w:tr w14:paraId="5C83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restart"/>
                  <w:noWrap w:val="0"/>
                  <w:vAlign w:val="center"/>
                </w:tcPr>
                <w:p w14:paraId="39169CC2">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生产车间</w:t>
                  </w:r>
                </w:p>
              </w:tc>
              <w:tc>
                <w:tcPr>
                  <w:tcW w:w="245" w:type="pct"/>
                  <w:noWrap w:val="0"/>
                  <w:vAlign w:val="center"/>
                </w:tcPr>
                <w:p w14:paraId="4EE7EE99">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color w:val="auto"/>
                      <w:spacing w:val="7"/>
                    </w:rPr>
                    <w:t>切割机</w:t>
                  </w:r>
                </w:p>
              </w:tc>
              <w:tc>
                <w:tcPr>
                  <w:tcW w:w="244" w:type="pct"/>
                  <w:noWrap w:val="0"/>
                  <w:vAlign w:val="center"/>
                </w:tcPr>
                <w:p w14:paraId="2C283DAF">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6" w:type="pct"/>
                  <w:noWrap w:val="0"/>
                  <w:vAlign w:val="center"/>
                </w:tcPr>
                <w:p w14:paraId="3231C044">
                  <w:pPr>
                    <w:pStyle w:val="7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color w:val="auto"/>
                      <w:sz w:val="21"/>
                      <w:szCs w:val="21"/>
                      <w:highlight w:val="none"/>
                    </w:rPr>
                  </w:pPr>
                  <w:r>
                    <w:rPr>
                      <w:rFonts w:hint="eastAsia" w:eastAsia="宋体" w:cs="Times New Roman"/>
                      <w:b w:val="0"/>
                      <w:color w:val="auto"/>
                      <w:sz w:val="21"/>
                      <w:szCs w:val="21"/>
                      <w:highlight w:val="none"/>
                      <w:lang w:val="en-US" w:eastAsia="zh-CN"/>
                    </w:rPr>
                    <w:t>9</w:t>
                  </w:r>
                  <w:r>
                    <w:rPr>
                      <w:rFonts w:hint="default" w:ascii="Times New Roman" w:hAnsi="Times New Roman" w:eastAsia="宋体" w:cs="Times New Roman"/>
                      <w:b w:val="0"/>
                      <w:color w:val="auto"/>
                      <w:sz w:val="21"/>
                      <w:szCs w:val="21"/>
                      <w:highlight w:val="none"/>
                    </w:rPr>
                    <w:t>0</w:t>
                  </w:r>
                </w:p>
              </w:tc>
              <w:tc>
                <w:tcPr>
                  <w:tcW w:w="490" w:type="pct"/>
                  <w:noWrap w:val="0"/>
                  <w:vAlign w:val="center"/>
                </w:tcPr>
                <w:p w14:paraId="7D6160D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rPr>
                  </w:pPr>
                  <w:r>
                    <w:rPr>
                      <w:color w:val="auto"/>
                      <w:spacing w:val="4"/>
                    </w:rPr>
                    <w:t>隔声、隔</w:t>
                  </w:r>
                  <w:r>
                    <w:rPr>
                      <w:color w:val="auto"/>
                      <w:spacing w:val="5"/>
                    </w:rPr>
                    <w:t>声罩壳</w:t>
                  </w:r>
                </w:p>
              </w:tc>
              <w:tc>
                <w:tcPr>
                  <w:tcW w:w="378" w:type="pct"/>
                  <w:noWrap w:val="0"/>
                  <w:vAlign w:val="center"/>
                </w:tcPr>
                <w:p w14:paraId="5BB588D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Times New Roman" w:cs="Times New Roman"/>
                      <w:color w:val="auto"/>
                      <w:position w:val="1"/>
                      <w:sz w:val="20"/>
                      <w:szCs w:val="20"/>
                    </w:rPr>
                    <w:t>-192</w:t>
                  </w:r>
                </w:p>
              </w:tc>
              <w:tc>
                <w:tcPr>
                  <w:tcW w:w="361" w:type="pct"/>
                  <w:noWrap w:val="0"/>
                  <w:vAlign w:val="center"/>
                </w:tcPr>
                <w:p w14:paraId="6967B0A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ascii="Times New Roman" w:hAnsi="Times New Roman" w:eastAsia="Times New Roman" w:cs="Times New Roman"/>
                      <w:color w:val="auto"/>
                      <w:spacing w:val="2"/>
                      <w:position w:val="2"/>
                      <w:sz w:val="20"/>
                      <w:szCs w:val="20"/>
                    </w:rPr>
                    <w:t>20</w:t>
                  </w:r>
                </w:p>
              </w:tc>
              <w:tc>
                <w:tcPr>
                  <w:tcW w:w="292" w:type="pct"/>
                  <w:noWrap w:val="0"/>
                  <w:vAlign w:val="center"/>
                </w:tcPr>
                <w:p w14:paraId="704E113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2"/>
                      <w:position w:val="2"/>
                      <w:sz w:val="20"/>
                      <w:szCs w:val="20"/>
                    </w:rPr>
                    <w:t>23</w:t>
                  </w:r>
                </w:p>
              </w:tc>
              <w:tc>
                <w:tcPr>
                  <w:tcW w:w="361" w:type="pct"/>
                  <w:noWrap w:val="0"/>
                  <w:vAlign w:val="center"/>
                </w:tcPr>
                <w:p w14:paraId="225786F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309" w:type="pct"/>
                  <w:noWrap w:val="0"/>
                  <w:vAlign w:val="center"/>
                </w:tcPr>
                <w:p w14:paraId="7DC5285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position w:val="2"/>
                      <w:sz w:val="20"/>
                      <w:szCs w:val="20"/>
                    </w:rPr>
                    <w:t>90</w:t>
                  </w:r>
                </w:p>
              </w:tc>
              <w:tc>
                <w:tcPr>
                  <w:tcW w:w="507" w:type="pct"/>
                  <w:vMerge w:val="restart"/>
                  <w:noWrap w:val="0"/>
                  <w:vAlign w:val="center"/>
                </w:tcPr>
                <w:p w14:paraId="463ACF7F">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0:00~24:00</w:t>
                  </w:r>
                </w:p>
              </w:tc>
              <w:tc>
                <w:tcPr>
                  <w:tcW w:w="395" w:type="pct"/>
                  <w:noWrap w:val="0"/>
                  <w:vAlign w:val="center"/>
                </w:tcPr>
                <w:p w14:paraId="77AC21F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2"/>
                      <w:position w:val="2"/>
                      <w:sz w:val="20"/>
                      <w:szCs w:val="20"/>
                    </w:rPr>
                    <w:t>20</w:t>
                  </w:r>
                </w:p>
              </w:tc>
              <w:tc>
                <w:tcPr>
                  <w:tcW w:w="404" w:type="pct"/>
                  <w:noWrap w:val="0"/>
                  <w:vAlign w:val="center"/>
                </w:tcPr>
                <w:p w14:paraId="5916140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1"/>
                      <w:position w:val="2"/>
                      <w:sz w:val="20"/>
                      <w:szCs w:val="20"/>
                    </w:rPr>
                    <w:t>70</w:t>
                  </w:r>
                </w:p>
              </w:tc>
              <w:tc>
                <w:tcPr>
                  <w:tcW w:w="348" w:type="pct"/>
                  <w:noWrap w:val="0"/>
                  <w:vAlign w:val="center"/>
                </w:tcPr>
                <w:p w14:paraId="5CDAA343">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rFonts w:ascii="Times New Roman" w:hAnsi="Times New Roman" w:eastAsia="Times New Roman" w:cs="Times New Roman"/>
                      <w:color w:val="auto"/>
                      <w:position w:val="1"/>
                      <w:sz w:val="20"/>
                      <w:szCs w:val="20"/>
                    </w:rPr>
                    <w:t>1</w:t>
                  </w:r>
                  <w:r>
                    <w:rPr>
                      <w:rFonts w:hint="eastAsia" w:eastAsia="宋体" w:cs="Times New Roman"/>
                      <w:color w:val="auto"/>
                      <w:position w:val="1"/>
                      <w:sz w:val="20"/>
                      <w:szCs w:val="20"/>
                      <w:lang w:val="en-US" w:eastAsia="zh-CN"/>
                    </w:rPr>
                    <w:t>6</w:t>
                  </w:r>
                </w:p>
              </w:tc>
            </w:tr>
            <w:tr w14:paraId="49B5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continue"/>
                  <w:noWrap w:val="0"/>
                  <w:vAlign w:val="center"/>
                </w:tcPr>
                <w:p w14:paraId="20AA239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p>
              </w:tc>
              <w:tc>
                <w:tcPr>
                  <w:tcW w:w="245" w:type="pct"/>
                  <w:noWrap w:val="0"/>
                  <w:vAlign w:val="center"/>
                </w:tcPr>
                <w:p w14:paraId="00D4D3F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highlight w:val="none"/>
                      <w:lang w:val="en-US" w:eastAsia="zh-CN"/>
                    </w:rPr>
                  </w:pPr>
                  <w:r>
                    <w:rPr>
                      <w:color w:val="auto"/>
                      <w:spacing w:val="6"/>
                    </w:rPr>
                    <w:t>抛光机</w:t>
                  </w:r>
                </w:p>
              </w:tc>
              <w:tc>
                <w:tcPr>
                  <w:tcW w:w="244" w:type="pct"/>
                  <w:noWrap w:val="0"/>
                  <w:vAlign w:val="center"/>
                </w:tcPr>
                <w:p w14:paraId="2E6054D9">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16" w:type="pct"/>
                  <w:noWrap w:val="0"/>
                  <w:vAlign w:val="center"/>
                </w:tcPr>
                <w:p w14:paraId="6A2C986E">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85</w:t>
                  </w:r>
                </w:p>
              </w:tc>
              <w:tc>
                <w:tcPr>
                  <w:tcW w:w="490" w:type="pct"/>
                  <w:noWrap w:val="0"/>
                  <w:vAlign w:val="center"/>
                </w:tcPr>
                <w:p w14:paraId="1A86499D">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b w:val="0"/>
                      <w:bCs w:val="0"/>
                      <w:color w:val="auto"/>
                    </w:rPr>
                  </w:pPr>
                  <w:r>
                    <w:rPr>
                      <w:b w:val="0"/>
                      <w:bCs w:val="0"/>
                      <w:color w:val="auto"/>
                      <w:spacing w:val="4"/>
                    </w:rPr>
                    <w:t>隔声、进</w:t>
                  </w:r>
                </w:p>
                <w:p w14:paraId="2A24322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b w:val="0"/>
                      <w:bCs w:val="0"/>
                      <w:color w:val="auto"/>
                    </w:rPr>
                  </w:pPr>
                  <w:r>
                    <w:rPr>
                      <w:b w:val="0"/>
                      <w:bCs w:val="0"/>
                      <w:color w:val="auto"/>
                      <w:spacing w:val="7"/>
                    </w:rPr>
                    <w:t>风口消声</w:t>
                  </w:r>
                </w:p>
                <w:p w14:paraId="4BB53FAE">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rPr>
                  </w:pPr>
                  <w:r>
                    <w:rPr>
                      <w:b w:val="0"/>
                      <w:bCs w:val="0"/>
                      <w:color w:val="auto"/>
                    </w:rPr>
                    <w:t>器</w:t>
                  </w:r>
                </w:p>
              </w:tc>
              <w:tc>
                <w:tcPr>
                  <w:tcW w:w="378" w:type="pct"/>
                  <w:noWrap w:val="0"/>
                  <w:vAlign w:val="center"/>
                </w:tcPr>
                <w:p w14:paraId="524DCE9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ascii="Times New Roman" w:hAnsi="Times New Roman" w:eastAsia="Times New Roman" w:cs="Times New Roman"/>
                      <w:b w:val="0"/>
                      <w:bCs w:val="0"/>
                      <w:color w:val="auto"/>
                      <w:position w:val="1"/>
                      <w:sz w:val="20"/>
                      <w:szCs w:val="20"/>
                    </w:rPr>
                    <w:t>-150</w:t>
                  </w:r>
                </w:p>
              </w:tc>
              <w:tc>
                <w:tcPr>
                  <w:tcW w:w="361" w:type="pct"/>
                  <w:noWrap w:val="0"/>
                  <w:vAlign w:val="center"/>
                </w:tcPr>
                <w:p w14:paraId="3904B04C">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ascii="Times New Roman" w:hAnsi="Times New Roman" w:eastAsia="Times New Roman" w:cs="Times New Roman"/>
                      <w:b w:val="0"/>
                      <w:bCs w:val="0"/>
                      <w:color w:val="auto"/>
                      <w:position w:val="2"/>
                      <w:sz w:val="20"/>
                      <w:szCs w:val="20"/>
                    </w:rPr>
                    <w:t>99</w:t>
                  </w:r>
                </w:p>
              </w:tc>
              <w:tc>
                <w:tcPr>
                  <w:tcW w:w="292" w:type="pct"/>
                  <w:noWrap w:val="0"/>
                  <w:vAlign w:val="center"/>
                </w:tcPr>
                <w:p w14:paraId="3F7D36D3">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ascii="Times New Roman" w:hAnsi="Times New Roman" w:eastAsia="Times New Roman" w:cs="Times New Roman"/>
                      <w:b w:val="0"/>
                      <w:bCs w:val="0"/>
                      <w:color w:val="auto"/>
                      <w:spacing w:val="1"/>
                      <w:position w:val="1"/>
                      <w:sz w:val="20"/>
                      <w:szCs w:val="20"/>
                    </w:rPr>
                    <w:t>4</w:t>
                  </w:r>
                </w:p>
              </w:tc>
              <w:tc>
                <w:tcPr>
                  <w:tcW w:w="361" w:type="pct"/>
                  <w:noWrap w:val="0"/>
                  <w:vAlign w:val="center"/>
                </w:tcPr>
                <w:p w14:paraId="44BBE23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14</w:t>
                  </w:r>
                </w:p>
              </w:tc>
              <w:tc>
                <w:tcPr>
                  <w:tcW w:w="309" w:type="pct"/>
                  <w:noWrap w:val="0"/>
                  <w:vAlign w:val="center"/>
                </w:tcPr>
                <w:p w14:paraId="2A4B9DC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eastAsia="Times New Roman" w:cs="Times New Roman"/>
                      <w:b w:val="0"/>
                      <w:bCs w:val="0"/>
                      <w:color w:val="auto"/>
                      <w:spacing w:val="-2"/>
                      <w:position w:val="2"/>
                      <w:sz w:val="20"/>
                      <w:szCs w:val="20"/>
                    </w:rPr>
                    <w:t>85</w:t>
                  </w:r>
                </w:p>
              </w:tc>
              <w:tc>
                <w:tcPr>
                  <w:tcW w:w="507" w:type="pct"/>
                  <w:vMerge w:val="continue"/>
                  <w:noWrap w:val="0"/>
                  <w:vAlign w:val="center"/>
                </w:tcPr>
                <w:p w14:paraId="2AD1F5BB">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95" w:type="pct"/>
                  <w:noWrap w:val="0"/>
                  <w:vAlign w:val="center"/>
                </w:tcPr>
                <w:p w14:paraId="450908C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eastAsia="Times New Roman" w:cs="Times New Roman"/>
                      <w:b w:val="0"/>
                      <w:bCs w:val="0"/>
                      <w:color w:val="auto"/>
                      <w:spacing w:val="2"/>
                      <w:position w:val="2"/>
                      <w:sz w:val="20"/>
                      <w:szCs w:val="20"/>
                    </w:rPr>
                    <w:t>20</w:t>
                  </w:r>
                </w:p>
              </w:tc>
              <w:tc>
                <w:tcPr>
                  <w:tcW w:w="404" w:type="pct"/>
                  <w:noWrap w:val="0"/>
                  <w:vAlign w:val="center"/>
                </w:tcPr>
                <w:p w14:paraId="4775788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Times New Roman" w:cs="Times New Roman"/>
                      <w:color w:val="auto"/>
                      <w:position w:val="2"/>
                      <w:sz w:val="20"/>
                      <w:szCs w:val="20"/>
                    </w:rPr>
                    <w:t>65</w:t>
                  </w:r>
                </w:p>
              </w:tc>
              <w:tc>
                <w:tcPr>
                  <w:tcW w:w="348" w:type="pct"/>
                  <w:noWrap w:val="0"/>
                  <w:vAlign w:val="center"/>
                </w:tcPr>
                <w:p w14:paraId="4909A75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r>
            <w:tr w14:paraId="15A9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continue"/>
                  <w:noWrap w:val="0"/>
                  <w:vAlign w:val="center"/>
                </w:tcPr>
                <w:p w14:paraId="21C0A2E3">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p>
              </w:tc>
              <w:tc>
                <w:tcPr>
                  <w:tcW w:w="245" w:type="pct"/>
                  <w:noWrap w:val="0"/>
                  <w:vAlign w:val="center"/>
                </w:tcPr>
                <w:p w14:paraId="52C48F5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rPr>
                  </w:pPr>
                  <w:r>
                    <w:rPr>
                      <w:color w:val="auto"/>
                      <w:spacing w:val="7"/>
                    </w:rPr>
                    <w:t>超声波</w:t>
                  </w:r>
                </w:p>
                <w:p w14:paraId="2871864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kern w:val="2"/>
                      <w:sz w:val="21"/>
                      <w:szCs w:val="21"/>
                      <w:highlight w:val="none"/>
                      <w:lang w:val="en-US" w:eastAsia="zh-CN" w:bidi="ar-SA"/>
                    </w:rPr>
                  </w:pPr>
                  <w:r>
                    <w:rPr>
                      <w:color w:val="auto"/>
                      <w:spacing w:val="6"/>
                    </w:rPr>
                    <w:t>清洗机</w:t>
                  </w:r>
                </w:p>
              </w:tc>
              <w:tc>
                <w:tcPr>
                  <w:tcW w:w="244" w:type="pct"/>
                  <w:noWrap w:val="0"/>
                  <w:vAlign w:val="center"/>
                </w:tcPr>
                <w:p w14:paraId="4D41D49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416" w:type="pct"/>
                  <w:noWrap w:val="0"/>
                  <w:vAlign w:val="center"/>
                </w:tcPr>
                <w:p w14:paraId="19C55AC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75</w:t>
                  </w:r>
                </w:p>
              </w:tc>
              <w:tc>
                <w:tcPr>
                  <w:tcW w:w="490" w:type="pct"/>
                  <w:noWrap w:val="0"/>
                  <w:vAlign w:val="center"/>
                </w:tcPr>
                <w:p w14:paraId="4BDAF70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b w:val="0"/>
                      <w:bCs w:val="0"/>
                      <w:color w:val="auto"/>
                      <w:spacing w:val="4"/>
                    </w:rPr>
                    <w:t>隔声，隔</w:t>
                  </w:r>
                  <w:r>
                    <w:rPr>
                      <w:b w:val="0"/>
                      <w:bCs w:val="0"/>
                      <w:color w:val="auto"/>
                      <w:spacing w:val="5"/>
                    </w:rPr>
                    <w:t>声罩壳</w:t>
                  </w:r>
                </w:p>
              </w:tc>
              <w:tc>
                <w:tcPr>
                  <w:tcW w:w="378" w:type="pct"/>
                  <w:noWrap w:val="0"/>
                  <w:vAlign w:val="center"/>
                </w:tcPr>
                <w:p w14:paraId="073B7AD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snapToGrid w:val="0"/>
                      <w:color w:val="auto"/>
                      <w:kern w:val="2"/>
                      <w:sz w:val="21"/>
                      <w:szCs w:val="21"/>
                      <w:highlight w:val="none"/>
                      <w:lang w:val="en-US" w:eastAsia="zh-CN" w:bidi="ar-SA"/>
                    </w:rPr>
                  </w:pPr>
                  <w:r>
                    <w:rPr>
                      <w:rFonts w:ascii="Times New Roman" w:hAnsi="Times New Roman" w:eastAsia="Times New Roman" w:cs="Times New Roman"/>
                      <w:b w:val="0"/>
                      <w:bCs w:val="0"/>
                      <w:color w:val="auto"/>
                      <w:position w:val="1"/>
                      <w:sz w:val="20"/>
                      <w:szCs w:val="20"/>
                    </w:rPr>
                    <w:t>-160</w:t>
                  </w:r>
                </w:p>
              </w:tc>
              <w:tc>
                <w:tcPr>
                  <w:tcW w:w="361" w:type="pct"/>
                  <w:noWrap w:val="0"/>
                  <w:vAlign w:val="center"/>
                </w:tcPr>
                <w:p w14:paraId="181E094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snapToGrid w:val="0"/>
                      <w:color w:val="auto"/>
                      <w:kern w:val="2"/>
                      <w:sz w:val="21"/>
                      <w:szCs w:val="21"/>
                      <w:highlight w:val="none"/>
                      <w:lang w:val="en-US" w:eastAsia="zh-CN" w:bidi="ar-SA"/>
                    </w:rPr>
                  </w:pPr>
                  <w:r>
                    <w:rPr>
                      <w:rFonts w:ascii="Times New Roman" w:hAnsi="Times New Roman" w:eastAsia="Times New Roman" w:cs="Times New Roman"/>
                      <w:b w:val="0"/>
                      <w:bCs w:val="0"/>
                      <w:color w:val="auto"/>
                      <w:spacing w:val="1"/>
                      <w:position w:val="1"/>
                      <w:sz w:val="20"/>
                      <w:szCs w:val="20"/>
                    </w:rPr>
                    <w:t>-14</w:t>
                  </w:r>
                </w:p>
              </w:tc>
              <w:tc>
                <w:tcPr>
                  <w:tcW w:w="292" w:type="pct"/>
                  <w:noWrap w:val="0"/>
                  <w:vAlign w:val="center"/>
                </w:tcPr>
                <w:p w14:paraId="75828B1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snapToGrid w:val="0"/>
                      <w:color w:val="auto"/>
                      <w:kern w:val="2"/>
                      <w:sz w:val="21"/>
                      <w:szCs w:val="21"/>
                      <w:highlight w:val="none"/>
                      <w:lang w:val="en-US" w:eastAsia="zh-CN" w:bidi="ar-SA"/>
                    </w:rPr>
                  </w:pPr>
                  <w:r>
                    <w:rPr>
                      <w:rFonts w:ascii="Times New Roman" w:hAnsi="Times New Roman" w:eastAsia="Times New Roman" w:cs="Times New Roman"/>
                      <w:b w:val="0"/>
                      <w:bCs w:val="0"/>
                      <w:color w:val="auto"/>
                      <w:spacing w:val="1"/>
                      <w:position w:val="1"/>
                      <w:sz w:val="20"/>
                      <w:szCs w:val="20"/>
                    </w:rPr>
                    <w:t>4</w:t>
                  </w:r>
                </w:p>
              </w:tc>
              <w:tc>
                <w:tcPr>
                  <w:tcW w:w="361" w:type="pct"/>
                  <w:noWrap w:val="0"/>
                  <w:vAlign w:val="center"/>
                </w:tcPr>
                <w:p w14:paraId="7FE85DF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eastAsia="Times New Roman" w:cs="Times New Roman"/>
                      <w:b w:val="0"/>
                      <w:bCs w:val="0"/>
                      <w:color w:val="auto"/>
                      <w:position w:val="1"/>
                      <w:sz w:val="20"/>
                      <w:szCs w:val="20"/>
                    </w:rPr>
                    <w:t>1</w:t>
                  </w:r>
                  <w:r>
                    <w:rPr>
                      <w:rFonts w:hint="eastAsia" w:eastAsia="宋体" w:cs="Times New Roman"/>
                      <w:b w:val="0"/>
                      <w:bCs w:val="0"/>
                      <w:color w:val="auto"/>
                      <w:position w:val="1"/>
                      <w:sz w:val="20"/>
                      <w:szCs w:val="20"/>
                      <w:lang w:val="en-US" w:eastAsia="zh-CN"/>
                    </w:rPr>
                    <w:t>6</w:t>
                  </w:r>
                </w:p>
              </w:tc>
              <w:tc>
                <w:tcPr>
                  <w:tcW w:w="309" w:type="pct"/>
                  <w:noWrap w:val="0"/>
                  <w:vAlign w:val="center"/>
                </w:tcPr>
                <w:p w14:paraId="2D8E4B9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75</w:t>
                  </w:r>
                </w:p>
              </w:tc>
              <w:tc>
                <w:tcPr>
                  <w:tcW w:w="507" w:type="pct"/>
                  <w:vMerge w:val="continue"/>
                  <w:noWrap w:val="0"/>
                  <w:vAlign w:val="center"/>
                </w:tcPr>
                <w:p w14:paraId="299078D4">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95" w:type="pct"/>
                  <w:noWrap w:val="0"/>
                  <w:vAlign w:val="center"/>
                </w:tcPr>
                <w:p w14:paraId="5C9FC0F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eastAsia="Times New Roman" w:cs="Times New Roman"/>
                      <w:b w:val="0"/>
                      <w:bCs w:val="0"/>
                      <w:color w:val="auto"/>
                      <w:spacing w:val="2"/>
                      <w:position w:val="2"/>
                      <w:sz w:val="20"/>
                      <w:szCs w:val="20"/>
                    </w:rPr>
                    <w:t>20</w:t>
                  </w:r>
                </w:p>
              </w:tc>
              <w:tc>
                <w:tcPr>
                  <w:tcW w:w="404" w:type="pct"/>
                  <w:noWrap w:val="0"/>
                  <w:vAlign w:val="center"/>
                </w:tcPr>
                <w:p w14:paraId="61C0DCBC">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Times New Roman" w:cs="Times New Roman"/>
                      <w:color w:val="auto"/>
                      <w:spacing w:val="1"/>
                      <w:position w:val="2"/>
                      <w:sz w:val="20"/>
                      <w:szCs w:val="20"/>
                    </w:rPr>
                    <w:t>70</w:t>
                  </w:r>
                </w:p>
              </w:tc>
              <w:tc>
                <w:tcPr>
                  <w:tcW w:w="348" w:type="pct"/>
                  <w:noWrap w:val="0"/>
                  <w:vAlign w:val="center"/>
                </w:tcPr>
                <w:p w14:paraId="1D68201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23</w:t>
                  </w:r>
                </w:p>
              </w:tc>
            </w:tr>
            <w:tr w14:paraId="2A61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 w:type="pct"/>
                  <w:vMerge w:val="continue"/>
                  <w:noWrap w:val="0"/>
                  <w:vAlign w:val="center"/>
                </w:tcPr>
                <w:p w14:paraId="7AF8E94B">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p>
              </w:tc>
              <w:tc>
                <w:tcPr>
                  <w:tcW w:w="245" w:type="pct"/>
                  <w:noWrap w:val="0"/>
                  <w:vAlign w:val="center"/>
                </w:tcPr>
                <w:p w14:paraId="68441FC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color w:val="auto"/>
                      <w:spacing w:val="4"/>
                    </w:rPr>
                    <w:t>空气压缩机</w:t>
                  </w:r>
                </w:p>
              </w:tc>
              <w:tc>
                <w:tcPr>
                  <w:tcW w:w="244" w:type="pct"/>
                  <w:noWrap w:val="0"/>
                  <w:vAlign w:val="center"/>
                </w:tcPr>
                <w:p w14:paraId="284F9D4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6" w:type="pct"/>
                  <w:noWrap w:val="0"/>
                  <w:vAlign w:val="center"/>
                </w:tcPr>
                <w:p w14:paraId="16DB043C">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90</w:t>
                  </w:r>
                </w:p>
              </w:tc>
              <w:tc>
                <w:tcPr>
                  <w:tcW w:w="490" w:type="pct"/>
                  <w:noWrap w:val="0"/>
                  <w:vAlign w:val="center"/>
                </w:tcPr>
                <w:p w14:paraId="42FD10C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b w:val="0"/>
                      <w:bCs w:val="0"/>
                      <w:color w:val="auto"/>
                      <w:spacing w:val="4"/>
                    </w:rPr>
                    <w:t>隔声，隔</w:t>
                  </w:r>
                  <w:r>
                    <w:rPr>
                      <w:b w:val="0"/>
                      <w:bCs w:val="0"/>
                      <w:color w:val="auto"/>
                      <w:spacing w:val="5"/>
                    </w:rPr>
                    <w:t>声罩壳</w:t>
                  </w:r>
                </w:p>
              </w:tc>
              <w:tc>
                <w:tcPr>
                  <w:tcW w:w="378" w:type="pct"/>
                  <w:noWrap w:val="0"/>
                  <w:vAlign w:val="center"/>
                </w:tcPr>
                <w:p w14:paraId="09FD03CF">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ascii="Times New Roman" w:hAnsi="Times New Roman" w:eastAsia="Times New Roman" w:cs="Times New Roman"/>
                      <w:b w:val="0"/>
                      <w:bCs w:val="0"/>
                      <w:color w:val="auto"/>
                      <w:spacing w:val="3"/>
                      <w:position w:val="2"/>
                      <w:sz w:val="20"/>
                      <w:szCs w:val="20"/>
                    </w:rPr>
                    <w:t>48</w:t>
                  </w:r>
                </w:p>
              </w:tc>
              <w:tc>
                <w:tcPr>
                  <w:tcW w:w="361" w:type="pct"/>
                  <w:noWrap w:val="0"/>
                  <w:vAlign w:val="center"/>
                </w:tcPr>
                <w:p w14:paraId="139574C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ascii="Times New Roman" w:hAnsi="Times New Roman" w:eastAsia="Times New Roman" w:cs="Times New Roman"/>
                      <w:b w:val="0"/>
                      <w:bCs w:val="0"/>
                      <w:color w:val="auto"/>
                      <w:spacing w:val="1"/>
                      <w:position w:val="2"/>
                      <w:sz w:val="20"/>
                      <w:szCs w:val="20"/>
                    </w:rPr>
                    <w:t>-13</w:t>
                  </w:r>
                </w:p>
              </w:tc>
              <w:tc>
                <w:tcPr>
                  <w:tcW w:w="292" w:type="pct"/>
                  <w:noWrap w:val="0"/>
                  <w:vAlign w:val="center"/>
                </w:tcPr>
                <w:p w14:paraId="1999D15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rPr>
                  </w:pPr>
                  <w:r>
                    <w:rPr>
                      <w:rFonts w:ascii="Times New Roman" w:hAnsi="Times New Roman" w:eastAsia="Times New Roman" w:cs="Times New Roman"/>
                      <w:b w:val="0"/>
                      <w:bCs w:val="0"/>
                      <w:color w:val="auto"/>
                      <w:spacing w:val="1"/>
                      <w:position w:val="1"/>
                      <w:sz w:val="20"/>
                      <w:szCs w:val="20"/>
                    </w:rPr>
                    <w:t>4</w:t>
                  </w:r>
                </w:p>
              </w:tc>
              <w:tc>
                <w:tcPr>
                  <w:tcW w:w="361" w:type="pct"/>
                  <w:noWrap w:val="0"/>
                  <w:vAlign w:val="center"/>
                </w:tcPr>
                <w:p w14:paraId="4C0E691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w:t>
                  </w:r>
                </w:p>
              </w:tc>
              <w:tc>
                <w:tcPr>
                  <w:tcW w:w="309" w:type="pct"/>
                  <w:noWrap w:val="0"/>
                  <w:vAlign w:val="center"/>
                </w:tcPr>
                <w:p w14:paraId="5362DFA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rPr>
                  </w:pPr>
                  <w:r>
                    <w:rPr>
                      <w:rFonts w:ascii="Times New Roman" w:hAnsi="Times New Roman" w:eastAsia="Times New Roman" w:cs="Times New Roman"/>
                      <w:b w:val="0"/>
                      <w:bCs w:val="0"/>
                      <w:color w:val="auto"/>
                      <w:position w:val="2"/>
                      <w:sz w:val="20"/>
                      <w:szCs w:val="20"/>
                    </w:rPr>
                    <w:t>90</w:t>
                  </w:r>
                </w:p>
              </w:tc>
              <w:tc>
                <w:tcPr>
                  <w:tcW w:w="507" w:type="pct"/>
                  <w:vMerge w:val="continue"/>
                  <w:noWrap w:val="0"/>
                  <w:vAlign w:val="center"/>
                </w:tcPr>
                <w:p w14:paraId="167F221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auto"/>
                      <w:sz w:val="21"/>
                      <w:szCs w:val="21"/>
                      <w:highlight w:val="none"/>
                    </w:rPr>
                  </w:pPr>
                </w:p>
              </w:tc>
              <w:tc>
                <w:tcPr>
                  <w:tcW w:w="395" w:type="pct"/>
                  <w:noWrap w:val="0"/>
                  <w:vAlign w:val="center"/>
                </w:tcPr>
                <w:p w14:paraId="4739AC9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auto"/>
                      <w:sz w:val="21"/>
                      <w:szCs w:val="21"/>
                      <w:highlight w:val="none"/>
                    </w:rPr>
                  </w:pPr>
                  <w:r>
                    <w:rPr>
                      <w:rFonts w:ascii="Times New Roman" w:hAnsi="Times New Roman" w:eastAsia="Times New Roman" w:cs="Times New Roman"/>
                      <w:b w:val="0"/>
                      <w:bCs w:val="0"/>
                      <w:color w:val="auto"/>
                      <w:spacing w:val="2"/>
                      <w:position w:val="2"/>
                      <w:sz w:val="20"/>
                      <w:szCs w:val="20"/>
                    </w:rPr>
                    <w:t>20</w:t>
                  </w:r>
                </w:p>
              </w:tc>
              <w:tc>
                <w:tcPr>
                  <w:tcW w:w="404" w:type="pct"/>
                  <w:noWrap w:val="0"/>
                  <w:vAlign w:val="center"/>
                </w:tcPr>
                <w:p w14:paraId="218BF66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1"/>
                      <w:position w:val="2"/>
                      <w:sz w:val="20"/>
                      <w:szCs w:val="20"/>
                    </w:rPr>
                    <w:t>70</w:t>
                  </w:r>
                </w:p>
              </w:tc>
              <w:tc>
                <w:tcPr>
                  <w:tcW w:w="348" w:type="pct"/>
                  <w:noWrap w:val="0"/>
                  <w:vAlign w:val="center"/>
                </w:tcPr>
                <w:p w14:paraId="40F6B59B">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bl>
          <w:p w14:paraId="078CA266">
            <w:pPr>
              <w:pStyle w:val="44"/>
              <w:spacing w:line="520" w:lineRule="exact"/>
              <w:ind w:firstLine="0" w:firstLineChars="0"/>
              <w:rPr>
                <w:rFonts w:hAnsi="Times New Roman"/>
                <w:b/>
                <w:bCs/>
                <w:color w:val="auto"/>
                <w:sz w:val="24"/>
                <w:highlight w:val="none"/>
                <w:lang w:val="en-US"/>
              </w:rPr>
            </w:pPr>
          </w:p>
          <w:p w14:paraId="1BFE968E">
            <w:pPr>
              <w:pStyle w:val="44"/>
              <w:spacing w:line="520" w:lineRule="exact"/>
              <w:ind w:firstLine="0" w:firstLineChars="0"/>
              <w:rPr>
                <w:rFonts w:hAnsi="Times New Roman"/>
                <w:b/>
                <w:bCs/>
                <w:color w:val="auto"/>
                <w:sz w:val="24"/>
                <w:highlight w:val="none"/>
                <w:lang w:val="en-US"/>
              </w:rPr>
            </w:pPr>
            <w:r>
              <w:rPr>
                <w:rFonts w:hAnsi="Times New Roman"/>
                <w:b/>
                <w:bCs/>
                <w:color w:val="auto"/>
                <w:sz w:val="24"/>
                <w:highlight w:val="none"/>
                <w:lang w:val="en-US"/>
              </w:rPr>
              <w:t>3.2</w:t>
            </w:r>
            <w:r>
              <w:rPr>
                <w:rFonts w:hint="eastAsia" w:hAnsi="Times New Roman"/>
                <w:b/>
                <w:bCs/>
                <w:color w:val="auto"/>
                <w:sz w:val="24"/>
                <w:highlight w:val="none"/>
                <w:lang w:val="en-US"/>
              </w:rPr>
              <w:t>声环境影响分析</w:t>
            </w:r>
          </w:p>
          <w:p w14:paraId="4F276D8E">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（1）噪声影响预测分析</w:t>
            </w:r>
          </w:p>
          <w:p w14:paraId="48C01D2E">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根据项目建设内容及《环境影响评价技术导则声环境》（HJ2.4-2021）的要求，本次预测计算式采用《环境影响评价技术导则声环境》（HJ2.4-2021）附录B（规范性附录）中“B.1工业噪声预测计算模型”。</w:t>
            </w:r>
          </w:p>
          <w:p w14:paraId="73903FD8">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①室内声源</w:t>
            </w:r>
          </w:p>
          <w:p w14:paraId="7342C52E">
            <w:pPr>
              <w:adjustRightInd w:val="0"/>
              <w:snapToGrid w:val="0"/>
              <w:spacing w:line="520" w:lineRule="exact"/>
              <w:ind w:firstLine="480" w:firstLineChars="200"/>
              <w:rPr>
                <w:color w:val="auto"/>
                <w:kern w:val="0"/>
                <w:sz w:val="24"/>
                <w:highlight w:val="none"/>
              </w:rPr>
            </w:pPr>
            <w:r>
              <w:rPr>
                <w:rFonts w:hint="eastAsia"/>
                <w:color w:val="auto"/>
                <w:kern w:val="0"/>
                <w:sz w:val="24"/>
                <w:highlight w:val="none"/>
              </w:rPr>
              <w:t>声源位于室内，室内声源可采用等效室外声源声功率级法进行计算。设靠近开口处（或窗户）室内、室外某倍频带的声压级分别为L</w:t>
            </w:r>
            <w:r>
              <w:rPr>
                <w:rFonts w:hint="eastAsia"/>
                <w:color w:val="auto"/>
                <w:kern w:val="0"/>
                <w:sz w:val="24"/>
                <w:highlight w:val="none"/>
                <w:vertAlign w:val="subscript"/>
              </w:rPr>
              <w:t>p1</w:t>
            </w:r>
            <w:r>
              <w:rPr>
                <w:rFonts w:hint="eastAsia"/>
                <w:color w:val="auto"/>
                <w:kern w:val="0"/>
                <w:sz w:val="24"/>
                <w:highlight w:val="none"/>
              </w:rPr>
              <w:t>和L</w:t>
            </w:r>
            <w:r>
              <w:rPr>
                <w:rFonts w:hint="eastAsia"/>
                <w:color w:val="auto"/>
                <w:kern w:val="0"/>
                <w:sz w:val="24"/>
                <w:highlight w:val="none"/>
                <w:vertAlign w:val="subscript"/>
              </w:rPr>
              <w:t>p2</w:t>
            </w:r>
            <w:r>
              <w:rPr>
                <w:rFonts w:hint="eastAsia"/>
                <w:color w:val="auto"/>
                <w:kern w:val="0"/>
                <w:sz w:val="24"/>
                <w:highlight w:val="none"/>
              </w:rPr>
              <w:t>。若声源所在室内声场为近似扩散声场，则室外的倍频带声压级可按以下公式似求出：</w:t>
            </w:r>
          </w:p>
          <w:p w14:paraId="3FD5B85E">
            <w:pPr>
              <w:adjustRightInd w:val="0"/>
              <w:snapToGrid w:val="0"/>
              <w:spacing w:line="240" w:lineRule="auto"/>
              <w:jc w:val="center"/>
              <w:rPr>
                <w:color w:val="auto"/>
                <w:kern w:val="0"/>
                <w:sz w:val="24"/>
                <w:highlight w:val="none"/>
              </w:rPr>
            </w:pPr>
            <w:r>
              <w:rPr>
                <w:color w:val="auto"/>
                <w:highlight w:val="none"/>
              </w:rPr>
              <w:drawing>
                <wp:inline distT="0" distB="0" distL="114300" distR="114300">
                  <wp:extent cx="1419225" cy="276225"/>
                  <wp:effectExtent l="0" t="0" r="13335" b="13335"/>
                  <wp:docPr id="5" name="图片 4" descr="C:\Users\ADMINI~1\AppData\Local\Temp\ksohtml10052\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Users\ADMINI~1\AppData\Local\Temp\ksohtml10052\wps8.png"/>
                          <pic:cNvPicPr>
                            <a:picLocks noChangeAspect="1"/>
                          </pic:cNvPicPr>
                        </pic:nvPicPr>
                        <pic:blipFill>
                          <a:blip r:embed="rId15"/>
                          <a:stretch>
                            <a:fillRect/>
                          </a:stretch>
                        </pic:blipFill>
                        <pic:spPr>
                          <a:xfrm>
                            <a:off x="0" y="0"/>
                            <a:ext cx="1419225" cy="276225"/>
                          </a:xfrm>
                          <a:prstGeom prst="rect">
                            <a:avLst/>
                          </a:prstGeom>
                          <a:noFill/>
                          <a:ln>
                            <a:noFill/>
                          </a:ln>
                        </pic:spPr>
                      </pic:pic>
                    </a:graphicData>
                  </a:graphic>
                </wp:inline>
              </w:drawing>
            </w:r>
          </w:p>
          <w:p w14:paraId="07C9489D">
            <w:pPr>
              <w:adjustRightInd w:val="0"/>
              <w:snapToGrid w:val="0"/>
              <w:spacing w:line="520" w:lineRule="exact"/>
              <w:ind w:firstLine="456" w:firstLineChars="200"/>
              <w:rPr>
                <w:rFonts w:hint="eastAsia"/>
                <w:color w:val="auto"/>
                <w:spacing w:val="-6"/>
                <w:kern w:val="0"/>
                <w:sz w:val="24"/>
                <w:highlight w:val="none"/>
              </w:rPr>
            </w:pPr>
            <w:r>
              <w:rPr>
                <w:rFonts w:hint="eastAsia"/>
                <w:color w:val="auto"/>
                <w:spacing w:val="-6"/>
                <w:kern w:val="0"/>
                <w:sz w:val="24"/>
                <w:highlight w:val="none"/>
              </w:rPr>
              <w:t>式中：L</w:t>
            </w:r>
            <w:r>
              <w:rPr>
                <w:rFonts w:hint="eastAsia"/>
                <w:color w:val="auto"/>
                <w:spacing w:val="-6"/>
                <w:kern w:val="0"/>
                <w:sz w:val="24"/>
                <w:highlight w:val="none"/>
                <w:vertAlign w:val="subscript"/>
              </w:rPr>
              <w:t>p1</w:t>
            </w:r>
            <w:r>
              <w:rPr>
                <w:rFonts w:hint="eastAsia"/>
                <w:color w:val="auto"/>
                <w:spacing w:val="-6"/>
                <w:kern w:val="0"/>
                <w:sz w:val="24"/>
                <w:highlight w:val="none"/>
              </w:rPr>
              <w:t>—靠近开口处（或窗户）室内某倍频带的声压级或A声级，dB；</w:t>
            </w:r>
          </w:p>
          <w:p w14:paraId="7DCFDCD5">
            <w:pPr>
              <w:adjustRightInd w:val="0"/>
              <w:snapToGrid w:val="0"/>
              <w:spacing w:line="520" w:lineRule="exact"/>
              <w:ind w:firstLine="1140" w:firstLineChars="500"/>
              <w:rPr>
                <w:rFonts w:hint="eastAsia"/>
                <w:color w:val="auto"/>
                <w:spacing w:val="-6"/>
                <w:kern w:val="0"/>
                <w:sz w:val="24"/>
                <w:highlight w:val="none"/>
              </w:rPr>
            </w:pPr>
            <w:r>
              <w:rPr>
                <w:rFonts w:hint="eastAsia"/>
                <w:color w:val="auto"/>
                <w:spacing w:val="-6"/>
                <w:kern w:val="0"/>
                <w:sz w:val="24"/>
                <w:highlight w:val="none"/>
              </w:rPr>
              <w:t>L</w:t>
            </w:r>
            <w:r>
              <w:rPr>
                <w:rFonts w:hint="eastAsia"/>
                <w:color w:val="auto"/>
                <w:spacing w:val="-6"/>
                <w:kern w:val="0"/>
                <w:sz w:val="24"/>
                <w:highlight w:val="none"/>
                <w:vertAlign w:val="subscript"/>
              </w:rPr>
              <w:t>p2</w:t>
            </w:r>
            <w:r>
              <w:rPr>
                <w:rFonts w:hint="eastAsia"/>
                <w:color w:val="auto"/>
                <w:spacing w:val="-6"/>
                <w:kern w:val="0"/>
                <w:sz w:val="24"/>
                <w:highlight w:val="none"/>
              </w:rPr>
              <w:t>—靠近开口处（或窗户）室外某倍频带的声压级或A声级，dB；</w:t>
            </w:r>
          </w:p>
          <w:p w14:paraId="4B2D8665">
            <w:pPr>
              <w:keepNext w:val="0"/>
              <w:keepLines w:val="0"/>
              <w:pageBreakBefore w:val="0"/>
              <w:widowControl w:val="0"/>
              <w:kinsoku/>
              <w:wordWrap/>
              <w:overflowPunct/>
              <w:topLinePunct w:val="0"/>
              <w:autoSpaceDE/>
              <w:autoSpaceDN/>
              <w:bidi w:val="0"/>
              <w:adjustRightInd w:val="0"/>
              <w:snapToGrid w:val="0"/>
              <w:spacing w:line="520" w:lineRule="exact"/>
              <w:ind w:firstLine="1080" w:firstLineChars="450"/>
              <w:textAlignment w:val="auto"/>
              <w:rPr>
                <w:color w:val="auto"/>
                <w:kern w:val="0"/>
                <w:sz w:val="24"/>
                <w:highlight w:val="none"/>
              </w:rPr>
            </w:pPr>
            <w:r>
              <w:rPr>
                <w:rFonts w:hint="eastAsia"/>
                <w:color w:val="auto"/>
                <w:kern w:val="0"/>
                <w:sz w:val="24"/>
                <w:highlight w:val="none"/>
              </w:rPr>
              <w:t>TL—隔墙（或窗户）倍频带或A声级的隔声量，dB。</w:t>
            </w:r>
          </w:p>
          <w:p w14:paraId="216861F7">
            <w:pPr>
              <w:adjustRightInd w:val="0"/>
              <w:snapToGrid w:val="0"/>
              <w:spacing w:line="240" w:lineRule="auto"/>
              <w:jc w:val="center"/>
              <w:rPr>
                <w:color w:val="auto"/>
                <w:kern w:val="0"/>
                <w:sz w:val="24"/>
                <w:highlight w:val="none"/>
              </w:rPr>
            </w:pPr>
            <w:r>
              <w:rPr>
                <w:rFonts w:hint="eastAsia"/>
                <w:color w:val="auto"/>
                <w:highlight w:val="none"/>
              </w:rPr>
              <w:drawing>
                <wp:inline distT="0" distB="0" distL="114300" distR="114300">
                  <wp:extent cx="2788285" cy="1431290"/>
                  <wp:effectExtent l="0" t="0" r="635" b="1270"/>
                  <wp:docPr id="6" name="图片 5" descr="ddf3a789d603d1238acbda7951c0f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ddf3a789d603d1238acbda7951c0f1a"/>
                          <pic:cNvPicPr>
                            <a:picLocks noChangeAspect="1"/>
                          </pic:cNvPicPr>
                        </pic:nvPicPr>
                        <pic:blipFill>
                          <a:blip r:embed="rId16"/>
                          <a:stretch>
                            <a:fillRect/>
                          </a:stretch>
                        </pic:blipFill>
                        <pic:spPr>
                          <a:xfrm>
                            <a:off x="0" y="0"/>
                            <a:ext cx="2788285" cy="1431290"/>
                          </a:xfrm>
                          <a:prstGeom prst="rect">
                            <a:avLst/>
                          </a:prstGeom>
                          <a:noFill/>
                          <a:ln>
                            <a:noFill/>
                          </a:ln>
                        </pic:spPr>
                      </pic:pic>
                    </a:graphicData>
                  </a:graphic>
                </wp:inline>
              </w:drawing>
            </w:r>
          </w:p>
          <w:p w14:paraId="1CF7E873">
            <w:pPr>
              <w:pStyle w:val="10"/>
              <w:spacing w:line="520" w:lineRule="exact"/>
              <w:rPr>
                <w:color w:val="auto"/>
                <w:sz w:val="21"/>
                <w:szCs w:val="21"/>
                <w:highlight w:val="none"/>
              </w:rPr>
            </w:pPr>
            <w:r>
              <w:rPr>
                <w:rFonts w:hint="eastAsia"/>
                <w:color w:val="auto"/>
                <w:sz w:val="21"/>
                <w:szCs w:val="21"/>
                <w:highlight w:val="none"/>
              </w:rPr>
              <w:t>图</w:t>
            </w:r>
            <w:r>
              <w:rPr>
                <w:rFonts w:hint="eastAsia"/>
                <w:color w:val="auto"/>
                <w:sz w:val="21"/>
                <w:szCs w:val="21"/>
                <w:highlight w:val="none"/>
                <w:lang w:val="en-US" w:eastAsia="zh-CN"/>
              </w:rPr>
              <w:t>8</w:t>
            </w:r>
            <w:r>
              <w:rPr>
                <w:color w:val="auto"/>
                <w:sz w:val="21"/>
                <w:szCs w:val="21"/>
                <w:highlight w:val="none"/>
              </w:rPr>
              <w:t>室内声源等效为室外声源图例</w:t>
            </w:r>
          </w:p>
          <w:p w14:paraId="493F7265">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②室外声源</w:t>
            </w:r>
          </w:p>
          <w:p w14:paraId="34671C45">
            <w:pPr>
              <w:adjustRightInd w:val="0"/>
              <w:snapToGrid w:val="0"/>
              <w:spacing w:line="520" w:lineRule="exact"/>
              <w:ind w:firstLine="480" w:firstLineChars="200"/>
              <w:rPr>
                <w:color w:val="auto"/>
                <w:kern w:val="0"/>
                <w:sz w:val="24"/>
                <w:highlight w:val="none"/>
              </w:rPr>
            </w:pPr>
            <w:r>
              <w:rPr>
                <w:rFonts w:hint="eastAsia"/>
                <w:color w:val="auto"/>
                <w:kern w:val="0"/>
                <w:sz w:val="24"/>
                <w:highlight w:val="none"/>
              </w:rPr>
              <w:t>基准预测点噪声级叠加公式：</w:t>
            </w:r>
          </w:p>
          <w:p w14:paraId="744DCEA6">
            <w:pPr>
              <w:adjustRightInd w:val="0"/>
              <w:snapToGrid w:val="0"/>
              <w:spacing w:line="240" w:lineRule="auto"/>
              <w:jc w:val="center"/>
              <w:rPr>
                <w:color w:val="auto"/>
                <w:kern w:val="0"/>
                <w:sz w:val="24"/>
                <w:highlight w:val="none"/>
              </w:rPr>
            </w:pPr>
            <w:r>
              <w:rPr>
                <w:color w:val="auto"/>
                <w:highlight w:val="none"/>
              </w:rPr>
              <w:object>
                <v:shape id="_x0000_i1027" o:spt="75" type="#_x0000_t75" style="height:60pt;width:128.25pt;" o:ole="t" filled="f" o:preferrelative="t" stroked="f" coordsize="21600,21600">
                  <v:path/>
                  <v:fill on="f" focussize="0,0"/>
                  <v:stroke on="f"/>
                  <v:imagedata r:id="rId18" o:title=""/>
                  <o:lock v:ext="edit" aspectratio="t"/>
                  <w10:wrap type="none"/>
                  <w10:anchorlock/>
                </v:shape>
                <o:OLEObject Type="Embed" ProgID="Equation.KSEE3" ShapeID="_x0000_i1027" DrawAspect="Content" ObjectID="_1468075727" r:id="rId17">
                  <o:LockedField>false</o:LockedField>
                </o:OLEObject>
              </w:object>
            </w:r>
          </w:p>
          <w:p w14:paraId="6C4832FA">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式中：L</w:t>
            </w:r>
            <w:r>
              <w:rPr>
                <w:rFonts w:hint="eastAsia"/>
                <w:color w:val="auto"/>
                <w:kern w:val="0"/>
                <w:sz w:val="24"/>
                <w:highlight w:val="none"/>
                <w:vertAlign w:val="subscript"/>
              </w:rPr>
              <w:t>pe</w:t>
            </w:r>
            <w:r>
              <w:rPr>
                <w:rFonts w:hint="eastAsia"/>
                <w:color w:val="auto"/>
                <w:kern w:val="0"/>
                <w:sz w:val="24"/>
                <w:highlight w:val="none"/>
              </w:rPr>
              <w:t>—叠加后总声级，dB(A)；</w:t>
            </w:r>
          </w:p>
          <w:p w14:paraId="06674BCF">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L</w:t>
            </w:r>
            <w:r>
              <w:rPr>
                <w:rFonts w:hint="eastAsia"/>
                <w:color w:val="auto"/>
                <w:kern w:val="0"/>
                <w:sz w:val="24"/>
                <w:highlight w:val="none"/>
                <w:vertAlign w:val="subscript"/>
              </w:rPr>
              <w:t>Pi</w:t>
            </w:r>
            <w:r>
              <w:rPr>
                <w:rFonts w:hint="eastAsia"/>
                <w:color w:val="auto"/>
                <w:kern w:val="0"/>
                <w:sz w:val="24"/>
                <w:highlight w:val="none"/>
              </w:rPr>
              <w:t>—i声源至基准预测点的声级，dB(A)；</w:t>
            </w:r>
          </w:p>
          <w:p w14:paraId="579EA057">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n—噪声源数目。</w:t>
            </w:r>
          </w:p>
          <w:p w14:paraId="64FEBD7D">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用上述公示计算出各噪声源点至基准预测点的总声级，然后以基准预测点的噪声强度为工程噪声源强。</w:t>
            </w:r>
          </w:p>
          <w:p w14:paraId="0CAB4002">
            <w:pPr>
              <w:adjustRightInd w:val="0"/>
              <w:snapToGrid w:val="0"/>
              <w:spacing w:line="520" w:lineRule="exact"/>
              <w:ind w:firstLine="480" w:firstLineChars="200"/>
              <w:rPr>
                <w:color w:val="auto"/>
                <w:kern w:val="0"/>
                <w:sz w:val="24"/>
                <w:highlight w:val="none"/>
              </w:rPr>
            </w:pPr>
            <w:r>
              <w:rPr>
                <w:rFonts w:hint="eastAsia"/>
                <w:color w:val="auto"/>
                <w:kern w:val="0"/>
                <w:sz w:val="24"/>
                <w:highlight w:val="none"/>
              </w:rPr>
              <w:t>计算预测点的声级：</w:t>
            </w:r>
          </w:p>
          <w:p w14:paraId="04A3C1D5">
            <w:pPr>
              <w:keepNext w:val="0"/>
              <w:keepLines w:val="0"/>
              <w:pageBreakBefore w:val="0"/>
              <w:widowControl/>
              <w:kinsoku/>
              <w:wordWrap/>
              <w:overflowPunct/>
              <w:topLinePunct w:val="0"/>
              <w:autoSpaceDE/>
              <w:autoSpaceDN/>
              <w:bidi w:val="0"/>
              <w:adjustRightInd/>
              <w:snapToGrid/>
              <w:spacing w:line="520" w:lineRule="exact"/>
              <w:ind w:firstLine="0"/>
              <w:jc w:val="center"/>
              <w:textAlignment w:val="auto"/>
              <w:rPr>
                <w:color w:val="auto"/>
                <w:szCs w:val="21"/>
                <w:highlight w:val="none"/>
              </w:rPr>
            </w:pPr>
            <w:r>
              <w:rPr>
                <w:i/>
                <w:iCs/>
                <w:color w:val="auto"/>
                <w:kern w:val="0"/>
                <w:szCs w:val="21"/>
                <w:highlight w:val="none"/>
                <w:lang w:bidi="ar"/>
              </w:rPr>
              <w:t>Lp</w:t>
            </w:r>
            <w:r>
              <w:rPr>
                <w:color w:val="auto"/>
                <w:kern w:val="0"/>
                <w:szCs w:val="21"/>
                <w:highlight w:val="none"/>
                <w:vertAlign w:val="subscript"/>
                <w:lang w:bidi="ar"/>
              </w:rPr>
              <w:t>(</w:t>
            </w:r>
            <w:r>
              <w:rPr>
                <w:i/>
                <w:iCs/>
                <w:color w:val="auto"/>
                <w:kern w:val="0"/>
                <w:szCs w:val="21"/>
                <w:highlight w:val="none"/>
                <w:vertAlign w:val="subscript"/>
                <w:lang w:bidi="ar"/>
              </w:rPr>
              <w:t>r</w:t>
            </w:r>
            <w:r>
              <w:rPr>
                <w:color w:val="auto"/>
                <w:kern w:val="0"/>
                <w:szCs w:val="21"/>
                <w:highlight w:val="none"/>
                <w:vertAlign w:val="subscript"/>
                <w:lang w:bidi="ar"/>
              </w:rPr>
              <w:t>)</w:t>
            </w:r>
            <w:r>
              <w:rPr>
                <w:rFonts w:hint="eastAsia" w:ascii="宋体" w:hAnsi="宋体" w:cs="宋体"/>
                <w:color w:val="auto"/>
                <w:kern w:val="0"/>
                <w:szCs w:val="21"/>
                <w:highlight w:val="none"/>
                <w:lang w:bidi="ar"/>
              </w:rPr>
              <w:t>＝</w:t>
            </w:r>
            <w:r>
              <w:rPr>
                <w:i/>
                <w:iCs/>
                <w:color w:val="auto"/>
                <w:kern w:val="0"/>
                <w:szCs w:val="21"/>
                <w:highlight w:val="none"/>
                <w:lang w:bidi="ar"/>
              </w:rPr>
              <w:t>Lp</w:t>
            </w:r>
            <w:r>
              <w:rPr>
                <w:color w:val="auto"/>
                <w:kern w:val="0"/>
                <w:szCs w:val="21"/>
                <w:highlight w:val="none"/>
                <w:vertAlign w:val="subscript"/>
                <w:lang w:bidi="ar"/>
              </w:rPr>
              <w:t>(</w:t>
            </w:r>
            <w:r>
              <w:rPr>
                <w:i/>
                <w:iCs/>
                <w:color w:val="auto"/>
                <w:kern w:val="0"/>
                <w:szCs w:val="21"/>
                <w:highlight w:val="none"/>
                <w:vertAlign w:val="subscript"/>
                <w:lang w:bidi="ar"/>
              </w:rPr>
              <w:t>r</w:t>
            </w:r>
            <w:r>
              <w:rPr>
                <w:color w:val="auto"/>
                <w:kern w:val="0"/>
                <w:szCs w:val="21"/>
                <w:highlight w:val="none"/>
                <w:vertAlign w:val="subscript"/>
                <w:lang w:bidi="ar"/>
              </w:rPr>
              <w:t>0)</w:t>
            </w:r>
            <w:r>
              <w:rPr>
                <w:color w:val="auto"/>
                <w:kern w:val="0"/>
                <w:szCs w:val="21"/>
                <w:highlight w:val="none"/>
                <w:lang w:bidi="ar"/>
              </w:rPr>
              <w:t>+</w:t>
            </w:r>
            <w:r>
              <w:rPr>
                <w:i/>
                <w:iCs/>
                <w:color w:val="auto"/>
                <w:kern w:val="0"/>
                <w:szCs w:val="21"/>
                <w:highlight w:val="none"/>
                <w:lang w:bidi="ar"/>
              </w:rPr>
              <w:t>D</w:t>
            </w:r>
            <w:r>
              <w:rPr>
                <w:color w:val="auto"/>
                <w:kern w:val="0"/>
                <w:szCs w:val="21"/>
                <w:highlight w:val="none"/>
                <w:lang w:bidi="ar"/>
              </w:rPr>
              <w:t>C</w:t>
            </w:r>
            <w:r>
              <w:rPr>
                <w:rFonts w:hint="eastAsia" w:ascii="宋体" w:hAnsi="宋体" w:cs="宋体"/>
                <w:color w:val="auto"/>
                <w:kern w:val="0"/>
                <w:szCs w:val="21"/>
                <w:highlight w:val="none"/>
                <w:lang w:bidi="ar"/>
              </w:rPr>
              <w:t>－</w:t>
            </w:r>
            <w:r>
              <w:rPr>
                <w:color w:val="auto"/>
                <w:kern w:val="0"/>
                <w:szCs w:val="21"/>
                <w:highlight w:val="none"/>
                <w:lang w:bidi="ar"/>
              </w:rPr>
              <w:t>(</w:t>
            </w:r>
            <w:r>
              <w:rPr>
                <w:i/>
                <w:iCs/>
                <w:color w:val="auto"/>
                <w:kern w:val="0"/>
                <w:szCs w:val="21"/>
                <w:highlight w:val="none"/>
                <w:lang w:bidi="ar"/>
              </w:rPr>
              <w:t>A</w:t>
            </w:r>
            <w:r>
              <w:rPr>
                <w:color w:val="auto"/>
                <w:kern w:val="0"/>
                <w:szCs w:val="21"/>
                <w:highlight w:val="none"/>
                <w:vertAlign w:val="subscript"/>
                <w:lang w:bidi="ar"/>
              </w:rPr>
              <w:t>div</w:t>
            </w:r>
            <w:r>
              <w:rPr>
                <w:rFonts w:hint="eastAsia" w:ascii="宋体" w:hAnsi="宋体" w:cs="宋体"/>
                <w:color w:val="auto"/>
                <w:kern w:val="0"/>
                <w:szCs w:val="21"/>
                <w:highlight w:val="none"/>
                <w:lang w:bidi="ar"/>
              </w:rPr>
              <w:t>＋</w:t>
            </w:r>
            <w:r>
              <w:rPr>
                <w:i/>
                <w:iCs/>
                <w:color w:val="auto"/>
                <w:kern w:val="0"/>
                <w:szCs w:val="21"/>
                <w:highlight w:val="none"/>
                <w:lang w:bidi="ar"/>
              </w:rPr>
              <w:t>A</w:t>
            </w:r>
            <w:r>
              <w:rPr>
                <w:color w:val="auto"/>
                <w:kern w:val="0"/>
                <w:szCs w:val="21"/>
                <w:highlight w:val="none"/>
                <w:vertAlign w:val="subscript"/>
                <w:lang w:bidi="ar"/>
              </w:rPr>
              <w:t>atm</w:t>
            </w:r>
            <w:r>
              <w:rPr>
                <w:rFonts w:hint="eastAsia" w:ascii="宋体" w:hAnsi="宋体" w:cs="宋体"/>
                <w:color w:val="auto"/>
                <w:kern w:val="0"/>
                <w:szCs w:val="21"/>
                <w:highlight w:val="none"/>
                <w:lang w:bidi="ar"/>
              </w:rPr>
              <w:t>＋</w:t>
            </w:r>
            <w:r>
              <w:rPr>
                <w:i/>
                <w:iCs/>
                <w:color w:val="auto"/>
                <w:kern w:val="0"/>
                <w:szCs w:val="21"/>
                <w:highlight w:val="none"/>
                <w:lang w:bidi="ar"/>
              </w:rPr>
              <w:t>A</w:t>
            </w:r>
            <w:r>
              <w:rPr>
                <w:color w:val="auto"/>
                <w:kern w:val="0"/>
                <w:szCs w:val="21"/>
                <w:highlight w:val="none"/>
                <w:vertAlign w:val="subscript"/>
                <w:lang w:bidi="ar"/>
              </w:rPr>
              <w:t>gr</w:t>
            </w:r>
            <w:r>
              <w:rPr>
                <w:rFonts w:hint="eastAsia" w:ascii="宋体" w:hAnsi="宋体" w:cs="宋体"/>
                <w:color w:val="auto"/>
                <w:kern w:val="0"/>
                <w:szCs w:val="21"/>
                <w:highlight w:val="none"/>
                <w:lang w:bidi="ar"/>
              </w:rPr>
              <w:t>＋</w:t>
            </w:r>
            <w:r>
              <w:rPr>
                <w:i/>
                <w:iCs/>
                <w:color w:val="auto"/>
                <w:kern w:val="0"/>
                <w:szCs w:val="21"/>
                <w:highlight w:val="none"/>
                <w:lang w:bidi="ar"/>
              </w:rPr>
              <w:t>A</w:t>
            </w:r>
            <w:r>
              <w:rPr>
                <w:color w:val="auto"/>
                <w:kern w:val="0"/>
                <w:szCs w:val="21"/>
                <w:highlight w:val="none"/>
                <w:vertAlign w:val="subscript"/>
                <w:lang w:bidi="ar"/>
              </w:rPr>
              <w:t>bar</w:t>
            </w:r>
            <w:r>
              <w:rPr>
                <w:rFonts w:hint="eastAsia" w:ascii="宋体" w:hAnsi="宋体" w:cs="宋体"/>
                <w:color w:val="auto"/>
                <w:kern w:val="0"/>
                <w:szCs w:val="21"/>
                <w:highlight w:val="none"/>
                <w:lang w:bidi="ar"/>
              </w:rPr>
              <w:t>＋</w:t>
            </w:r>
            <w:r>
              <w:rPr>
                <w:i/>
                <w:iCs/>
                <w:color w:val="auto"/>
                <w:kern w:val="0"/>
                <w:szCs w:val="21"/>
                <w:highlight w:val="none"/>
                <w:lang w:bidi="ar"/>
              </w:rPr>
              <w:t>A</w:t>
            </w:r>
            <w:r>
              <w:rPr>
                <w:color w:val="auto"/>
                <w:kern w:val="0"/>
                <w:szCs w:val="21"/>
                <w:highlight w:val="none"/>
                <w:vertAlign w:val="subscript"/>
                <w:lang w:bidi="ar"/>
              </w:rPr>
              <w:t>misc</w:t>
            </w:r>
            <w:r>
              <w:rPr>
                <w:color w:val="auto"/>
                <w:kern w:val="0"/>
                <w:szCs w:val="21"/>
                <w:highlight w:val="none"/>
                <w:lang w:bidi="ar"/>
              </w:rPr>
              <w:t>)</w:t>
            </w:r>
          </w:p>
          <w:p w14:paraId="3A31A229">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式中：Lp(r)—预测点处声压级，dB；</w:t>
            </w:r>
          </w:p>
          <w:p w14:paraId="050A3253">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Lp(r0)—参考位置r0处的声压级，dB；</w:t>
            </w:r>
          </w:p>
          <w:p w14:paraId="46076FE9">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DC—指向性校正，它描述点声源的等效连续声压级与产生声功率级Lw的全向点声源在规定方向的声级的偏差程度，dB；</w:t>
            </w:r>
          </w:p>
          <w:p w14:paraId="44D3CD9C">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Adiv—几何发散引起的衰减，dB；</w:t>
            </w:r>
          </w:p>
          <w:p w14:paraId="379114AF">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Aatm—大气吸收引起的衰减，dB；</w:t>
            </w:r>
          </w:p>
          <w:p w14:paraId="50395BFC">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Agr—地面效应引起的衰减，dB；</w:t>
            </w:r>
          </w:p>
          <w:p w14:paraId="341E4C04">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Abar—障碍物屏蔽引起的衰减，dB；</w:t>
            </w:r>
          </w:p>
          <w:p w14:paraId="3F5C95A5">
            <w:pPr>
              <w:adjustRightInd w:val="0"/>
              <w:snapToGrid w:val="0"/>
              <w:spacing w:line="520" w:lineRule="exact"/>
              <w:ind w:firstLine="1200" w:firstLineChars="500"/>
              <w:rPr>
                <w:rFonts w:hint="eastAsia"/>
                <w:color w:val="auto"/>
                <w:kern w:val="0"/>
                <w:sz w:val="24"/>
                <w:highlight w:val="none"/>
              </w:rPr>
            </w:pPr>
            <w:r>
              <w:rPr>
                <w:rFonts w:hint="eastAsia"/>
                <w:color w:val="auto"/>
                <w:kern w:val="0"/>
                <w:sz w:val="24"/>
                <w:highlight w:val="none"/>
              </w:rPr>
              <w:t>Amisc—其他多方面效应引起的衰减，dB。</w:t>
            </w:r>
          </w:p>
          <w:p w14:paraId="05D20846">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（2）预测结果和分析</w:t>
            </w:r>
          </w:p>
          <w:p w14:paraId="40788C68">
            <w:pPr>
              <w:adjustRightInd w:val="0"/>
              <w:snapToGrid w:val="0"/>
              <w:spacing w:line="520" w:lineRule="exact"/>
              <w:ind w:firstLine="480" w:firstLineChars="200"/>
              <w:rPr>
                <w:rFonts w:hint="eastAsia"/>
                <w:color w:val="auto"/>
                <w:kern w:val="0"/>
                <w:sz w:val="24"/>
                <w:highlight w:val="none"/>
              </w:rPr>
            </w:pPr>
            <w:r>
              <w:rPr>
                <w:rFonts w:hint="eastAsia"/>
                <w:color w:val="auto"/>
                <w:kern w:val="0"/>
                <w:sz w:val="24"/>
                <w:highlight w:val="none"/>
              </w:rPr>
              <w:t>根据项目主要噪声源的位置，利用以上预测模式和参数计算确定了各主要噪声源对各厂界外1m处的噪声贡献情况。主要噪声源对各厂界的噪声预</w:t>
            </w:r>
          </w:p>
          <w:p w14:paraId="2BA24ADC">
            <w:pPr>
              <w:adjustRightInd w:val="0"/>
              <w:snapToGrid w:val="0"/>
              <w:spacing w:line="520" w:lineRule="exact"/>
              <w:rPr>
                <w:color w:val="auto"/>
                <w:kern w:val="0"/>
                <w:sz w:val="24"/>
                <w:highlight w:val="none"/>
              </w:rPr>
            </w:pPr>
            <w:r>
              <w:rPr>
                <w:rFonts w:hint="eastAsia"/>
                <w:color w:val="auto"/>
                <w:kern w:val="0"/>
                <w:sz w:val="24"/>
                <w:highlight w:val="none"/>
              </w:rPr>
              <w:t>测结果与达标分析</w:t>
            </w:r>
            <w:r>
              <w:rPr>
                <w:rFonts w:hint="eastAsia"/>
                <w:color w:val="auto"/>
                <w:kern w:val="0"/>
                <w:sz w:val="24"/>
                <w:highlight w:val="none"/>
                <w:lang w:val="en-US" w:eastAsia="zh-CN"/>
              </w:rPr>
              <w:t>详见表4-8</w:t>
            </w:r>
            <w:r>
              <w:rPr>
                <w:rFonts w:hint="eastAsia"/>
                <w:color w:val="auto"/>
                <w:kern w:val="0"/>
                <w:sz w:val="24"/>
                <w:highlight w:val="none"/>
              </w:rPr>
              <w:t>。</w:t>
            </w:r>
          </w:p>
          <w:p w14:paraId="656FF951">
            <w:pPr>
              <w:pStyle w:val="10"/>
              <w:spacing w:line="520" w:lineRule="exact"/>
              <w:rPr>
                <w:rFonts w:hint="eastAsia"/>
                <w:color w:val="auto"/>
                <w:sz w:val="21"/>
                <w:szCs w:val="21"/>
                <w:highlight w:val="none"/>
              </w:rPr>
            </w:pPr>
            <w:r>
              <w:rPr>
                <w:rFonts w:hint="eastAsia"/>
                <w:color w:val="auto"/>
                <w:sz w:val="21"/>
                <w:szCs w:val="21"/>
                <w:highlight w:val="none"/>
              </w:rPr>
              <w:t>表</w:t>
            </w:r>
            <w:r>
              <w:rPr>
                <w:rFonts w:hint="eastAsia"/>
                <w:color w:val="auto"/>
                <w:sz w:val="21"/>
                <w:szCs w:val="21"/>
                <w:highlight w:val="none"/>
                <w:lang w:val="en-US" w:eastAsia="zh-CN"/>
              </w:rPr>
              <w:t>4-8 本</w:t>
            </w:r>
            <w:r>
              <w:rPr>
                <w:rFonts w:hint="eastAsia"/>
                <w:color w:val="auto"/>
                <w:sz w:val="21"/>
                <w:szCs w:val="21"/>
                <w:highlight w:val="none"/>
              </w:rPr>
              <w:t>项目主要噪声源对各厂界噪声贡献值一览表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783"/>
              <w:gridCol w:w="788"/>
              <w:gridCol w:w="783"/>
              <w:gridCol w:w="3"/>
              <w:gridCol w:w="788"/>
              <w:gridCol w:w="786"/>
              <w:gridCol w:w="3"/>
              <w:gridCol w:w="789"/>
              <w:gridCol w:w="795"/>
              <w:gridCol w:w="783"/>
            </w:tblGrid>
            <w:tr w14:paraId="02FE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4" w:type="pct"/>
                  <w:vMerge w:val="restart"/>
                  <w:noWrap w:val="0"/>
                  <w:vAlign w:val="center"/>
                </w:tcPr>
                <w:p w14:paraId="6553ED1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color w:val="auto"/>
                      <w:spacing w:val="6"/>
                    </w:rPr>
                    <w:t>厂界噪声</w:t>
                  </w:r>
                  <w:r>
                    <w:rPr>
                      <w:rFonts w:ascii="Times New Roman" w:hAnsi="Times New Roman" w:eastAsia="Times New Roman" w:cs="Times New Roman"/>
                      <w:color w:val="auto"/>
                    </w:rPr>
                    <w:t>dB</w:t>
                  </w:r>
                  <w:r>
                    <w:rPr>
                      <w:color w:val="auto"/>
                      <w:spacing w:val="6"/>
                    </w:rPr>
                    <w:t>（</w:t>
                  </w:r>
                  <w:r>
                    <w:rPr>
                      <w:rFonts w:ascii="Times New Roman" w:hAnsi="Times New Roman" w:eastAsia="Times New Roman" w:cs="Times New Roman"/>
                      <w:color w:val="auto"/>
                      <w:spacing w:val="6"/>
                    </w:rPr>
                    <w:t>A</w:t>
                  </w:r>
                  <w:r>
                    <w:rPr>
                      <w:color w:val="auto"/>
                      <w:spacing w:val="6"/>
                    </w:rPr>
                    <w:t>）</w:t>
                  </w:r>
                </w:p>
              </w:tc>
              <w:tc>
                <w:tcPr>
                  <w:tcW w:w="1013" w:type="pct"/>
                  <w:gridSpan w:val="2"/>
                  <w:noWrap w:val="0"/>
                  <w:vAlign w:val="center"/>
                </w:tcPr>
                <w:p w14:paraId="26B72283">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auto"/>
                      <w:sz w:val="21"/>
                      <w:szCs w:val="21"/>
                      <w:highlight w:val="none"/>
                    </w:rPr>
                  </w:pPr>
                  <w:r>
                    <w:rPr>
                      <w:color w:val="auto"/>
                      <w:spacing w:val="4"/>
                    </w:rPr>
                    <w:t>东厂界</w:t>
                  </w:r>
                </w:p>
              </w:tc>
              <w:tc>
                <w:tcPr>
                  <w:tcW w:w="1015" w:type="pct"/>
                  <w:gridSpan w:val="3"/>
                  <w:noWrap w:val="0"/>
                  <w:vAlign w:val="center"/>
                </w:tcPr>
                <w:p w14:paraId="0357C14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auto"/>
                      <w:sz w:val="21"/>
                      <w:szCs w:val="21"/>
                      <w:highlight w:val="none"/>
                    </w:rPr>
                  </w:pPr>
                  <w:r>
                    <w:rPr>
                      <w:color w:val="auto"/>
                      <w:spacing w:val="6"/>
                    </w:rPr>
                    <w:t>南厂界</w:t>
                  </w:r>
                </w:p>
              </w:tc>
              <w:tc>
                <w:tcPr>
                  <w:tcW w:w="1018" w:type="pct"/>
                  <w:gridSpan w:val="3"/>
                  <w:noWrap w:val="0"/>
                  <w:vAlign w:val="center"/>
                </w:tcPr>
                <w:p w14:paraId="7DBB856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auto"/>
                      <w:sz w:val="21"/>
                      <w:szCs w:val="21"/>
                      <w:highlight w:val="none"/>
                    </w:rPr>
                  </w:pPr>
                  <w:r>
                    <w:rPr>
                      <w:color w:val="auto"/>
                      <w:spacing w:val="5"/>
                    </w:rPr>
                    <w:t>西厂界</w:t>
                  </w:r>
                </w:p>
              </w:tc>
              <w:tc>
                <w:tcPr>
                  <w:tcW w:w="1018" w:type="pct"/>
                  <w:gridSpan w:val="2"/>
                  <w:noWrap w:val="0"/>
                  <w:vAlign w:val="center"/>
                </w:tcPr>
                <w:p w14:paraId="0EEE6A57">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bCs/>
                      <w:color w:val="auto"/>
                      <w:sz w:val="21"/>
                      <w:szCs w:val="21"/>
                      <w:highlight w:val="none"/>
                    </w:rPr>
                  </w:pPr>
                  <w:r>
                    <w:rPr>
                      <w:color w:val="auto"/>
                      <w:spacing w:val="5"/>
                    </w:rPr>
                    <w:t>北厂界</w:t>
                  </w:r>
                </w:p>
              </w:tc>
            </w:tr>
            <w:tr w14:paraId="5AD1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4" w:type="pct"/>
                  <w:vMerge w:val="continue"/>
                  <w:noWrap w:val="0"/>
                  <w:vAlign w:val="center"/>
                </w:tcPr>
                <w:p w14:paraId="1331B85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505" w:type="pct"/>
                  <w:noWrap w:val="0"/>
                  <w:vAlign w:val="center"/>
                </w:tcPr>
                <w:p w14:paraId="3AAC11DF">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eastAsia="zh-CN"/>
                    </w:rPr>
                  </w:pPr>
                  <w:r>
                    <w:rPr>
                      <w:color w:val="auto"/>
                      <w:spacing w:val="1"/>
                    </w:rPr>
                    <w:t>昼</w:t>
                  </w:r>
                </w:p>
              </w:tc>
              <w:tc>
                <w:tcPr>
                  <w:tcW w:w="507" w:type="pct"/>
                  <w:noWrap w:val="0"/>
                  <w:vAlign w:val="center"/>
                </w:tcPr>
                <w:p w14:paraId="1A663FA8">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color w:val="auto"/>
                    </w:rPr>
                    <w:t>夜</w:t>
                  </w:r>
                </w:p>
              </w:tc>
              <w:tc>
                <w:tcPr>
                  <w:tcW w:w="507" w:type="pct"/>
                  <w:gridSpan w:val="2"/>
                  <w:noWrap w:val="0"/>
                  <w:vAlign w:val="center"/>
                </w:tcPr>
                <w:p w14:paraId="687AA69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eastAsia" w:ascii="Times New Roman" w:hAnsi="Times New Roman" w:eastAsia="宋体" w:cs="Times New Roman"/>
                      <w:color w:val="auto"/>
                      <w:sz w:val="21"/>
                      <w:szCs w:val="21"/>
                      <w:highlight w:val="none"/>
                      <w:lang w:val="en-US" w:eastAsia="zh-CN"/>
                    </w:rPr>
                  </w:pPr>
                  <w:r>
                    <w:rPr>
                      <w:color w:val="auto"/>
                      <w:spacing w:val="1"/>
                    </w:rPr>
                    <w:t>昼</w:t>
                  </w:r>
                </w:p>
              </w:tc>
              <w:tc>
                <w:tcPr>
                  <w:tcW w:w="507" w:type="pct"/>
                  <w:noWrap w:val="0"/>
                  <w:vAlign w:val="center"/>
                </w:tcPr>
                <w:p w14:paraId="064A9352">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rPr>
                    <w:t>夜</w:t>
                  </w:r>
                </w:p>
              </w:tc>
              <w:tc>
                <w:tcPr>
                  <w:tcW w:w="509" w:type="pct"/>
                  <w:gridSpan w:val="2"/>
                  <w:noWrap w:val="0"/>
                  <w:vAlign w:val="center"/>
                </w:tcPr>
                <w:p w14:paraId="59CC9D3A">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spacing w:val="1"/>
                    </w:rPr>
                    <w:t>昼</w:t>
                  </w:r>
                </w:p>
              </w:tc>
              <w:tc>
                <w:tcPr>
                  <w:tcW w:w="509" w:type="pct"/>
                  <w:noWrap w:val="0"/>
                  <w:vAlign w:val="center"/>
                </w:tcPr>
                <w:p w14:paraId="09EAB78F">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rPr>
                    <w:t>夜</w:t>
                  </w:r>
                </w:p>
              </w:tc>
              <w:tc>
                <w:tcPr>
                  <w:tcW w:w="513" w:type="pct"/>
                  <w:noWrap w:val="0"/>
                  <w:vAlign w:val="center"/>
                </w:tcPr>
                <w:p w14:paraId="6D67BA4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spacing w:val="1"/>
                    </w:rPr>
                    <w:t>昼</w:t>
                  </w:r>
                </w:p>
              </w:tc>
              <w:tc>
                <w:tcPr>
                  <w:tcW w:w="505" w:type="pct"/>
                  <w:noWrap w:val="0"/>
                  <w:vAlign w:val="center"/>
                </w:tcPr>
                <w:p w14:paraId="0788A0A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rPr>
                    <w:t>夜</w:t>
                  </w:r>
                </w:p>
              </w:tc>
            </w:tr>
            <w:tr w14:paraId="12D4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4" w:type="pct"/>
                  <w:noWrap w:val="0"/>
                  <w:vAlign w:val="center"/>
                </w:tcPr>
                <w:p w14:paraId="2AA4248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spacing w:val="6"/>
                    </w:rPr>
                    <w:t>贡献值</w:t>
                  </w:r>
                </w:p>
              </w:tc>
              <w:tc>
                <w:tcPr>
                  <w:tcW w:w="505" w:type="pct"/>
                  <w:noWrap w:val="0"/>
                  <w:vAlign w:val="center"/>
                </w:tcPr>
                <w:p w14:paraId="48801AAF">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3"/>
                      <w:position w:val="1"/>
                      <w:sz w:val="20"/>
                      <w:szCs w:val="20"/>
                    </w:rPr>
                    <w:t>41.7</w:t>
                  </w:r>
                </w:p>
              </w:tc>
              <w:tc>
                <w:tcPr>
                  <w:tcW w:w="507" w:type="pct"/>
                  <w:noWrap w:val="0"/>
                  <w:vAlign w:val="center"/>
                </w:tcPr>
                <w:p w14:paraId="1A520D2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3"/>
                      <w:position w:val="1"/>
                      <w:sz w:val="20"/>
                      <w:szCs w:val="20"/>
                      <w:lang w:val="en-US" w:eastAsia="zh-CN"/>
                    </w:rPr>
                    <w:t>36.2</w:t>
                  </w:r>
                </w:p>
              </w:tc>
              <w:tc>
                <w:tcPr>
                  <w:tcW w:w="505" w:type="pct"/>
                  <w:noWrap w:val="0"/>
                  <w:vAlign w:val="center"/>
                </w:tcPr>
                <w:p w14:paraId="42EFD04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2"/>
                      <w:position w:val="1"/>
                      <w:sz w:val="20"/>
                      <w:szCs w:val="20"/>
                      <w:lang w:val="en-US" w:eastAsia="zh-CN"/>
                    </w:rPr>
                    <w:t>29.9</w:t>
                  </w:r>
                </w:p>
              </w:tc>
              <w:tc>
                <w:tcPr>
                  <w:tcW w:w="509" w:type="pct"/>
                  <w:gridSpan w:val="2"/>
                  <w:noWrap w:val="0"/>
                  <w:vAlign w:val="center"/>
                </w:tcPr>
                <w:p w14:paraId="5D6E823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3"/>
                      <w:position w:val="1"/>
                      <w:sz w:val="20"/>
                      <w:szCs w:val="20"/>
                      <w:lang w:val="en-US" w:eastAsia="zh-CN"/>
                    </w:rPr>
                    <w:t>35.4</w:t>
                  </w:r>
                </w:p>
              </w:tc>
              <w:tc>
                <w:tcPr>
                  <w:tcW w:w="507" w:type="pct"/>
                  <w:noWrap w:val="0"/>
                  <w:vAlign w:val="center"/>
                </w:tcPr>
                <w:p w14:paraId="6F41C58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2"/>
                      <w:position w:val="1"/>
                      <w:sz w:val="20"/>
                      <w:szCs w:val="20"/>
                      <w:lang w:val="en-US" w:eastAsia="zh-CN"/>
                    </w:rPr>
                    <w:t>30.6</w:t>
                  </w:r>
                </w:p>
              </w:tc>
              <w:tc>
                <w:tcPr>
                  <w:tcW w:w="511" w:type="pct"/>
                  <w:gridSpan w:val="2"/>
                  <w:noWrap w:val="0"/>
                  <w:vAlign w:val="center"/>
                </w:tcPr>
                <w:p w14:paraId="32819E4E">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2"/>
                      <w:position w:val="1"/>
                      <w:sz w:val="20"/>
                      <w:szCs w:val="20"/>
                      <w:lang w:val="en-US" w:eastAsia="zh-CN"/>
                    </w:rPr>
                    <w:t>27.8</w:t>
                  </w:r>
                </w:p>
              </w:tc>
              <w:tc>
                <w:tcPr>
                  <w:tcW w:w="513" w:type="pct"/>
                  <w:noWrap w:val="0"/>
                  <w:vAlign w:val="center"/>
                </w:tcPr>
                <w:p w14:paraId="780F517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2"/>
                      <w:position w:val="1"/>
                      <w:sz w:val="20"/>
                      <w:szCs w:val="20"/>
                    </w:rPr>
                    <w:t>50.1</w:t>
                  </w:r>
                </w:p>
              </w:tc>
              <w:tc>
                <w:tcPr>
                  <w:tcW w:w="505" w:type="pct"/>
                  <w:noWrap w:val="0"/>
                  <w:vAlign w:val="center"/>
                </w:tcPr>
                <w:p w14:paraId="4955BF4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pacing w:val="3"/>
                      <w:position w:val="1"/>
                      <w:sz w:val="20"/>
                      <w:szCs w:val="20"/>
                    </w:rPr>
                    <w:t>41.7</w:t>
                  </w:r>
                </w:p>
              </w:tc>
            </w:tr>
            <w:tr w14:paraId="675D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4" w:type="pct"/>
                  <w:noWrap w:val="0"/>
                  <w:vAlign w:val="center"/>
                </w:tcPr>
                <w:p w14:paraId="10B57665">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color w:val="auto"/>
                      <w:spacing w:val="6"/>
                    </w:rPr>
                    <w:t>标准值</w:t>
                  </w:r>
                </w:p>
              </w:tc>
              <w:tc>
                <w:tcPr>
                  <w:tcW w:w="505" w:type="pct"/>
                  <w:noWrap w:val="0"/>
                  <w:vAlign w:val="center"/>
                </w:tcPr>
                <w:p w14:paraId="793DDE0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position w:val="1"/>
                      <w:sz w:val="20"/>
                      <w:szCs w:val="20"/>
                    </w:rPr>
                    <w:t>65</w:t>
                  </w:r>
                </w:p>
              </w:tc>
              <w:tc>
                <w:tcPr>
                  <w:tcW w:w="507" w:type="pct"/>
                  <w:noWrap w:val="0"/>
                  <w:vAlign w:val="center"/>
                </w:tcPr>
                <w:p w14:paraId="075CA22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z w:val="20"/>
                      <w:szCs w:val="20"/>
                    </w:rPr>
                    <w:t>55</w:t>
                  </w:r>
                </w:p>
              </w:tc>
              <w:tc>
                <w:tcPr>
                  <w:tcW w:w="803" w:type="dxa"/>
                  <w:noWrap w:val="0"/>
                  <w:vAlign w:val="center"/>
                </w:tcPr>
                <w:p w14:paraId="0CB5C8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position w:val="1"/>
                      <w:sz w:val="20"/>
                      <w:szCs w:val="20"/>
                    </w:rPr>
                    <w:t>65</w:t>
                  </w:r>
                </w:p>
              </w:tc>
              <w:tc>
                <w:tcPr>
                  <w:tcW w:w="811" w:type="dxa"/>
                  <w:gridSpan w:val="2"/>
                  <w:noWrap w:val="0"/>
                  <w:vAlign w:val="center"/>
                </w:tcPr>
                <w:p w14:paraId="3CE545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z w:val="20"/>
                      <w:szCs w:val="20"/>
                    </w:rPr>
                    <w:t>55</w:t>
                  </w:r>
                </w:p>
              </w:tc>
              <w:tc>
                <w:tcPr>
                  <w:tcW w:w="806" w:type="dxa"/>
                  <w:noWrap w:val="0"/>
                  <w:vAlign w:val="center"/>
                </w:tcPr>
                <w:p w14:paraId="1C3975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position w:val="1"/>
                      <w:sz w:val="20"/>
                      <w:szCs w:val="20"/>
                    </w:rPr>
                    <w:t>65</w:t>
                  </w:r>
                </w:p>
              </w:tc>
              <w:tc>
                <w:tcPr>
                  <w:tcW w:w="812" w:type="dxa"/>
                  <w:gridSpan w:val="2"/>
                  <w:noWrap w:val="0"/>
                  <w:vAlign w:val="center"/>
                </w:tcPr>
                <w:p w14:paraId="0B0A4F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z w:val="20"/>
                      <w:szCs w:val="20"/>
                    </w:rPr>
                    <w:t>55</w:t>
                  </w:r>
                </w:p>
              </w:tc>
              <w:tc>
                <w:tcPr>
                  <w:tcW w:w="816" w:type="dxa"/>
                  <w:noWrap w:val="0"/>
                  <w:vAlign w:val="center"/>
                </w:tcPr>
                <w:p w14:paraId="04EFF7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position w:val="1"/>
                      <w:sz w:val="20"/>
                      <w:szCs w:val="20"/>
                    </w:rPr>
                    <w:t>65</w:t>
                  </w:r>
                </w:p>
              </w:tc>
              <w:tc>
                <w:tcPr>
                  <w:tcW w:w="803" w:type="dxa"/>
                  <w:noWrap w:val="0"/>
                  <w:vAlign w:val="center"/>
                </w:tcPr>
                <w:p w14:paraId="0EAC62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Times New Roman" w:cs="Times New Roman"/>
                      <w:color w:val="auto"/>
                      <w:sz w:val="20"/>
                      <w:szCs w:val="20"/>
                    </w:rPr>
                    <w:t>55</w:t>
                  </w:r>
                </w:p>
              </w:tc>
            </w:tr>
          </w:tbl>
          <w:p w14:paraId="468B7515">
            <w:pPr>
              <w:pStyle w:val="44"/>
              <w:spacing w:line="520" w:lineRule="exact"/>
              <w:ind w:firstLine="0" w:firstLineChars="0"/>
              <w:rPr>
                <w:rFonts w:hAnsi="Times New Roman"/>
                <w:b/>
                <w:bCs/>
                <w:color w:val="auto"/>
                <w:sz w:val="24"/>
                <w:highlight w:val="none"/>
                <w:lang w:val="en-US"/>
              </w:rPr>
            </w:pPr>
            <w:r>
              <w:rPr>
                <w:rFonts w:hAnsi="Times New Roman"/>
                <w:b/>
                <w:bCs/>
                <w:color w:val="auto"/>
                <w:sz w:val="24"/>
                <w:highlight w:val="none"/>
                <w:lang w:val="en-US"/>
              </w:rPr>
              <w:t>3.</w:t>
            </w:r>
            <w:r>
              <w:rPr>
                <w:rFonts w:hint="eastAsia" w:hAnsi="Times New Roman"/>
                <w:b/>
                <w:bCs/>
                <w:color w:val="auto"/>
                <w:sz w:val="24"/>
                <w:highlight w:val="none"/>
                <w:lang w:val="en-US" w:eastAsia="zh-CN"/>
              </w:rPr>
              <w:t>3</w:t>
            </w:r>
            <w:r>
              <w:rPr>
                <w:rFonts w:hAnsi="Times New Roman"/>
                <w:b/>
                <w:bCs/>
                <w:color w:val="auto"/>
                <w:sz w:val="24"/>
                <w:highlight w:val="none"/>
                <w:lang w:val="en-US"/>
              </w:rPr>
              <w:t>噪声影响分析及</w:t>
            </w:r>
            <w:r>
              <w:rPr>
                <w:rFonts w:hAnsi="Times New Roman"/>
                <w:b/>
                <w:bCs/>
                <w:color w:val="auto"/>
                <w:sz w:val="24"/>
                <w:highlight w:val="none"/>
              </w:rPr>
              <w:t>防治措施</w:t>
            </w:r>
          </w:p>
          <w:p w14:paraId="368C5B70">
            <w:pPr>
              <w:pStyle w:val="46"/>
              <w:spacing w:line="520" w:lineRule="exact"/>
              <w:ind w:firstLine="480"/>
              <w:rPr>
                <w:rFonts w:cs="Times New Roman"/>
                <w:color w:val="auto"/>
                <w:highlight w:val="none"/>
              </w:rPr>
            </w:pPr>
            <w:r>
              <w:rPr>
                <w:rFonts w:cs="Times New Roman"/>
                <w:color w:val="auto"/>
                <w:highlight w:val="none"/>
              </w:rPr>
              <w:t>为有效减少生产设备对厂区职工的影响，建议建设方采取如下措施：</w:t>
            </w:r>
          </w:p>
          <w:p w14:paraId="22B37580">
            <w:pPr>
              <w:pStyle w:val="46"/>
              <w:spacing w:line="520" w:lineRule="exact"/>
              <w:ind w:firstLine="480"/>
              <w:rPr>
                <w:rFonts w:cs="Times New Roman"/>
                <w:color w:val="auto"/>
                <w:highlight w:val="none"/>
              </w:rPr>
            </w:pPr>
            <w:r>
              <w:rPr>
                <w:rFonts w:cs="Times New Roman"/>
                <w:color w:val="auto"/>
                <w:highlight w:val="none"/>
              </w:rPr>
              <w:t>（1）在设备选型时优先选择高效、低噪声设备，做好设备的安装调试，同时加强营运期间对各种机械的维修保养，保持其良好的运行效果；</w:t>
            </w:r>
          </w:p>
          <w:p w14:paraId="2733AA70">
            <w:pPr>
              <w:pStyle w:val="46"/>
              <w:spacing w:line="520" w:lineRule="exact"/>
              <w:ind w:firstLine="480"/>
              <w:rPr>
                <w:rFonts w:cs="Times New Roman"/>
                <w:color w:val="auto"/>
                <w:highlight w:val="none"/>
              </w:rPr>
            </w:pPr>
            <w:r>
              <w:rPr>
                <w:rFonts w:cs="Times New Roman"/>
                <w:color w:val="auto"/>
                <w:highlight w:val="none"/>
              </w:rPr>
              <w:t>（2）车间内高噪声设备合理分布，避免集中放置。</w:t>
            </w:r>
          </w:p>
          <w:p w14:paraId="12F6F1D9">
            <w:pPr>
              <w:pStyle w:val="46"/>
              <w:spacing w:line="520" w:lineRule="exact"/>
              <w:ind w:firstLine="480"/>
              <w:rPr>
                <w:rFonts w:cs="Times New Roman"/>
                <w:color w:val="auto"/>
                <w:highlight w:val="none"/>
              </w:rPr>
            </w:pPr>
            <w:r>
              <w:rPr>
                <w:rFonts w:cs="Times New Roman"/>
                <w:color w:val="auto"/>
                <w:highlight w:val="none"/>
              </w:rPr>
              <w:t>（3）建议建设单位合理安排工序，避免高噪声设备同时使用，把噪声影响降低在最低限度；</w:t>
            </w:r>
          </w:p>
          <w:p w14:paraId="23874E28">
            <w:pPr>
              <w:pStyle w:val="46"/>
              <w:spacing w:line="520" w:lineRule="exact"/>
              <w:ind w:firstLine="480"/>
              <w:rPr>
                <w:rFonts w:cs="Times New Roman"/>
                <w:color w:val="auto"/>
                <w:highlight w:val="none"/>
              </w:rPr>
            </w:pPr>
            <w:r>
              <w:rPr>
                <w:rFonts w:cs="Times New Roman"/>
                <w:color w:val="auto"/>
                <w:highlight w:val="none"/>
              </w:rPr>
              <w:t>（4）在生产车间外面种植绿化带；</w:t>
            </w:r>
          </w:p>
          <w:p w14:paraId="651BADE7">
            <w:pPr>
              <w:pStyle w:val="46"/>
              <w:spacing w:line="520" w:lineRule="exact"/>
              <w:ind w:firstLine="480"/>
              <w:rPr>
                <w:rFonts w:cs="Times New Roman"/>
                <w:color w:val="auto"/>
                <w:highlight w:val="none"/>
              </w:rPr>
            </w:pPr>
            <w:r>
              <w:rPr>
                <w:rFonts w:cs="Times New Roman"/>
                <w:color w:val="auto"/>
                <w:szCs w:val="24"/>
                <w:highlight w:val="none"/>
              </w:rPr>
              <w:t>本项目生产设备均安装于室内，通过对高产噪设备采取减振、隔声措施以及墙体隔声、距离衰减后厂界噪声排放能够达到《工业企业厂界环境噪声排放标准》</w:t>
            </w:r>
            <w:r>
              <w:rPr>
                <w:rFonts w:cs="Times New Roman"/>
                <w:color w:val="auto"/>
                <w:highlight w:val="none"/>
              </w:rPr>
              <w:t>（GB12348-2008）</w:t>
            </w:r>
            <w:r>
              <w:rPr>
                <w:rFonts w:cs="Times New Roman"/>
                <w:color w:val="auto"/>
                <w:szCs w:val="24"/>
                <w:highlight w:val="none"/>
              </w:rPr>
              <w:t>中的3类标准的要求。因此，生产车间内的噪声对周围声环境影响较小。</w:t>
            </w:r>
          </w:p>
          <w:p w14:paraId="495DF705">
            <w:pPr>
              <w:spacing w:line="520" w:lineRule="exact"/>
              <w:rPr>
                <w:b/>
                <w:bCs/>
                <w:color w:val="auto"/>
                <w:sz w:val="24"/>
                <w:highlight w:val="none"/>
              </w:rPr>
            </w:pPr>
            <w:r>
              <w:rPr>
                <w:b/>
                <w:bCs/>
                <w:color w:val="auto"/>
                <w:sz w:val="24"/>
                <w:highlight w:val="none"/>
              </w:rPr>
              <w:t>3.3监测计划</w:t>
            </w:r>
          </w:p>
          <w:p w14:paraId="6FBD0963">
            <w:pPr>
              <w:wordWrap w:val="0"/>
              <w:spacing w:line="520" w:lineRule="exact"/>
              <w:ind w:firstLine="482"/>
              <w:jc w:val="left"/>
              <w:rPr>
                <w:color w:val="auto"/>
                <w:sz w:val="24"/>
                <w:highlight w:val="none"/>
              </w:rPr>
            </w:pPr>
            <w:r>
              <w:rPr>
                <w:color w:val="auto"/>
                <w:sz w:val="24"/>
                <w:highlight w:val="none"/>
              </w:rPr>
              <w:t>根据《排污单位自行监测技术指南总则》（HJ</w:t>
            </w:r>
            <w:r>
              <w:rPr>
                <w:rFonts w:hint="eastAsia"/>
                <w:color w:val="auto"/>
                <w:sz w:val="24"/>
                <w:highlight w:val="none"/>
                <w:lang w:val="en-US" w:eastAsia="zh-CN"/>
              </w:rPr>
              <w:t>819-2017</w:t>
            </w:r>
            <w:r>
              <w:rPr>
                <w:color w:val="auto"/>
                <w:sz w:val="24"/>
                <w:highlight w:val="none"/>
              </w:rPr>
              <w:t>），制定本项目噪声监测计划如表</w:t>
            </w:r>
            <w:r>
              <w:rPr>
                <w:rFonts w:hint="eastAsia"/>
                <w:color w:val="auto"/>
                <w:sz w:val="24"/>
                <w:highlight w:val="none"/>
                <w:lang w:val="en-US" w:eastAsia="zh-CN"/>
              </w:rPr>
              <w:t>4-9</w:t>
            </w:r>
            <w:r>
              <w:rPr>
                <w:color w:val="auto"/>
                <w:sz w:val="24"/>
                <w:highlight w:val="none"/>
              </w:rPr>
              <w:t>。</w:t>
            </w:r>
          </w:p>
          <w:p w14:paraId="76D22A43">
            <w:pPr>
              <w:pStyle w:val="43"/>
              <w:spacing w:line="520" w:lineRule="exact"/>
              <w:ind w:firstLine="442"/>
              <w:rPr>
                <w:rFonts w:hint="default"/>
                <w:color w:val="auto"/>
                <w:sz w:val="22"/>
                <w:szCs w:val="22"/>
                <w:highlight w:val="none"/>
              </w:rPr>
            </w:pPr>
            <w:r>
              <w:rPr>
                <w:rFonts w:hint="default"/>
                <w:color w:val="auto"/>
                <w:sz w:val="22"/>
                <w:szCs w:val="22"/>
                <w:highlight w:val="none"/>
              </w:rPr>
              <w:t>表</w:t>
            </w:r>
            <w:r>
              <w:rPr>
                <w:rFonts w:hint="eastAsia"/>
                <w:color w:val="auto"/>
                <w:sz w:val="22"/>
                <w:szCs w:val="22"/>
                <w:highlight w:val="none"/>
                <w:lang w:val="en-US" w:eastAsia="zh-CN"/>
              </w:rPr>
              <w:t>4-9</w:t>
            </w:r>
            <w:r>
              <w:rPr>
                <w:rFonts w:hint="default"/>
                <w:color w:val="auto"/>
                <w:sz w:val="22"/>
                <w:szCs w:val="22"/>
                <w:highlight w:val="none"/>
              </w:rPr>
              <w:t>噪声监测内容及计划</w:t>
            </w:r>
          </w:p>
          <w:tbl>
            <w:tblPr>
              <w:tblStyle w:val="30"/>
              <w:tblW w:w="4998" w:type="pct"/>
              <w:tblInd w:w="-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781"/>
              <w:gridCol w:w="1228"/>
              <w:gridCol w:w="3190"/>
            </w:tblGrid>
            <w:tr w14:paraId="5DD1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00" w:type="pct"/>
                  <w:vAlign w:val="center"/>
                </w:tcPr>
                <w:p w14:paraId="163CA893">
                  <w:pPr>
                    <w:pStyle w:val="55"/>
                    <w:spacing w:before="0" w:beforeLines="0" w:after="0" w:afterLines="0" w:line="240"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监测点位</w:t>
                  </w:r>
                </w:p>
              </w:tc>
              <w:tc>
                <w:tcPr>
                  <w:tcW w:w="1149" w:type="pct"/>
                  <w:vAlign w:val="center"/>
                </w:tcPr>
                <w:p w14:paraId="107DB960">
                  <w:pPr>
                    <w:pStyle w:val="55"/>
                    <w:spacing w:before="0" w:beforeLines="0" w:after="0" w:afterLines="0" w:line="240"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监测指标</w:t>
                  </w:r>
                </w:p>
              </w:tc>
              <w:tc>
                <w:tcPr>
                  <w:tcW w:w="792" w:type="pct"/>
                  <w:vAlign w:val="center"/>
                </w:tcPr>
                <w:p w14:paraId="18591EF5">
                  <w:pPr>
                    <w:pStyle w:val="55"/>
                    <w:spacing w:before="0" w:beforeLines="0" w:after="0" w:afterLines="0" w:line="240"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监测频次</w:t>
                  </w:r>
                </w:p>
              </w:tc>
              <w:tc>
                <w:tcPr>
                  <w:tcW w:w="2057" w:type="pct"/>
                  <w:vAlign w:val="center"/>
                </w:tcPr>
                <w:p w14:paraId="7284D67D">
                  <w:pPr>
                    <w:pStyle w:val="55"/>
                    <w:spacing w:before="0" w:beforeLines="0" w:after="0" w:afterLines="0" w:line="240"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执行标准</w:t>
                  </w:r>
                </w:p>
              </w:tc>
            </w:tr>
            <w:tr w14:paraId="4E13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00" w:type="pct"/>
                  <w:tcBorders>
                    <w:tl2br w:val="nil"/>
                    <w:tr2bl w:val="nil"/>
                  </w:tcBorders>
                  <w:vAlign w:val="center"/>
                </w:tcPr>
                <w:p w14:paraId="715704B5">
                  <w:pPr>
                    <w:pStyle w:val="55"/>
                    <w:spacing w:before="0" w:beforeLines="0" w:after="0" w:afterLines="0" w:line="240" w:lineRule="auto"/>
                    <w:jc w:val="center"/>
                    <w:rPr>
                      <w:rFonts w:ascii="Times New Roman" w:hAnsi="Times New Roman"/>
                      <w:color w:val="auto"/>
                      <w:sz w:val="21"/>
                      <w:szCs w:val="21"/>
                      <w:highlight w:val="none"/>
                    </w:rPr>
                  </w:pPr>
                  <w:r>
                    <w:rPr>
                      <w:rFonts w:ascii="Times New Roman" w:hAnsi="Times New Roman"/>
                      <w:color w:val="auto"/>
                      <w:sz w:val="21"/>
                      <w:szCs w:val="21"/>
                      <w:highlight w:val="none"/>
                    </w:rPr>
                    <w:t>厂界东西南北侧各1个点位</w:t>
                  </w:r>
                </w:p>
              </w:tc>
              <w:tc>
                <w:tcPr>
                  <w:tcW w:w="1149" w:type="pct"/>
                  <w:tcBorders>
                    <w:tl2br w:val="nil"/>
                    <w:tr2bl w:val="nil"/>
                  </w:tcBorders>
                  <w:vAlign w:val="center"/>
                </w:tcPr>
                <w:p w14:paraId="10B95235">
                  <w:pPr>
                    <w:pStyle w:val="55"/>
                    <w:spacing w:before="0" w:beforeLines="0" w:after="0" w:afterLines="0" w:line="240" w:lineRule="auto"/>
                    <w:jc w:val="center"/>
                    <w:rPr>
                      <w:rFonts w:ascii="Times New Roman" w:hAnsi="Times New Roman"/>
                      <w:color w:val="auto"/>
                      <w:sz w:val="21"/>
                      <w:szCs w:val="21"/>
                      <w:highlight w:val="none"/>
                    </w:rPr>
                  </w:pPr>
                  <w:r>
                    <w:rPr>
                      <w:rFonts w:ascii="Times New Roman" w:hAnsi="Times New Roman"/>
                      <w:color w:val="auto"/>
                      <w:sz w:val="21"/>
                      <w:szCs w:val="21"/>
                      <w:highlight w:val="none"/>
                    </w:rPr>
                    <w:t>等效连续A声级</w:t>
                  </w:r>
                </w:p>
              </w:tc>
              <w:tc>
                <w:tcPr>
                  <w:tcW w:w="792" w:type="pct"/>
                  <w:tcBorders>
                    <w:tl2br w:val="nil"/>
                    <w:tr2bl w:val="nil"/>
                  </w:tcBorders>
                  <w:vAlign w:val="center"/>
                </w:tcPr>
                <w:p w14:paraId="4E4FF17A">
                  <w:pPr>
                    <w:pStyle w:val="55"/>
                    <w:spacing w:before="0" w:beforeLines="0" w:after="0" w:afterLines="0" w:line="240" w:lineRule="auto"/>
                    <w:jc w:val="center"/>
                    <w:rPr>
                      <w:rFonts w:ascii="Times New Roman" w:hAnsi="Times New Roman"/>
                      <w:color w:val="auto"/>
                      <w:sz w:val="21"/>
                      <w:szCs w:val="21"/>
                      <w:highlight w:val="none"/>
                    </w:rPr>
                  </w:pPr>
                  <w:r>
                    <w:rPr>
                      <w:rFonts w:ascii="Times New Roman" w:hAnsi="Times New Roman"/>
                      <w:color w:val="auto"/>
                      <w:sz w:val="21"/>
                      <w:szCs w:val="21"/>
                      <w:highlight w:val="none"/>
                    </w:rPr>
                    <w:t>1次/季</w:t>
                  </w:r>
                </w:p>
              </w:tc>
              <w:tc>
                <w:tcPr>
                  <w:tcW w:w="2057" w:type="pct"/>
                  <w:tcBorders>
                    <w:tl2br w:val="nil"/>
                    <w:tr2bl w:val="nil"/>
                  </w:tcBorders>
                  <w:vAlign w:val="center"/>
                </w:tcPr>
                <w:p w14:paraId="258800E5">
                  <w:pPr>
                    <w:pStyle w:val="55"/>
                    <w:spacing w:before="0" w:beforeLines="0" w:after="0" w:afterLines="0" w:line="240" w:lineRule="auto"/>
                    <w:jc w:val="center"/>
                    <w:rPr>
                      <w:rFonts w:ascii="Times New Roman" w:hAnsi="Times New Roman"/>
                      <w:color w:val="auto"/>
                      <w:sz w:val="21"/>
                      <w:szCs w:val="21"/>
                      <w:highlight w:val="none"/>
                    </w:rPr>
                  </w:pPr>
                  <w:r>
                    <w:rPr>
                      <w:rFonts w:ascii="Times New Roman" w:hAnsi="Times New Roman"/>
                      <w:color w:val="auto"/>
                      <w:sz w:val="21"/>
                      <w:szCs w:val="21"/>
                      <w:highlight w:val="none"/>
                    </w:rPr>
                    <w:t>《工业企业厂界环境噪声排放标准》（GB12348-2008）3类标准</w:t>
                  </w:r>
                </w:p>
              </w:tc>
            </w:tr>
          </w:tbl>
          <w:p w14:paraId="0FA21621">
            <w:pPr>
              <w:pStyle w:val="76"/>
              <w:spacing w:before="179" w:line="221" w:lineRule="auto"/>
              <w:rPr>
                <w:color w:val="auto"/>
                <w:sz w:val="24"/>
                <w:szCs w:val="24"/>
              </w:rPr>
            </w:pPr>
            <w:r>
              <w:rPr>
                <w:rFonts w:ascii="Times New Roman" w:hAnsi="Times New Roman" w:eastAsia="Times New Roman" w:cs="Times New Roman"/>
                <w:b/>
                <w:bCs/>
                <w:color w:val="auto"/>
                <w:spacing w:val="-10"/>
                <w:sz w:val="24"/>
                <w:szCs w:val="24"/>
              </w:rPr>
              <w:t>4</w:t>
            </w:r>
            <w:r>
              <w:rPr>
                <w:b/>
                <w:bCs/>
                <w:color w:val="auto"/>
                <w:spacing w:val="-10"/>
                <w:sz w:val="24"/>
                <w:szCs w:val="24"/>
              </w:rPr>
              <w:t>、固废</w:t>
            </w:r>
          </w:p>
          <w:p w14:paraId="03372879">
            <w:pPr>
              <w:pStyle w:val="76"/>
              <w:spacing w:before="193" w:line="220" w:lineRule="auto"/>
              <w:rPr>
                <w:color w:val="auto"/>
                <w:sz w:val="24"/>
                <w:szCs w:val="24"/>
              </w:rPr>
            </w:pPr>
            <w:r>
              <w:rPr>
                <w:rFonts w:ascii="Times New Roman" w:hAnsi="Times New Roman" w:eastAsia="Times New Roman" w:cs="Times New Roman"/>
                <w:b/>
                <w:bCs/>
                <w:color w:val="auto"/>
                <w:spacing w:val="-5"/>
                <w:sz w:val="24"/>
                <w:szCs w:val="24"/>
              </w:rPr>
              <w:t>4.1</w:t>
            </w:r>
            <w:r>
              <w:rPr>
                <w:b/>
                <w:bCs/>
                <w:color w:val="auto"/>
                <w:spacing w:val="-5"/>
                <w:sz w:val="24"/>
                <w:szCs w:val="24"/>
              </w:rPr>
              <w:t>固体废物产生情况</w:t>
            </w:r>
          </w:p>
          <w:p w14:paraId="64D63546">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1</w:t>
            </w:r>
            <w:r>
              <w:rPr>
                <w:color w:val="auto"/>
                <w:spacing w:val="-3"/>
                <w:position w:val="2"/>
                <w:sz w:val="24"/>
                <w:szCs w:val="24"/>
              </w:rPr>
              <w:t>）生活垃圾</w:t>
            </w:r>
          </w:p>
          <w:p w14:paraId="68DE5E14">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44" w:firstLineChars="200"/>
              <w:textAlignment w:val="auto"/>
              <w:rPr>
                <w:color w:val="auto"/>
                <w:sz w:val="24"/>
                <w:szCs w:val="24"/>
              </w:rPr>
            </w:pPr>
            <w:r>
              <w:rPr>
                <w:color w:val="auto"/>
                <w:spacing w:val="-9"/>
                <w:sz w:val="24"/>
                <w:szCs w:val="24"/>
              </w:rPr>
              <w:t>项目劳动定员</w:t>
            </w:r>
            <w:r>
              <w:rPr>
                <w:rFonts w:hint="eastAsia" w:ascii="Times New Roman" w:hAnsi="Times New Roman" w:eastAsia="宋体" w:cs="Times New Roman"/>
                <w:color w:val="auto"/>
                <w:spacing w:val="-9"/>
                <w:sz w:val="24"/>
                <w:szCs w:val="24"/>
                <w:lang w:val="en-US" w:eastAsia="zh-CN"/>
              </w:rPr>
              <w:t>68</w:t>
            </w:r>
            <w:r>
              <w:rPr>
                <w:color w:val="auto"/>
                <w:spacing w:val="-9"/>
                <w:sz w:val="24"/>
                <w:szCs w:val="24"/>
              </w:rPr>
              <w:t>人，年工作</w:t>
            </w:r>
            <w:r>
              <w:rPr>
                <w:rFonts w:ascii="Times New Roman" w:hAnsi="Times New Roman" w:eastAsia="Times New Roman" w:cs="Times New Roman"/>
                <w:color w:val="auto"/>
                <w:spacing w:val="-9"/>
                <w:sz w:val="24"/>
                <w:szCs w:val="24"/>
              </w:rPr>
              <w:t>3</w:t>
            </w:r>
            <w:r>
              <w:rPr>
                <w:rFonts w:hint="eastAsia" w:ascii="Times New Roman" w:hAnsi="Times New Roman" w:eastAsia="宋体" w:cs="Times New Roman"/>
                <w:color w:val="auto"/>
                <w:spacing w:val="-9"/>
                <w:sz w:val="24"/>
                <w:szCs w:val="24"/>
                <w:lang w:val="en-US" w:eastAsia="zh-CN"/>
              </w:rPr>
              <w:t>65</w:t>
            </w:r>
            <w:r>
              <w:rPr>
                <w:color w:val="auto"/>
                <w:spacing w:val="-9"/>
                <w:sz w:val="24"/>
                <w:szCs w:val="24"/>
              </w:rPr>
              <w:t>天。生活垃圾产生量按</w:t>
            </w:r>
            <w:r>
              <w:rPr>
                <w:rFonts w:ascii="Times New Roman" w:hAnsi="Times New Roman" w:eastAsia="Times New Roman" w:cs="Times New Roman"/>
                <w:color w:val="auto"/>
                <w:spacing w:val="-9"/>
                <w:sz w:val="24"/>
                <w:szCs w:val="24"/>
              </w:rPr>
              <w:t>1.0kg/</w:t>
            </w:r>
            <w:r>
              <w:rPr>
                <w:color w:val="auto"/>
                <w:spacing w:val="-9"/>
                <w:sz w:val="24"/>
                <w:szCs w:val="24"/>
              </w:rPr>
              <w:t>（人·</w:t>
            </w:r>
            <w:r>
              <w:rPr>
                <w:rFonts w:ascii="Times New Roman" w:hAnsi="Times New Roman" w:eastAsia="Times New Roman" w:cs="Times New Roman"/>
                <w:color w:val="auto"/>
                <w:spacing w:val="-9"/>
                <w:sz w:val="24"/>
                <w:szCs w:val="24"/>
              </w:rPr>
              <w:t>d</w:t>
            </w:r>
            <w:r>
              <w:rPr>
                <w:color w:val="auto"/>
                <w:spacing w:val="-9"/>
                <w:sz w:val="24"/>
                <w:szCs w:val="24"/>
              </w:rPr>
              <w:t>）</w:t>
            </w:r>
            <w:r>
              <w:rPr>
                <w:color w:val="auto"/>
                <w:spacing w:val="1"/>
                <w:sz w:val="24"/>
                <w:szCs w:val="24"/>
              </w:rPr>
              <w:t>计，则营运期生活垃圾产生量为</w:t>
            </w:r>
            <w:r>
              <w:rPr>
                <w:rFonts w:hint="eastAsia" w:ascii="Times New Roman" w:hAnsi="Times New Roman" w:eastAsia="宋体" w:cs="Times New Roman"/>
                <w:color w:val="auto"/>
                <w:spacing w:val="1"/>
                <w:sz w:val="24"/>
                <w:szCs w:val="24"/>
                <w:lang w:val="en-US" w:eastAsia="zh-CN"/>
              </w:rPr>
              <w:t>68</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1"/>
                <w:sz w:val="24"/>
                <w:szCs w:val="24"/>
              </w:rPr>
              <w:t>/d</w:t>
            </w:r>
            <w:r>
              <w:rPr>
                <w:color w:val="auto"/>
                <w:spacing w:val="1"/>
                <w:sz w:val="24"/>
                <w:szCs w:val="24"/>
              </w:rPr>
              <w:t>（</w:t>
            </w:r>
            <w:r>
              <w:rPr>
                <w:rFonts w:hint="eastAsia" w:ascii="Times New Roman" w:hAnsi="Times New Roman" w:eastAsia="宋体" w:cs="Times New Roman"/>
                <w:color w:val="auto"/>
                <w:spacing w:val="1"/>
                <w:sz w:val="24"/>
                <w:szCs w:val="24"/>
                <w:lang w:val="en-US" w:eastAsia="zh-CN"/>
              </w:rPr>
              <w:t>24.8</w:t>
            </w:r>
            <w:r>
              <w:rPr>
                <w:rFonts w:ascii="Times New Roman" w:hAnsi="Times New Roman" w:eastAsia="Times New Roman" w:cs="Times New Roman"/>
                <w:color w:val="auto"/>
                <w:spacing w:val="1"/>
                <w:sz w:val="24"/>
                <w:szCs w:val="24"/>
              </w:rPr>
              <w:t>t/a</w:t>
            </w:r>
            <w:r>
              <w:rPr>
                <w:color w:val="auto"/>
                <w:spacing w:val="1"/>
                <w:sz w:val="24"/>
                <w:szCs w:val="24"/>
              </w:rPr>
              <w:t>）。厂区设置垃圾箱分类</w:t>
            </w:r>
            <w:r>
              <w:rPr>
                <w:color w:val="auto"/>
                <w:spacing w:val="-1"/>
                <w:sz w:val="24"/>
                <w:szCs w:val="24"/>
              </w:rPr>
              <w:t>收集生活垃圾，交园区环卫部门清运处置。</w:t>
            </w:r>
          </w:p>
          <w:p w14:paraId="7AA08B62">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2</w:t>
            </w:r>
            <w:r>
              <w:rPr>
                <w:color w:val="auto"/>
                <w:spacing w:val="-3"/>
                <w:position w:val="2"/>
                <w:sz w:val="24"/>
                <w:szCs w:val="24"/>
              </w:rPr>
              <w:t>）一般固废</w:t>
            </w:r>
          </w:p>
          <w:p w14:paraId="31F4093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highlight w:val="none"/>
              </w:rPr>
            </w:pPr>
            <w:r>
              <w:rPr>
                <w:rFonts w:hint="eastAsia" w:ascii="Times New Roman" w:hAnsi="Times New Roman" w:eastAsia="宋体" w:cs="Times New Roman"/>
                <w:color w:val="auto"/>
                <w:spacing w:val="-1"/>
                <w:sz w:val="24"/>
                <w:szCs w:val="24"/>
                <w:highlight w:val="none"/>
                <w:lang w:val="en-US" w:eastAsia="zh-CN"/>
              </w:rPr>
              <w:t>①</w:t>
            </w:r>
            <w:r>
              <w:rPr>
                <w:rFonts w:ascii="Times New Roman" w:hAnsi="Times New Roman" w:eastAsia="Times New Roman" w:cs="Times New Roman"/>
                <w:color w:val="auto"/>
                <w:spacing w:val="-1"/>
                <w:sz w:val="24"/>
                <w:szCs w:val="24"/>
                <w:highlight w:val="none"/>
              </w:rPr>
              <w:t>MPCVD</w:t>
            </w:r>
            <w:r>
              <w:rPr>
                <w:color w:val="auto"/>
                <w:spacing w:val="-1"/>
                <w:sz w:val="24"/>
                <w:szCs w:val="24"/>
                <w:highlight w:val="none"/>
              </w:rPr>
              <w:t>长晶炉内沉积碳</w:t>
            </w:r>
          </w:p>
          <w:p w14:paraId="1BB6F2E3">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eastAsia="宋体"/>
                <w:color w:val="auto"/>
                <w:spacing w:val="-1"/>
                <w:sz w:val="24"/>
                <w:szCs w:val="24"/>
                <w:lang w:val="en-US" w:eastAsia="zh-CN"/>
              </w:rPr>
            </w:pPr>
            <w:r>
              <w:rPr>
                <w:color w:val="auto"/>
                <w:sz w:val="24"/>
                <w:szCs w:val="24"/>
              </w:rPr>
              <w:t>在甲烷中的碳原子被分子化后沉积形成金刚石半成品的过程中，一部分的碳原子会附着在沉积室炉壁内形成沉积碳，炉内壁的</w:t>
            </w:r>
            <w:r>
              <w:rPr>
                <w:rFonts w:hint="eastAsia"/>
                <w:color w:val="auto"/>
                <w:sz w:val="24"/>
                <w:szCs w:val="24"/>
                <w:lang w:val="en-US" w:eastAsia="zh-CN"/>
              </w:rPr>
              <w:t>沉</w:t>
            </w:r>
            <w:r>
              <w:rPr>
                <w:color w:val="auto"/>
                <w:sz w:val="24"/>
                <w:szCs w:val="24"/>
              </w:rPr>
              <w:t>积碳每个生长周期</w:t>
            </w:r>
            <w:r>
              <w:rPr>
                <w:color w:val="auto"/>
                <w:spacing w:val="2"/>
                <w:sz w:val="24"/>
                <w:szCs w:val="24"/>
              </w:rPr>
              <w:t>结束都需要清理收集，根据项目碳元素平衡，</w:t>
            </w:r>
            <w:r>
              <w:rPr>
                <w:rFonts w:ascii="Times New Roman" w:hAnsi="Times New Roman" w:eastAsia="Times New Roman" w:cs="Times New Roman"/>
                <w:color w:val="auto"/>
                <w:sz w:val="24"/>
                <w:szCs w:val="24"/>
              </w:rPr>
              <w:t>MPCVD</w:t>
            </w:r>
            <w:r>
              <w:rPr>
                <w:color w:val="auto"/>
                <w:spacing w:val="2"/>
                <w:sz w:val="24"/>
                <w:szCs w:val="24"/>
              </w:rPr>
              <w:t>长晶炉内沉积</w:t>
            </w:r>
            <w:r>
              <w:rPr>
                <w:color w:val="auto"/>
                <w:spacing w:val="1"/>
                <w:sz w:val="24"/>
                <w:szCs w:val="24"/>
              </w:rPr>
              <w:t>碳约为</w:t>
            </w:r>
            <w:r>
              <w:rPr>
                <w:rFonts w:hint="eastAsia" w:ascii="Times New Roman" w:hAnsi="Times New Roman" w:eastAsia="宋体" w:cs="Times New Roman"/>
                <w:color w:val="auto"/>
                <w:spacing w:val="-2"/>
                <w:sz w:val="24"/>
                <w:szCs w:val="24"/>
                <w:lang w:val="en-US" w:eastAsia="zh-CN"/>
              </w:rPr>
              <w:t>10</w:t>
            </w:r>
            <w:r>
              <w:rPr>
                <w:rFonts w:ascii="Times New Roman" w:hAnsi="Times New Roman" w:eastAsia="Times New Roman" w:cs="Times New Roman"/>
                <w:color w:val="auto"/>
                <w:spacing w:val="-2"/>
                <w:sz w:val="24"/>
                <w:szCs w:val="24"/>
              </w:rPr>
              <w:t>kg/a</w:t>
            </w: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收集后外售处理。</w:t>
            </w:r>
          </w:p>
          <w:p w14:paraId="51ECCF64">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eastAsia="宋体"/>
                <w:color w:val="auto"/>
                <w:sz w:val="24"/>
                <w:szCs w:val="24"/>
                <w:lang w:val="en-US" w:eastAsia="zh-CN"/>
              </w:rPr>
            </w:pPr>
            <w:r>
              <w:rPr>
                <w:rFonts w:hint="eastAsia"/>
                <w:color w:val="auto"/>
                <w:spacing w:val="-1"/>
                <w:sz w:val="24"/>
                <w:szCs w:val="24"/>
                <w:lang w:val="en-US" w:eastAsia="zh-CN"/>
              </w:rPr>
              <w:t>②</w:t>
            </w:r>
            <w:r>
              <w:rPr>
                <w:color w:val="auto"/>
                <w:spacing w:val="-1"/>
                <w:sz w:val="24"/>
                <w:szCs w:val="24"/>
              </w:rPr>
              <w:t>激光切割产生的</w:t>
            </w:r>
            <w:r>
              <w:rPr>
                <w:rFonts w:hint="eastAsia"/>
                <w:color w:val="auto"/>
                <w:spacing w:val="-1"/>
                <w:sz w:val="24"/>
                <w:szCs w:val="24"/>
                <w:lang w:val="en-US" w:eastAsia="zh-CN"/>
              </w:rPr>
              <w:t>废边角料</w:t>
            </w:r>
          </w:p>
          <w:p w14:paraId="5D5F8D9C">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color w:val="auto"/>
                <w:spacing w:val="-1"/>
                <w:sz w:val="24"/>
                <w:szCs w:val="24"/>
                <w:lang w:val="en-US" w:eastAsia="zh-CN"/>
              </w:rPr>
            </w:pPr>
            <w:r>
              <w:rPr>
                <w:rFonts w:ascii="Times New Roman" w:hAnsi="Times New Roman" w:eastAsia="Times New Roman" w:cs="Times New Roman"/>
                <w:color w:val="auto"/>
                <w:sz w:val="24"/>
                <w:szCs w:val="24"/>
              </w:rPr>
              <w:t>MPCVD</w:t>
            </w:r>
            <w:r>
              <w:rPr>
                <w:color w:val="auto"/>
                <w:spacing w:val="2"/>
                <w:sz w:val="24"/>
                <w:szCs w:val="24"/>
              </w:rPr>
              <w:t>沉积后，需要对沉积后金刚石进行处理，把金刚石表面多晶和</w:t>
            </w:r>
            <w:r>
              <w:rPr>
                <w:color w:val="auto"/>
                <w:sz w:val="24"/>
                <w:szCs w:val="24"/>
              </w:rPr>
              <w:t>不规整的地方切割掉，切割过程会产生一定量的</w:t>
            </w:r>
            <w:r>
              <w:rPr>
                <w:rFonts w:hint="eastAsia"/>
                <w:color w:val="auto"/>
                <w:sz w:val="24"/>
                <w:szCs w:val="24"/>
                <w:lang w:val="en-US" w:eastAsia="zh-CN"/>
              </w:rPr>
              <w:t>边角料</w:t>
            </w:r>
            <w:r>
              <w:rPr>
                <w:color w:val="auto"/>
                <w:sz w:val="24"/>
                <w:szCs w:val="24"/>
              </w:rPr>
              <w:t>，根据</w:t>
            </w:r>
            <w:r>
              <w:rPr>
                <w:rFonts w:hint="eastAsia"/>
                <w:color w:val="auto"/>
                <w:sz w:val="24"/>
                <w:szCs w:val="24"/>
                <w:lang w:val="en-US" w:eastAsia="zh-CN"/>
              </w:rPr>
              <w:t>业主提供资料</w:t>
            </w:r>
            <w:r>
              <w:rPr>
                <w:color w:val="auto"/>
                <w:spacing w:val="-1"/>
                <w:sz w:val="24"/>
                <w:szCs w:val="24"/>
              </w:rPr>
              <w:t>，项目激光切割产生的</w:t>
            </w:r>
            <w:r>
              <w:rPr>
                <w:rFonts w:hint="eastAsia"/>
                <w:color w:val="auto"/>
                <w:spacing w:val="-1"/>
                <w:sz w:val="24"/>
                <w:szCs w:val="24"/>
                <w:lang w:val="en-US" w:eastAsia="zh-CN"/>
              </w:rPr>
              <w:t>废边角料</w:t>
            </w:r>
            <w:r>
              <w:rPr>
                <w:rFonts w:hint="eastAsia" w:ascii="Times New Roman" w:hAnsi="Times New Roman" w:cs="Times New Roman"/>
                <w:color w:val="auto"/>
                <w:spacing w:val="-1"/>
                <w:sz w:val="24"/>
                <w:szCs w:val="24"/>
                <w:lang w:val="en-US" w:eastAsia="zh-CN"/>
              </w:rPr>
              <w:t>约5kg/a</w:t>
            </w: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收集后外售处理。</w:t>
            </w:r>
          </w:p>
          <w:p w14:paraId="2B317A8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eastAsia="宋体"/>
                <w:color w:val="auto"/>
                <w:sz w:val="24"/>
                <w:szCs w:val="24"/>
                <w:lang w:val="en-US" w:eastAsia="zh-CN"/>
              </w:rPr>
            </w:pPr>
            <w:r>
              <w:rPr>
                <w:rFonts w:hint="eastAsia"/>
                <w:color w:val="auto"/>
                <w:spacing w:val="-1"/>
                <w:sz w:val="24"/>
                <w:szCs w:val="24"/>
                <w:lang w:val="en-US" w:eastAsia="zh-CN"/>
              </w:rPr>
              <w:t>③检验出的不合格产品</w:t>
            </w:r>
          </w:p>
          <w:p w14:paraId="2D200256">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cs="Times New Roman"/>
                <w:color w:val="auto"/>
                <w:spacing w:val="-2"/>
                <w:sz w:val="24"/>
                <w:szCs w:val="24"/>
                <w:lang w:val="en-US" w:eastAsia="zh-CN"/>
              </w:rPr>
            </w:pPr>
            <w:r>
              <w:rPr>
                <w:color w:val="auto"/>
                <w:sz w:val="24"/>
                <w:szCs w:val="24"/>
              </w:rPr>
              <w:t>检验将成型的合成钻石通过光学放大镜投影仪检验晶体表面沉积情况，合格品</w:t>
            </w:r>
            <w:r>
              <w:rPr>
                <w:rFonts w:hint="eastAsia"/>
                <w:color w:val="auto"/>
                <w:sz w:val="24"/>
                <w:szCs w:val="24"/>
                <w:lang w:val="en-US" w:eastAsia="zh-CN"/>
              </w:rPr>
              <w:t>为</w:t>
            </w:r>
            <w:r>
              <w:rPr>
                <w:color w:val="auto"/>
                <w:sz w:val="24"/>
                <w:szCs w:val="24"/>
              </w:rPr>
              <w:t>单晶金刚石，不合格品为多晶或有缺陷的金刚石，根据</w:t>
            </w:r>
            <w:r>
              <w:rPr>
                <w:rFonts w:hint="eastAsia"/>
                <w:color w:val="auto"/>
                <w:sz w:val="24"/>
                <w:szCs w:val="24"/>
                <w:lang w:val="en-US" w:eastAsia="zh-CN"/>
              </w:rPr>
              <w:t>业主提供资料</w:t>
            </w:r>
            <w:r>
              <w:rPr>
                <w:color w:val="auto"/>
                <w:spacing w:val="-1"/>
                <w:sz w:val="24"/>
                <w:szCs w:val="24"/>
              </w:rPr>
              <w:t>，项目</w:t>
            </w:r>
            <w:r>
              <w:rPr>
                <w:rFonts w:hint="eastAsia"/>
                <w:color w:val="auto"/>
                <w:spacing w:val="-1"/>
                <w:sz w:val="24"/>
                <w:szCs w:val="24"/>
                <w:lang w:val="en-US" w:eastAsia="zh-CN"/>
              </w:rPr>
              <w:t>产生的不</w:t>
            </w:r>
            <w:r>
              <w:rPr>
                <w:rFonts w:hint="default" w:ascii="Times New Roman" w:hAnsi="Times New Roman" w:cs="Times New Roman"/>
                <w:color w:val="auto"/>
                <w:spacing w:val="-1"/>
                <w:sz w:val="24"/>
                <w:szCs w:val="24"/>
                <w:lang w:val="en-US" w:eastAsia="zh-CN"/>
              </w:rPr>
              <w:t>合格产品约45.2kg/a</w:t>
            </w: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收集后外售处理。</w:t>
            </w:r>
          </w:p>
          <w:p w14:paraId="2DD10C23">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color w:val="auto"/>
                <w:spacing w:val="-2"/>
                <w:sz w:val="24"/>
                <w:szCs w:val="24"/>
                <w:lang w:val="en-US"/>
              </w:rPr>
            </w:pPr>
            <w:r>
              <w:rPr>
                <w:rFonts w:hint="eastAsia"/>
                <w:color w:val="auto"/>
                <w:spacing w:val="-1"/>
                <w:sz w:val="24"/>
                <w:szCs w:val="24"/>
                <w:lang w:val="en-US" w:eastAsia="zh-CN"/>
              </w:rPr>
              <w:t>④抛光颗粒物</w:t>
            </w:r>
          </w:p>
          <w:p w14:paraId="070039A7">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color w:val="auto"/>
                <w:spacing w:val="-2"/>
                <w:sz w:val="24"/>
                <w:szCs w:val="24"/>
                <w:lang w:val="en-US" w:eastAsia="zh-CN"/>
              </w:rPr>
            </w:pPr>
            <w:r>
              <w:rPr>
                <w:color w:val="auto"/>
                <w:spacing w:val="-2"/>
                <w:sz w:val="24"/>
                <w:szCs w:val="24"/>
              </w:rPr>
              <w:t>项目产品体积及质量很小，</w:t>
            </w:r>
            <w:r>
              <w:rPr>
                <w:rFonts w:hint="eastAsia"/>
                <w:color w:val="auto"/>
                <w:spacing w:val="-2"/>
                <w:sz w:val="24"/>
                <w:szCs w:val="24"/>
                <w:lang w:val="en-US" w:eastAsia="zh-CN"/>
              </w:rPr>
              <w:t>抛光打磨</w:t>
            </w:r>
            <w:r>
              <w:rPr>
                <w:color w:val="auto"/>
                <w:spacing w:val="-2"/>
                <w:sz w:val="24"/>
                <w:szCs w:val="24"/>
              </w:rPr>
              <w:t>过程产生的颗粒物粒径很小</w:t>
            </w:r>
            <w:r>
              <w:rPr>
                <w:rFonts w:hint="eastAsia"/>
                <w:color w:val="auto"/>
                <w:spacing w:val="-2"/>
                <w:sz w:val="24"/>
                <w:szCs w:val="24"/>
                <w:lang w:eastAsia="zh-CN"/>
              </w:rPr>
              <w:t>，</w:t>
            </w:r>
            <w:r>
              <w:rPr>
                <w:rFonts w:hint="eastAsia"/>
                <w:color w:val="auto"/>
                <w:spacing w:val="-2"/>
                <w:sz w:val="24"/>
                <w:szCs w:val="24"/>
                <w:lang w:val="en-US" w:eastAsia="zh-CN"/>
              </w:rPr>
              <w:t>基本为碎钻</w:t>
            </w:r>
            <w:r>
              <w:rPr>
                <w:color w:val="auto"/>
                <w:spacing w:val="-2"/>
                <w:sz w:val="24"/>
                <w:szCs w:val="24"/>
              </w:rPr>
              <w:t>。根据产品规格，金刚石密度约为</w:t>
            </w:r>
            <w:r>
              <w:rPr>
                <w:rFonts w:ascii="Times New Roman" w:hAnsi="Times New Roman" w:eastAsia="Times New Roman" w:cs="Times New Roman"/>
                <w:color w:val="auto"/>
                <w:spacing w:val="-2"/>
                <w:sz w:val="24"/>
                <w:szCs w:val="24"/>
              </w:rPr>
              <w:t>3.52g/cm</w:t>
            </w:r>
            <w:r>
              <w:rPr>
                <w:rFonts w:ascii="Times New Roman" w:hAnsi="Times New Roman" w:eastAsia="Times New Roman" w:cs="Times New Roman"/>
                <w:color w:val="auto"/>
                <w:spacing w:val="-2"/>
                <w:position w:val="7"/>
                <w:sz w:val="15"/>
                <w:szCs w:val="15"/>
              </w:rPr>
              <w:t>3</w:t>
            </w:r>
            <w:r>
              <w:rPr>
                <w:color w:val="auto"/>
                <w:spacing w:val="-2"/>
                <w:sz w:val="24"/>
                <w:szCs w:val="24"/>
              </w:rPr>
              <w:t>，项目年生产金刚石</w:t>
            </w:r>
            <w:r>
              <w:rPr>
                <w:rFonts w:hint="eastAsia" w:eastAsia="宋体" w:cs="Times New Roman"/>
                <w:color w:val="auto"/>
                <w:spacing w:val="-2"/>
                <w:sz w:val="24"/>
                <w:szCs w:val="24"/>
                <w:lang w:val="en-US" w:eastAsia="zh-CN"/>
              </w:rPr>
              <w:t>25.1</w:t>
            </w:r>
            <w:r>
              <w:rPr>
                <w:rFonts w:ascii="Times New Roman" w:hAnsi="Times New Roman" w:eastAsia="Times New Roman" w:cs="Times New Roman"/>
                <w:color w:val="auto"/>
                <w:spacing w:val="-2"/>
                <w:sz w:val="24"/>
                <w:szCs w:val="24"/>
              </w:rPr>
              <w:t>kg</w:t>
            </w:r>
            <w:r>
              <w:rPr>
                <w:color w:val="auto"/>
                <w:spacing w:val="-2"/>
                <w:sz w:val="24"/>
                <w:szCs w:val="24"/>
              </w:rPr>
              <w:t>，</w:t>
            </w:r>
            <w:r>
              <w:rPr>
                <w:rFonts w:hint="eastAsia"/>
                <w:color w:val="auto"/>
                <w:spacing w:val="-2"/>
                <w:sz w:val="24"/>
                <w:szCs w:val="24"/>
                <w:lang w:val="en-US" w:eastAsia="zh-CN"/>
              </w:rPr>
              <w:t>以及多晶金刚石和不合格废料45.2kg，多晶金刚石和不合格废料无需抛光打磨，</w:t>
            </w:r>
            <w:r>
              <w:rPr>
                <w:color w:val="auto"/>
                <w:spacing w:val="-2"/>
                <w:sz w:val="24"/>
                <w:szCs w:val="24"/>
              </w:rPr>
              <w:t>考虑最不</w:t>
            </w:r>
            <w:r>
              <w:rPr>
                <w:color w:val="auto"/>
                <w:sz w:val="24"/>
                <w:szCs w:val="24"/>
              </w:rPr>
              <w:t>利因素，则产品总体积为</w:t>
            </w:r>
            <w:r>
              <w:rPr>
                <w:rFonts w:ascii="Times New Roman" w:hAnsi="Times New Roman" w:eastAsia="Times New Roman" w:cs="Times New Roman"/>
                <w:color w:val="auto"/>
                <w:sz w:val="24"/>
                <w:szCs w:val="24"/>
              </w:rPr>
              <w:t>0.</w:t>
            </w:r>
            <w:r>
              <w:rPr>
                <w:rFonts w:hint="eastAsia" w:eastAsia="宋体" w:cs="Times New Roman"/>
                <w:color w:val="auto"/>
                <w:sz w:val="24"/>
                <w:szCs w:val="24"/>
                <w:lang w:val="en-US" w:eastAsia="zh-CN"/>
              </w:rPr>
              <w:t>0</w:t>
            </w:r>
            <w:r>
              <w:rPr>
                <w:rFonts w:hint="eastAsia" w:cs="Times New Roman"/>
                <w:color w:val="auto"/>
                <w:sz w:val="24"/>
                <w:szCs w:val="24"/>
                <w:lang w:val="en-US" w:eastAsia="zh-CN"/>
              </w:rPr>
              <w:t>07</w:t>
            </w:r>
            <w:r>
              <w:rPr>
                <w:rFonts w:ascii="Times New Roman" w:hAnsi="Times New Roman" w:eastAsia="Times New Roman" w:cs="Times New Roman"/>
                <w:color w:val="auto"/>
                <w:sz w:val="24"/>
                <w:szCs w:val="24"/>
              </w:rPr>
              <w:t>m</w:t>
            </w:r>
            <w:r>
              <w:rPr>
                <w:rFonts w:ascii="Times New Roman" w:hAnsi="Times New Roman" w:eastAsia="Times New Roman" w:cs="Times New Roman"/>
                <w:color w:val="auto"/>
                <w:position w:val="7"/>
                <w:sz w:val="15"/>
                <w:szCs w:val="15"/>
              </w:rPr>
              <w:t>3</w:t>
            </w:r>
            <w:r>
              <w:rPr>
                <w:color w:val="auto"/>
                <w:sz w:val="24"/>
                <w:szCs w:val="24"/>
              </w:rPr>
              <w:t>。参考《排放源统计调查产排污核算方法和</w:t>
            </w:r>
            <w:r>
              <w:rPr>
                <w:color w:val="auto"/>
                <w:spacing w:val="1"/>
                <w:sz w:val="24"/>
                <w:szCs w:val="24"/>
              </w:rPr>
              <w:t>系数手册》</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w:t>
            </w:r>
            <w:r>
              <w:rPr>
                <w:color w:val="auto"/>
                <w:spacing w:val="1"/>
                <w:sz w:val="24"/>
                <w:szCs w:val="24"/>
              </w:rPr>
              <w:t>砖瓦、石材等建筑材料制造行业系数手册</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rFonts w:ascii="Times New Roman" w:hAnsi="Times New Roman" w:eastAsia="Times New Roman" w:cs="Times New Roman"/>
                <w:color w:val="auto"/>
                <w:spacing w:val="1"/>
                <w:sz w:val="24"/>
                <w:szCs w:val="24"/>
              </w:rPr>
              <w:t>3032</w:t>
            </w:r>
            <w:r>
              <w:rPr>
                <w:color w:val="auto"/>
                <w:spacing w:val="1"/>
                <w:sz w:val="24"/>
                <w:szCs w:val="24"/>
              </w:rPr>
              <w:t>建筑</w:t>
            </w:r>
            <w:r>
              <w:rPr>
                <w:color w:val="auto"/>
                <w:sz w:val="24"/>
                <w:szCs w:val="24"/>
              </w:rPr>
              <w:t>用石加工行业</w:t>
            </w:r>
            <w:r>
              <w:rPr>
                <w:rFonts w:hint="eastAsia"/>
                <w:color w:val="auto"/>
                <w:sz w:val="24"/>
                <w:szCs w:val="24"/>
                <w:lang w:eastAsia="zh-CN"/>
              </w:rPr>
              <w:t>‘</w:t>
            </w:r>
            <w:r>
              <w:rPr>
                <w:color w:val="auto"/>
                <w:sz w:val="24"/>
                <w:szCs w:val="24"/>
              </w:rPr>
              <w:t>产品：人造石材，原料名称：碎石颗粒、粉料、不饱和树脂</w:t>
            </w:r>
            <w:r>
              <w:rPr>
                <w:color w:val="auto"/>
                <w:spacing w:val="-1"/>
                <w:sz w:val="24"/>
                <w:szCs w:val="24"/>
              </w:rPr>
              <w:t>等，工艺名称：真空凝胶固化成型、锯解、抛光、裁切</w:t>
            </w:r>
            <w:r>
              <w:rPr>
                <w:rFonts w:hint="eastAsia"/>
                <w:color w:val="auto"/>
                <w:spacing w:val="-1"/>
                <w:sz w:val="24"/>
                <w:szCs w:val="24"/>
                <w:lang w:eastAsia="zh-CN"/>
              </w:rPr>
              <w:t>’”</w:t>
            </w:r>
            <w:r>
              <w:rPr>
                <w:color w:val="auto"/>
                <w:spacing w:val="-1"/>
                <w:sz w:val="24"/>
                <w:szCs w:val="24"/>
              </w:rPr>
              <w:t>中</w:t>
            </w:r>
            <w:r>
              <w:rPr>
                <w:rFonts w:hint="eastAsia"/>
                <w:color w:val="auto"/>
                <w:spacing w:val="-1"/>
                <w:sz w:val="24"/>
                <w:szCs w:val="24"/>
                <w:lang w:eastAsia="zh-CN"/>
              </w:rPr>
              <w:t>“</w:t>
            </w:r>
            <w:r>
              <w:rPr>
                <w:color w:val="auto"/>
                <w:spacing w:val="-1"/>
                <w:sz w:val="24"/>
                <w:szCs w:val="24"/>
              </w:rPr>
              <w:t>颗粒物产生</w:t>
            </w:r>
            <w:r>
              <w:rPr>
                <w:color w:val="auto"/>
                <w:spacing w:val="11"/>
                <w:sz w:val="24"/>
                <w:szCs w:val="24"/>
              </w:rPr>
              <w:t>系数</w:t>
            </w:r>
            <w:r>
              <w:rPr>
                <w:rFonts w:ascii="Times New Roman" w:hAnsi="Times New Roman" w:eastAsia="Times New Roman" w:cs="Times New Roman"/>
                <w:color w:val="auto"/>
                <w:spacing w:val="11"/>
                <w:sz w:val="24"/>
                <w:szCs w:val="24"/>
              </w:rPr>
              <w:t>0.051</w:t>
            </w:r>
            <w:r>
              <w:rPr>
                <w:rFonts w:ascii="Times New Roman" w:hAnsi="Times New Roman" w:eastAsia="Times New Roman" w:cs="Times New Roman"/>
                <w:color w:val="auto"/>
                <w:sz w:val="24"/>
                <w:szCs w:val="24"/>
              </w:rPr>
              <w:t>kg</w:t>
            </w:r>
            <w:r>
              <w:rPr>
                <w:rFonts w:ascii="Times New Roman" w:hAnsi="Times New Roman" w:eastAsia="Times New Roman" w:cs="Times New Roman"/>
                <w:color w:val="auto"/>
                <w:spacing w:val="11"/>
                <w:sz w:val="24"/>
                <w:szCs w:val="24"/>
              </w:rPr>
              <w:t>/m</w:t>
            </w:r>
            <w:r>
              <w:rPr>
                <w:rFonts w:ascii="Times New Roman" w:hAnsi="Times New Roman" w:eastAsia="Times New Roman" w:cs="Times New Roman"/>
                <w:color w:val="auto"/>
                <w:spacing w:val="11"/>
                <w:position w:val="7"/>
                <w:sz w:val="15"/>
                <w:szCs w:val="15"/>
              </w:rPr>
              <w:t>3</w:t>
            </w:r>
            <w:r>
              <w:rPr>
                <w:color w:val="auto"/>
                <w:spacing w:val="11"/>
                <w:sz w:val="24"/>
                <w:szCs w:val="24"/>
              </w:rPr>
              <w:t>—产品</w:t>
            </w:r>
            <w:r>
              <w:rPr>
                <w:rFonts w:hint="eastAsia"/>
                <w:color w:val="auto"/>
                <w:spacing w:val="11"/>
                <w:sz w:val="24"/>
                <w:szCs w:val="24"/>
                <w:lang w:eastAsia="zh-CN"/>
              </w:rPr>
              <w:t>”</w:t>
            </w:r>
            <w:r>
              <w:rPr>
                <w:color w:val="auto"/>
                <w:spacing w:val="11"/>
                <w:sz w:val="24"/>
                <w:szCs w:val="24"/>
              </w:rPr>
              <w:t>核算本项目切割工序颗粒物产生量为</w:t>
            </w:r>
            <w:r>
              <w:rPr>
                <w:rFonts w:hint="default" w:ascii="Times New Roman" w:hAnsi="Times New Roman" w:cs="Times New Roman"/>
                <w:color w:val="auto"/>
                <w:spacing w:val="1"/>
                <w:sz w:val="24"/>
                <w:szCs w:val="24"/>
                <w:lang w:val="en-US" w:eastAsia="zh-CN"/>
              </w:rPr>
              <w:t>0.36</w:t>
            </w:r>
            <w:r>
              <w:rPr>
                <w:rFonts w:hint="default" w:ascii="Times New Roman" w:hAnsi="Times New Roman" w:eastAsia="Times New Roman" w:cs="Times New Roman"/>
                <w:color w:val="auto"/>
                <w:sz w:val="24"/>
                <w:szCs w:val="24"/>
              </w:rPr>
              <w:t>g</w:t>
            </w:r>
            <w:r>
              <w:rPr>
                <w:rFonts w:hint="default" w:ascii="Times New Roman" w:hAnsi="Times New Roman" w:eastAsia="Times New Roman" w:cs="Times New Roman"/>
                <w:color w:val="auto"/>
                <w:spacing w:val="1"/>
                <w:sz w:val="24"/>
                <w:szCs w:val="24"/>
              </w:rPr>
              <w:t>/a</w:t>
            </w:r>
            <w:r>
              <w:rPr>
                <w:rFonts w:hint="default"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lang w:val="en-US" w:eastAsia="zh-CN"/>
              </w:rPr>
              <w:t>0.</w:t>
            </w:r>
            <w:r>
              <w:rPr>
                <w:rFonts w:hint="default" w:ascii="Times New Roman" w:hAnsi="Times New Roman" w:cs="Times New Roman"/>
                <w:color w:val="auto"/>
                <w:spacing w:val="1"/>
                <w:sz w:val="24"/>
                <w:szCs w:val="24"/>
                <w:lang w:val="en-US" w:eastAsia="zh-CN"/>
              </w:rPr>
              <w:t>41</w:t>
            </w:r>
            <w:r>
              <w:rPr>
                <w:rFonts w:hint="default" w:ascii="Times New Roman" w:hAnsi="Times New Roman" w:eastAsia="宋体" w:cs="Times New Roman"/>
                <w:color w:val="auto"/>
                <w:spacing w:val="1"/>
                <w:sz w:val="24"/>
                <w:szCs w:val="24"/>
                <w:lang w:val="en-US" w:eastAsia="zh-CN"/>
              </w:rPr>
              <w:t>m</w:t>
            </w:r>
            <w:r>
              <w:rPr>
                <w:rFonts w:hint="default" w:ascii="Times New Roman" w:hAnsi="Times New Roman" w:eastAsia="宋体" w:cs="Times New Roman"/>
                <w:color w:val="auto"/>
                <w:spacing w:val="1"/>
                <w:sz w:val="24"/>
                <w:szCs w:val="24"/>
                <w:vertAlign w:val="baseline"/>
                <w:lang w:val="en-US" w:eastAsia="zh-CN"/>
              </w:rPr>
              <w:t>g/h</w:t>
            </w:r>
            <w:r>
              <w:rPr>
                <w:rFonts w:hint="default" w:ascii="Times New Roman" w:hAnsi="Times New Roman" w:eastAsia="宋体" w:cs="Times New Roman"/>
                <w:color w:val="auto"/>
                <w:spacing w:val="1"/>
                <w:sz w:val="24"/>
                <w:szCs w:val="24"/>
                <w:lang w:eastAsia="zh-CN"/>
              </w:rPr>
              <w:t>）</w:t>
            </w:r>
            <w:r>
              <w:rPr>
                <w:color w:val="auto"/>
                <w:spacing w:val="1"/>
                <w:sz w:val="24"/>
                <w:szCs w:val="24"/>
              </w:rPr>
              <w:t>。</w:t>
            </w:r>
            <w:r>
              <w:rPr>
                <w:rFonts w:hint="eastAsia"/>
                <w:color w:val="auto"/>
                <w:spacing w:val="1"/>
                <w:sz w:val="24"/>
                <w:szCs w:val="24"/>
                <w:lang w:val="en-US" w:eastAsia="zh-CN"/>
              </w:rPr>
              <w:t>由于打磨过程需用水冷却，为湿法打磨，抛光打磨产生的颗粒物在冷却水中沉淀为固体废物排放。</w:t>
            </w:r>
          </w:p>
          <w:p w14:paraId="5201583C">
            <w:pPr>
              <w:pStyle w:val="76"/>
              <w:spacing w:line="219" w:lineRule="auto"/>
              <w:ind w:left="1904"/>
              <w:rPr>
                <w:color w:val="auto"/>
                <w:sz w:val="24"/>
                <w:szCs w:val="24"/>
                <w:highlight w:val="none"/>
              </w:rPr>
            </w:pPr>
            <w:r>
              <w:rPr>
                <w:b/>
                <w:bCs/>
                <w:color w:val="auto"/>
                <w:spacing w:val="-2"/>
                <w:sz w:val="24"/>
                <w:szCs w:val="24"/>
                <w:highlight w:val="none"/>
              </w:rPr>
              <w:t>表</w:t>
            </w:r>
            <w:r>
              <w:rPr>
                <w:rFonts w:ascii="Times New Roman" w:hAnsi="Times New Roman" w:eastAsia="Times New Roman" w:cs="Times New Roman"/>
                <w:b/>
                <w:bCs/>
                <w:color w:val="auto"/>
                <w:spacing w:val="-2"/>
                <w:sz w:val="24"/>
                <w:szCs w:val="24"/>
                <w:highlight w:val="none"/>
              </w:rPr>
              <w:t>4-1</w:t>
            </w:r>
            <w:r>
              <w:rPr>
                <w:rFonts w:hint="eastAsia" w:ascii="Times New Roman" w:hAnsi="Times New Roman" w:eastAsia="宋体" w:cs="Times New Roman"/>
                <w:b/>
                <w:bCs/>
                <w:color w:val="auto"/>
                <w:spacing w:val="-2"/>
                <w:sz w:val="24"/>
                <w:szCs w:val="24"/>
                <w:highlight w:val="none"/>
                <w:lang w:val="en-US" w:eastAsia="zh-CN"/>
              </w:rPr>
              <w:t>0</w:t>
            </w:r>
            <w:r>
              <w:rPr>
                <w:b/>
                <w:bCs/>
                <w:color w:val="auto"/>
                <w:spacing w:val="-2"/>
                <w:sz w:val="24"/>
                <w:szCs w:val="24"/>
                <w:highlight w:val="none"/>
              </w:rPr>
              <w:t>本项目固体废物产生情况一览表</w:t>
            </w:r>
          </w:p>
          <w:p w14:paraId="53D7D4B2">
            <w:pPr>
              <w:spacing w:line="21" w:lineRule="exact"/>
              <w:rPr>
                <w:color w:val="auto"/>
              </w:rPr>
            </w:pPr>
          </w:p>
          <w:tbl>
            <w:tblPr>
              <w:tblStyle w:val="74"/>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2"/>
              <w:gridCol w:w="998"/>
              <w:gridCol w:w="1465"/>
              <w:gridCol w:w="1010"/>
              <w:gridCol w:w="1223"/>
              <w:gridCol w:w="684"/>
              <w:gridCol w:w="844"/>
              <w:gridCol w:w="1145"/>
            </w:tblGrid>
            <w:tr w14:paraId="73F65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46" w:type="pct"/>
                  <w:tcBorders>
                    <w:top w:val="single" w:color="000000" w:sz="10" w:space="0"/>
                    <w:left w:val="single" w:color="000000" w:sz="10" w:space="0"/>
                  </w:tcBorders>
                  <w:vAlign w:val="center"/>
                </w:tcPr>
                <w:p w14:paraId="1EFDDDE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9"/>
                      <w:sz w:val="21"/>
                      <w:szCs w:val="21"/>
                    </w:rPr>
                    <w:t>序号</w:t>
                  </w:r>
                </w:p>
              </w:tc>
              <w:tc>
                <w:tcPr>
                  <w:tcW w:w="643" w:type="pct"/>
                  <w:tcBorders>
                    <w:top w:val="single" w:color="000000" w:sz="10" w:space="0"/>
                  </w:tcBorders>
                  <w:vAlign w:val="center"/>
                </w:tcPr>
                <w:p w14:paraId="6FFC2EC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7"/>
                      <w:sz w:val="21"/>
                      <w:szCs w:val="21"/>
                    </w:rPr>
                    <w:t>产生环节</w:t>
                  </w:r>
                </w:p>
              </w:tc>
              <w:tc>
                <w:tcPr>
                  <w:tcW w:w="944" w:type="pct"/>
                  <w:tcBorders>
                    <w:top w:val="single" w:color="000000" w:sz="10" w:space="0"/>
                  </w:tcBorders>
                  <w:vAlign w:val="center"/>
                </w:tcPr>
                <w:p w14:paraId="57CE89D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2"/>
                      <w:sz w:val="21"/>
                      <w:szCs w:val="21"/>
                    </w:rPr>
                    <w:t>固废名称</w:t>
                  </w:r>
                </w:p>
              </w:tc>
              <w:tc>
                <w:tcPr>
                  <w:tcW w:w="651" w:type="pct"/>
                  <w:tcBorders>
                    <w:top w:val="single" w:color="000000" w:sz="10" w:space="0"/>
                  </w:tcBorders>
                  <w:vAlign w:val="center"/>
                </w:tcPr>
                <w:p w14:paraId="413C871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产生量</w:t>
                  </w:r>
                </w:p>
              </w:tc>
              <w:tc>
                <w:tcPr>
                  <w:tcW w:w="788" w:type="pct"/>
                  <w:tcBorders>
                    <w:top w:val="single" w:color="000000" w:sz="10" w:space="0"/>
                  </w:tcBorders>
                  <w:vAlign w:val="center"/>
                </w:tcPr>
                <w:p w14:paraId="60448E7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项目代码</w:t>
                  </w:r>
                </w:p>
              </w:tc>
              <w:tc>
                <w:tcPr>
                  <w:tcW w:w="441" w:type="pct"/>
                  <w:tcBorders>
                    <w:top w:val="single" w:color="000000" w:sz="10" w:space="0"/>
                  </w:tcBorders>
                  <w:vAlign w:val="center"/>
                </w:tcPr>
                <w:p w14:paraId="717D062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物理性</w:t>
                  </w:r>
                  <w:r>
                    <w:rPr>
                      <w:color w:val="auto"/>
                      <w:sz w:val="21"/>
                      <w:szCs w:val="21"/>
                    </w:rPr>
                    <w:t>状</w:t>
                  </w:r>
                </w:p>
              </w:tc>
              <w:tc>
                <w:tcPr>
                  <w:tcW w:w="544" w:type="pct"/>
                  <w:tcBorders>
                    <w:top w:val="single" w:color="000000" w:sz="10" w:space="0"/>
                    <w:bottom w:val="single" w:color="auto" w:sz="4" w:space="0"/>
                  </w:tcBorders>
                  <w:vAlign w:val="center"/>
                </w:tcPr>
                <w:p w14:paraId="2AA6AEA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贮存场</w:t>
                  </w:r>
                  <w:r>
                    <w:rPr>
                      <w:color w:val="auto"/>
                      <w:sz w:val="21"/>
                      <w:szCs w:val="21"/>
                    </w:rPr>
                    <w:t>所</w:t>
                  </w:r>
                </w:p>
              </w:tc>
              <w:tc>
                <w:tcPr>
                  <w:tcW w:w="738" w:type="pct"/>
                  <w:tcBorders>
                    <w:top w:val="single" w:color="000000" w:sz="10" w:space="0"/>
                    <w:right w:val="single" w:color="000000" w:sz="10" w:space="0"/>
                  </w:tcBorders>
                  <w:vAlign w:val="center"/>
                </w:tcPr>
                <w:p w14:paraId="7993F21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最终去向</w:t>
                  </w:r>
                </w:p>
              </w:tc>
            </w:tr>
            <w:tr w14:paraId="2E848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246" w:type="pct"/>
                  <w:tcBorders>
                    <w:left w:val="single" w:color="000000" w:sz="10" w:space="0"/>
                  </w:tcBorders>
                  <w:vAlign w:val="center"/>
                </w:tcPr>
                <w:p w14:paraId="1F85C7C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1</w:t>
                  </w:r>
                </w:p>
              </w:tc>
              <w:tc>
                <w:tcPr>
                  <w:tcW w:w="643" w:type="pct"/>
                  <w:vAlign w:val="center"/>
                </w:tcPr>
                <w:p w14:paraId="4F8AE54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7"/>
                      <w:sz w:val="21"/>
                      <w:szCs w:val="21"/>
                    </w:rPr>
                    <w:t>职工生活</w:t>
                  </w:r>
                </w:p>
              </w:tc>
              <w:tc>
                <w:tcPr>
                  <w:tcW w:w="944" w:type="pct"/>
                  <w:vAlign w:val="center"/>
                </w:tcPr>
                <w:p w14:paraId="7479FFF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生活垃圾</w:t>
                  </w:r>
                </w:p>
              </w:tc>
              <w:tc>
                <w:tcPr>
                  <w:tcW w:w="651" w:type="pct"/>
                  <w:vAlign w:val="center"/>
                </w:tcPr>
                <w:p w14:paraId="20EEEAE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eastAsia="宋体" w:cs="Times New Roman"/>
                      <w:color w:val="auto"/>
                      <w:position w:val="1"/>
                      <w:sz w:val="21"/>
                      <w:szCs w:val="21"/>
                      <w:lang w:val="en-US" w:eastAsia="zh-CN"/>
                    </w:rPr>
                    <w:t>24.8</w:t>
                  </w:r>
                  <w:r>
                    <w:rPr>
                      <w:rFonts w:ascii="Times New Roman" w:hAnsi="Times New Roman" w:eastAsia="Times New Roman" w:cs="Times New Roman"/>
                      <w:color w:val="auto"/>
                      <w:position w:val="1"/>
                      <w:sz w:val="21"/>
                      <w:szCs w:val="21"/>
                    </w:rPr>
                    <w:t>t/a</w:t>
                  </w:r>
                </w:p>
              </w:tc>
              <w:tc>
                <w:tcPr>
                  <w:tcW w:w="788" w:type="pct"/>
                  <w:vAlign w:val="center"/>
                </w:tcPr>
                <w:p w14:paraId="7B5672FD">
                  <w:pPr>
                    <w:keepNext w:val="0"/>
                    <w:keepLines w:val="0"/>
                    <w:pageBreakBefore w:val="0"/>
                    <w:widowControl w:val="0"/>
                    <w:tabs>
                      <w:tab w:val="left" w:pos="693"/>
                    </w:tabs>
                    <w:kinsoku/>
                    <w:wordWrap/>
                    <w:overflowPunct/>
                    <w:topLinePunct w:val="0"/>
                    <w:autoSpaceDE/>
                    <w:autoSpaceDN/>
                    <w:bidi w:val="0"/>
                    <w:adjustRightInd/>
                    <w:snapToGrid/>
                    <w:spacing w:line="240" w:lineRule="auto"/>
                    <w:ind w:left="0" w:right="0" w:firstLine="0"/>
                    <w:jc w:val="center"/>
                    <w:textAlignment w:val="auto"/>
                    <w:rPr>
                      <w:rFonts w:hint="eastAsia" w:ascii="Arial" w:eastAsia="宋体"/>
                      <w:color w:val="auto"/>
                      <w:sz w:val="21"/>
                      <w:szCs w:val="21"/>
                      <w:lang w:val="en-US" w:eastAsia="zh-CN"/>
                    </w:rPr>
                  </w:pPr>
                  <w:r>
                    <w:rPr>
                      <w:rFonts w:hint="eastAsia" w:ascii="Arial"/>
                      <w:color w:val="auto"/>
                      <w:sz w:val="21"/>
                      <w:szCs w:val="21"/>
                      <w:lang w:val="en-US" w:eastAsia="zh-CN"/>
                    </w:rPr>
                    <w:t>/</w:t>
                  </w:r>
                </w:p>
              </w:tc>
              <w:tc>
                <w:tcPr>
                  <w:tcW w:w="441" w:type="pct"/>
                  <w:tcBorders>
                    <w:right w:val="single" w:color="auto" w:sz="4" w:space="0"/>
                  </w:tcBorders>
                  <w:vAlign w:val="center"/>
                </w:tcPr>
                <w:p w14:paraId="4CB6EAD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lang w:val="en-US" w:eastAsia="zh-CN"/>
                    </w:rPr>
                  </w:pPr>
                  <w:r>
                    <w:rPr>
                      <w:color w:val="auto"/>
                      <w:sz w:val="21"/>
                      <w:szCs w:val="21"/>
                    </w:rPr>
                    <w:t>固</w:t>
                  </w:r>
                  <w:r>
                    <w:rPr>
                      <w:rFonts w:hint="eastAsia"/>
                      <w:color w:val="auto"/>
                      <w:sz w:val="21"/>
                      <w:szCs w:val="21"/>
                      <w:lang w:val="en-US" w:eastAsia="zh-CN"/>
                    </w:rPr>
                    <w:t>态</w:t>
                  </w:r>
                </w:p>
              </w:tc>
              <w:tc>
                <w:tcPr>
                  <w:tcW w:w="544" w:type="pct"/>
                  <w:tcBorders>
                    <w:top w:val="single" w:color="auto" w:sz="4" w:space="0"/>
                    <w:left w:val="single" w:color="auto" w:sz="4" w:space="0"/>
                    <w:bottom w:val="single" w:color="auto" w:sz="4" w:space="0"/>
                    <w:right w:val="single" w:color="auto" w:sz="4" w:space="0"/>
                  </w:tcBorders>
                  <w:vAlign w:val="center"/>
                </w:tcPr>
                <w:p w14:paraId="7A3DA17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6"/>
                      <w:sz w:val="21"/>
                      <w:szCs w:val="21"/>
                    </w:rPr>
                    <w:t>垃圾桶</w:t>
                  </w:r>
                </w:p>
              </w:tc>
              <w:tc>
                <w:tcPr>
                  <w:tcW w:w="738" w:type="pct"/>
                  <w:tcBorders>
                    <w:left w:val="single" w:color="auto" w:sz="4" w:space="0"/>
                    <w:right w:val="single" w:color="000000" w:sz="10" w:space="0"/>
                  </w:tcBorders>
                  <w:vAlign w:val="center"/>
                </w:tcPr>
                <w:p w14:paraId="1E620A0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8"/>
                      <w:sz w:val="21"/>
                      <w:szCs w:val="21"/>
                    </w:rPr>
                    <w:t>环卫部门清</w:t>
                  </w:r>
                </w:p>
                <w:p w14:paraId="7A0EA6B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z w:val="21"/>
                      <w:szCs w:val="21"/>
                    </w:rPr>
                    <w:t>运。</w:t>
                  </w:r>
                </w:p>
              </w:tc>
            </w:tr>
            <w:tr w14:paraId="55718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246" w:type="pct"/>
                  <w:tcBorders>
                    <w:left w:val="single" w:color="000000" w:sz="10" w:space="0"/>
                  </w:tcBorders>
                  <w:vAlign w:val="center"/>
                </w:tcPr>
                <w:p w14:paraId="1608C40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eastAsia" w:eastAsia="宋体" w:cs="Times New Roman"/>
                      <w:color w:val="auto"/>
                      <w:sz w:val="21"/>
                      <w:szCs w:val="21"/>
                      <w:lang w:val="en-US" w:eastAsia="zh-CN"/>
                    </w:rPr>
                    <w:t>2</w:t>
                  </w:r>
                </w:p>
              </w:tc>
              <w:tc>
                <w:tcPr>
                  <w:tcW w:w="643" w:type="pct"/>
                  <w:vAlign w:val="center"/>
                </w:tcPr>
                <w:p w14:paraId="6DC35F9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MPCVD</w:t>
                  </w:r>
                </w:p>
                <w:p w14:paraId="27D759DB">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rPr>
                  </w:pPr>
                  <w:r>
                    <w:rPr>
                      <w:color w:val="auto"/>
                      <w:spacing w:val="4"/>
                      <w:sz w:val="21"/>
                      <w:szCs w:val="21"/>
                    </w:rPr>
                    <w:t>沉积</w:t>
                  </w:r>
                </w:p>
              </w:tc>
              <w:tc>
                <w:tcPr>
                  <w:tcW w:w="944" w:type="pct"/>
                  <w:vAlign w:val="center"/>
                </w:tcPr>
                <w:p w14:paraId="0A472F5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pacing w:val="8"/>
                      <w:sz w:val="21"/>
                      <w:szCs w:val="21"/>
                    </w:rPr>
                    <w:t>长晶炉内沉积</w:t>
                  </w:r>
                </w:p>
                <w:p w14:paraId="70335939">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color w:val="auto"/>
                      <w:sz w:val="21"/>
                      <w:szCs w:val="21"/>
                      <w:lang w:val="en-US" w:eastAsia="zh-CN"/>
                    </w:rPr>
                  </w:pPr>
                  <w:r>
                    <w:rPr>
                      <w:color w:val="auto"/>
                      <w:sz w:val="21"/>
                      <w:szCs w:val="21"/>
                    </w:rPr>
                    <w:t>碳</w:t>
                  </w:r>
                </w:p>
              </w:tc>
              <w:tc>
                <w:tcPr>
                  <w:tcW w:w="651" w:type="pct"/>
                  <w:vAlign w:val="center"/>
                </w:tcPr>
                <w:p w14:paraId="6C7F83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color w:val="auto"/>
                      <w:sz w:val="21"/>
                      <w:szCs w:val="21"/>
                    </w:rPr>
                  </w:pPr>
                  <w:r>
                    <w:rPr>
                      <w:rFonts w:hint="eastAsia" w:cs="Times New Roman"/>
                      <w:color w:val="auto"/>
                      <w:spacing w:val="3"/>
                      <w:position w:val="3"/>
                      <w:sz w:val="21"/>
                      <w:szCs w:val="21"/>
                      <w:lang w:val="en-US" w:eastAsia="zh-CN"/>
                    </w:rPr>
                    <w:t>10</w:t>
                  </w:r>
                  <w:r>
                    <w:rPr>
                      <w:rFonts w:ascii="Times New Roman" w:hAnsi="Times New Roman" w:eastAsia="Times New Roman" w:cs="Times New Roman"/>
                      <w:color w:val="auto"/>
                      <w:position w:val="3"/>
                      <w:sz w:val="21"/>
                      <w:szCs w:val="21"/>
                    </w:rPr>
                    <w:t>kg</w:t>
                  </w:r>
                  <w:r>
                    <w:rPr>
                      <w:rFonts w:ascii="Times New Roman" w:hAnsi="Times New Roman" w:eastAsia="Times New Roman" w:cs="Times New Roman"/>
                      <w:color w:val="auto"/>
                      <w:spacing w:val="3"/>
                      <w:position w:val="3"/>
                      <w:sz w:val="21"/>
                      <w:szCs w:val="21"/>
                    </w:rPr>
                    <w:t>/a</w:t>
                  </w:r>
                </w:p>
              </w:tc>
              <w:tc>
                <w:tcPr>
                  <w:tcW w:w="788" w:type="pct"/>
                  <w:vAlign w:val="center"/>
                </w:tcPr>
                <w:p w14:paraId="0957A2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ascii="Times New Roman" w:hAnsi="Times New Roman" w:eastAsia="Times New Roman" w:cs="Times New Roman"/>
                      <w:color w:val="auto"/>
                      <w:spacing w:val="3"/>
                      <w:position w:val="2"/>
                      <w:sz w:val="21"/>
                      <w:szCs w:val="21"/>
                    </w:rPr>
                    <w:t>900-</w:t>
                  </w:r>
                  <w:r>
                    <w:rPr>
                      <w:rFonts w:hint="eastAsia" w:eastAsia="宋体" w:cs="Times New Roman"/>
                      <w:color w:val="auto"/>
                      <w:spacing w:val="3"/>
                      <w:position w:val="2"/>
                      <w:sz w:val="21"/>
                      <w:szCs w:val="21"/>
                      <w:lang w:val="en-US" w:eastAsia="zh-CN"/>
                    </w:rPr>
                    <w:t>0</w:t>
                  </w:r>
                  <w:r>
                    <w:rPr>
                      <w:rFonts w:ascii="Times New Roman" w:hAnsi="Times New Roman" w:eastAsia="Times New Roman" w:cs="Times New Roman"/>
                      <w:color w:val="auto"/>
                      <w:spacing w:val="3"/>
                      <w:position w:val="2"/>
                      <w:sz w:val="21"/>
                      <w:szCs w:val="21"/>
                    </w:rPr>
                    <w:t>99-</w:t>
                  </w:r>
                  <w:r>
                    <w:rPr>
                      <w:rFonts w:hint="eastAsia" w:eastAsia="宋体" w:cs="Times New Roman"/>
                      <w:color w:val="auto"/>
                      <w:spacing w:val="3"/>
                      <w:position w:val="2"/>
                      <w:sz w:val="21"/>
                      <w:szCs w:val="21"/>
                      <w:lang w:val="en-US" w:eastAsia="zh-CN"/>
                    </w:rPr>
                    <w:t>S5</w:t>
                  </w:r>
                  <w:r>
                    <w:rPr>
                      <w:rFonts w:ascii="Times New Roman" w:hAnsi="Times New Roman" w:eastAsia="Times New Roman" w:cs="Times New Roman"/>
                      <w:color w:val="auto"/>
                      <w:spacing w:val="3"/>
                      <w:position w:val="2"/>
                      <w:sz w:val="21"/>
                      <w:szCs w:val="21"/>
                    </w:rPr>
                    <w:t>9</w:t>
                  </w:r>
                </w:p>
              </w:tc>
              <w:tc>
                <w:tcPr>
                  <w:tcW w:w="441" w:type="pct"/>
                  <w:tcBorders>
                    <w:right w:val="single" w:color="auto" w:sz="4" w:space="0"/>
                  </w:tcBorders>
                  <w:vAlign w:val="center"/>
                </w:tcPr>
                <w:p w14:paraId="2901D5A2">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rPr>
                  </w:pPr>
                  <w:r>
                    <w:rPr>
                      <w:color w:val="auto"/>
                      <w:sz w:val="21"/>
                      <w:szCs w:val="21"/>
                    </w:rPr>
                    <w:t>固</w:t>
                  </w:r>
                  <w:r>
                    <w:rPr>
                      <w:rFonts w:hint="eastAsia"/>
                      <w:color w:val="auto"/>
                      <w:sz w:val="21"/>
                      <w:szCs w:val="21"/>
                      <w:lang w:val="en-US" w:eastAsia="zh-CN"/>
                    </w:rPr>
                    <w:t>态</w:t>
                  </w:r>
                </w:p>
              </w:tc>
              <w:tc>
                <w:tcPr>
                  <w:tcW w:w="544" w:type="pct"/>
                  <w:vMerge w:val="restart"/>
                  <w:tcBorders>
                    <w:top w:val="single" w:color="auto" w:sz="4" w:space="0"/>
                    <w:left w:val="single" w:color="auto" w:sz="4" w:space="0"/>
                    <w:right w:val="single" w:color="auto" w:sz="4" w:space="0"/>
                  </w:tcBorders>
                  <w:vAlign w:val="center"/>
                </w:tcPr>
                <w:p w14:paraId="0A13B37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Arial" w:eastAsia="宋体"/>
                      <w:color w:val="auto"/>
                      <w:sz w:val="21"/>
                      <w:szCs w:val="21"/>
                      <w:lang w:val="en-US" w:eastAsia="zh-CN"/>
                    </w:rPr>
                  </w:pPr>
                  <w:r>
                    <w:rPr>
                      <w:rFonts w:hint="eastAsia" w:ascii="Arial"/>
                      <w:color w:val="auto"/>
                      <w:sz w:val="21"/>
                      <w:szCs w:val="21"/>
                      <w:lang w:val="en-US" w:eastAsia="zh-CN"/>
                    </w:rPr>
                    <w:t>固废暂存间</w:t>
                  </w:r>
                </w:p>
              </w:tc>
              <w:tc>
                <w:tcPr>
                  <w:tcW w:w="738" w:type="pct"/>
                  <w:vMerge w:val="restart"/>
                  <w:tcBorders>
                    <w:left w:val="single" w:color="auto" w:sz="4" w:space="0"/>
                    <w:right w:val="single" w:color="000000" w:sz="10" w:space="0"/>
                  </w:tcBorders>
                  <w:vAlign w:val="center"/>
                </w:tcPr>
                <w:p w14:paraId="498174C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Arial" w:eastAsia="宋体"/>
                      <w:color w:val="auto"/>
                      <w:sz w:val="21"/>
                      <w:szCs w:val="21"/>
                      <w:lang w:val="en-US" w:eastAsia="zh-CN"/>
                    </w:rPr>
                  </w:pPr>
                  <w:r>
                    <w:rPr>
                      <w:rFonts w:hint="eastAsia" w:ascii="Arial"/>
                      <w:color w:val="auto"/>
                      <w:sz w:val="21"/>
                      <w:szCs w:val="21"/>
                      <w:lang w:val="en-US" w:eastAsia="zh-CN"/>
                    </w:rPr>
                    <w:t>收集后外售</w:t>
                  </w:r>
                </w:p>
              </w:tc>
            </w:tr>
            <w:tr w14:paraId="5B629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246" w:type="pct"/>
                  <w:tcBorders>
                    <w:left w:val="single" w:color="000000" w:sz="10" w:space="0"/>
                  </w:tcBorders>
                  <w:vAlign w:val="center"/>
                </w:tcPr>
                <w:p w14:paraId="2ECFB61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s="Times New Roman"/>
                      <w:color w:val="auto"/>
                      <w:sz w:val="21"/>
                      <w:szCs w:val="21"/>
                      <w:lang w:val="en-US" w:eastAsia="zh-CN"/>
                    </w:rPr>
                  </w:pPr>
                  <w:r>
                    <w:rPr>
                      <w:rFonts w:hint="eastAsia" w:cs="Times New Roman"/>
                      <w:color w:val="auto"/>
                      <w:sz w:val="21"/>
                      <w:szCs w:val="21"/>
                      <w:lang w:val="en-US" w:eastAsia="zh-CN"/>
                    </w:rPr>
                    <w:t>3</w:t>
                  </w:r>
                </w:p>
              </w:tc>
              <w:tc>
                <w:tcPr>
                  <w:tcW w:w="643" w:type="pct"/>
                  <w:shd w:val="clear" w:color="auto" w:fill="auto"/>
                  <w:vAlign w:val="center"/>
                </w:tcPr>
                <w:p w14:paraId="1FC3C5B1">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宋体"/>
                      <w:color w:val="auto"/>
                      <w:kern w:val="2"/>
                      <w:sz w:val="21"/>
                      <w:szCs w:val="21"/>
                      <w:lang w:val="en-US" w:eastAsia="en-US" w:bidi="ar-SA"/>
                    </w:rPr>
                  </w:pPr>
                  <w:r>
                    <w:rPr>
                      <w:color w:val="auto"/>
                      <w:spacing w:val="7"/>
                      <w:sz w:val="21"/>
                      <w:szCs w:val="21"/>
                    </w:rPr>
                    <w:t>激光切割</w:t>
                  </w:r>
                </w:p>
              </w:tc>
              <w:tc>
                <w:tcPr>
                  <w:tcW w:w="944" w:type="pct"/>
                  <w:shd w:val="clear" w:color="auto" w:fill="auto"/>
                  <w:vAlign w:val="center"/>
                </w:tcPr>
                <w:p w14:paraId="45F9242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color w:val="auto"/>
                      <w:spacing w:val="7"/>
                      <w:sz w:val="21"/>
                      <w:szCs w:val="21"/>
                      <w:lang w:val="en-US" w:eastAsia="zh-CN"/>
                    </w:rPr>
                    <w:t>废边角料</w:t>
                  </w:r>
                </w:p>
              </w:tc>
              <w:tc>
                <w:tcPr>
                  <w:tcW w:w="651" w:type="pct"/>
                  <w:shd w:val="clear" w:color="auto" w:fill="auto"/>
                  <w:vAlign w:val="center"/>
                </w:tcPr>
                <w:p w14:paraId="0FE4C5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Times New Roman" w:cs="Times New Roman"/>
                      <w:color w:val="auto"/>
                      <w:kern w:val="2"/>
                      <w:sz w:val="21"/>
                      <w:szCs w:val="21"/>
                      <w:lang w:val="en-US" w:eastAsia="zh-CN" w:bidi="ar-SA"/>
                    </w:rPr>
                  </w:pPr>
                  <w:r>
                    <w:rPr>
                      <w:rFonts w:hint="eastAsia" w:eastAsia="宋体" w:cs="Times New Roman"/>
                      <w:color w:val="auto"/>
                      <w:position w:val="3"/>
                      <w:sz w:val="21"/>
                      <w:szCs w:val="21"/>
                      <w:lang w:val="en-US" w:eastAsia="zh-CN"/>
                    </w:rPr>
                    <w:t>5</w:t>
                  </w:r>
                  <w:r>
                    <w:rPr>
                      <w:rFonts w:ascii="Times New Roman" w:hAnsi="Times New Roman" w:eastAsia="Times New Roman" w:cs="Times New Roman"/>
                      <w:color w:val="auto"/>
                      <w:position w:val="3"/>
                      <w:sz w:val="21"/>
                      <w:szCs w:val="21"/>
                    </w:rPr>
                    <w:t>kg</w:t>
                  </w:r>
                  <w:r>
                    <w:rPr>
                      <w:rFonts w:ascii="Times New Roman" w:hAnsi="Times New Roman" w:eastAsia="Times New Roman" w:cs="Times New Roman"/>
                      <w:color w:val="auto"/>
                      <w:spacing w:val="4"/>
                      <w:position w:val="3"/>
                      <w:sz w:val="21"/>
                      <w:szCs w:val="21"/>
                    </w:rPr>
                    <w:t>/</w:t>
                  </w:r>
                  <w:r>
                    <w:rPr>
                      <w:rFonts w:ascii="Times New Roman" w:hAnsi="Times New Roman" w:eastAsia="Times New Roman" w:cs="Times New Roman"/>
                      <w:color w:val="auto"/>
                      <w:position w:val="-1"/>
                      <w:sz w:val="21"/>
                      <w:szCs w:val="21"/>
                    </w:rPr>
                    <w:t>a</w:t>
                  </w:r>
                </w:p>
              </w:tc>
              <w:tc>
                <w:tcPr>
                  <w:tcW w:w="788" w:type="pct"/>
                  <w:shd w:val="clear" w:color="auto" w:fill="auto"/>
                  <w:vAlign w:val="center"/>
                </w:tcPr>
                <w:p w14:paraId="4B6819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eastAsia="宋体" w:cs="Times New Roman"/>
                      <w:color w:val="auto"/>
                      <w:spacing w:val="3"/>
                      <w:position w:val="2"/>
                      <w:sz w:val="21"/>
                      <w:szCs w:val="21"/>
                      <w:lang w:val="en-US" w:eastAsia="zh-CN"/>
                    </w:rPr>
                    <w:t>900-099-S59</w:t>
                  </w:r>
                </w:p>
              </w:tc>
              <w:tc>
                <w:tcPr>
                  <w:tcW w:w="441" w:type="pct"/>
                  <w:tcBorders>
                    <w:right w:val="single" w:color="auto" w:sz="4" w:space="0"/>
                  </w:tcBorders>
                  <w:shd w:val="clear" w:color="auto" w:fill="auto"/>
                  <w:vAlign w:val="center"/>
                </w:tcPr>
                <w:p w14:paraId="7A037920">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宋体"/>
                      <w:color w:val="auto"/>
                      <w:kern w:val="2"/>
                      <w:sz w:val="21"/>
                      <w:szCs w:val="21"/>
                      <w:lang w:val="en-US" w:eastAsia="en-US" w:bidi="ar-SA"/>
                    </w:rPr>
                  </w:pPr>
                  <w:r>
                    <w:rPr>
                      <w:color w:val="auto"/>
                      <w:sz w:val="21"/>
                      <w:szCs w:val="21"/>
                    </w:rPr>
                    <w:t>固</w:t>
                  </w:r>
                  <w:r>
                    <w:rPr>
                      <w:rFonts w:hint="eastAsia"/>
                      <w:color w:val="auto"/>
                      <w:sz w:val="21"/>
                      <w:szCs w:val="21"/>
                      <w:lang w:val="en-US" w:eastAsia="zh-CN"/>
                    </w:rPr>
                    <w:t>态</w:t>
                  </w:r>
                </w:p>
              </w:tc>
              <w:tc>
                <w:tcPr>
                  <w:tcW w:w="544" w:type="pct"/>
                  <w:vMerge w:val="continue"/>
                  <w:tcBorders>
                    <w:left w:val="single" w:color="auto" w:sz="4" w:space="0"/>
                    <w:right w:val="single" w:color="auto" w:sz="4" w:space="0"/>
                  </w:tcBorders>
                  <w:vAlign w:val="center"/>
                </w:tcPr>
                <w:p w14:paraId="3BA0F79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color w:val="auto"/>
                      <w:sz w:val="21"/>
                      <w:szCs w:val="21"/>
                      <w:lang w:val="en-US" w:eastAsia="zh-CN"/>
                    </w:rPr>
                  </w:pPr>
                </w:p>
              </w:tc>
              <w:tc>
                <w:tcPr>
                  <w:tcW w:w="738" w:type="pct"/>
                  <w:vMerge w:val="continue"/>
                  <w:tcBorders>
                    <w:left w:val="single" w:color="auto" w:sz="4" w:space="0"/>
                    <w:right w:val="single" w:color="000000" w:sz="10" w:space="0"/>
                  </w:tcBorders>
                  <w:vAlign w:val="center"/>
                </w:tcPr>
                <w:p w14:paraId="6FABDB8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color w:val="auto"/>
                      <w:sz w:val="21"/>
                      <w:szCs w:val="21"/>
                      <w:lang w:val="en-US" w:eastAsia="zh-CN"/>
                    </w:rPr>
                  </w:pPr>
                </w:p>
              </w:tc>
            </w:tr>
            <w:tr w14:paraId="00CF8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246" w:type="pct"/>
                  <w:tcBorders>
                    <w:left w:val="single" w:color="000000" w:sz="10" w:space="0"/>
                  </w:tcBorders>
                  <w:vAlign w:val="center"/>
                </w:tcPr>
                <w:p w14:paraId="1677F56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w:t>
                  </w:r>
                </w:p>
              </w:tc>
              <w:tc>
                <w:tcPr>
                  <w:tcW w:w="643" w:type="pct"/>
                  <w:shd w:val="clear" w:color="auto" w:fill="auto"/>
                  <w:vAlign w:val="center"/>
                </w:tcPr>
                <w:p w14:paraId="4C20ED26">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pacing w:val="7"/>
                      <w:sz w:val="21"/>
                      <w:szCs w:val="21"/>
                      <w:lang w:val="en-US"/>
                    </w:rPr>
                  </w:pPr>
                  <w:r>
                    <w:rPr>
                      <w:rFonts w:hint="eastAsia"/>
                      <w:color w:val="auto"/>
                      <w:spacing w:val="7"/>
                      <w:sz w:val="21"/>
                      <w:szCs w:val="21"/>
                      <w:lang w:val="en-US" w:eastAsia="zh-CN"/>
                    </w:rPr>
                    <w:t>抛光打磨</w:t>
                  </w:r>
                </w:p>
              </w:tc>
              <w:tc>
                <w:tcPr>
                  <w:tcW w:w="944" w:type="pct"/>
                  <w:shd w:val="clear" w:color="auto" w:fill="auto"/>
                  <w:vAlign w:val="center"/>
                </w:tcPr>
                <w:p w14:paraId="33B39B4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pacing w:val="7"/>
                      <w:sz w:val="21"/>
                      <w:szCs w:val="21"/>
                      <w:lang w:val="en-US" w:eastAsia="zh-CN"/>
                    </w:rPr>
                  </w:pPr>
                  <w:r>
                    <w:rPr>
                      <w:rFonts w:hint="eastAsia"/>
                      <w:color w:val="auto"/>
                      <w:spacing w:val="7"/>
                      <w:sz w:val="21"/>
                      <w:szCs w:val="21"/>
                      <w:lang w:val="en-US" w:eastAsia="zh-CN"/>
                    </w:rPr>
                    <w:t>抛光颗粒物</w:t>
                  </w:r>
                </w:p>
              </w:tc>
              <w:tc>
                <w:tcPr>
                  <w:tcW w:w="651" w:type="pct"/>
                  <w:shd w:val="clear" w:color="auto" w:fill="auto"/>
                  <w:vAlign w:val="center"/>
                </w:tcPr>
                <w:p w14:paraId="026EE4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cs="Times New Roman"/>
                      <w:color w:val="auto"/>
                      <w:position w:val="3"/>
                      <w:sz w:val="21"/>
                      <w:szCs w:val="21"/>
                      <w:lang w:val="en-US" w:eastAsia="zh-CN"/>
                    </w:rPr>
                  </w:pPr>
                  <w:r>
                    <w:rPr>
                      <w:rFonts w:hint="eastAsia" w:cs="Times New Roman"/>
                      <w:color w:val="auto"/>
                      <w:position w:val="3"/>
                      <w:sz w:val="21"/>
                      <w:szCs w:val="21"/>
                      <w:lang w:val="en-US" w:eastAsia="zh-CN"/>
                    </w:rPr>
                    <w:t>0.36g/a</w:t>
                  </w:r>
                </w:p>
              </w:tc>
              <w:tc>
                <w:tcPr>
                  <w:tcW w:w="788" w:type="pct"/>
                  <w:shd w:val="clear" w:color="auto" w:fill="auto"/>
                  <w:vAlign w:val="center"/>
                </w:tcPr>
                <w:p w14:paraId="34C15F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s="Times New Roman"/>
                      <w:color w:val="auto"/>
                      <w:spacing w:val="3"/>
                      <w:position w:val="2"/>
                      <w:sz w:val="21"/>
                      <w:szCs w:val="21"/>
                      <w:lang w:val="en-US" w:eastAsia="zh-CN"/>
                    </w:rPr>
                  </w:pPr>
                  <w:r>
                    <w:rPr>
                      <w:rFonts w:hint="eastAsia" w:eastAsia="宋体" w:cs="Times New Roman"/>
                      <w:color w:val="auto"/>
                      <w:spacing w:val="3"/>
                      <w:position w:val="2"/>
                      <w:sz w:val="21"/>
                      <w:szCs w:val="21"/>
                      <w:lang w:val="en-US" w:eastAsia="zh-CN"/>
                    </w:rPr>
                    <w:t>900-099-S59</w:t>
                  </w:r>
                </w:p>
              </w:tc>
              <w:tc>
                <w:tcPr>
                  <w:tcW w:w="441" w:type="pct"/>
                  <w:tcBorders>
                    <w:right w:val="single" w:color="auto" w:sz="4" w:space="0"/>
                  </w:tcBorders>
                  <w:shd w:val="clear" w:color="auto" w:fill="auto"/>
                  <w:vAlign w:val="center"/>
                </w:tcPr>
                <w:p w14:paraId="16EB73B9">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rPr>
                  </w:pPr>
                  <w:r>
                    <w:rPr>
                      <w:color w:val="auto"/>
                      <w:sz w:val="21"/>
                      <w:szCs w:val="21"/>
                    </w:rPr>
                    <w:t>固</w:t>
                  </w:r>
                  <w:r>
                    <w:rPr>
                      <w:rFonts w:hint="eastAsia"/>
                      <w:color w:val="auto"/>
                      <w:sz w:val="21"/>
                      <w:szCs w:val="21"/>
                      <w:lang w:val="en-US" w:eastAsia="zh-CN"/>
                    </w:rPr>
                    <w:t>态</w:t>
                  </w:r>
                </w:p>
              </w:tc>
              <w:tc>
                <w:tcPr>
                  <w:tcW w:w="544" w:type="pct"/>
                  <w:vMerge w:val="continue"/>
                  <w:tcBorders>
                    <w:left w:val="single" w:color="auto" w:sz="4" w:space="0"/>
                    <w:right w:val="single" w:color="auto" w:sz="4" w:space="0"/>
                  </w:tcBorders>
                  <w:vAlign w:val="center"/>
                </w:tcPr>
                <w:p w14:paraId="1A929CF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color w:val="auto"/>
                      <w:sz w:val="21"/>
                      <w:szCs w:val="21"/>
                      <w:lang w:val="en-US" w:eastAsia="zh-CN"/>
                    </w:rPr>
                  </w:pPr>
                </w:p>
              </w:tc>
              <w:tc>
                <w:tcPr>
                  <w:tcW w:w="738" w:type="pct"/>
                  <w:vMerge w:val="continue"/>
                  <w:tcBorders>
                    <w:left w:val="single" w:color="auto" w:sz="4" w:space="0"/>
                    <w:right w:val="single" w:color="000000" w:sz="10" w:space="0"/>
                  </w:tcBorders>
                  <w:vAlign w:val="center"/>
                </w:tcPr>
                <w:p w14:paraId="6C04355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Arial"/>
                      <w:color w:val="auto"/>
                      <w:sz w:val="21"/>
                      <w:szCs w:val="21"/>
                      <w:lang w:val="en-US" w:eastAsia="zh-CN"/>
                    </w:rPr>
                  </w:pPr>
                </w:p>
              </w:tc>
            </w:tr>
            <w:tr w14:paraId="70B91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46" w:type="pct"/>
                  <w:tcBorders>
                    <w:left w:val="single" w:color="000000" w:sz="10" w:space="0"/>
                  </w:tcBorders>
                  <w:vAlign w:val="center"/>
                </w:tcPr>
                <w:p w14:paraId="6E5092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643" w:type="pct"/>
                  <w:vAlign w:val="center"/>
                </w:tcPr>
                <w:p w14:paraId="71404CA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lang w:eastAsia="zh-CN"/>
                    </w:rPr>
                  </w:pPr>
                  <w:r>
                    <w:rPr>
                      <w:rFonts w:hint="eastAsia" w:ascii="Times New Roman" w:hAnsi="Times New Roman" w:eastAsia="宋体" w:cs="Times New Roman"/>
                      <w:color w:val="auto"/>
                      <w:spacing w:val="6"/>
                      <w:sz w:val="21"/>
                      <w:szCs w:val="21"/>
                      <w:lang w:val="en-US" w:eastAsia="zh-CN"/>
                    </w:rPr>
                    <w:t>检验</w:t>
                  </w:r>
                </w:p>
              </w:tc>
              <w:tc>
                <w:tcPr>
                  <w:tcW w:w="944" w:type="pct"/>
                  <w:vAlign w:val="center"/>
                </w:tcPr>
                <w:p w14:paraId="57AAD4C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lang w:val="en-US" w:eastAsia="zh-CN"/>
                    </w:rPr>
                  </w:pPr>
                  <w:r>
                    <w:rPr>
                      <w:rFonts w:hint="eastAsia"/>
                      <w:color w:val="auto"/>
                      <w:spacing w:val="8"/>
                      <w:sz w:val="21"/>
                      <w:szCs w:val="21"/>
                      <w:lang w:val="en-US" w:eastAsia="zh-CN"/>
                    </w:rPr>
                    <w:t>不合格产品</w:t>
                  </w:r>
                </w:p>
              </w:tc>
              <w:tc>
                <w:tcPr>
                  <w:tcW w:w="651" w:type="pct"/>
                  <w:vAlign w:val="center"/>
                </w:tcPr>
                <w:p w14:paraId="41117D9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cs="Times New Roman"/>
                      <w:color w:val="auto"/>
                      <w:spacing w:val="3"/>
                      <w:position w:val="3"/>
                      <w:sz w:val="21"/>
                      <w:szCs w:val="21"/>
                      <w:lang w:val="en-US" w:eastAsia="zh-CN"/>
                    </w:rPr>
                    <w:t>45.2</w:t>
                  </w:r>
                  <w:r>
                    <w:rPr>
                      <w:rFonts w:ascii="Times New Roman" w:hAnsi="Times New Roman" w:eastAsia="Times New Roman" w:cs="Times New Roman"/>
                      <w:color w:val="auto"/>
                      <w:position w:val="3"/>
                      <w:sz w:val="21"/>
                      <w:szCs w:val="21"/>
                    </w:rPr>
                    <w:t>kg</w:t>
                  </w:r>
                  <w:r>
                    <w:rPr>
                      <w:rFonts w:ascii="Times New Roman" w:hAnsi="Times New Roman" w:eastAsia="Times New Roman" w:cs="Times New Roman"/>
                      <w:color w:val="auto"/>
                      <w:spacing w:val="3"/>
                      <w:position w:val="3"/>
                      <w:sz w:val="21"/>
                      <w:szCs w:val="21"/>
                    </w:rPr>
                    <w:t>/a</w:t>
                  </w:r>
                </w:p>
              </w:tc>
              <w:tc>
                <w:tcPr>
                  <w:tcW w:w="788" w:type="pct"/>
                  <w:vAlign w:val="center"/>
                </w:tcPr>
                <w:p w14:paraId="7B95860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position w:val="2"/>
                      <w:sz w:val="21"/>
                      <w:szCs w:val="21"/>
                    </w:rPr>
                    <w:t>900-</w:t>
                  </w:r>
                  <w:r>
                    <w:rPr>
                      <w:rFonts w:hint="eastAsia" w:eastAsia="宋体" w:cs="Times New Roman"/>
                      <w:color w:val="auto"/>
                      <w:spacing w:val="3"/>
                      <w:position w:val="2"/>
                      <w:sz w:val="21"/>
                      <w:szCs w:val="21"/>
                      <w:lang w:val="en-US" w:eastAsia="zh-CN"/>
                    </w:rPr>
                    <w:t>0</w:t>
                  </w:r>
                  <w:r>
                    <w:rPr>
                      <w:rFonts w:ascii="Times New Roman" w:hAnsi="Times New Roman" w:eastAsia="Times New Roman" w:cs="Times New Roman"/>
                      <w:color w:val="auto"/>
                      <w:spacing w:val="3"/>
                      <w:position w:val="2"/>
                      <w:sz w:val="21"/>
                      <w:szCs w:val="21"/>
                    </w:rPr>
                    <w:t>99-</w:t>
                  </w:r>
                  <w:r>
                    <w:rPr>
                      <w:rFonts w:hint="eastAsia" w:eastAsia="宋体" w:cs="Times New Roman"/>
                      <w:color w:val="auto"/>
                      <w:spacing w:val="3"/>
                      <w:position w:val="2"/>
                      <w:sz w:val="21"/>
                      <w:szCs w:val="21"/>
                      <w:lang w:val="en-US" w:eastAsia="zh-CN"/>
                    </w:rPr>
                    <w:t>S5</w:t>
                  </w:r>
                  <w:r>
                    <w:rPr>
                      <w:rFonts w:ascii="Times New Roman" w:hAnsi="Times New Roman" w:eastAsia="Times New Roman" w:cs="Times New Roman"/>
                      <w:color w:val="auto"/>
                      <w:spacing w:val="3"/>
                      <w:position w:val="2"/>
                      <w:sz w:val="21"/>
                      <w:szCs w:val="21"/>
                    </w:rPr>
                    <w:t>9</w:t>
                  </w:r>
                </w:p>
              </w:tc>
              <w:tc>
                <w:tcPr>
                  <w:tcW w:w="441" w:type="pct"/>
                  <w:tcBorders>
                    <w:right w:val="single" w:color="auto" w:sz="4" w:space="0"/>
                  </w:tcBorders>
                  <w:vAlign w:val="center"/>
                </w:tcPr>
                <w:p w14:paraId="46F0303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z w:val="21"/>
                      <w:szCs w:val="21"/>
                    </w:rPr>
                    <w:t>固</w:t>
                  </w:r>
                  <w:r>
                    <w:rPr>
                      <w:rFonts w:hint="eastAsia"/>
                      <w:color w:val="auto"/>
                      <w:sz w:val="21"/>
                      <w:szCs w:val="21"/>
                      <w:lang w:val="en-US" w:eastAsia="zh-CN"/>
                    </w:rPr>
                    <w:t>态</w:t>
                  </w:r>
                </w:p>
              </w:tc>
              <w:tc>
                <w:tcPr>
                  <w:tcW w:w="544" w:type="pct"/>
                  <w:vMerge w:val="continue"/>
                  <w:tcBorders>
                    <w:left w:val="single" w:color="auto" w:sz="4" w:space="0"/>
                    <w:right w:val="single" w:color="auto" w:sz="4" w:space="0"/>
                  </w:tcBorders>
                  <w:vAlign w:val="center"/>
                </w:tcPr>
                <w:p w14:paraId="7C84917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c>
                <w:tcPr>
                  <w:tcW w:w="738" w:type="pct"/>
                  <w:vMerge w:val="continue"/>
                  <w:tcBorders>
                    <w:left w:val="single" w:color="auto" w:sz="4" w:space="0"/>
                    <w:right w:val="single" w:color="000000" w:sz="10" w:space="0"/>
                  </w:tcBorders>
                  <w:vAlign w:val="center"/>
                </w:tcPr>
                <w:p w14:paraId="19934E6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Arial"/>
                      <w:color w:val="auto"/>
                      <w:sz w:val="21"/>
                      <w:szCs w:val="21"/>
                    </w:rPr>
                  </w:pPr>
                </w:p>
              </w:tc>
            </w:tr>
          </w:tbl>
          <w:p w14:paraId="50FD63DE">
            <w:pPr>
              <w:pStyle w:val="76"/>
              <w:spacing w:before="206" w:line="220" w:lineRule="auto"/>
              <w:rPr>
                <w:color w:val="auto"/>
                <w:sz w:val="24"/>
                <w:szCs w:val="24"/>
              </w:rPr>
            </w:pPr>
            <w:r>
              <w:rPr>
                <w:rFonts w:ascii="Times New Roman" w:hAnsi="Times New Roman" w:eastAsia="Times New Roman" w:cs="Times New Roman"/>
                <w:b/>
                <w:bCs/>
                <w:color w:val="auto"/>
                <w:spacing w:val="-2"/>
                <w:sz w:val="24"/>
                <w:szCs w:val="24"/>
              </w:rPr>
              <w:t>4.2</w:t>
            </w:r>
            <w:r>
              <w:rPr>
                <w:b/>
                <w:bCs/>
                <w:color w:val="auto"/>
                <w:spacing w:val="-2"/>
                <w:sz w:val="24"/>
                <w:szCs w:val="24"/>
              </w:rPr>
              <w:t>环境管理要求</w:t>
            </w:r>
          </w:p>
          <w:p w14:paraId="4DFA4A83">
            <w:pPr>
              <w:pStyle w:val="76"/>
              <w:keepNext w:val="0"/>
              <w:keepLines w:val="0"/>
              <w:pageBreakBefore w:val="0"/>
              <w:widowControl w:val="0"/>
              <w:kinsoku/>
              <w:wordWrap/>
              <w:overflowPunct/>
              <w:topLinePunct w:val="0"/>
              <w:autoSpaceDE/>
              <w:autoSpaceDN/>
              <w:bidi w:val="0"/>
              <w:adjustRightInd/>
              <w:snapToGrid/>
              <w:spacing w:line="360" w:lineRule="auto"/>
              <w:ind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1</w:t>
            </w:r>
            <w:r>
              <w:rPr>
                <w:color w:val="auto"/>
                <w:spacing w:val="-3"/>
                <w:position w:val="2"/>
                <w:sz w:val="24"/>
                <w:szCs w:val="24"/>
              </w:rPr>
              <w:t>）一般要求</w:t>
            </w:r>
          </w:p>
          <w:p w14:paraId="5060B6CF">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textAlignment w:val="auto"/>
              <w:rPr>
                <w:color w:val="auto"/>
                <w:sz w:val="24"/>
                <w:szCs w:val="24"/>
              </w:rPr>
            </w:pPr>
            <w:r>
              <w:rPr>
                <w:color w:val="auto"/>
                <w:spacing w:val="-1"/>
                <w:sz w:val="24"/>
                <w:szCs w:val="24"/>
              </w:rPr>
              <w:t>固体废物污染防治法规定</w:t>
            </w:r>
            <w:r>
              <w:rPr>
                <w:rFonts w:ascii="Times New Roman" w:hAnsi="Times New Roman" w:eastAsia="Times New Roman" w:cs="Times New Roman"/>
                <w:color w:val="auto"/>
                <w:spacing w:val="-1"/>
                <w:sz w:val="24"/>
                <w:szCs w:val="24"/>
              </w:rPr>
              <w:t>“</w:t>
            </w:r>
            <w:r>
              <w:rPr>
                <w:color w:val="auto"/>
                <w:spacing w:val="-1"/>
                <w:sz w:val="24"/>
                <w:szCs w:val="24"/>
              </w:rPr>
              <w:t>建设项目的环境影响评价文件确定需要配套</w:t>
            </w:r>
            <w:r>
              <w:rPr>
                <w:color w:val="auto"/>
                <w:sz w:val="24"/>
                <w:szCs w:val="24"/>
              </w:rPr>
              <w:t>建设的固体废物污染环境防治设施，必须与主体工程同时设计、同时施工、同时投入使用。固体废物污染环境防治设施必须经原</w:t>
            </w:r>
            <w:r>
              <w:rPr>
                <w:color w:val="auto"/>
                <w:spacing w:val="-1"/>
                <w:sz w:val="24"/>
                <w:szCs w:val="24"/>
              </w:rPr>
              <w:t>审批环境影响评价文件</w:t>
            </w:r>
            <w:r>
              <w:rPr>
                <w:color w:val="auto"/>
                <w:sz w:val="24"/>
                <w:szCs w:val="24"/>
              </w:rPr>
              <w:t>的环境保护行政主管部门验收合格后，该建设项目方可投入生产或者使用。</w:t>
            </w:r>
            <w:r>
              <w:rPr>
                <w:color w:val="auto"/>
                <w:spacing w:val="-3"/>
                <w:sz w:val="24"/>
                <w:szCs w:val="24"/>
              </w:rPr>
              <w:t>对固体废物污染环境防治设施的验收应当与对主体工程的验收同时进行</w:t>
            </w:r>
            <w:r>
              <w:rPr>
                <w:rFonts w:ascii="Times New Roman" w:hAnsi="Times New Roman" w:eastAsia="Times New Roman" w:cs="Times New Roman"/>
                <w:color w:val="auto"/>
                <w:spacing w:val="-3"/>
                <w:sz w:val="24"/>
                <w:szCs w:val="24"/>
              </w:rPr>
              <w:t>”</w:t>
            </w:r>
            <w:r>
              <w:rPr>
                <w:color w:val="auto"/>
                <w:spacing w:val="-3"/>
                <w:sz w:val="24"/>
                <w:szCs w:val="24"/>
              </w:rPr>
              <w:t>。根</w:t>
            </w:r>
            <w:r>
              <w:rPr>
                <w:color w:val="auto"/>
                <w:sz w:val="24"/>
                <w:szCs w:val="24"/>
              </w:rPr>
              <w:t>据这些规定，本项目固体废物污染环境防治设</w:t>
            </w:r>
            <w:r>
              <w:rPr>
                <w:color w:val="auto"/>
                <w:spacing w:val="-1"/>
                <w:sz w:val="24"/>
                <w:szCs w:val="24"/>
              </w:rPr>
              <w:t>施必须做到</w:t>
            </w:r>
            <w:r>
              <w:rPr>
                <w:rFonts w:ascii="Times New Roman" w:hAnsi="Times New Roman" w:eastAsia="Times New Roman" w:cs="Times New Roman"/>
                <w:color w:val="auto"/>
                <w:spacing w:val="-1"/>
                <w:sz w:val="24"/>
                <w:szCs w:val="24"/>
              </w:rPr>
              <w:t>“</w:t>
            </w:r>
            <w:r>
              <w:rPr>
                <w:color w:val="auto"/>
                <w:spacing w:val="-1"/>
                <w:sz w:val="24"/>
                <w:szCs w:val="24"/>
              </w:rPr>
              <w:t>三同时</w:t>
            </w:r>
            <w:r>
              <w:rPr>
                <w:rFonts w:ascii="Times New Roman" w:hAnsi="Times New Roman" w:eastAsia="Times New Roman" w:cs="Times New Roman"/>
                <w:color w:val="auto"/>
                <w:spacing w:val="-1"/>
                <w:sz w:val="24"/>
                <w:szCs w:val="24"/>
              </w:rPr>
              <w:t>”</w:t>
            </w:r>
            <w:r>
              <w:rPr>
                <w:color w:val="auto"/>
                <w:spacing w:val="-1"/>
                <w:sz w:val="24"/>
                <w:szCs w:val="24"/>
              </w:rPr>
              <w:t>。</w:t>
            </w:r>
          </w:p>
          <w:p w14:paraId="6C44047A">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textAlignment w:val="auto"/>
              <w:rPr>
                <w:color w:val="auto"/>
                <w:sz w:val="24"/>
                <w:szCs w:val="24"/>
              </w:rPr>
            </w:pPr>
            <w:r>
              <w:rPr>
                <w:color w:val="auto"/>
                <w:spacing w:val="-1"/>
                <w:sz w:val="24"/>
                <w:szCs w:val="24"/>
              </w:rPr>
              <w:t>为了进一步降低固体废物的影响，建议建设单位在实践中逐步确定新的废物管理模式，对所有固体废物进行监控管理。</w:t>
            </w:r>
          </w:p>
          <w:p w14:paraId="515E3B00">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color w:val="auto"/>
                <w:sz w:val="24"/>
                <w:szCs w:val="24"/>
              </w:rPr>
            </w:pPr>
            <w:r>
              <w:rPr>
                <w:color w:val="auto"/>
                <w:spacing w:val="-2"/>
                <w:sz w:val="24"/>
                <w:szCs w:val="24"/>
              </w:rPr>
              <w:t>①全过程管理</w:t>
            </w:r>
          </w:p>
          <w:p w14:paraId="2FC78C9D">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textAlignment w:val="auto"/>
              <w:rPr>
                <w:color w:val="auto"/>
                <w:sz w:val="24"/>
                <w:szCs w:val="24"/>
              </w:rPr>
            </w:pPr>
            <w:r>
              <w:rPr>
                <w:color w:val="auto"/>
                <w:spacing w:val="-1"/>
                <w:sz w:val="24"/>
                <w:szCs w:val="24"/>
              </w:rPr>
              <w:t>即对废物从</w:t>
            </w:r>
            <w:r>
              <w:rPr>
                <w:rFonts w:ascii="Times New Roman" w:hAnsi="Times New Roman" w:eastAsia="Times New Roman" w:cs="Times New Roman"/>
                <w:color w:val="auto"/>
                <w:spacing w:val="-1"/>
                <w:sz w:val="24"/>
                <w:szCs w:val="24"/>
              </w:rPr>
              <w:t>“</w:t>
            </w:r>
            <w:r>
              <w:rPr>
                <w:color w:val="auto"/>
                <w:spacing w:val="-1"/>
                <w:sz w:val="24"/>
                <w:szCs w:val="24"/>
              </w:rPr>
              <w:t>出生</w:t>
            </w:r>
            <w:r>
              <w:rPr>
                <w:rFonts w:ascii="Times New Roman" w:hAnsi="Times New Roman" w:eastAsia="Times New Roman" w:cs="Times New Roman"/>
                <w:color w:val="auto"/>
                <w:spacing w:val="-1"/>
                <w:sz w:val="24"/>
                <w:szCs w:val="24"/>
              </w:rPr>
              <w:t>”</w:t>
            </w:r>
            <w:r>
              <w:rPr>
                <w:color w:val="auto"/>
                <w:spacing w:val="-1"/>
                <w:sz w:val="24"/>
                <w:szCs w:val="24"/>
              </w:rPr>
              <w:t>那一时刻起对废物的产生、收集、运输、贮存、再循</w:t>
            </w:r>
            <w:r>
              <w:rPr>
                <w:color w:val="auto"/>
                <w:spacing w:val="-2"/>
                <w:sz w:val="24"/>
                <w:szCs w:val="24"/>
              </w:rPr>
              <w:t>环、再利用、加工处理直至最终处置实行全过程管理，以实现废物减量化、</w:t>
            </w:r>
            <w:r>
              <w:rPr>
                <w:color w:val="auto"/>
                <w:spacing w:val="-3"/>
                <w:sz w:val="24"/>
                <w:szCs w:val="24"/>
              </w:rPr>
              <w:t>资源化和无害化。</w:t>
            </w:r>
          </w:p>
          <w:p w14:paraId="34DE17E8">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textAlignment w:val="auto"/>
              <w:rPr>
                <w:color w:val="auto"/>
                <w:sz w:val="24"/>
                <w:szCs w:val="24"/>
              </w:rPr>
            </w:pPr>
            <w:r>
              <w:rPr>
                <w:color w:val="auto"/>
                <w:spacing w:val="-1"/>
                <w:sz w:val="24"/>
                <w:szCs w:val="24"/>
              </w:rPr>
              <w:t>②对排放废物进行审计</w:t>
            </w:r>
          </w:p>
          <w:p w14:paraId="15C2742A">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color w:val="auto"/>
                <w:sz w:val="24"/>
                <w:szCs w:val="24"/>
              </w:rPr>
            </w:pPr>
            <w:r>
              <w:rPr>
                <w:color w:val="auto"/>
                <w:sz w:val="24"/>
                <w:szCs w:val="24"/>
              </w:rPr>
              <w:t>废物审计制度是对废物从产生、处理到处置排放</w:t>
            </w:r>
            <w:r>
              <w:rPr>
                <w:color w:val="auto"/>
                <w:spacing w:val="-1"/>
                <w:sz w:val="24"/>
                <w:szCs w:val="24"/>
              </w:rPr>
              <w:t>实行全过程监督的有效</w:t>
            </w:r>
            <w:r>
              <w:rPr>
                <w:color w:val="auto"/>
                <w:sz w:val="24"/>
                <w:szCs w:val="24"/>
              </w:rPr>
              <w:t>手段。其主要内容有：废物合理的产生量；废物流向</w:t>
            </w:r>
            <w:r>
              <w:rPr>
                <w:color w:val="auto"/>
                <w:spacing w:val="-1"/>
                <w:sz w:val="24"/>
                <w:szCs w:val="24"/>
              </w:rPr>
              <w:t>和分配及监测记录；废</w:t>
            </w:r>
            <w:r>
              <w:rPr>
                <w:color w:val="auto"/>
                <w:sz w:val="24"/>
                <w:szCs w:val="24"/>
              </w:rPr>
              <w:t>物处理和转化；废物有效排放和废物总量衡算；废物</w:t>
            </w:r>
            <w:r>
              <w:rPr>
                <w:color w:val="auto"/>
                <w:spacing w:val="-1"/>
                <w:sz w:val="24"/>
                <w:szCs w:val="24"/>
              </w:rPr>
              <w:t>从产生到处理的全过程</w:t>
            </w:r>
            <w:r>
              <w:rPr>
                <w:color w:val="auto"/>
                <w:spacing w:val="-3"/>
                <w:sz w:val="24"/>
                <w:szCs w:val="24"/>
              </w:rPr>
              <w:t>评估。</w:t>
            </w:r>
          </w:p>
          <w:p w14:paraId="0E85EB71">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2</w:t>
            </w:r>
            <w:r>
              <w:rPr>
                <w:color w:val="auto"/>
                <w:spacing w:val="-2"/>
                <w:position w:val="2"/>
                <w:sz w:val="24"/>
                <w:szCs w:val="24"/>
              </w:rPr>
              <w:t>）一般固废管理要求</w:t>
            </w:r>
          </w:p>
          <w:p w14:paraId="3E3176D9">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default"/>
                <w:color w:val="auto"/>
                <w:spacing w:val="-4"/>
                <w:sz w:val="24"/>
                <w:szCs w:val="24"/>
              </w:rPr>
            </w:pPr>
            <w:r>
              <w:rPr>
                <w:rFonts w:hint="default"/>
                <w:color w:val="auto"/>
                <w:spacing w:val="-4"/>
                <w:sz w:val="24"/>
                <w:szCs w:val="24"/>
              </w:rPr>
              <w:t>本项目产生的一般工业固体废物集中收集于一般固废暂存点后再定期处置，按要求建立一般工业固体废物管理台账。一般固废暂存点应参照《一般工业固体废物贮存和填埋污染控制标准》（GB18599-2020）相关要求规范化建设，应满足如下要求：</w:t>
            </w:r>
          </w:p>
          <w:p w14:paraId="795572C4">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default"/>
                <w:color w:val="auto"/>
                <w:spacing w:val="-4"/>
                <w:sz w:val="24"/>
                <w:szCs w:val="24"/>
              </w:rPr>
            </w:pPr>
            <w:r>
              <w:rPr>
                <w:rFonts w:hint="default"/>
                <w:color w:val="auto"/>
                <w:spacing w:val="-4"/>
                <w:sz w:val="24"/>
                <w:szCs w:val="24"/>
              </w:rPr>
              <w:t>①地面应采取硬化措施并满足承载力要求，必要时采取相应措施防止地基下沉；</w:t>
            </w:r>
          </w:p>
          <w:p w14:paraId="4075F4D2">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default"/>
                <w:color w:val="auto"/>
                <w:spacing w:val="-4"/>
                <w:sz w:val="24"/>
                <w:szCs w:val="24"/>
              </w:rPr>
            </w:pPr>
            <w:r>
              <w:rPr>
                <w:rFonts w:hint="default"/>
                <w:color w:val="auto"/>
                <w:spacing w:val="-4"/>
                <w:sz w:val="24"/>
                <w:szCs w:val="24"/>
              </w:rPr>
              <w:t>②要求设置必要的防风、防雨、防晒措施；</w:t>
            </w:r>
          </w:p>
          <w:p w14:paraId="3C67EF98">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default"/>
                <w:color w:val="auto"/>
                <w:spacing w:val="-4"/>
                <w:sz w:val="24"/>
                <w:szCs w:val="24"/>
              </w:rPr>
            </w:pPr>
            <w:r>
              <w:rPr>
                <w:rFonts w:hint="default"/>
                <w:color w:val="auto"/>
                <w:spacing w:val="-4"/>
                <w:sz w:val="24"/>
                <w:szCs w:val="24"/>
              </w:rPr>
              <w:t>③按《环境保护图形标识固体废物贮存（处置）场》（GB15562.2-1995）要求设置环境保护图形标志。</w:t>
            </w:r>
          </w:p>
          <w:p w14:paraId="1A8316E1">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color w:val="auto"/>
                <w:spacing w:val="-4"/>
                <w:sz w:val="24"/>
                <w:szCs w:val="24"/>
              </w:rPr>
            </w:pPr>
            <w:r>
              <w:rPr>
                <w:rFonts w:hint="default"/>
                <w:color w:val="auto"/>
                <w:spacing w:val="-4"/>
                <w:sz w:val="24"/>
                <w:szCs w:val="24"/>
              </w:rPr>
              <w:t>④根据《排污许可证申请与核发技术规范 工业固体废物（试行）》（HJ1200-2021）和《一般工业固体废物管理台账制定指南（试行）》要求，制定工业固体废物管理台账并妥善保存。</w:t>
            </w:r>
          </w:p>
          <w:p w14:paraId="5F811BE5">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eastAsia" w:eastAsia="宋体"/>
                <w:color w:val="auto"/>
                <w:spacing w:val="-4"/>
                <w:sz w:val="24"/>
                <w:szCs w:val="24"/>
                <w:lang w:val="en-US" w:eastAsia="zh-CN"/>
              </w:rPr>
            </w:pPr>
            <w:r>
              <w:rPr>
                <w:rFonts w:hint="eastAsia"/>
                <w:color w:val="auto"/>
                <w:spacing w:val="-4"/>
                <w:sz w:val="24"/>
                <w:szCs w:val="24"/>
                <w:lang w:val="en-US" w:eastAsia="zh-CN"/>
              </w:rPr>
              <w:t>⑤</w:t>
            </w:r>
            <w:r>
              <w:rPr>
                <w:color w:val="auto"/>
                <w:spacing w:val="-1"/>
                <w:sz w:val="24"/>
                <w:szCs w:val="24"/>
              </w:rPr>
              <w:t>各类固废分类收集，不得相互混合。建设单位须建立统一的固废分类收集制度，一般工业固废与生活垃圾不得混合，分开收集。</w:t>
            </w:r>
          </w:p>
          <w:p w14:paraId="636435C3">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rFonts w:hint="default" w:ascii="Times New Roman" w:hAnsi="Times New Roman" w:eastAsia="宋体" w:cs="Times New Roman"/>
                <w:color w:val="auto"/>
                <w:spacing w:val="-4"/>
                <w:sz w:val="24"/>
                <w:szCs w:val="24"/>
                <w:lang w:val="en-US" w:eastAsia="zh-CN"/>
              </w:rPr>
            </w:pPr>
            <w:r>
              <w:rPr>
                <w:rFonts w:hint="eastAsia"/>
                <w:color w:val="auto"/>
                <w:spacing w:val="-4"/>
                <w:sz w:val="24"/>
                <w:szCs w:val="24"/>
                <w:lang w:val="en-US" w:eastAsia="zh-CN"/>
              </w:rPr>
              <w:t>⑥</w:t>
            </w:r>
            <w:r>
              <w:rPr>
                <w:rFonts w:hint="eastAsia"/>
                <w:color w:val="auto"/>
                <w:spacing w:val="-1"/>
                <w:sz w:val="24"/>
                <w:szCs w:val="24"/>
              </w:rPr>
              <w:t>明确负责人及相关设施、场地。明确固体废物产生部门、贮存部门、自行利用部门和自行处置部门负责人，为固体废物产生设施、贮存设施、自行利用设施和自行处置设施编码。</w:t>
            </w:r>
            <w:r>
              <w:rPr>
                <w:color w:val="auto"/>
                <w:spacing w:val="-1"/>
                <w:sz w:val="24"/>
                <w:szCs w:val="24"/>
              </w:rPr>
              <w:t>建设单位建立工业固体废物管理台账，如实记录工业固体废物的</w:t>
            </w:r>
            <w:r>
              <w:rPr>
                <w:color w:val="auto"/>
                <w:sz w:val="24"/>
                <w:szCs w:val="24"/>
              </w:rPr>
              <w:t>种类、数量、流向、贮存、利用、处置等信息，可</w:t>
            </w:r>
            <w:r>
              <w:rPr>
                <w:color w:val="auto"/>
                <w:spacing w:val="-1"/>
                <w:sz w:val="24"/>
                <w:szCs w:val="24"/>
              </w:rPr>
              <w:t>以实现工业固体废物可追溯、可查询</w:t>
            </w:r>
            <w:r>
              <w:rPr>
                <w:rFonts w:hint="default" w:ascii="Times New Roman" w:hAnsi="Times New Roman" w:cs="Times New Roman"/>
                <w:color w:val="auto"/>
                <w:spacing w:val="-1"/>
                <w:sz w:val="24"/>
                <w:szCs w:val="24"/>
              </w:rPr>
              <w:t>的目的，推动企业提升固体废物管理水平。</w:t>
            </w:r>
          </w:p>
          <w:p w14:paraId="2CDF6041">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4" w:firstLineChars="200"/>
              <w:textAlignment w:val="auto"/>
              <w:rPr>
                <w:color w:val="auto"/>
                <w:spacing w:val="-4"/>
                <w:sz w:val="24"/>
                <w:szCs w:val="24"/>
              </w:rPr>
            </w:pPr>
            <w:r>
              <w:rPr>
                <w:rFonts w:hint="default" w:ascii="Times New Roman" w:hAnsi="Times New Roman" w:cs="Times New Roman"/>
                <w:color w:val="auto"/>
                <w:spacing w:val="-4"/>
                <w:sz w:val="24"/>
                <w:szCs w:val="24"/>
                <w:lang w:val="en-US" w:eastAsia="zh-CN"/>
              </w:rPr>
              <w:t>⑦当天然基础层饱和渗透系数不大于 1.0x10</w:t>
            </w:r>
            <w:r>
              <w:rPr>
                <w:rFonts w:hint="default" w:ascii="Times New Roman" w:hAnsi="Times New Roman" w:cs="Times New Roman"/>
                <w:color w:val="auto"/>
                <w:spacing w:val="-4"/>
                <w:sz w:val="24"/>
                <w:szCs w:val="24"/>
                <w:vertAlign w:val="superscript"/>
                <w:lang w:val="en-US" w:eastAsia="zh-CN"/>
              </w:rPr>
              <w:t>-5</w:t>
            </w:r>
            <w:r>
              <w:rPr>
                <w:rFonts w:hint="default" w:ascii="Times New Roman" w:hAnsi="Times New Roman" w:cs="Times New Roman"/>
                <w:color w:val="auto"/>
                <w:spacing w:val="-4"/>
                <w:sz w:val="24"/>
                <w:szCs w:val="24"/>
                <w:lang w:val="en-US" w:eastAsia="zh-CN"/>
              </w:rPr>
              <w:t>cm/s，且厚度不小于 0.75 m时，可以采用天然基础层作为防渗衬层；当天然基础层不能满足以上防渗要求时,可采用改性压实粘土类衬层或具有同等以上隔水效力的其他材料防渗衬层,其防渗性能应至少相当于渗透系数为 1.0x10</w:t>
            </w:r>
            <w:r>
              <w:rPr>
                <w:rFonts w:hint="default" w:ascii="Times New Roman" w:hAnsi="Times New Roman" w:cs="Times New Roman"/>
                <w:color w:val="auto"/>
                <w:spacing w:val="-4"/>
                <w:sz w:val="24"/>
                <w:szCs w:val="24"/>
                <w:vertAlign w:val="superscript"/>
                <w:lang w:val="en-US" w:eastAsia="zh-CN"/>
              </w:rPr>
              <w:t>-5</w:t>
            </w:r>
            <w:r>
              <w:rPr>
                <w:rFonts w:hint="default" w:ascii="Times New Roman" w:hAnsi="Times New Roman" w:cs="Times New Roman"/>
                <w:color w:val="auto"/>
                <w:spacing w:val="-4"/>
                <w:sz w:val="24"/>
                <w:szCs w:val="24"/>
                <w:lang w:val="en-US" w:eastAsia="zh-CN"/>
              </w:rPr>
              <w:t>cms 且厚度为 0.75 m 的</w:t>
            </w:r>
            <w:r>
              <w:rPr>
                <w:rFonts w:hint="eastAsia"/>
                <w:color w:val="auto"/>
                <w:spacing w:val="-4"/>
                <w:sz w:val="24"/>
                <w:szCs w:val="24"/>
                <w:lang w:val="en-US" w:eastAsia="zh-CN"/>
              </w:rPr>
              <w:t>天然基础层。</w:t>
            </w:r>
          </w:p>
          <w:p w14:paraId="13A61D93">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60" w:firstLineChars="200"/>
              <w:jc w:val="both"/>
              <w:textAlignment w:val="auto"/>
              <w:rPr>
                <w:color w:val="auto"/>
                <w:sz w:val="24"/>
                <w:szCs w:val="24"/>
              </w:rPr>
            </w:pPr>
            <w:r>
              <w:rPr>
                <w:color w:val="auto"/>
                <w:spacing w:val="-5"/>
                <w:sz w:val="24"/>
                <w:szCs w:val="24"/>
              </w:rPr>
              <w:t>应当依法制定突发环境事件的防范措施和应急预案，并报</w:t>
            </w:r>
            <w:r>
              <w:rPr>
                <w:color w:val="auto"/>
                <w:spacing w:val="-6"/>
                <w:sz w:val="24"/>
                <w:szCs w:val="24"/>
              </w:rPr>
              <w:t>有关部门备案；</w:t>
            </w:r>
            <w:r>
              <w:rPr>
                <w:color w:val="auto"/>
                <w:spacing w:val="-1"/>
                <w:sz w:val="24"/>
                <w:szCs w:val="24"/>
              </w:rPr>
              <w:t>发生危险废物突发环境事件时，应当立即采取有效措施消除或者减轻对环境的污染危害，并按相关规定向事故发生地有关部门报告，接受调查处理。</w:t>
            </w:r>
          </w:p>
          <w:p w14:paraId="27D231C2">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rPr>
                <w:color w:val="auto"/>
                <w:sz w:val="24"/>
                <w:szCs w:val="24"/>
              </w:rPr>
            </w:pPr>
            <w:r>
              <w:rPr>
                <w:color w:val="auto"/>
                <w:sz w:val="24"/>
                <w:szCs w:val="24"/>
              </w:rPr>
              <w:t>所有废物按类在专用密闭容器中储存，没有混</w:t>
            </w:r>
            <w:r>
              <w:rPr>
                <w:color w:val="auto"/>
                <w:spacing w:val="-1"/>
                <w:sz w:val="24"/>
                <w:szCs w:val="24"/>
              </w:rPr>
              <w:t>装；采用包装方式运输危</w:t>
            </w:r>
            <w:r>
              <w:rPr>
                <w:color w:val="auto"/>
                <w:sz w:val="24"/>
                <w:szCs w:val="24"/>
              </w:rPr>
              <w:t>险废物的，应当妥善包装，并按照国家有关标准</w:t>
            </w:r>
            <w:r>
              <w:rPr>
                <w:color w:val="auto"/>
                <w:spacing w:val="-1"/>
                <w:sz w:val="24"/>
                <w:szCs w:val="24"/>
              </w:rPr>
              <w:t>在外包装上设置相应的识别</w:t>
            </w:r>
            <w:r>
              <w:rPr>
                <w:color w:val="auto"/>
                <w:spacing w:val="-4"/>
                <w:sz w:val="24"/>
                <w:szCs w:val="24"/>
              </w:rPr>
              <w:t>标志。</w:t>
            </w:r>
          </w:p>
          <w:p w14:paraId="237E75E0">
            <w:pPr>
              <w:pStyle w:val="76"/>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color w:val="auto"/>
                <w:sz w:val="24"/>
                <w:szCs w:val="24"/>
              </w:rPr>
            </w:pPr>
            <w:r>
              <w:rPr>
                <w:color w:val="auto"/>
                <w:sz w:val="24"/>
                <w:szCs w:val="24"/>
              </w:rPr>
              <w:t>加强员工教育，强化员工对固体废弃物及其处</w:t>
            </w:r>
            <w:r>
              <w:rPr>
                <w:color w:val="auto"/>
                <w:spacing w:val="-1"/>
                <w:sz w:val="24"/>
                <w:szCs w:val="24"/>
              </w:rPr>
              <w:t>置方式认识，完善管理制度，确保项目产生固废全部收集、暂存并合理处置。</w:t>
            </w:r>
          </w:p>
          <w:p w14:paraId="73B0F05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b/>
                <w:bCs/>
                <w:color w:val="auto"/>
                <w:sz w:val="24"/>
                <w:highlight w:val="none"/>
              </w:rPr>
            </w:pPr>
            <w:r>
              <w:rPr>
                <w:rFonts w:ascii="Times New Roman" w:hAnsi="Times New Roman" w:eastAsia="Times New Roman" w:cs="Times New Roman"/>
                <w:b/>
                <w:bCs/>
                <w:color w:val="auto"/>
                <w:spacing w:val="-2"/>
                <w:sz w:val="24"/>
                <w:szCs w:val="24"/>
              </w:rPr>
              <w:t>4.3</w:t>
            </w:r>
            <w:r>
              <w:rPr>
                <w:b/>
                <w:bCs/>
                <w:color w:val="auto"/>
                <w:spacing w:val="-2"/>
                <w:sz w:val="24"/>
                <w:szCs w:val="24"/>
              </w:rPr>
              <w:t>污染防治措施可行分析</w:t>
            </w:r>
          </w:p>
          <w:p w14:paraId="25DB87AB">
            <w:pPr>
              <w:pStyle w:val="76"/>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color w:val="auto"/>
                <w:sz w:val="24"/>
                <w:szCs w:val="24"/>
              </w:rPr>
            </w:pPr>
            <w:r>
              <w:rPr>
                <w:color w:val="auto"/>
                <w:sz w:val="24"/>
                <w:szCs w:val="24"/>
              </w:rPr>
              <w:t>本项目运营期固体废物主要是生活垃圾和生产固废。其中生活垃圾经垃圾箱集中收集后，定期由环卫部门及时清运至垃圾填埋场处置。一般生产固</w:t>
            </w:r>
            <w:r>
              <w:rPr>
                <w:color w:val="auto"/>
                <w:spacing w:val="-1"/>
                <w:sz w:val="24"/>
                <w:szCs w:val="24"/>
              </w:rPr>
              <w:t>废均得到妥善处置和综合利用。</w:t>
            </w:r>
          </w:p>
          <w:p w14:paraId="29C87746">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color w:val="auto"/>
                <w:sz w:val="24"/>
                <w:szCs w:val="24"/>
              </w:rPr>
              <w:t>通过上述措施，项目产生的固体废物得到妥善处置和综合利用后，不产</w:t>
            </w:r>
            <w:r>
              <w:rPr>
                <w:color w:val="auto"/>
                <w:spacing w:val="-1"/>
                <w:sz w:val="24"/>
                <w:szCs w:val="24"/>
              </w:rPr>
              <w:t>生二次污染，本项目产生的固体废物对周围环境影响较小。</w:t>
            </w:r>
          </w:p>
          <w:p w14:paraId="496DD47A">
            <w:pPr>
              <w:pStyle w:val="76"/>
              <w:keepNext w:val="0"/>
              <w:keepLines w:val="0"/>
              <w:pageBreakBefore w:val="0"/>
              <w:widowControl w:val="0"/>
              <w:kinsoku/>
              <w:wordWrap/>
              <w:overflowPunct/>
              <w:topLinePunct w:val="0"/>
              <w:autoSpaceDE/>
              <w:autoSpaceDN/>
              <w:bidi w:val="0"/>
              <w:spacing w:line="360" w:lineRule="auto"/>
              <w:ind w:right="0"/>
              <w:textAlignment w:val="auto"/>
              <w:rPr>
                <w:color w:val="auto"/>
                <w:sz w:val="24"/>
                <w:szCs w:val="24"/>
              </w:rPr>
            </w:pPr>
            <w:r>
              <w:rPr>
                <w:rFonts w:ascii="Times New Roman" w:hAnsi="Times New Roman" w:eastAsia="Times New Roman" w:cs="Times New Roman"/>
                <w:b/>
                <w:bCs/>
                <w:color w:val="auto"/>
                <w:spacing w:val="-6"/>
                <w:sz w:val="24"/>
                <w:szCs w:val="24"/>
              </w:rPr>
              <w:t>5</w:t>
            </w:r>
            <w:r>
              <w:rPr>
                <w:b/>
                <w:bCs/>
                <w:color w:val="auto"/>
                <w:spacing w:val="-6"/>
                <w:sz w:val="24"/>
                <w:szCs w:val="24"/>
              </w:rPr>
              <w:t>、地下水、土壤</w:t>
            </w:r>
          </w:p>
          <w:p w14:paraId="4200E5DF">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color w:val="auto"/>
                <w:sz w:val="24"/>
                <w:szCs w:val="24"/>
              </w:rPr>
              <w:t>本项目位于</w:t>
            </w:r>
            <w:r>
              <w:rPr>
                <w:rFonts w:hint="eastAsia"/>
                <w:color w:val="auto"/>
                <w:sz w:val="24"/>
                <w:szCs w:val="24"/>
                <w:lang w:val="en-US" w:eastAsia="zh-CN"/>
              </w:rPr>
              <w:t>昌吉州木垒县民生工业园区</w:t>
            </w:r>
            <w:r>
              <w:rPr>
                <w:color w:val="auto"/>
                <w:sz w:val="24"/>
                <w:szCs w:val="24"/>
              </w:rPr>
              <w:t>，不涉及集中式饮用水水源和热水、矿泉</w:t>
            </w:r>
            <w:r>
              <w:rPr>
                <w:color w:val="auto"/>
                <w:spacing w:val="-1"/>
                <w:sz w:val="24"/>
                <w:szCs w:val="24"/>
              </w:rPr>
              <w:t>水、温泉等特殊地下水资源保护区。</w:t>
            </w:r>
          </w:p>
          <w:p w14:paraId="472AE2DA">
            <w:pPr>
              <w:pStyle w:val="76"/>
              <w:keepNext w:val="0"/>
              <w:keepLines w:val="0"/>
              <w:pageBreakBefore w:val="0"/>
              <w:widowControl w:val="0"/>
              <w:kinsoku/>
              <w:wordWrap/>
              <w:overflowPunct/>
              <w:topLinePunct w:val="0"/>
              <w:autoSpaceDE/>
              <w:autoSpaceDN/>
              <w:bidi w:val="0"/>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5.1</w:t>
            </w:r>
            <w:r>
              <w:rPr>
                <w:b/>
                <w:bCs/>
                <w:color w:val="auto"/>
                <w:spacing w:val="-2"/>
                <w:sz w:val="24"/>
                <w:szCs w:val="24"/>
              </w:rPr>
              <w:t>污染源和污染途径</w:t>
            </w:r>
          </w:p>
          <w:p w14:paraId="012EDCF1">
            <w:pPr>
              <w:pStyle w:val="76"/>
              <w:keepNext w:val="0"/>
              <w:keepLines w:val="0"/>
              <w:pageBreakBefore w:val="0"/>
              <w:widowControl w:val="0"/>
              <w:kinsoku/>
              <w:wordWrap/>
              <w:overflowPunct/>
              <w:topLinePunct w:val="0"/>
              <w:autoSpaceDE/>
              <w:autoSpaceDN/>
              <w:bidi w:val="0"/>
              <w:spacing w:line="360" w:lineRule="auto"/>
              <w:ind w:left="0" w:right="0" w:firstLine="460" w:firstLineChars="200"/>
              <w:textAlignment w:val="auto"/>
              <w:rPr>
                <w:color w:val="auto"/>
                <w:sz w:val="24"/>
                <w:szCs w:val="24"/>
              </w:rPr>
            </w:pPr>
            <w:r>
              <w:rPr>
                <w:color w:val="auto"/>
                <w:spacing w:val="-5"/>
                <w:sz w:val="24"/>
                <w:szCs w:val="24"/>
              </w:rPr>
              <w:t>①物料传输过程中，管道、阀门等不严密，导致物料泄露引起火灾</w:t>
            </w:r>
            <w:r>
              <w:rPr>
                <w:color w:val="auto"/>
                <w:spacing w:val="-6"/>
                <w:sz w:val="24"/>
                <w:szCs w:val="24"/>
              </w:rPr>
              <w:t>爆炸，</w:t>
            </w:r>
            <w:r>
              <w:rPr>
                <w:color w:val="auto"/>
                <w:spacing w:val="-2"/>
                <w:sz w:val="24"/>
                <w:szCs w:val="24"/>
              </w:rPr>
              <w:t>导致污染地下水、土壤；</w:t>
            </w:r>
          </w:p>
          <w:p w14:paraId="52DB6AB3">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color w:val="auto"/>
                <w:sz w:val="24"/>
                <w:szCs w:val="24"/>
              </w:rPr>
              <w:t>②地面防渗等级不足或出现裂痕，导致泄漏物料下渗，污染地下水、土</w:t>
            </w:r>
            <w:r>
              <w:rPr>
                <w:color w:val="auto"/>
                <w:spacing w:val="-3"/>
                <w:sz w:val="24"/>
                <w:szCs w:val="24"/>
              </w:rPr>
              <w:t>壤环境；</w:t>
            </w:r>
          </w:p>
          <w:p w14:paraId="72544270">
            <w:pPr>
              <w:pStyle w:val="76"/>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color w:val="auto"/>
                <w:sz w:val="24"/>
                <w:szCs w:val="24"/>
              </w:rPr>
            </w:pPr>
            <w:r>
              <w:rPr>
                <w:color w:val="auto"/>
                <w:sz w:val="24"/>
                <w:szCs w:val="24"/>
              </w:rPr>
              <w:t>③固体废物防护措施不足，导致废液或雨水混入，污染地下水、土壤环</w:t>
            </w:r>
            <w:r>
              <w:rPr>
                <w:color w:val="auto"/>
                <w:spacing w:val="-6"/>
                <w:sz w:val="24"/>
                <w:szCs w:val="24"/>
              </w:rPr>
              <w:t>境；</w:t>
            </w:r>
          </w:p>
          <w:p w14:paraId="2DA28707">
            <w:pPr>
              <w:pStyle w:val="76"/>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color w:val="auto"/>
                <w:sz w:val="24"/>
                <w:szCs w:val="24"/>
              </w:rPr>
            </w:pPr>
            <w:r>
              <w:rPr>
                <w:color w:val="auto"/>
                <w:spacing w:val="-1"/>
                <w:sz w:val="24"/>
                <w:szCs w:val="24"/>
              </w:rPr>
              <w:t>⑤管理不完善，操作不规范导致物料泄漏。</w:t>
            </w:r>
          </w:p>
          <w:p w14:paraId="4EB49AE8">
            <w:pPr>
              <w:pStyle w:val="76"/>
              <w:keepNext w:val="0"/>
              <w:keepLines w:val="0"/>
              <w:pageBreakBefore w:val="0"/>
              <w:widowControl w:val="0"/>
              <w:kinsoku/>
              <w:wordWrap/>
              <w:overflowPunct/>
              <w:topLinePunct w:val="0"/>
              <w:autoSpaceDE/>
              <w:autoSpaceDN/>
              <w:bidi w:val="0"/>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5.2</w:t>
            </w:r>
            <w:r>
              <w:rPr>
                <w:b/>
                <w:bCs/>
                <w:color w:val="auto"/>
                <w:spacing w:val="-2"/>
                <w:sz w:val="24"/>
                <w:szCs w:val="24"/>
              </w:rPr>
              <w:t>分区防渗控制要求</w:t>
            </w:r>
          </w:p>
          <w:p w14:paraId="3E41FB9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根据项目特点，厂区进行分区并对不同分区采取相应的防渗措施。</w:t>
            </w:r>
          </w:p>
          <w:p w14:paraId="768BBFB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1</w:t>
            </w:r>
            <w:r>
              <w:rPr>
                <w:color w:val="auto"/>
                <w:spacing w:val="-3"/>
                <w:position w:val="2"/>
                <w:sz w:val="24"/>
                <w:szCs w:val="24"/>
              </w:rPr>
              <w:t>）防渗分区</w:t>
            </w:r>
          </w:p>
          <w:p w14:paraId="3CA1AAE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根据装置、单元的特点和所处的区域及部位，本项目拟将建设厂区划分</w:t>
            </w:r>
            <w:r>
              <w:rPr>
                <w:color w:val="auto"/>
                <w:spacing w:val="-1"/>
                <w:sz w:val="24"/>
                <w:szCs w:val="24"/>
              </w:rPr>
              <w:t>为一般污染防渗区、简单污染防渗区。</w:t>
            </w:r>
          </w:p>
          <w:p w14:paraId="3DD7C243">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简单污染防渗区：办公室生活区。</w:t>
            </w:r>
          </w:p>
          <w:p w14:paraId="62DF953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一般污染防渗区：除简单防渗以外区域。</w:t>
            </w:r>
          </w:p>
          <w:p w14:paraId="62B04D0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2</w:t>
            </w:r>
            <w:r>
              <w:rPr>
                <w:color w:val="auto"/>
                <w:spacing w:val="-3"/>
                <w:position w:val="2"/>
                <w:sz w:val="24"/>
                <w:szCs w:val="24"/>
              </w:rPr>
              <w:t>）分区防渗处理</w:t>
            </w:r>
          </w:p>
          <w:p w14:paraId="6D877348">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color w:val="auto"/>
                <w:sz w:val="24"/>
                <w:szCs w:val="24"/>
              </w:rPr>
            </w:pPr>
            <w:r>
              <w:rPr>
                <w:color w:val="auto"/>
                <w:spacing w:val="-5"/>
                <w:sz w:val="24"/>
                <w:szCs w:val="24"/>
              </w:rPr>
              <w:t>一般防渗区：采用</w:t>
            </w:r>
            <w:r>
              <w:rPr>
                <w:rFonts w:ascii="Times New Roman" w:hAnsi="Times New Roman" w:eastAsia="Times New Roman" w:cs="Times New Roman"/>
                <w:color w:val="auto"/>
                <w:spacing w:val="-5"/>
                <w:sz w:val="24"/>
                <w:szCs w:val="24"/>
              </w:rPr>
              <w:t>100mm</w:t>
            </w:r>
            <w:r>
              <w:rPr>
                <w:color w:val="auto"/>
                <w:spacing w:val="-5"/>
                <w:sz w:val="24"/>
                <w:szCs w:val="24"/>
              </w:rPr>
              <w:t>厚的混凝土进行防渗处理。要求防渗技术要求</w:t>
            </w:r>
            <w:r>
              <w:rPr>
                <w:color w:val="auto"/>
                <w:spacing w:val="-2"/>
                <w:sz w:val="24"/>
                <w:szCs w:val="24"/>
              </w:rPr>
              <w:t>为：等效黏土防渗层</w:t>
            </w:r>
            <w:r>
              <w:rPr>
                <w:rFonts w:ascii="Times New Roman" w:hAnsi="Times New Roman" w:eastAsia="Times New Roman" w:cs="Times New Roman"/>
                <w:color w:val="auto"/>
                <w:spacing w:val="-2"/>
                <w:sz w:val="24"/>
                <w:szCs w:val="24"/>
              </w:rPr>
              <w:t>Mb≥1.5m</w:t>
            </w:r>
            <w:r>
              <w:rPr>
                <w:color w:val="auto"/>
                <w:spacing w:val="-2"/>
                <w:sz w:val="24"/>
                <w:szCs w:val="24"/>
              </w:rPr>
              <w:t>，</w:t>
            </w:r>
            <w:r>
              <w:rPr>
                <w:rFonts w:ascii="Times New Roman" w:hAnsi="Times New Roman" w:eastAsia="Times New Roman" w:cs="Times New Roman"/>
                <w:color w:val="auto"/>
                <w:spacing w:val="-2"/>
                <w:sz w:val="24"/>
                <w:szCs w:val="24"/>
              </w:rPr>
              <w:t>K≤1×10</w:t>
            </w:r>
            <w:r>
              <w:rPr>
                <w:rFonts w:hint="eastAsia" w:ascii="Times New Roman" w:hAnsi="Times New Roman" w:eastAsia="宋体" w:cs="Times New Roman"/>
                <w:color w:val="auto"/>
                <w:spacing w:val="-2"/>
                <w:sz w:val="24"/>
                <w:szCs w:val="24"/>
                <w:vertAlign w:val="superscript"/>
                <w:lang w:val="en-US" w:eastAsia="zh-CN"/>
              </w:rPr>
              <w:t>-7</w:t>
            </w:r>
            <w:r>
              <w:rPr>
                <w:rFonts w:ascii="Times New Roman" w:hAnsi="Times New Roman" w:eastAsia="Times New Roman" w:cs="Times New Roman"/>
                <w:color w:val="auto"/>
                <w:spacing w:val="-2"/>
                <w:sz w:val="24"/>
                <w:szCs w:val="24"/>
              </w:rPr>
              <w:t>cm/s</w:t>
            </w:r>
            <w:r>
              <w:rPr>
                <w:color w:val="auto"/>
                <w:spacing w:val="-2"/>
                <w:sz w:val="24"/>
                <w:szCs w:val="24"/>
              </w:rPr>
              <w:t>；或参照</w:t>
            </w:r>
            <w:r>
              <w:rPr>
                <w:rFonts w:ascii="Times New Roman" w:hAnsi="Times New Roman" w:eastAsia="Times New Roman" w:cs="Times New Roman"/>
                <w:color w:val="auto"/>
                <w:spacing w:val="-2"/>
                <w:sz w:val="24"/>
                <w:szCs w:val="24"/>
              </w:rPr>
              <w:t>GB16889</w:t>
            </w:r>
            <w:r>
              <w:rPr>
                <w:color w:val="auto"/>
                <w:spacing w:val="-2"/>
                <w:sz w:val="24"/>
                <w:szCs w:val="24"/>
              </w:rPr>
              <w:t>执行。</w:t>
            </w:r>
          </w:p>
          <w:p w14:paraId="034E5A06">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5.3</w:t>
            </w:r>
            <w:r>
              <w:rPr>
                <w:b/>
                <w:bCs/>
                <w:color w:val="auto"/>
                <w:spacing w:val="-2"/>
                <w:sz w:val="24"/>
                <w:szCs w:val="24"/>
              </w:rPr>
              <w:t>环境影响分析</w:t>
            </w:r>
          </w:p>
          <w:p w14:paraId="475AC92C">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color w:val="auto"/>
                <w:sz w:val="24"/>
                <w:szCs w:val="24"/>
              </w:rPr>
            </w:pPr>
            <w:r>
              <w:rPr>
                <w:b w:val="0"/>
                <w:bCs/>
                <w:color w:val="auto"/>
                <w:sz w:val="24"/>
                <w:szCs w:val="24"/>
              </w:rPr>
              <w:t>根据项目特点，厂区进行分区并对不同分区采取相应的防渗措施。项目</w:t>
            </w:r>
            <w:r>
              <w:rPr>
                <w:color w:val="auto"/>
                <w:sz w:val="24"/>
                <w:szCs w:val="24"/>
              </w:rPr>
              <w:t>对可能产生地下水、土壤影响的各项途径均进行有效预防，各项防渗措施可以有效地防止对区域地下水、土壤造成污染。综上所述，项目不会对项目区</w:t>
            </w:r>
            <w:r>
              <w:rPr>
                <w:color w:val="auto"/>
                <w:spacing w:val="-1"/>
                <w:sz w:val="24"/>
                <w:szCs w:val="24"/>
              </w:rPr>
              <w:t>地下水、土壤环境造成污染影响。</w:t>
            </w:r>
          </w:p>
          <w:p w14:paraId="59FA7B70">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5.4</w:t>
            </w:r>
            <w:r>
              <w:rPr>
                <w:b/>
                <w:bCs/>
                <w:color w:val="auto"/>
                <w:spacing w:val="-2"/>
                <w:sz w:val="24"/>
                <w:szCs w:val="24"/>
              </w:rPr>
              <w:t>跟踪监测</w:t>
            </w:r>
          </w:p>
          <w:p w14:paraId="1A54E97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color w:val="auto"/>
                <w:sz w:val="24"/>
                <w:szCs w:val="24"/>
              </w:rPr>
            </w:pPr>
            <w:r>
              <w:rPr>
                <w:color w:val="auto"/>
                <w:sz w:val="24"/>
                <w:szCs w:val="24"/>
              </w:rPr>
              <w:t>本项目在采取完善的防渗、防风、防雨雪、防晒措施后，可有效阻止污染物下渗，对地下水及土壤环境影响程度较小，因此本次环评不设地下水跟</w:t>
            </w:r>
            <w:r>
              <w:rPr>
                <w:color w:val="auto"/>
                <w:spacing w:val="-3"/>
                <w:sz w:val="24"/>
                <w:szCs w:val="24"/>
              </w:rPr>
              <w:t>踪监测点</w:t>
            </w:r>
          </w:p>
          <w:p w14:paraId="4FCE3C86">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6"/>
                <w:sz w:val="24"/>
                <w:szCs w:val="24"/>
              </w:rPr>
              <w:t>6</w:t>
            </w:r>
            <w:r>
              <w:rPr>
                <w:b/>
                <w:bCs/>
                <w:color w:val="auto"/>
                <w:spacing w:val="-6"/>
                <w:sz w:val="24"/>
                <w:szCs w:val="24"/>
              </w:rPr>
              <w:t>、生态环境影响分析</w:t>
            </w:r>
          </w:p>
          <w:p w14:paraId="2A9FCBB5">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6.1</w:t>
            </w:r>
            <w:r>
              <w:rPr>
                <w:b/>
                <w:bCs/>
                <w:color w:val="auto"/>
                <w:spacing w:val="-2"/>
                <w:sz w:val="24"/>
                <w:szCs w:val="24"/>
              </w:rPr>
              <w:t>对土地利用影响分析</w:t>
            </w:r>
          </w:p>
          <w:p w14:paraId="545D6B40">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本项目属于园区工业用地，选址符合园区规划。同时本项目建成后将进</w:t>
            </w:r>
            <w:r>
              <w:rPr>
                <w:color w:val="auto"/>
                <w:spacing w:val="-1"/>
                <w:sz w:val="24"/>
                <w:szCs w:val="24"/>
              </w:rPr>
              <w:t>行相应的绿化和地面硬化措施，因此不会导致生态环境质量的降低。</w:t>
            </w:r>
          </w:p>
          <w:p w14:paraId="5BA4F2AD">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6.2</w:t>
            </w:r>
            <w:r>
              <w:rPr>
                <w:b/>
                <w:bCs/>
                <w:color w:val="auto"/>
                <w:spacing w:val="-2"/>
                <w:sz w:val="24"/>
                <w:szCs w:val="24"/>
              </w:rPr>
              <w:t>对植物资源的影响分析</w:t>
            </w:r>
          </w:p>
          <w:p w14:paraId="2DBB075C">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项目投入运营后，将会加强厂区及其周围的绿化和植被工作，生产过程</w:t>
            </w:r>
            <w:r>
              <w:rPr>
                <w:color w:val="auto"/>
                <w:spacing w:val="-5"/>
                <w:sz w:val="24"/>
                <w:szCs w:val="24"/>
              </w:rPr>
              <w:t>中不存在破化植被的工业活动。因此，运营期不会对植物资源产生不利影响。</w:t>
            </w:r>
          </w:p>
          <w:p w14:paraId="31C2F03A">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6.3</w:t>
            </w:r>
            <w:r>
              <w:rPr>
                <w:b/>
                <w:bCs/>
                <w:color w:val="auto"/>
                <w:spacing w:val="-2"/>
                <w:sz w:val="24"/>
                <w:szCs w:val="24"/>
              </w:rPr>
              <w:t>对动物资源的影响分析</w:t>
            </w:r>
          </w:p>
          <w:p w14:paraId="634910FC">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color w:val="auto"/>
                <w:sz w:val="24"/>
                <w:szCs w:val="24"/>
              </w:rPr>
            </w:pPr>
            <w:r>
              <w:rPr>
                <w:color w:val="auto"/>
                <w:sz w:val="24"/>
                <w:szCs w:val="24"/>
              </w:rPr>
              <w:t>对于大多数野生动物来说，最大的威胁来自其生境被分割、缩小、破坏和退化。由于本项目位于工业园区，为规划工业用地，厂址附近野生动物结构简单，主要是啮齿类动物。在本项目建设完成后，厂区的正常生产不会对野生动物的栖息地和生境再产生干扰和影响，因此，在运营期对野生动物的</w:t>
            </w:r>
            <w:r>
              <w:rPr>
                <w:color w:val="auto"/>
                <w:spacing w:val="-2"/>
                <w:sz w:val="24"/>
                <w:szCs w:val="24"/>
              </w:rPr>
              <w:t>影响很小。</w:t>
            </w:r>
          </w:p>
          <w:p w14:paraId="60392970">
            <w:pPr>
              <w:pStyle w:val="76"/>
              <w:spacing w:before="1" w:line="221" w:lineRule="auto"/>
              <w:ind w:left="589"/>
              <w:rPr>
                <w:color w:val="auto"/>
                <w:sz w:val="24"/>
                <w:szCs w:val="24"/>
              </w:rPr>
            </w:pPr>
            <w:r>
              <w:rPr>
                <w:rFonts w:ascii="Times New Roman" w:hAnsi="Times New Roman" w:eastAsia="Times New Roman" w:cs="Times New Roman"/>
                <w:b/>
                <w:bCs/>
                <w:color w:val="auto"/>
                <w:spacing w:val="-6"/>
                <w:sz w:val="24"/>
                <w:szCs w:val="24"/>
              </w:rPr>
              <w:t>6.4</w:t>
            </w:r>
            <w:r>
              <w:rPr>
                <w:b/>
                <w:bCs/>
                <w:color w:val="auto"/>
                <w:spacing w:val="-6"/>
                <w:sz w:val="24"/>
                <w:szCs w:val="24"/>
              </w:rPr>
              <w:t>小结</w:t>
            </w:r>
          </w:p>
          <w:p w14:paraId="2B37FBC0">
            <w:pPr>
              <w:pStyle w:val="9"/>
              <w:ind w:firstLine="480" w:firstLineChars="200"/>
              <w:rPr>
                <w:b w:val="0"/>
                <w:bCs/>
                <w:color w:val="auto"/>
              </w:rPr>
            </w:pPr>
            <w:r>
              <w:rPr>
                <w:b w:val="0"/>
                <w:bCs/>
                <w:color w:val="auto"/>
                <w:sz w:val="24"/>
                <w:szCs w:val="24"/>
              </w:rPr>
              <w:t>本项目位于园区工业用地用地，未改变评价区域土地利用类型，同时项目厂区在建设完成后会进行相应的绿化和地面硬化措施，故本项目建设不会导致生态环境质量的降低；在建设期和运营期作业常被破坏或影响的植物均为广布种和常见种，且分布也较均匀，因此，尽管项目建设会使原有植被遭到局部损失，但不会使评价区植物群落的种类组成发生变化，也不会造成某种植物的消失。项目投入运营后，将加强厂区及其周围的绿化和植被的恢复及补偿工作，项目在生产过程中不存在破化植被的工业活动，运营期不会对植物资源产生不利影响；评价区现有的野生动物多为一些常见的鸟类、啮齿类及昆虫等。通过加强施工人员的宣传教育和管理，可减少在建设初期对野生动物的影响，对生态环境的影响有限。</w:t>
            </w:r>
          </w:p>
          <w:p w14:paraId="3A67B5AA">
            <w:pPr>
              <w:pStyle w:val="76"/>
              <w:spacing w:before="1" w:line="220" w:lineRule="auto"/>
              <w:rPr>
                <w:color w:val="auto"/>
                <w:sz w:val="24"/>
                <w:szCs w:val="24"/>
              </w:rPr>
            </w:pPr>
            <w:r>
              <w:rPr>
                <w:rFonts w:ascii="Times New Roman" w:hAnsi="Times New Roman" w:eastAsia="Times New Roman" w:cs="Times New Roman"/>
                <w:b/>
                <w:bCs/>
                <w:color w:val="auto"/>
                <w:spacing w:val="-6"/>
                <w:sz w:val="24"/>
                <w:szCs w:val="24"/>
              </w:rPr>
              <w:t>7</w:t>
            </w:r>
            <w:r>
              <w:rPr>
                <w:b/>
                <w:bCs/>
                <w:color w:val="auto"/>
                <w:spacing w:val="-6"/>
                <w:sz w:val="24"/>
                <w:szCs w:val="24"/>
              </w:rPr>
              <w:t>、环境风险分析</w:t>
            </w:r>
          </w:p>
          <w:p w14:paraId="6FA64B9A">
            <w:pPr>
              <w:pStyle w:val="76"/>
              <w:spacing w:before="217" w:line="219" w:lineRule="auto"/>
              <w:rPr>
                <w:color w:val="auto"/>
                <w:sz w:val="24"/>
                <w:szCs w:val="24"/>
              </w:rPr>
            </w:pPr>
            <w:r>
              <w:rPr>
                <w:rFonts w:ascii="Times New Roman" w:hAnsi="Times New Roman" w:eastAsia="Times New Roman" w:cs="Times New Roman"/>
                <w:b/>
                <w:bCs/>
                <w:color w:val="auto"/>
                <w:spacing w:val="-2"/>
                <w:sz w:val="24"/>
                <w:szCs w:val="24"/>
              </w:rPr>
              <w:t>7.1</w:t>
            </w:r>
            <w:r>
              <w:rPr>
                <w:b/>
                <w:bCs/>
                <w:color w:val="auto"/>
                <w:spacing w:val="-2"/>
                <w:sz w:val="24"/>
                <w:szCs w:val="24"/>
              </w:rPr>
              <w:t>危险物质数量及分布情况</w:t>
            </w:r>
          </w:p>
          <w:p w14:paraId="7B33933B">
            <w:pPr>
              <w:pStyle w:val="76"/>
              <w:spacing w:before="158" w:line="344" w:lineRule="auto"/>
              <w:ind w:left="104" w:right="101" w:firstLine="485"/>
              <w:jc w:val="both"/>
              <w:rPr>
                <w:color w:val="auto"/>
                <w:spacing w:val="-1"/>
                <w:sz w:val="24"/>
                <w:szCs w:val="24"/>
              </w:rPr>
            </w:pPr>
            <w:r>
              <w:rPr>
                <w:color w:val="auto"/>
                <w:spacing w:val="1"/>
                <w:sz w:val="24"/>
                <w:szCs w:val="24"/>
              </w:rPr>
              <w:t>根据《建设项目环境风险评价技术导则》（</w:t>
            </w:r>
            <w:r>
              <w:rPr>
                <w:rFonts w:ascii="Times New Roman" w:hAnsi="Times New Roman" w:eastAsia="Times New Roman" w:cs="Times New Roman"/>
                <w:color w:val="auto"/>
                <w:sz w:val="24"/>
                <w:szCs w:val="24"/>
              </w:rPr>
              <w:t>HJ</w:t>
            </w:r>
            <w:r>
              <w:rPr>
                <w:rFonts w:ascii="Times New Roman" w:hAnsi="Times New Roman" w:eastAsia="Times New Roman" w:cs="Times New Roman"/>
                <w:color w:val="auto"/>
                <w:spacing w:val="1"/>
                <w:sz w:val="24"/>
                <w:szCs w:val="24"/>
              </w:rPr>
              <w:t>/T169-</w:t>
            </w:r>
            <w:r>
              <w:rPr>
                <w:rFonts w:ascii="Times New Roman" w:hAnsi="Times New Roman" w:eastAsia="Times New Roman" w:cs="Times New Roman"/>
                <w:color w:val="auto"/>
                <w:sz w:val="24"/>
                <w:szCs w:val="24"/>
              </w:rPr>
              <w:t>2018</w:t>
            </w:r>
            <w:r>
              <w:rPr>
                <w:color w:val="auto"/>
                <w:sz w:val="24"/>
                <w:szCs w:val="24"/>
              </w:rPr>
              <w:t>）附录中附录</w:t>
            </w:r>
            <w:r>
              <w:rPr>
                <w:rFonts w:ascii="Times New Roman" w:hAnsi="Times New Roman" w:eastAsia="Times New Roman" w:cs="Times New Roman"/>
                <w:color w:val="auto"/>
                <w:spacing w:val="-1"/>
                <w:sz w:val="24"/>
                <w:szCs w:val="24"/>
              </w:rPr>
              <w:t>B</w:t>
            </w:r>
            <w:r>
              <w:rPr>
                <w:color w:val="auto"/>
                <w:spacing w:val="-1"/>
                <w:sz w:val="24"/>
                <w:szCs w:val="24"/>
              </w:rPr>
              <w:t>及《重大危险源辨识》（</w:t>
            </w:r>
            <w:r>
              <w:rPr>
                <w:rFonts w:ascii="Times New Roman" w:hAnsi="Times New Roman" w:eastAsia="Times New Roman" w:cs="Times New Roman"/>
                <w:color w:val="auto"/>
                <w:spacing w:val="-1"/>
                <w:sz w:val="24"/>
                <w:szCs w:val="24"/>
              </w:rPr>
              <w:t>GB18218-2018</w:t>
            </w:r>
            <w:r>
              <w:rPr>
                <w:color w:val="auto"/>
                <w:spacing w:val="11"/>
                <w:sz w:val="24"/>
                <w:szCs w:val="24"/>
              </w:rPr>
              <w:t>），</w:t>
            </w:r>
            <w:r>
              <w:rPr>
                <w:color w:val="auto"/>
                <w:spacing w:val="-1"/>
                <w:sz w:val="24"/>
                <w:szCs w:val="24"/>
              </w:rPr>
              <w:t>本项目涉及的主要风险物质为</w:t>
            </w:r>
            <w:r>
              <w:rPr>
                <w:color w:val="auto"/>
                <w:spacing w:val="1"/>
                <w:sz w:val="24"/>
                <w:szCs w:val="24"/>
              </w:rPr>
              <w:t>甲烷，</w:t>
            </w:r>
            <w:r>
              <w:rPr>
                <w:color w:val="auto"/>
                <w:sz w:val="24"/>
                <w:szCs w:val="24"/>
              </w:rPr>
              <w:t>本次评级按甲烷计。因</w:t>
            </w:r>
            <w:r>
              <w:rPr>
                <w:color w:val="auto"/>
                <w:spacing w:val="-1"/>
                <w:sz w:val="24"/>
                <w:szCs w:val="24"/>
              </w:rPr>
              <w:t>此本次报告对厂区贮存的甲烷进行分风险识别。</w:t>
            </w:r>
          </w:p>
          <w:p w14:paraId="49D4B5DA">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eastAsia="宋体"/>
                <w:color w:val="auto"/>
                <w:spacing w:val="-1"/>
                <w:sz w:val="24"/>
                <w:szCs w:val="24"/>
                <w:vertAlign w:val="baseline"/>
                <w:lang w:val="en-US" w:eastAsia="zh-CN"/>
              </w:rPr>
            </w:pPr>
            <w:r>
              <w:rPr>
                <w:rFonts w:hint="eastAsia"/>
                <w:color w:val="auto"/>
                <w:spacing w:val="-1"/>
                <w:sz w:val="24"/>
                <w:szCs w:val="24"/>
                <w:lang w:val="en-US" w:eastAsia="zh-CN"/>
              </w:rPr>
              <w:t>本项</w:t>
            </w:r>
            <w:r>
              <w:rPr>
                <w:rFonts w:hint="eastAsia" w:ascii="Times New Roman" w:hAnsi="Times New Roman" w:eastAsia="Times New Roman" w:cs="Times New Roman"/>
                <w:color w:val="auto"/>
                <w:spacing w:val="-1"/>
                <w:sz w:val="24"/>
                <w:szCs w:val="24"/>
                <w:lang w:val="en-US" w:eastAsia="zh-CN"/>
              </w:rPr>
              <w:t>目甲烷厂区存量为320~480m</w:t>
            </w:r>
            <w:r>
              <w:rPr>
                <w:rFonts w:hint="eastAsia" w:ascii="Times New Roman" w:hAnsi="Times New Roman" w:eastAsia="Times New Roman" w:cs="Times New Roman"/>
                <w:color w:val="auto"/>
                <w:spacing w:val="-1"/>
                <w:sz w:val="24"/>
                <w:szCs w:val="24"/>
                <w:vertAlign w:val="superscript"/>
                <w:lang w:val="en-US" w:eastAsia="zh-CN"/>
              </w:rPr>
              <w:t>3</w:t>
            </w:r>
            <w:r>
              <w:rPr>
                <w:rFonts w:hint="eastAsia" w:ascii="Times New Roman" w:hAnsi="Times New Roman" w:eastAsia="Times New Roman" w:cs="Times New Roman"/>
                <w:color w:val="auto"/>
                <w:spacing w:val="-1"/>
                <w:sz w:val="24"/>
                <w:szCs w:val="24"/>
                <w:vertAlign w:val="baseline"/>
                <w:lang w:val="en-US" w:eastAsia="zh-CN"/>
              </w:rPr>
              <w:t>，按</w:t>
            </w:r>
            <w:r>
              <w:rPr>
                <w:rFonts w:hint="eastAsia" w:ascii="Times New Roman" w:hAnsi="Times New Roman" w:eastAsia="Times New Roman" w:cs="Times New Roman"/>
                <w:color w:val="auto"/>
                <w:spacing w:val="-1"/>
                <w:sz w:val="24"/>
                <w:szCs w:val="24"/>
                <w:lang w:val="en-US" w:eastAsia="zh-CN"/>
              </w:rPr>
              <w:t>480m</w:t>
            </w:r>
            <w:r>
              <w:rPr>
                <w:rFonts w:hint="eastAsia" w:ascii="Times New Roman" w:hAnsi="Times New Roman" w:eastAsia="Times New Roman" w:cs="Times New Roman"/>
                <w:color w:val="auto"/>
                <w:spacing w:val="-1"/>
                <w:sz w:val="24"/>
                <w:szCs w:val="24"/>
                <w:vertAlign w:val="superscript"/>
                <w:lang w:val="en-US" w:eastAsia="zh-CN"/>
              </w:rPr>
              <w:t>3</w:t>
            </w:r>
            <w:r>
              <w:rPr>
                <w:rFonts w:hint="eastAsia" w:ascii="Times New Roman" w:hAnsi="Times New Roman" w:eastAsia="Times New Roman" w:cs="Times New Roman"/>
                <w:color w:val="auto"/>
                <w:spacing w:val="-1"/>
                <w:sz w:val="24"/>
                <w:szCs w:val="24"/>
                <w:vertAlign w:val="baseline"/>
                <w:lang w:val="en-US" w:eastAsia="zh-CN"/>
              </w:rPr>
              <w:t>计算得0.682t。</w:t>
            </w:r>
          </w:p>
          <w:p w14:paraId="0579D421">
            <w:pPr>
              <w:pStyle w:val="76"/>
              <w:spacing w:line="220" w:lineRule="auto"/>
              <w:ind w:left="1390"/>
              <w:rPr>
                <w:b/>
                <w:bCs/>
                <w:color w:val="auto"/>
                <w:spacing w:val="-2"/>
                <w:sz w:val="24"/>
                <w:szCs w:val="24"/>
                <w:highlight w:val="none"/>
              </w:rPr>
            </w:pPr>
            <w:r>
              <w:rPr>
                <w:b/>
                <w:bCs/>
                <w:color w:val="auto"/>
                <w:spacing w:val="-2"/>
                <w:sz w:val="24"/>
                <w:szCs w:val="24"/>
                <w:highlight w:val="none"/>
              </w:rPr>
              <w:t>表</w:t>
            </w:r>
            <w:r>
              <w:rPr>
                <w:rFonts w:ascii="Times New Roman" w:hAnsi="Times New Roman" w:eastAsia="Times New Roman" w:cs="Times New Roman"/>
                <w:b/>
                <w:bCs/>
                <w:color w:val="auto"/>
                <w:spacing w:val="-2"/>
                <w:sz w:val="24"/>
                <w:szCs w:val="24"/>
                <w:highlight w:val="none"/>
              </w:rPr>
              <w:t>4-</w:t>
            </w:r>
            <w:r>
              <w:rPr>
                <w:rFonts w:hint="eastAsia" w:ascii="Times New Roman" w:hAnsi="Times New Roman" w:eastAsia="宋体" w:cs="Times New Roman"/>
                <w:b/>
                <w:bCs/>
                <w:color w:val="auto"/>
                <w:spacing w:val="-2"/>
                <w:sz w:val="24"/>
                <w:szCs w:val="24"/>
                <w:highlight w:val="none"/>
                <w:lang w:val="en-US" w:eastAsia="zh-CN"/>
              </w:rPr>
              <w:t>11</w:t>
            </w:r>
            <w:r>
              <w:rPr>
                <w:b/>
                <w:bCs/>
                <w:color w:val="auto"/>
                <w:spacing w:val="-2"/>
                <w:sz w:val="24"/>
                <w:szCs w:val="24"/>
                <w:highlight w:val="none"/>
              </w:rPr>
              <w:t>项目危险源辨识与环境风险潜势划分一览表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1394"/>
              <w:gridCol w:w="1256"/>
              <w:gridCol w:w="1905"/>
              <w:gridCol w:w="1294"/>
              <w:gridCol w:w="1291"/>
            </w:tblGrid>
            <w:tr w14:paraId="7B3C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shd w:val="clear" w:color="auto" w:fill="auto"/>
                  <w:vAlign w:val="center"/>
                </w:tcPr>
                <w:p w14:paraId="44040BC8">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宋体" w:hAnsi="宋体" w:eastAsia="宋体" w:cs="宋体"/>
                      <w:snapToGrid w:val="0"/>
                      <w:color w:val="auto"/>
                      <w:kern w:val="0"/>
                      <w:sz w:val="20"/>
                      <w:szCs w:val="20"/>
                      <w:lang w:val="en-US" w:eastAsia="en-US" w:bidi="ar-SA"/>
                    </w:rPr>
                  </w:pPr>
                  <w:r>
                    <w:rPr>
                      <w:color w:val="auto"/>
                      <w:spacing w:val="5"/>
                    </w:rPr>
                    <w:t>序号</w:t>
                  </w:r>
                </w:p>
              </w:tc>
              <w:tc>
                <w:tcPr>
                  <w:tcW w:w="899" w:type="pct"/>
                  <w:shd w:val="clear" w:color="auto" w:fill="auto"/>
                  <w:vAlign w:val="center"/>
                </w:tcPr>
                <w:p w14:paraId="47FCAC8D">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宋体" w:hAnsi="宋体" w:eastAsia="宋体" w:cs="宋体"/>
                      <w:snapToGrid w:val="0"/>
                      <w:color w:val="auto"/>
                      <w:kern w:val="0"/>
                      <w:sz w:val="20"/>
                      <w:szCs w:val="20"/>
                      <w:lang w:val="en-US" w:eastAsia="en-US" w:bidi="ar-SA"/>
                    </w:rPr>
                  </w:pPr>
                  <w:r>
                    <w:rPr>
                      <w:color w:val="auto"/>
                      <w:spacing w:val="7"/>
                    </w:rPr>
                    <w:t>危险物质名称</w:t>
                  </w:r>
                </w:p>
              </w:tc>
              <w:tc>
                <w:tcPr>
                  <w:tcW w:w="810" w:type="pct"/>
                  <w:shd w:val="clear" w:color="auto" w:fill="auto"/>
                  <w:vAlign w:val="center"/>
                </w:tcPr>
                <w:p w14:paraId="664FFFC8">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宋体" w:hAnsi="宋体" w:eastAsia="宋体" w:cs="宋体"/>
                      <w:snapToGrid w:val="0"/>
                      <w:color w:val="auto"/>
                      <w:kern w:val="0"/>
                      <w:sz w:val="20"/>
                      <w:szCs w:val="20"/>
                      <w:lang w:val="en-US" w:eastAsia="en-US" w:bidi="ar-SA"/>
                    </w:rPr>
                  </w:pPr>
                  <w:r>
                    <w:rPr>
                      <w:rFonts w:ascii="Times New Roman" w:hAnsi="Times New Roman" w:eastAsia="Times New Roman" w:cs="Times New Roman"/>
                      <w:color w:val="auto"/>
                    </w:rPr>
                    <w:t>CAS</w:t>
                  </w:r>
                  <w:r>
                    <w:rPr>
                      <w:color w:val="auto"/>
                      <w:spacing w:val="9"/>
                    </w:rPr>
                    <w:t>号</w:t>
                  </w:r>
                </w:p>
              </w:tc>
              <w:tc>
                <w:tcPr>
                  <w:tcW w:w="1229" w:type="pct"/>
                  <w:shd w:val="clear" w:color="auto" w:fill="auto"/>
                  <w:vAlign w:val="center"/>
                </w:tcPr>
                <w:p w14:paraId="5C1740B5">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Times New Roman" w:hAnsi="Times New Roman" w:eastAsia="Times New Roman" w:cs="Times New Roman"/>
                      <w:snapToGrid w:val="0"/>
                      <w:color w:val="auto"/>
                      <w:kern w:val="0"/>
                      <w:sz w:val="20"/>
                      <w:szCs w:val="20"/>
                      <w:lang w:val="en-US" w:eastAsia="en-US" w:bidi="ar-SA"/>
                    </w:rPr>
                  </w:pPr>
                  <w:r>
                    <w:rPr>
                      <w:color w:val="auto"/>
                      <w:spacing w:val="7"/>
                    </w:rPr>
                    <w:t>最大存在总量</w:t>
                  </w:r>
                  <w:r>
                    <w:rPr>
                      <w:rFonts w:ascii="Times New Roman" w:hAnsi="Times New Roman" w:eastAsia="Times New Roman" w:cs="Times New Roman"/>
                      <w:color w:val="auto"/>
                    </w:rPr>
                    <w:t>Qn</w:t>
                  </w:r>
                  <w:r>
                    <w:rPr>
                      <w:rFonts w:ascii="Times New Roman" w:hAnsi="Times New Roman" w:eastAsia="Times New Roman" w:cs="Times New Roman"/>
                      <w:color w:val="auto"/>
                      <w:spacing w:val="7"/>
                    </w:rPr>
                    <w:t>/t</w:t>
                  </w:r>
                </w:p>
              </w:tc>
              <w:tc>
                <w:tcPr>
                  <w:tcW w:w="834" w:type="pct"/>
                  <w:shd w:val="clear" w:color="auto" w:fill="auto"/>
                  <w:vAlign w:val="center"/>
                </w:tcPr>
                <w:p w14:paraId="76B4078F">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Times New Roman" w:hAnsi="Times New Roman" w:eastAsia="Times New Roman" w:cs="Times New Roman"/>
                      <w:snapToGrid w:val="0"/>
                      <w:color w:val="auto"/>
                      <w:kern w:val="0"/>
                      <w:sz w:val="20"/>
                      <w:szCs w:val="20"/>
                      <w:lang w:val="en-US" w:eastAsia="en-US" w:bidi="ar-SA"/>
                    </w:rPr>
                  </w:pPr>
                  <w:r>
                    <w:rPr>
                      <w:color w:val="auto"/>
                      <w:spacing w:val="3"/>
                    </w:rPr>
                    <w:t>临界量</w:t>
                  </w:r>
                  <w:r>
                    <w:rPr>
                      <w:rFonts w:ascii="Times New Roman" w:hAnsi="Times New Roman" w:eastAsia="Times New Roman" w:cs="Times New Roman"/>
                      <w:color w:val="auto"/>
                    </w:rPr>
                    <w:t>Qn</w:t>
                  </w:r>
                  <w:r>
                    <w:rPr>
                      <w:rFonts w:ascii="Times New Roman" w:hAnsi="Times New Roman" w:eastAsia="Times New Roman" w:cs="Times New Roman"/>
                      <w:color w:val="auto"/>
                      <w:spacing w:val="3"/>
                    </w:rPr>
                    <w:t>/t</w:t>
                  </w:r>
                </w:p>
              </w:tc>
              <w:tc>
                <w:tcPr>
                  <w:tcW w:w="833" w:type="pct"/>
                  <w:shd w:val="clear" w:color="auto" w:fill="auto"/>
                  <w:vAlign w:val="center"/>
                </w:tcPr>
                <w:p w14:paraId="6711823B">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宋体" w:hAnsi="宋体" w:eastAsia="宋体" w:cs="宋体"/>
                      <w:snapToGrid w:val="0"/>
                      <w:color w:val="auto"/>
                      <w:kern w:val="0"/>
                      <w:sz w:val="20"/>
                      <w:szCs w:val="20"/>
                      <w:lang w:val="en-US" w:eastAsia="en-US" w:bidi="ar-SA"/>
                    </w:rPr>
                  </w:pPr>
                  <w:r>
                    <w:rPr>
                      <w:color w:val="auto"/>
                      <w:spacing w:val="13"/>
                    </w:rPr>
                    <w:t>该种危险物质</w:t>
                  </w:r>
                  <w:r>
                    <w:rPr>
                      <w:rFonts w:ascii="Times New Roman" w:hAnsi="Times New Roman" w:eastAsia="Times New Roman" w:cs="Times New Roman"/>
                      <w:color w:val="auto"/>
                      <w:spacing w:val="13"/>
                    </w:rPr>
                    <w:t>Q</w:t>
                  </w:r>
                  <w:r>
                    <w:rPr>
                      <w:color w:val="auto"/>
                      <w:spacing w:val="13"/>
                    </w:rPr>
                    <w:t>值</w:t>
                  </w:r>
                </w:p>
              </w:tc>
            </w:tr>
            <w:tr w14:paraId="0C07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 w:type="pct"/>
                  <w:shd w:val="clear" w:color="auto" w:fill="auto"/>
                  <w:vAlign w:val="center"/>
                </w:tcPr>
                <w:p w14:paraId="37E3204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Times New Roman" w:hAnsi="Times New Roman" w:eastAsia="Times New Roman" w:cs="Times New Roman"/>
                      <w:snapToGrid w:val="0"/>
                      <w:color w:val="auto"/>
                      <w:kern w:val="0"/>
                      <w:sz w:val="20"/>
                      <w:szCs w:val="20"/>
                      <w:lang w:val="en-US" w:eastAsia="en-US" w:bidi="ar-SA"/>
                    </w:rPr>
                  </w:pPr>
                  <w:r>
                    <w:rPr>
                      <w:rFonts w:ascii="Times New Roman" w:hAnsi="Times New Roman" w:eastAsia="Times New Roman" w:cs="Times New Roman"/>
                      <w:color w:val="auto"/>
                      <w:position w:val="1"/>
                      <w:sz w:val="20"/>
                      <w:szCs w:val="20"/>
                    </w:rPr>
                    <w:t>1</w:t>
                  </w:r>
                </w:p>
              </w:tc>
              <w:tc>
                <w:tcPr>
                  <w:tcW w:w="899" w:type="pct"/>
                  <w:shd w:val="clear" w:color="auto" w:fill="auto"/>
                  <w:vAlign w:val="center"/>
                </w:tcPr>
                <w:p w14:paraId="3CD697A8">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宋体" w:hAnsi="宋体" w:eastAsia="宋体" w:cs="宋体"/>
                      <w:snapToGrid w:val="0"/>
                      <w:color w:val="auto"/>
                      <w:kern w:val="0"/>
                      <w:sz w:val="20"/>
                      <w:szCs w:val="20"/>
                      <w:lang w:val="en-US" w:eastAsia="en-US" w:bidi="ar-SA"/>
                    </w:rPr>
                  </w:pPr>
                  <w:r>
                    <w:rPr>
                      <w:color w:val="auto"/>
                      <w:spacing w:val="-9"/>
                    </w:rPr>
                    <w:t>甲烷</w:t>
                  </w:r>
                </w:p>
              </w:tc>
              <w:tc>
                <w:tcPr>
                  <w:tcW w:w="810" w:type="pct"/>
                  <w:shd w:val="clear" w:color="auto" w:fill="auto"/>
                  <w:vAlign w:val="center"/>
                </w:tcPr>
                <w:p w14:paraId="5602B0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snapToGrid w:val="0"/>
                      <w:color w:val="auto"/>
                      <w:kern w:val="0"/>
                      <w:sz w:val="20"/>
                      <w:szCs w:val="20"/>
                      <w:lang w:val="en-US" w:eastAsia="zh-CN" w:bidi="ar-SA"/>
                    </w:rPr>
                  </w:pPr>
                  <w:r>
                    <w:rPr>
                      <w:rFonts w:hint="eastAsia" w:eastAsia="宋体" w:cs="Times New Roman"/>
                      <w:color w:val="auto"/>
                      <w:spacing w:val="3"/>
                      <w:position w:val="1"/>
                      <w:sz w:val="20"/>
                      <w:szCs w:val="20"/>
                      <w:lang w:val="en-US" w:eastAsia="zh-CN"/>
                    </w:rPr>
                    <w:t>74-82-8</w:t>
                  </w:r>
                </w:p>
              </w:tc>
              <w:tc>
                <w:tcPr>
                  <w:tcW w:w="1229" w:type="pct"/>
                  <w:shd w:val="clear" w:color="auto" w:fill="auto"/>
                  <w:vAlign w:val="center"/>
                </w:tcPr>
                <w:p w14:paraId="41D6EF7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snapToGrid w:val="0"/>
                      <w:color w:val="auto"/>
                      <w:kern w:val="0"/>
                      <w:sz w:val="20"/>
                      <w:szCs w:val="20"/>
                      <w:lang w:val="en-US" w:eastAsia="zh-CN" w:bidi="ar-SA"/>
                    </w:rPr>
                  </w:pPr>
                  <w:r>
                    <w:rPr>
                      <w:rFonts w:hint="eastAsia" w:cs="Times New Roman"/>
                      <w:snapToGrid w:val="0"/>
                      <w:color w:val="auto"/>
                      <w:kern w:val="0"/>
                      <w:sz w:val="20"/>
                      <w:szCs w:val="20"/>
                      <w:lang w:val="en-US" w:eastAsia="zh-CN" w:bidi="ar-SA"/>
                    </w:rPr>
                    <w:t>0.682</w:t>
                  </w:r>
                </w:p>
              </w:tc>
              <w:tc>
                <w:tcPr>
                  <w:tcW w:w="834" w:type="pct"/>
                  <w:shd w:val="clear" w:color="auto" w:fill="auto"/>
                  <w:vAlign w:val="center"/>
                </w:tcPr>
                <w:p w14:paraId="2721D81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ascii="Times New Roman" w:hAnsi="Times New Roman" w:eastAsia="Times New Roman" w:cs="Times New Roman"/>
                      <w:snapToGrid w:val="0"/>
                      <w:color w:val="auto"/>
                      <w:kern w:val="0"/>
                      <w:sz w:val="20"/>
                      <w:szCs w:val="20"/>
                      <w:lang w:val="en-US" w:eastAsia="en-US" w:bidi="ar-SA"/>
                    </w:rPr>
                  </w:pPr>
                  <w:r>
                    <w:rPr>
                      <w:rFonts w:ascii="Times New Roman" w:hAnsi="Times New Roman" w:eastAsia="Times New Roman" w:cs="Times New Roman"/>
                      <w:color w:val="auto"/>
                      <w:spacing w:val="-8"/>
                      <w:position w:val="1"/>
                      <w:sz w:val="20"/>
                      <w:szCs w:val="20"/>
                    </w:rPr>
                    <w:t>10</w:t>
                  </w:r>
                </w:p>
              </w:tc>
              <w:tc>
                <w:tcPr>
                  <w:tcW w:w="833" w:type="pct"/>
                  <w:shd w:val="clear" w:color="auto" w:fill="auto"/>
                  <w:vAlign w:val="center"/>
                </w:tcPr>
                <w:p w14:paraId="1FA689F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snapToGrid w:val="0"/>
                      <w:color w:val="auto"/>
                      <w:kern w:val="0"/>
                      <w:sz w:val="20"/>
                      <w:szCs w:val="20"/>
                      <w:lang w:val="en-US" w:eastAsia="zh-CN" w:bidi="ar-SA"/>
                    </w:rPr>
                  </w:pPr>
                  <w:r>
                    <w:rPr>
                      <w:rFonts w:hint="eastAsia" w:eastAsia="宋体" w:cs="Times New Roman"/>
                      <w:color w:val="auto"/>
                      <w:spacing w:val="4"/>
                      <w:position w:val="1"/>
                      <w:sz w:val="20"/>
                      <w:szCs w:val="20"/>
                      <w:lang w:val="en-US" w:eastAsia="zh-CN"/>
                    </w:rPr>
                    <w:t>0.</w:t>
                  </w:r>
                  <w:r>
                    <w:rPr>
                      <w:rFonts w:hint="eastAsia" w:cs="Times New Roman"/>
                      <w:color w:val="auto"/>
                      <w:spacing w:val="4"/>
                      <w:position w:val="1"/>
                      <w:sz w:val="20"/>
                      <w:szCs w:val="20"/>
                      <w:lang w:val="en-US" w:eastAsia="zh-CN"/>
                    </w:rPr>
                    <w:t>0682</w:t>
                  </w:r>
                </w:p>
              </w:tc>
            </w:tr>
            <w:tr w14:paraId="40E2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6" w:type="pct"/>
                  <w:gridSpan w:val="5"/>
                  <w:shd w:val="clear" w:color="auto" w:fill="auto"/>
                  <w:vAlign w:val="center"/>
                </w:tcPr>
                <w:p w14:paraId="4E696DF0">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b/>
                      <w:bCs/>
                      <w:color w:val="auto"/>
                      <w:spacing w:val="-2"/>
                      <w:sz w:val="24"/>
                      <w:szCs w:val="24"/>
                      <w:vertAlign w:val="baseline"/>
                    </w:rPr>
                  </w:pPr>
                  <w:r>
                    <w:rPr>
                      <w:color w:val="auto"/>
                      <w:spacing w:val="14"/>
                      <w:position w:val="2"/>
                    </w:rPr>
                    <w:t>项值</w:t>
                  </w:r>
                  <w:r>
                    <w:rPr>
                      <w:rFonts w:ascii="Times New Roman" w:hAnsi="Times New Roman" w:eastAsia="Times New Roman" w:cs="Times New Roman"/>
                      <w:color w:val="auto"/>
                      <w:spacing w:val="14"/>
                      <w:position w:val="2"/>
                    </w:rPr>
                    <w:t>∑</w:t>
                  </w:r>
                </w:p>
              </w:tc>
              <w:tc>
                <w:tcPr>
                  <w:tcW w:w="833" w:type="pct"/>
                  <w:vAlign w:val="center"/>
                </w:tcPr>
                <w:p w14:paraId="21B34E54">
                  <w:pPr>
                    <w:pStyle w:val="76"/>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eastAsia="宋体"/>
                      <w:b/>
                      <w:bCs/>
                      <w:color w:val="auto"/>
                      <w:spacing w:val="-2"/>
                      <w:sz w:val="24"/>
                      <w:szCs w:val="24"/>
                      <w:vertAlign w:val="baseline"/>
                      <w:lang w:val="en-US" w:eastAsia="zh-CN"/>
                    </w:rPr>
                  </w:pPr>
                  <w:r>
                    <w:rPr>
                      <w:rFonts w:hint="eastAsia" w:ascii="Times New Roman" w:hAnsi="Times New Roman" w:cs="Times New Roman"/>
                      <w:color w:val="auto"/>
                      <w:spacing w:val="4"/>
                      <w:position w:val="2"/>
                      <w:sz w:val="20"/>
                      <w:szCs w:val="20"/>
                      <w:lang w:val="en-US" w:eastAsia="zh-CN"/>
                    </w:rPr>
                    <w:t>0.0682</w:t>
                  </w:r>
                </w:p>
              </w:tc>
            </w:tr>
          </w:tbl>
          <w:p w14:paraId="3F71ABA8">
            <w:pPr>
              <w:adjustRightInd w:val="0"/>
              <w:snapToGrid w:val="0"/>
              <w:spacing w:line="520" w:lineRule="exact"/>
              <w:ind w:firstLine="472" w:firstLineChars="200"/>
              <w:rPr>
                <w:b/>
                <w:bCs/>
                <w:color w:val="auto"/>
                <w:sz w:val="24"/>
                <w:highlight w:val="none"/>
              </w:rPr>
            </w:pPr>
            <w:r>
              <w:rPr>
                <w:color w:val="auto"/>
                <w:spacing w:val="-2"/>
                <w:sz w:val="24"/>
                <w:szCs w:val="24"/>
              </w:rPr>
              <w:t>本项目危险源辨识结果为</w:t>
            </w:r>
            <w:r>
              <w:rPr>
                <w:rFonts w:ascii="Times New Roman" w:hAnsi="Times New Roman" w:eastAsia="Times New Roman" w:cs="Times New Roman"/>
                <w:color w:val="auto"/>
                <w:spacing w:val="-2"/>
                <w:sz w:val="24"/>
                <w:szCs w:val="24"/>
              </w:rPr>
              <w:t>Q</w:t>
            </w:r>
            <w:r>
              <w:rPr>
                <w:color w:val="auto"/>
                <w:spacing w:val="-2"/>
                <w:sz w:val="24"/>
                <w:szCs w:val="24"/>
              </w:rPr>
              <w:t>合计</w:t>
            </w:r>
            <w:r>
              <w:rPr>
                <w:rFonts w:hint="eastAsia"/>
                <w:color w:val="auto"/>
                <w:spacing w:val="-2"/>
                <w:sz w:val="24"/>
                <w:szCs w:val="24"/>
                <w:lang w:val="en-US" w:eastAsia="zh-CN"/>
              </w:rPr>
              <w:t>=</w:t>
            </w:r>
            <w:r>
              <w:rPr>
                <w:rFonts w:hint="eastAsia" w:eastAsia="宋体" w:cs="Times New Roman"/>
                <w:color w:val="auto"/>
                <w:spacing w:val="-2"/>
                <w:sz w:val="24"/>
                <w:szCs w:val="24"/>
                <w:highlight w:val="none"/>
                <w:lang w:val="en-US" w:eastAsia="zh-CN"/>
              </w:rPr>
              <w:t>0.</w:t>
            </w:r>
            <w:r>
              <w:rPr>
                <w:rFonts w:hint="eastAsia" w:cs="Times New Roman"/>
                <w:color w:val="auto"/>
                <w:spacing w:val="-2"/>
                <w:sz w:val="24"/>
                <w:szCs w:val="24"/>
                <w:highlight w:val="none"/>
                <w:lang w:val="en-US" w:eastAsia="zh-CN"/>
              </w:rPr>
              <w:t>0682</w:t>
            </w:r>
            <w:r>
              <w:rPr>
                <w:rFonts w:ascii="Times New Roman" w:hAnsi="Times New Roman" w:eastAsia="Times New Roman" w:cs="Times New Roman"/>
                <w:color w:val="auto"/>
                <w:spacing w:val="-2"/>
                <w:sz w:val="24"/>
                <w:szCs w:val="24"/>
                <w:highlight w:val="none"/>
              </w:rPr>
              <w:t>&lt;1</w:t>
            </w:r>
            <w:r>
              <w:rPr>
                <w:color w:val="auto"/>
                <w:spacing w:val="-2"/>
                <w:sz w:val="24"/>
                <w:szCs w:val="24"/>
                <w:highlight w:val="none"/>
              </w:rPr>
              <w:t>，</w:t>
            </w:r>
            <w:r>
              <w:rPr>
                <w:color w:val="auto"/>
                <w:spacing w:val="-2"/>
                <w:sz w:val="24"/>
                <w:szCs w:val="24"/>
              </w:rPr>
              <w:t>因此，本项目环境风险</w:t>
            </w:r>
            <w:r>
              <w:rPr>
                <w:color w:val="auto"/>
                <w:spacing w:val="-5"/>
                <w:sz w:val="24"/>
                <w:szCs w:val="24"/>
              </w:rPr>
              <w:t>潜势为Ⅰ,不需要开展风险专项评价。本项目潜在危险单元确定为</w:t>
            </w:r>
            <w:r>
              <w:rPr>
                <w:rFonts w:hint="eastAsia"/>
                <w:color w:val="auto"/>
                <w:spacing w:val="-5"/>
                <w:sz w:val="24"/>
                <w:szCs w:val="24"/>
                <w:lang w:val="en-US" w:eastAsia="zh-CN"/>
              </w:rPr>
              <w:t>气体密封罐</w:t>
            </w:r>
            <w:r>
              <w:rPr>
                <w:color w:val="auto"/>
                <w:spacing w:val="-1"/>
                <w:sz w:val="24"/>
                <w:szCs w:val="24"/>
              </w:rPr>
              <w:t>发生泄漏或爆炸事故。</w:t>
            </w:r>
          </w:p>
          <w:p w14:paraId="2E4D3FCC">
            <w:pPr>
              <w:spacing w:line="520" w:lineRule="exact"/>
              <w:jc w:val="center"/>
              <w:rPr>
                <w:b/>
                <w:color w:val="auto"/>
                <w:sz w:val="24"/>
                <w:highlight w:val="none"/>
              </w:rPr>
            </w:pPr>
            <w:r>
              <w:rPr>
                <w:b/>
                <w:bCs/>
                <w:color w:val="auto"/>
                <w:spacing w:val="-4"/>
                <w:sz w:val="24"/>
                <w:szCs w:val="24"/>
              </w:rPr>
              <w:t>表</w:t>
            </w:r>
            <w:r>
              <w:rPr>
                <w:rFonts w:ascii="Times New Roman" w:hAnsi="Times New Roman" w:eastAsia="Times New Roman" w:cs="Times New Roman"/>
                <w:b/>
                <w:bCs/>
                <w:color w:val="auto"/>
                <w:spacing w:val="-4"/>
                <w:sz w:val="24"/>
                <w:szCs w:val="24"/>
              </w:rPr>
              <w:t>4-1</w:t>
            </w:r>
            <w:r>
              <w:rPr>
                <w:rFonts w:hint="eastAsia" w:eastAsia="宋体" w:cs="Times New Roman"/>
                <w:b/>
                <w:bCs/>
                <w:color w:val="auto"/>
                <w:spacing w:val="-4"/>
                <w:sz w:val="24"/>
                <w:szCs w:val="24"/>
                <w:lang w:val="en-US" w:eastAsia="zh-CN"/>
              </w:rPr>
              <w:t xml:space="preserve">2 </w:t>
            </w:r>
            <w:r>
              <w:rPr>
                <w:b/>
                <w:bCs/>
                <w:color w:val="auto"/>
                <w:spacing w:val="-4"/>
                <w:sz w:val="24"/>
                <w:szCs w:val="24"/>
              </w:rPr>
              <w:t>甲烷危险特性及防范措施一览表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58"/>
              <w:gridCol w:w="2242"/>
              <w:gridCol w:w="1658"/>
              <w:gridCol w:w="1976"/>
            </w:tblGrid>
            <w:tr w14:paraId="458C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restart"/>
                  <w:shd w:val="clear" w:color="auto" w:fill="auto"/>
                  <w:vAlign w:val="center"/>
                </w:tcPr>
                <w:p w14:paraId="77C8F2B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标识</w:t>
                  </w:r>
                </w:p>
              </w:tc>
              <w:tc>
                <w:tcPr>
                  <w:tcW w:w="811" w:type="pct"/>
                  <w:shd w:val="clear" w:color="auto" w:fill="auto"/>
                  <w:vAlign w:val="center"/>
                </w:tcPr>
                <w:p w14:paraId="38CA423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中文名</w:t>
                  </w:r>
                </w:p>
              </w:tc>
              <w:tc>
                <w:tcPr>
                  <w:tcW w:w="1446" w:type="pct"/>
                  <w:shd w:val="clear" w:color="auto" w:fill="auto"/>
                  <w:vAlign w:val="center"/>
                </w:tcPr>
                <w:p w14:paraId="18708A3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甲烷</w:t>
                  </w:r>
                </w:p>
              </w:tc>
              <w:tc>
                <w:tcPr>
                  <w:tcW w:w="1069" w:type="pct"/>
                  <w:shd w:val="clear" w:color="auto" w:fill="auto"/>
                  <w:vAlign w:val="center"/>
                </w:tcPr>
                <w:p w14:paraId="23645E4E">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英文名</w:t>
                  </w:r>
                </w:p>
              </w:tc>
              <w:tc>
                <w:tcPr>
                  <w:tcW w:w="1273" w:type="pct"/>
                  <w:shd w:val="clear" w:color="auto" w:fill="auto"/>
                  <w:vAlign w:val="center"/>
                </w:tcPr>
                <w:p w14:paraId="0725A37D">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methaneMarshgas</w:t>
                  </w:r>
                </w:p>
              </w:tc>
            </w:tr>
            <w:tr w14:paraId="47B4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166F407D">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68DDDC56">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分子式</w:t>
                  </w:r>
                </w:p>
              </w:tc>
              <w:tc>
                <w:tcPr>
                  <w:tcW w:w="1446" w:type="pct"/>
                  <w:shd w:val="clear" w:color="auto" w:fill="auto"/>
                  <w:vAlign w:val="center"/>
                </w:tcPr>
                <w:p w14:paraId="6E2070BA">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CH</w:t>
                  </w:r>
                  <w:r>
                    <w:rPr>
                      <w:rFonts w:hint="default" w:ascii="Times New Roman" w:hAnsi="Times New Roman" w:eastAsia="宋体" w:cs="Times New Roman"/>
                      <w:b w:val="0"/>
                      <w:bCs w:val="0"/>
                      <w:color w:val="auto"/>
                      <w:sz w:val="21"/>
                      <w:szCs w:val="21"/>
                      <w:highlight w:val="none"/>
                      <w:vertAlign w:val="subscript"/>
                    </w:rPr>
                    <w:t>4</w:t>
                  </w:r>
                </w:p>
              </w:tc>
              <w:tc>
                <w:tcPr>
                  <w:tcW w:w="1069" w:type="pct"/>
                  <w:shd w:val="clear" w:color="auto" w:fill="auto"/>
                  <w:vAlign w:val="center"/>
                </w:tcPr>
                <w:p w14:paraId="3AC65B2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分子量</w:t>
                  </w:r>
                </w:p>
              </w:tc>
              <w:tc>
                <w:tcPr>
                  <w:tcW w:w="1273" w:type="pct"/>
                  <w:shd w:val="clear" w:color="auto" w:fill="auto"/>
                  <w:vAlign w:val="center"/>
                </w:tcPr>
                <w:p w14:paraId="5A3E9A08">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16.04</w:t>
                  </w:r>
                </w:p>
              </w:tc>
            </w:tr>
            <w:tr w14:paraId="1F4F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1F6EAADF">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174F7C4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危险货物编号</w:t>
                  </w:r>
                </w:p>
              </w:tc>
              <w:tc>
                <w:tcPr>
                  <w:tcW w:w="1446" w:type="pct"/>
                  <w:shd w:val="clear" w:color="auto" w:fill="auto"/>
                  <w:vAlign w:val="center"/>
                </w:tcPr>
                <w:p w14:paraId="03535EBD">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21007（压缩气体）</w:t>
                  </w:r>
                </w:p>
                <w:p w14:paraId="10D051F5">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21008（液化气体）</w:t>
                  </w:r>
                </w:p>
              </w:tc>
              <w:tc>
                <w:tcPr>
                  <w:tcW w:w="1069" w:type="pct"/>
                  <w:shd w:val="clear" w:color="auto" w:fill="auto"/>
                  <w:vAlign w:val="center"/>
                </w:tcPr>
                <w:p w14:paraId="1F004166">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UN编号</w:t>
                  </w:r>
                </w:p>
              </w:tc>
              <w:tc>
                <w:tcPr>
                  <w:tcW w:w="1273" w:type="pct"/>
                  <w:shd w:val="clear" w:color="auto" w:fill="auto"/>
                  <w:vAlign w:val="center"/>
                </w:tcPr>
                <w:p w14:paraId="35972EBA">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1971（压缩气体）；</w:t>
                  </w:r>
                </w:p>
                <w:p w14:paraId="7F0BEAD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1972（液化气体）</w:t>
                  </w:r>
                </w:p>
              </w:tc>
            </w:tr>
            <w:tr w14:paraId="5881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30598C19">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363C0E25">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CAS</w:t>
                  </w:r>
                </w:p>
              </w:tc>
              <w:tc>
                <w:tcPr>
                  <w:tcW w:w="1446" w:type="pct"/>
                  <w:shd w:val="clear" w:color="auto" w:fill="auto"/>
                  <w:vAlign w:val="center"/>
                </w:tcPr>
                <w:p w14:paraId="3BD08257">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74-82-8</w:t>
                  </w:r>
                </w:p>
              </w:tc>
              <w:tc>
                <w:tcPr>
                  <w:tcW w:w="1069" w:type="pct"/>
                  <w:shd w:val="clear" w:color="auto" w:fill="auto"/>
                  <w:vAlign w:val="center"/>
                </w:tcPr>
                <w:p w14:paraId="60F7481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危险性类别</w:t>
                  </w:r>
                </w:p>
              </w:tc>
              <w:tc>
                <w:tcPr>
                  <w:tcW w:w="1273" w:type="pct"/>
                  <w:shd w:val="clear" w:color="auto" w:fill="auto"/>
                  <w:vAlign w:val="center"/>
                </w:tcPr>
                <w:p w14:paraId="0135945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第2.1类易燃气体</w:t>
                  </w:r>
                </w:p>
              </w:tc>
            </w:tr>
            <w:tr w14:paraId="0E0C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restart"/>
                  <w:shd w:val="clear" w:color="auto" w:fill="auto"/>
                  <w:vAlign w:val="center"/>
                </w:tcPr>
                <w:p w14:paraId="68F7896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理化特性</w:t>
                  </w:r>
                </w:p>
              </w:tc>
              <w:tc>
                <w:tcPr>
                  <w:tcW w:w="4600" w:type="pct"/>
                  <w:gridSpan w:val="4"/>
                  <w:shd w:val="clear" w:color="auto" w:fill="auto"/>
                  <w:vAlign w:val="center"/>
                </w:tcPr>
                <w:p w14:paraId="164D686F">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相对密度</w:t>
                  </w:r>
                </w:p>
                <w:p w14:paraId="13289729">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相对密度（水）；0.42(-164℃)，相对密度（空气=1）：0.</w:t>
                  </w:r>
                  <w:r>
                    <w:rPr>
                      <w:rFonts w:hint="eastAsia" w:cs="Times New Roman"/>
                      <w:b w:val="0"/>
                      <w:bCs w:val="0"/>
                      <w:color w:val="auto"/>
                      <w:sz w:val="21"/>
                      <w:szCs w:val="21"/>
                      <w:highlight w:val="none"/>
                      <w:lang w:val="en-US" w:eastAsia="zh-CN"/>
                    </w:rPr>
                    <w:t>71</w:t>
                  </w:r>
                </w:p>
              </w:tc>
            </w:tr>
            <w:tr w14:paraId="7B95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02132F0E">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0AD7F5E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熔点：℃</w:t>
                  </w:r>
                </w:p>
              </w:tc>
              <w:tc>
                <w:tcPr>
                  <w:tcW w:w="1446" w:type="pct"/>
                  <w:shd w:val="clear" w:color="auto" w:fill="auto"/>
                  <w:vAlign w:val="center"/>
                </w:tcPr>
                <w:p w14:paraId="0E7A6082">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-182.5</w:t>
                  </w:r>
                </w:p>
              </w:tc>
              <w:tc>
                <w:tcPr>
                  <w:tcW w:w="1069" w:type="pct"/>
                  <w:shd w:val="clear" w:color="auto" w:fill="auto"/>
                  <w:vAlign w:val="center"/>
                </w:tcPr>
                <w:p w14:paraId="2720D82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沸点：℃</w:t>
                  </w:r>
                </w:p>
              </w:tc>
              <w:tc>
                <w:tcPr>
                  <w:tcW w:w="1273" w:type="pct"/>
                  <w:shd w:val="clear" w:color="auto" w:fill="auto"/>
                  <w:vAlign w:val="center"/>
                </w:tcPr>
                <w:p w14:paraId="31CB913B">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-161.5</w:t>
                  </w:r>
                </w:p>
              </w:tc>
            </w:tr>
            <w:tr w14:paraId="5C11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1421F194">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35FE658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外观与性状</w:t>
                  </w:r>
                </w:p>
              </w:tc>
              <w:tc>
                <w:tcPr>
                  <w:tcW w:w="3788" w:type="pct"/>
                  <w:gridSpan w:val="3"/>
                  <w:shd w:val="clear" w:color="auto" w:fill="auto"/>
                  <w:vAlign w:val="center"/>
                </w:tcPr>
                <w:p w14:paraId="3DF7C03A">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无色无臭气体</w:t>
                  </w:r>
                </w:p>
              </w:tc>
            </w:tr>
            <w:tr w14:paraId="5C2F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4B3F9150">
                  <w:pPr>
                    <w:pStyle w:val="70"/>
                    <w:rPr>
                      <w:rFonts w:hint="default" w:ascii="Times New Roman" w:hAnsi="Times New Roman" w:eastAsia="宋体" w:cs="Times New Roman"/>
                      <w:b w:val="0"/>
                      <w:bCs w:val="0"/>
                      <w:color w:val="auto"/>
                      <w:sz w:val="21"/>
                      <w:szCs w:val="21"/>
                      <w:highlight w:val="none"/>
                    </w:rPr>
                  </w:pPr>
                </w:p>
              </w:tc>
              <w:tc>
                <w:tcPr>
                  <w:tcW w:w="4600" w:type="pct"/>
                  <w:gridSpan w:val="4"/>
                  <w:shd w:val="clear" w:color="auto" w:fill="auto"/>
                  <w:vAlign w:val="center"/>
                </w:tcPr>
                <w:p w14:paraId="5447C9CF">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溶解性</w:t>
                  </w:r>
                </w:p>
                <w:p w14:paraId="3B89BAF4">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微溶于水，溶于醇、乙醚。</w:t>
                  </w:r>
                </w:p>
              </w:tc>
            </w:tr>
            <w:tr w14:paraId="2164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766F9454">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5691091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稳定性</w:t>
                  </w:r>
                </w:p>
              </w:tc>
              <w:tc>
                <w:tcPr>
                  <w:tcW w:w="1446" w:type="pct"/>
                  <w:shd w:val="clear" w:color="auto" w:fill="auto"/>
                  <w:vAlign w:val="center"/>
                </w:tcPr>
                <w:p w14:paraId="007671E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稳定</w:t>
                  </w:r>
                </w:p>
              </w:tc>
              <w:tc>
                <w:tcPr>
                  <w:tcW w:w="1069" w:type="pct"/>
                  <w:shd w:val="clear" w:color="auto" w:fill="auto"/>
                  <w:vAlign w:val="center"/>
                </w:tcPr>
                <w:p w14:paraId="1308AFC8">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聚合危害</w:t>
                  </w:r>
                </w:p>
              </w:tc>
              <w:tc>
                <w:tcPr>
                  <w:tcW w:w="1273" w:type="pct"/>
                  <w:shd w:val="clear" w:color="auto" w:fill="auto"/>
                  <w:vAlign w:val="center"/>
                </w:tcPr>
                <w:p w14:paraId="52825BB4">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不聚合</w:t>
                  </w:r>
                </w:p>
              </w:tc>
            </w:tr>
            <w:tr w14:paraId="3663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5DEC1153">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6C07FAB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禁忌物</w:t>
                  </w:r>
                </w:p>
              </w:tc>
              <w:tc>
                <w:tcPr>
                  <w:tcW w:w="1446" w:type="pct"/>
                  <w:shd w:val="clear" w:color="auto" w:fill="auto"/>
                  <w:vAlign w:val="center"/>
                </w:tcPr>
                <w:p w14:paraId="6636FDAB">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强氧化剂、氟、氯</w:t>
                  </w:r>
                </w:p>
              </w:tc>
              <w:tc>
                <w:tcPr>
                  <w:tcW w:w="1069" w:type="pct"/>
                  <w:shd w:val="clear" w:color="auto" w:fill="auto"/>
                  <w:vAlign w:val="center"/>
                </w:tcPr>
                <w:p w14:paraId="0C8F978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燃烧（分解）产物</w:t>
                  </w:r>
                </w:p>
              </w:tc>
              <w:tc>
                <w:tcPr>
                  <w:tcW w:w="1273" w:type="pct"/>
                  <w:shd w:val="clear" w:color="auto" w:fill="auto"/>
                  <w:vAlign w:val="center"/>
                </w:tcPr>
                <w:p w14:paraId="4D0F28E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一氧化碳、二氧化</w:t>
                  </w:r>
                </w:p>
              </w:tc>
            </w:tr>
            <w:tr w14:paraId="74D2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 w:type="pct"/>
                  <w:vMerge w:val="continue"/>
                  <w:vAlign w:val="center"/>
                </w:tcPr>
                <w:p w14:paraId="4647138A">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2C70CC38">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主要用途</w:t>
                  </w:r>
                </w:p>
              </w:tc>
              <w:tc>
                <w:tcPr>
                  <w:tcW w:w="3788" w:type="pct"/>
                  <w:gridSpan w:val="3"/>
                  <w:shd w:val="clear" w:color="auto" w:fill="auto"/>
                  <w:vAlign w:val="center"/>
                </w:tcPr>
                <w:p w14:paraId="5C2AFE86">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用作燃料和用于炭黑、氢、乙炔、甲醛等的制造。</w:t>
                  </w:r>
                </w:p>
              </w:tc>
            </w:tr>
            <w:tr w14:paraId="2E03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restart"/>
                  <w:shd w:val="clear" w:color="auto" w:fill="auto"/>
                  <w:vAlign w:val="center"/>
                </w:tcPr>
                <w:p w14:paraId="18F75F8E">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燃爆特性与消防</w:t>
                  </w:r>
                </w:p>
              </w:tc>
              <w:tc>
                <w:tcPr>
                  <w:tcW w:w="811" w:type="pct"/>
                  <w:shd w:val="clear" w:color="auto" w:fill="auto"/>
                  <w:vAlign w:val="center"/>
                </w:tcPr>
                <w:p w14:paraId="3C70A34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燃烧性</w:t>
                  </w:r>
                </w:p>
              </w:tc>
              <w:tc>
                <w:tcPr>
                  <w:tcW w:w="1446" w:type="pct"/>
                  <w:shd w:val="clear" w:color="auto" w:fill="auto"/>
                  <w:vAlign w:val="center"/>
                </w:tcPr>
                <w:p w14:paraId="552EA0AF">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易燃</w:t>
                  </w:r>
                </w:p>
              </w:tc>
              <w:tc>
                <w:tcPr>
                  <w:tcW w:w="1069" w:type="pct"/>
                  <w:shd w:val="clear" w:color="auto" w:fill="auto"/>
                  <w:vAlign w:val="center"/>
                </w:tcPr>
                <w:p w14:paraId="06B4B0D3">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闪点(℃)</w:t>
                  </w:r>
                </w:p>
              </w:tc>
              <w:tc>
                <w:tcPr>
                  <w:tcW w:w="1273" w:type="pct"/>
                  <w:shd w:val="clear" w:color="auto" w:fill="auto"/>
                  <w:vAlign w:val="center"/>
                </w:tcPr>
                <w:p w14:paraId="79773CD7">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-218</w:t>
                  </w:r>
                </w:p>
              </w:tc>
            </w:tr>
            <w:tr w14:paraId="68F7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49F7D73D">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6405208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爆炸上限%</w:t>
                  </w:r>
                </w:p>
              </w:tc>
              <w:tc>
                <w:tcPr>
                  <w:tcW w:w="1446" w:type="pct"/>
                  <w:shd w:val="clear" w:color="auto" w:fill="auto"/>
                  <w:vAlign w:val="center"/>
                </w:tcPr>
                <w:p w14:paraId="31D40C07">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15</w:t>
                  </w:r>
                </w:p>
              </w:tc>
              <w:tc>
                <w:tcPr>
                  <w:tcW w:w="1069" w:type="pct"/>
                  <w:shd w:val="clear" w:color="auto" w:fill="auto"/>
                  <w:vAlign w:val="center"/>
                </w:tcPr>
                <w:p w14:paraId="23C4646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引燃温度(℃)</w:t>
                  </w:r>
                </w:p>
              </w:tc>
              <w:tc>
                <w:tcPr>
                  <w:tcW w:w="1273" w:type="pct"/>
                  <w:shd w:val="clear" w:color="auto" w:fill="auto"/>
                  <w:vAlign w:val="center"/>
                </w:tcPr>
                <w:p w14:paraId="5CBE6DD9">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538</w:t>
                  </w:r>
                </w:p>
              </w:tc>
            </w:tr>
            <w:tr w14:paraId="7B75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7C3F0581">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3FAA596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爆炸下限%</w:t>
                  </w:r>
                </w:p>
              </w:tc>
              <w:tc>
                <w:tcPr>
                  <w:tcW w:w="1446" w:type="pct"/>
                  <w:shd w:val="clear" w:color="auto" w:fill="auto"/>
                  <w:vAlign w:val="center"/>
                </w:tcPr>
                <w:p w14:paraId="5C5F48DB">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5</w:t>
                  </w:r>
                </w:p>
              </w:tc>
              <w:tc>
                <w:tcPr>
                  <w:tcW w:w="1069" w:type="pct"/>
                  <w:shd w:val="clear" w:color="auto" w:fill="auto"/>
                  <w:vAlign w:val="center"/>
                </w:tcPr>
                <w:p w14:paraId="3208AA35">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最小点火能（mj）</w:t>
                  </w:r>
                </w:p>
              </w:tc>
              <w:tc>
                <w:tcPr>
                  <w:tcW w:w="1273" w:type="pct"/>
                  <w:shd w:val="clear" w:color="auto" w:fill="auto"/>
                  <w:vAlign w:val="center"/>
                </w:tcPr>
                <w:p w14:paraId="6E63D12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无资料</w:t>
                  </w:r>
                </w:p>
              </w:tc>
            </w:tr>
            <w:tr w14:paraId="05DC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 w:type="pct"/>
                  <w:vMerge w:val="continue"/>
                  <w:vAlign w:val="center"/>
                </w:tcPr>
                <w:p w14:paraId="380FAB47">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55508DF8">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火灾危险类别</w:t>
                  </w:r>
                </w:p>
              </w:tc>
              <w:tc>
                <w:tcPr>
                  <w:tcW w:w="1446" w:type="pct"/>
                  <w:shd w:val="clear" w:color="auto" w:fill="auto"/>
                  <w:vAlign w:val="center"/>
                </w:tcPr>
                <w:p w14:paraId="752198C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甲类</w:t>
                  </w:r>
                </w:p>
              </w:tc>
              <w:tc>
                <w:tcPr>
                  <w:tcW w:w="1069" w:type="pct"/>
                  <w:shd w:val="clear" w:color="auto" w:fill="auto"/>
                  <w:vAlign w:val="center"/>
                </w:tcPr>
                <w:p w14:paraId="0BCBA05F">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爆炸危险级别、组别</w:t>
                  </w:r>
                </w:p>
              </w:tc>
              <w:tc>
                <w:tcPr>
                  <w:tcW w:w="1273" w:type="pct"/>
                  <w:shd w:val="clear" w:color="auto" w:fill="auto"/>
                  <w:vAlign w:val="center"/>
                </w:tcPr>
                <w:p w14:paraId="67F1129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Ⅱ</w:t>
                  </w:r>
                </w:p>
              </w:tc>
            </w:tr>
            <w:tr w14:paraId="4B92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3688A3DF">
                  <w:pPr>
                    <w:pStyle w:val="70"/>
                    <w:rPr>
                      <w:rFonts w:hint="default" w:ascii="Times New Roman" w:hAnsi="Times New Roman" w:eastAsia="宋体" w:cs="Times New Roman"/>
                      <w:b w:val="0"/>
                      <w:bCs w:val="0"/>
                      <w:color w:val="auto"/>
                      <w:sz w:val="21"/>
                      <w:szCs w:val="21"/>
                      <w:highlight w:val="none"/>
                    </w:rPr>
                  </w:pPr>
                </w:p>
              </w:tc>
              <w:tc>
                <w:tcPr>
                  <w:tcW w:w="811" w:type="pct"/>
                  <w:vAlign w:val="center"/>
                </w:tcPr>
                <w:p w14:paraId="11A48A88">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燃烧热(kJ/mol)</w:t>
                  </w:r>
                </w:p>
              </w:tc>
              <w:tc>
                <w:tcPr>
                  <w:tcW w:w="1446" w:type="pct"/>
                  <w:vAlign w:val="center"/>
                </w:tcPr>
                <w:p w14:paraId="2BC75AAA">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889.5</w:t>
                  </w:r>
                </w:p>
              </w:tc>
              <w:tc>
                <w:tcPr>
                  <w:tcW w:w="1069" w:type="pct"/>
                  <w:vAlign w:val="center"/>
                </w:tcPr>
                <w:p w14:paraId="0FF7FDAE">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饱和蒸气压(kPa)：</w:t>
                  </w:r>
                </w:p>
              </w:tc>
              <w:tc>
                <w:tcPr>
                  <w:tcW w:w="1273" w:type="pct"/>
                  <w:vAlign w:val="center"/>
                </w:tcPr>
                <w:p w14:paraId="2FD716D5">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53.32(-168.8℃)</w:t>
                  </w:r>
                </w:p>
              </w:tc>
            </w:tr>
            <w:tr w14:paraId="5233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 w:type="pct"/>
                  <w:vMerge w:val="continue"/>
                  <w:vAlign w:val="center"/>
                </w:tcPr>
                <w:p w14:paraId="355D31BD">
                  <w:pPr>
                    <w:pStyle w:val="70"/>
                    <w:rPr>
                      <w:rFonts w:hint="default" w:ascii="Times New Roman" w:hAnsi="Times New Roman" w:eastAsia="宋体" w:cs="Times New Roman"/>
                      <w:b w:val="0"/>
                      <w:bCs w:val="0"/>
                      <w:color w:val="auto"/>
                      <w:sz w:val="21"/>
                      <w:szCs w:val="21"/>
                      <w:highlight w:val="none"/>
                    </w:rPr>
                  </w:pPr>
                </w:p>
              </w:tc>
              <w:tc>
                <w:tcPr>
                  <w:tcW w:w="811" w:type="pct"/>
                  <w:vAlign w:val="center"/>
                </w:tcPr>
                <w:p w14:paraId="581CFA92">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危险特性</w:t>
                  </w:r>
                </w:p>
              </w:tc>
              <w:tc>
                <w:tcPr>
                  <w:tcW w:w="3788" w:type="pct"/>
                  <w:gridSpan w:val="3"/>
                  <w:vAlign w:val="center"/>
                </w:tcPr>
                <w:p w14:paraId="0FB8BB52">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易燃，与空气混合能形成爆炸性混合物，遇热源和明火有燃烧爆炸的危险。与五氧化溴、氯气、次氯酸、三氟化氮、液氧、二氟化氧及其他强氧化剂接触剧烈反应</w:t>
                  </w:r>
                </w:p>
              </w:tc>
            </w:tr>
            <w:tr w14:paraId="2D15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39BBC9D9">
                  <w:pPr>
                    <w:pStyle w:val="70"/>
                    <w:rPr>
                      <w:rFonts w:hint="default" w:ascii="Times New Roman" w:hAnsi="Times New Roman" w:eastAsia="宋体" w:cs="Times New Roman"/>
                      <w:b w:val="0"/>
                      <w:bCs w:val="0"/>
                      <w:color w:val="auto"/>
                      <w:sz w:val="21"/>
                      <w:szCs w:val="21"/>
                      <w:highlight w:val="none"/>
                    </w:rPr>
                  </w:pPr>
                </w:p>
              </w:tc>
              <w:tc>
                <w:tcPr>
                  <w:tcW w:w="811" w:type="pct"/>
                  <w:vAlign w:val="center"/>
                </w:tcPr>
                <w:p w14:paraId="431A76F7">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灭火方法</w:t>
                  </w:r>
                </w:p>
              </w:tc>
              <w:tc>
                <w:tcPr>
                  <w:tcW w:w="3788" w:type="pct"/>
                  <w:gridSpan w:val="3"/>
                  <w:vAlign w:val="center"/>
                </w:tcPr>
                <w:p w14:paraId="53A56397">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切断气源。若不能切断气源，则不允许熄灭泄漏处的火焰。喷水冷却容器，可能的话将容器从火场移至空旷处。灭火剂：雾状水、泡沫、二氧化碳、干粉</w:t>
                  </w:r>
                </w:p>
              </w:tc>
            </w:tr>
            <w:tr w14:paraId="36F2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restart"/>
                  <w:shd w:val="clear" w:color="auto" w:fill="auto"/>
                  <w:vAlign w:val="center"/>
                </w:tcPr>
                <w:p w14:paraId="75B232DB">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毒性</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健</w:t>
                  </w:r>
                </w:p>
                <w:p w14:paraId="064C41E9">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康危害及</w:t>
                  </w:r>
                </w:p>
                <w:p w14:paraId="393A1279">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防护措施</w:t>
                  </w:r>
                </w:p>
              </w:tc>
              <w:tc>
                <w:tcPr>
                  <w:tcW w:w="811" w:type="pct"/>
                  <w:shd w:val="clear" w:color="auto" w:fill="auto"/>
                  <w:vAlign w:val="center"/>
                </w:tcPr>
                <w:p w14:paraId="61955053">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中国MAC</w:t>
                  </w:r>
                </w:p>
              </w:tc>
              <w:tc>
                <w:tcPr>
                  <w:tcW w:w="3788" w:type="pct"/>
                  <w:gridSpan w:val="3"/>
                  <w:shd w:val="clear" w:color="auto" w:fill="auto"/>
                  <w:vAlign w:val="center"/>
                </w:tcPr>
                <w:p w14:paraId="6CBBE80F">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未制定标准</w:t>
                  </w:r>
                </w:p>
              </w:tc>
            </w:tr>
            <w:tr w14:paraId="3C48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209BC52D">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100529C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苏联MAC</w:t>
                  </w:r>
                </w:p>
              </w:tc>
              <w:tc>
                <w:tcPr>
                  <w:tcW w:w="3788" w:type="pct"/>
                  <w:gridSpan w:val="3"/>
                  <w:shd w:val="clear" w:color="auto" w:fill="auto"/>
                  <w:vAlign w:val="center"/>
                </w:tcPr>
                <w:p w14:paraId="1071BEA9">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300mg/m</w:t>
                  </w:r>
                  <w:r>
                    <w:rPr>
                      <w:rFonts w:hint="default" w:ascii="Times New Roman" w:hAnsi="Times New Roman" w:eastAsia="宋体" w:cs="Times New Roman"/>
                      <w:b w:val="0"/>
                      <w:bCs w:val="0"/>
                      <w:color w:val="auto"/>
                      <w:sz w:val="21"/>
                      <w:szCs w:val="21"/>
                      <w:highlight w:val="none"/>
                      <w:vertAlign w:val="superscript"/>
                    </w:rPr>
                    <w:t>3</w:t>
                  </w:r>
                </w:p>
              </w:tc>
            </w:tr>
            <w:tr w14:paraId="1F9C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1C44DF42">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1668783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美国TWA</w:t>
                  </w:r>
                </w:p>
              </w:tc>
              <w:tc>
                <w:tcPr>
                  <w:tcW w:w="3788" w:type="pct"/>
                  <w:gridSpan w:val="3"/>
                  <w:shd w:val="clear" w:color="auto" w:fill="auto"/>
                  <w:vAlign w:val="center"/>
                </w:tcPr>
                <w:p w14:paraId="6C71369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窒息性气体</w:t>
                  </w:r>
                </w:p>
              </w:tc>
            </w:tr>
            <w:tr w14:paraId="2E6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0A32DF21">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0E0CB83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美国STEL</w:t>
                  </w:r>
                </w:p>
              </w:tc>
              <w:tc>
                <w:tcPr>
                  <w:tcW w:w="3788" w:type="pct"/>
                  <w:gridSpan w:val="3"/>
                  <w:shd w:val="clear" w:color="auto" w:fill="auto"/>
                  <w:vAlign w:val="center"/>
                </w:tcPr>
                <w:p w14:paraId="21455DF9">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未制定标准</w:t>
                  </w:r>
                </w:p>
              </w:tc>
            </w:tr>
            <w:tr w14:paraId="0F73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796B9BF0">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2F51866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LD50：</w:t>
                  </w:r>
                </w:p>
              </w:tc>
              <w:tc>
                <w:tcPr>
                  <w:tcW w:w="3788" w:type="pct"/>
                  <w:gridSpan w:val="3"/>
                  <w:shd w:val="clear" w:color="auto" w:fill="auto"/>
                  <w:vAlign w:val="center"/>
                </w:tcPr>
                <w:p w14:paraId="73991D8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无资料</w:t>
                  </w:r>
                </w:p>
              </w:tc>
            </w:tr>
            <w:tr w14:paraId="53A2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480C2555">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5253D9B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LC50：</w:t>
                  </w:r>
                </w:p>
              </w:tc>
              <w:tc>
                <w:tcPr>
                  <w:tcW w:w="3788" w:type="pct"/>
                  <w:gridSpan w:val="3"/>
                  <w:shd w:val="clear" w:color="auto" w:fill="auto"/>
                  <w:vAlign w:val="center"/>
                </w:tcPr>
                <w:p w14:paraId="5320B9C9">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无资料</w:t>
                  </w:r>
                </w:p>
              </w:tc>
            </w:tr>
            <w:tr w14:paraId="2862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 w:type="pct"/>
                  <w:vMerge w:val="continue"/>
                  <w:vAlign w:val="center"/>
                </w:tcPr>
                <w:p w14:paraId="7F998BCD">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5BCD0B0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呼吸系统防护</w:t>
                  </w:r>
                </w:p>
              </w:tc>
              <w:tc>
                <w:tcPr>
                  <w:tcW w:w="3788" w:type="pct"/>
                  <w:gridSpan w:val="3"/>
                  <w:shd w:val="clear" w:color="auto" w:fill="auto"/>
                  <w:vAlign w:val="center"/>
                </w:tcPr>
                <w:p w14:paraId="4B45FAC3">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一般不需要特殊防护，但建议特殊情况下，佩戴自吸过滤式防毒面具</w:t>
                  </w:r>
                </w:p>
              </w:tc>
            </w:tr>
            <w:tr w14:paraId="3F0B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4DDBD1AA">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1E9E0F43">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眼睛防护</w:t>
                  </w:r>
                </w:p>
              </w:tc>
              <w:tc>
                <w:tcPr>
                  <w:tcW w:w="3788" w:type="pct"/>
                  <w:gridSpan w:val="3"/>
                  <w:shd w:val="clear" w:color="auto" w:fill="auto"/>
                  <w:vAlign w:val="center"/>
                </w:tcPr>
                <w:p w14:paraId="5B5CD17F">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一般不需要特殊防护，高浓度接触时可戴安全防护眼</w:t>
                  </w:r>
                </w:p>
              </w:tc>
            </w:tr>
            <w:tr w14:paraId="70B5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5E27D9A0">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6BC15FC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身体防护</w:t>
                  </w:r>
                </w:p>
              </w:tc>
              <w:tc>
                <w:tcPr>
                  <w:tcW w:w="3788" w:type="pct"/>
                  <w:gridSpan w:val="3"/>
                  <w:shd w:val="clear" w:color="auto" w:fill="auto"/>
                  <w:vAlign w:val="center"/>
                </w:tcPr>
                <w:p w14:paraId="003198F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穿防静电工作服</w:t>
                  </w:r>
                </w:p>
              </w:tc>
            </w:tr>
            <w:tr w14:paraId="16A8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7FCCE43E">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7DF46D6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手防护</w:t>
                  </w:r>
                </w:p>
              </w:tc>
              <w:tc>
                <w:tcPr>
                  <w:tcW w:w="3788" w:type="pct"/>
                  <w:gridSpan w:val="3"/>
                  <w:shd w:val="clear" w:color="auto" w:fill="auto"/>
                  <w:vAlign w:val="center"/>
                </w:tcPr>
                <w:p w14:paraId="53B5EFBE">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戴一般作业防护手套</w:t>
                  </w:r>
                </w:p>
              </w:tc>
            </w:tr>
            <w:tr w14:paraId="3D80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4CDD7A0B">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6AE392A7">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其他防护</w:t>
                  </w:r>
                </w:p>
              </w:tc>
              <w:tc>
                <w:tcPr>
                  <w:tcW w:w="3788" w:type="pct"/>
                  <w:gridSpan w:val="3"/>
                  <w:shd w:val="clear" w:color="auto" w:fill="auto"/>
                  <w:vAlign w:val="center"/>
                </w:tcPr>
                <w:p w14:paraId="00E3825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工作现场严禁吸烟。避免长期反复接触。进入罐、限制性空间</w:t>
                  </w:r>
                </w:p>
              </w:tc>
            </w:tr>
            <w:tr w14:paraId="7111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restart"/>
                  <w:vAlign w:val="center"/>
                </w:tcPr>
                <w:p w14:paraId="12385F05">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急救措施</w:t>
                  </w:r>
                </w:p>
              </w:tc>
              <w:tc>
                <w:tcPr>
                  <w:tcW w:w="811" w:type="pct"/>
                  <w:shd w:val="clear" w:color="auto" w:fill="auto"/>
                  <w:vAlign w:val="center"/>
                </w:tcPr>
                <w:p w14:paraId="7E15338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眼睛接触</w:t>
                  </w:r>
                </w:p>
              </w:tc>
              <w:tc>
                <w:tcPr>
                  <w:tcW w:w="3788" w:type="pct"/>
                  <w:gridSpan w:val="3"/>
                  <w:shd w:val="clear" w:color="auto" w:fill="auto"/>
                  <w:vAlign w:val="center"/>
                </w:tcPr>
                <w:p w14:paraId="5C53180F">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w:t>
                  </w:r>
                </w:p>
              </w:tc>
            </w:tr>
            <w:tr w14:paraId="575A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2A7EE156">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383CD99C">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吸入</w:t>
                  </w:r>
                </w:p>
              </w:tc>
              <w:tc>
                <w:tcPr>
                  <w:tcW w:w="3788" w:type="pct"/>
                  <w:gridSpan w:val="3"/>
                  <w:shd w:val="clear" w:color="auto" w:fill="auto"/>
                  <w:vAlign w:val="center"/>
                </w:tcPr>
                <w:p w14:paraId="2214B082">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迅速脱离现场至空气新鲜处。保持呼吸道通畅。如呼吸困难，给输氧。如呼吸停止，立即进行人工呼吸。就医</w:t>
                  </w:r>
                </w:p>
              </w:tc>
            </w:tr>
            <w:tr w14:paraId="4EB6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Merge w:val="continue"/>
                  <w:vAlign w:val="center"/>
                </w:tcPr>
                <w:p w14:paraId="663391DC">
                  <w:pPr>
                    <w:pStyle w:val="70"/>
                    <w:rPr>
                      <w:rFonts w:hint="default" w:ascii="Times New Roman" w:hAnsi="Times New Roman" w:eastAsia="宋体" w:cs="Times New Roman"/>
                      <w:b w:val="0"/>
                      <w:bCs w:val="0"/>
                      <w:color w:val="auto"/>
                      <w:sz w:val="21"/>
                      <w:szCs w:val="21"/>
                      <w:highlight w:val="none"/>
                    </w:rPr>
                  </w:pPr>
                </w:p>
              </w:tc>
              <w:tc>
                <w:tcPr>
                  <w:tcW w:w="811" w:type="pct"/>
                  <w:shd w:val="clear" w:color="auto" w:fill="auto"/>
                  <w:vAlign w:val="center"/>
                </w:tcPr>
                <w:p w14:paraId="1CFF218A">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食入</w:t>
                  </w:r>
                </w:p>
              </w:tc>
              <w:tc>
                <w:tcPr>
                  <w:tcW w:w="3788" w:type="pct"/>
                  <w:gridSpan w:val="3"/>
                  <w:shd w:val="clear" w:color="auto" w:fill="auto"/>
                  <w:vAlign w:val="center"/>
                </w:tcPr>
                <w:p w14:paraId="0A3FE1FF">
                  <w:pPr>
                    <w:pStyle w:val="7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w:t>
                  </w:r>
                </w:p>
              </w:tc>
            </w:tr>
            <w:tr w14:paraId="229C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shd w:val="clear" w:color="auto" w:fill="auto"/>
                  <w:vAlign w:val="center"/>
                </w:tcPr>
                <w:p w14:paraId="00C90600">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泄漏应急处理</w:t>
                  </w:r>
                </w:p>
              </w:tc>
              <w:tc>
                <w:tcPr>
                  <w:tcW w:w="4600" w:type="pct"/>
                  <w:gridSpan w:val="4"/>
                  <w:shd w:val="clear" w:color="auto" w:fill="auto"/>
                  <w:vAlign w:val="center"/>
                </w:tcPr>
                <w:p w14:paraId="27BE4D5D">
                  <w:pPr>
                    <w:pStyle w:val="70"/>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迅速撤离泄漏污染区人员至上风处，并进行隔离，严格限制出入。切断火源。建议应急处理人员戴自给正压式呼吸器，穿防静电工作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14:paraId="7F29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vAlign w:val="center"/>
                </w:tcPr>
                <w:p w14:paraId="3B05C646">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储运注意</w:t>
                  </w:r>
                </w:p>
                <w:p w14:paraId="506F94C5">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事项</w:t>
                  </w:r>
                </w:p>
              </w:tc>
              <w:tc>
                <w:tcPr>
                  <w:tcW w:w="4600" w:type="pct"/>
                  <w:gridSpan w:val="4"/>
                  <w:vAlign w:val="center"/>
                </w:tcPr>
                <w:p w14:paraId="0DC68426">
                  <w:pPr>
                    <w:pStyle w:val="7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易燃压缩气体。储存于阴凉、通风仓间内。仓温不宜超过30℃。远离火种、热源。防止阳光直射。应与氧气、压缩空气、卤素(氟、氯、溴)等分开存放。切忌混储混运。储存间内的照明、通风等设施应采用防爆型，开关设在仓外。配备相应品种和数量的消防器材。罐储时要有防火防爆技术措施。露天储罐夏季要有降温措施。禁止使用易产生火花的机械设备和工具。验收时要注意品名，注意验瓶日期，先进仓的先发用。运输时运输车辆应配备相应品种和数量的消防器材。装运该物品的车辆排气管必须配备阻火装置，禁止使用易产生火花的机械设备和工具装卸。严禁与氧化剂等混装混运。夏季应早晚运输，防止日光曝晒。中途停留时应远离火种、热源。公路运输时要按规定路线行驶，勿在居民区和人口稠密区停留。铁路运输时要禁止溜放。</w:t>
                  </w:r>
                </w:p>
              </w:tc>
            </w:tr>
          </w:tbl>
          <w:p w14:paraId="6C429350">
            <w:pPr>
              <w:spacing w:line="520" w:lineRule="exact"/>
              <w:rPr>
                <w:b/>
                <w:color w:val="auto"/>
                <w:sz w:val="24"/>
                <w:highlight w:val="none"/>
              </w:rPr>
            </w:pPr>
            <w:r>
              <w:rPr>
                <w:rFonts w:ascii="Times New Roman" w:hAnsi="Times New Roman" w:eastAsia="Times New Roman" w:cs="Times New Roman"/>
                <w:b/>
                <w:bCs/>
                <w:color w:val="auto"/>
                <w:spacing w:val="-2"/>
                <w:sz w:val="24"/>
                <w:szCs w:val="24"/>
              </w:rPr>
              <w:t>7.2</w:t>
            </w:r>
            <w:r>
              <w:rPr>
                <w:b/>
                <w:bCs/>
                <w:color w:val="auto"/>
                <w:spacing w:val="-2"/>
                <w:sz w:val="24"/>
                <w:szCs w:val="24"/>
              </w:rPr>
              <w:t>环境风险影响途径</w:t>
            </w:r>
          </w:p>
          <w:p w14:paraId="2E4E9396">
            <w:pPr>
              <w:pStyle w:val="76"/>
              <w:spacing w:line="182" w:lineRule="auto"/>
              <w:ind w:left="2355"/>
              <w:rPr>
                <w:color w:val="auto"/>
                <w:sz w:val="24"/>
                <w:szCs w:val="24"/>
              </w:rPr>
            </w:pPr>
            <w:r>
              <w:rPr>
                <w:b/>
                <w:bCs/>
                <w:color w:val="auto"/>
                <w:spacing w:val="-2"/>
                <w:sz w:val="24"/>
                <w:szCs w:val="24"/>
              </w:rPr>
              <w:t>表</w:t>
            </w:r>
            <w:r>
              <w:rPr>
                <w:rFonts w:ascii="Times New Roman" w:hAnsi="Times New Roman" w:eastAsia="Times New Roman" w:cs="Times New Roman"/>
                <w:b/>
                <w:bCs/>
                <w:color w:val="auto"/>
                <w:spacing w:val="-2"/>
                <w:sz w:val="24"/>
                <w:szCs w:val="24"/>
              </w:rPr>
              <w:t>4-1</w:t>
            </w:r>
            <w:r>
              <w:rPr>
                <w:rFonts w:hint="eastAsia" w:ascii="Times New Roman" w:hAnsi="Times New Roman" w:eastAsia="宋体" w:cs="Times New Roman"/>
                <w:b/>
                <w:bCs/>
                <w:color w:val="auto"/>
                <w:spacing w:val="-2"/>
                <w:sz w:val="24"/>
                <w:szCs w:val="24"/>
                <w:lang w:val="en-US" w:eastAsia="zh-CN"/>
              </w:rPr>
              <w:t>3</w:t>
            </w:r>
            <w:r>
              <w:rPr>
                <w:b/>
                <w:bCs/>
                <w:color w:val="auto"/>
                <w:spacing w:val="-2"/>
                <w:sz w:val="24"/>
                <w:szCs w:val="24"/>
              </w:rPr>
              <w:t>环境风险影响途径一览表</w:t>
            </w:r>
          </w:p>
          <w:tbl>
            <w:tblPr>
              <w:tblStyle w:val="7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704"/>
              <w:gridCol w:w="798"/>
              <w:gridCol w:w="861"/>
              <w:gridCol w:w="1847"/>
              <w:gridCol w:w="1583"/>
              <w:gridCol w:w="1552"/>
            </w:tblGrid>
            <w:tr w14:paraId="4DA13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64" w:type="pct"/>
                  <w:tcBorders>
                    <w:top w:val="single" w:color="000000" w:sz="10" w:space="0"/>
                    <w:left w:val="single" w:color="000000" w:sz="10" w:space="0"/>
                  </w:tcBorders>
                  <w:vAlign w:val="center"/>
                </w:tcPr>
                <w:p w14:paraId="125227B3">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序号</w:t>
                  </w:r>
                </w:p>
              </w:tc>
              <w:tc>
                <w:tcPr>
                  <w:tcW w:w="454" w:type="pct"/>
                  <w:tcBorders>
                    <w:top w:val="single" w:color="000000" w:sz="10" w:space="0"/>
                  </w:tcBorders>
                  <w:vAlign w:val="center"/>
                </w:tcPr>
                <w:p w14:paraId="6ADBF586">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风险单元</w:t>
                  </w:r>
                </w:p>
              </w:tc>
              <w:tc>
                <w:tcPr>
                  <w:tcW w:w="514" w:type="pct"/>
                  <w:tcBorders>
                    <w:top w:val="single" w:color="000000" w:sz="10" w:space="0"/>
                  </w:tcBorders>
                  <w:vAlign w:val="center"/>
                </w:tcPr>
                <w:p w14:paraId="5B4651F6">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风险源</w:t>
                  </w:r>
                </w:p>
              </w:tc>
              <w:tc>
                <w:tcPr>
                  <w:tcW w:w="555" w:type="pct"/>
                  <w:tcBorders>
                    <w:top w:val="single" w:color="000000" w:sz="10" w:space="0"/>
                  </w:tcBorders>
                  <w:vAlign w:val="center"/>
                </w:tcPr>
                <w:p w14:paraId="66825CBE">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存在危险物质</w:t>
                  </w:r>
                </w:p>
              </w:tc>
              <w:tc>
                <w:tcPr>
                  <w:tcW w:w="1190" w:type="pct"/>
                  <w:tcBorders>
                    <w:top w:val="single" w:color="000000" w:sz="10" w:space="0"/>
                  </w:tcBorders>
                  <w:vAlign w:val="center"/>
                </w:tcPr>
                <w:p w14:paraId="5BBDF3C8">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环境风险类型</w:t>
                  </w:r>
                </w:p>
              </w:tc>
              <w:tc>
                <w:tcPr>
                  <w:tcW w:w="1020" w:type="pct"/>
                  <w:tcBorders>
                    <w:top w:val="single" w:color="000000" w:sz="10" w:space="0"/>
                  </w:tcBorders>
                  <w:vAlign w:val="center"/>
                </w:tcPr>
                <w:p w14:paraId="6965240C">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环境影响途径</w:t>
                  </w:r>
                </w:p>
              </w:tc>
              <w:tc>
                <w:tcPr>
                  <w:tcW w:w="1000" w:type="pct"/>
                  <w:tcBorders>
                    <w:top w:val="single" w:color="000000" w:sz="10" w:space="0"/>
                    <w:right w:val="single" w:color="000000" w:sz="10" w:space="0"/>
                  </w:tcBorders>
                  <w:vAlign w:val="center"/>
                </w:tcPr>
                <w:p w14:paraId="2BB98AA0">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可能受影响的</w:t>
                  </w:r>
                </w:p>
                <w:p w14:paraId="52BA6F30">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环境敏感目标</w:t>
                  </w:r>
                </w:p>
              </w:tc>
            </w:tr>
            <w:tr w14:paraId="367B5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264" w:type="pct"/>
                  <w:tcBorders>
                    <w:left w:val="single" w:color="000000" w:sz="10" w:space="0"/>
                  </w:tcBorders>
                  <w:vAlign w:val="center"/>
                </w:tcPr>
                <w:p w14:paraId="6DFFB94C">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c>
                <w:tcPr>
                  <w:tcW w:w="454" w:type="pct"/>
                  <w:vAlign w:val="center"/>
                </w:tcPr>
                <w:p w14:paraId="1C0F78AC">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生产车间</w:t>
                  </w:r>
                </w:p>
              </w:tc>
              <w:tc>
                <w:tcPr>
                  <w:tcW w:w="514" w:type="pct"/>
                  <w:vAlign w:val="center"/>
                </w:tcPr>
                <w:p w14:paraId="0FE726AB">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管道、阀门</w:t>
                  </w:r>
                </w:p>
              </w:tc>
              <w:tc>
                <w:tcPr>
                  <w:tcW w:w="555" w:type="pct"/>
                  <w:vAlign w:val="center"/>
                </w:tcPr>
                <w:p w14:paraId="1CB4F4A0">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甲烷</w:t>
                  </w:r>
                </w:p>
              </w:tc>
              <w:tc>
                <w:tcPr>
                  <w:tcW w:w="1190" w:type="pct"/>
                  <w:vAlign w:val="center"/>
                </w:tcPr>
                <w:p w14:paraId="5A86570F">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大气污染风险；地下水及土壤污染风险</w:t>
                  </w:r>
                </w:p>
              </w:tc>
              <w:tc>
                <w:tcPr>
                  <w:tcW w:w="1020" w:type="pct"/>
                  <w:vAlign w:val="center"/>
                </w:tcPr>
                <w:p w14:paraId="56B4FB21">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大气沉降和污水下渗</w:t>
                  </w:r>
                </w:p>
              </w:tc>
              <w:tc>
                <w:tcPr>
                  <w:tcW w:w="1000" w:type="pct"/>
                  <w:tcBorders>
                    <w:right w:val="single" w:color="000000" w:sz="10" w:space="0"/>
                  </w:tcBorders>
                  <w:vAlign w:val="center"/>
                </w:tcPr>
                <w:p w14:paraId="6164DFD1">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项目区大气</w:t>
                  </w:r>
                </w:p>
              </w:tc>
            </w:tr>
            <w:tr w14:paraId="603C3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41" w:hRule="atLeast"/>
              </w:trPr>
              <w:tc>
                <w:tcPr>
                  <w:tcW w:w="264" w:type="pct"/>
                  <w:tcBorders>
                    <w:left w:val="single" w:color="000000" w:sz="10" w:space="0"/>
                    <w:bottom w:val="single" w:color="000000" w:sz="10" w:space="0"/>
                  </w:tcBorders>
                  <w:vAlign w:val="center"/>
                </w:tcPr>
                <w:p w14:paraId="66A12025">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2</w:t>
                  </w:r>
                </w:p>
              </w:tc>
              <w:tc>
                <w:tcPr>
                  <w:tcW w:w="454" w:type="pct"/>
                  <w:tcBorders>
                    <w:bottom w:val="single" w:color="000000" w:sz="10" w:space="0"/>
                  </w:tcBorders>
                  <w:vAlign w:val="center"/>
                </w:tcPr>
                <w:p w14:paraId="2A3612A4">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辅助生产区</w:t>
                  </w:r>
                </w:p>
              </w:tc>
              <w:tc>
                <w:tcPr>
                  <w:tcW w:w="514" w:type="pct"/>
                  <w:tcBorders>
                    <w:bottom w:val="single" w:color="000000" w:sz="10" w:space="0"/>
                  </w:tcBorders>
                  <w:vAlign w:val="center"/>
                </w:tcPr>
                <w:p w14:paraId="1266D174">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eastAsia" w:cs="Times New Roman"/>
                      <w:b w:val="0"/>
                      <w:bCs w:val="0"/>
                      <w:color w:val="auto"/>
                      <w:sz w:val="21"/>
                      <w:szCs w:val="21"/>
                      <w:highlight w:val="none"/>
                      <w:lang w:val="en-US" w:eastAsia="zh-CN"/>
                    </w:rPr>
                    <w:t>食堂</w:t>
                  </w:r>
                  <w:r>
                    <w:rPr>
                      <w:rFonts w:hint="default" w:ascii="Times New Roman" w:hAnsi="Times New Roman" w:eastAsia="宋体" w:cs="Times New Roman"/>
                      <w:b w:val="0"/>
                      <w:bCs w:val="0"/>
                      <w:color w:val="auto"/>
                      <w:sz w:val="21"/>
                      <w:szCs w:val="21"/>
                      <w:highlight w:val="none"/>
                    </w:rPr>
                    <w:t>、氢气站</w:t>
                  </w:r>
                </w:p>
              </w:tc>
              <w:tc>
                <w:tcPr>
                  <w:tcW w:w="555" w:type="pct"/>
                  <w:tcBorders>
                    <w:bottom w:val="single" w:color="000000" w:sz="10" w:space="0"/>
                  </w:tcBorders>
                  <w:vAlign w:val="center"/>
                </w:tcPr>
                <w:p w14:paraId="1CBB135B">
                  <w:pPr>
                    <w:pStyle w:val="70"/>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天然气</w:t>
                  </w:r>
                  <w:r>
                    <w:rPr>
                      <w:rFonts w:hint="eastAsia"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甲烷</w:t>
                  </w:r>
                </w:p>
              </w:tc>
              <w:tc>
                <w:tcPr>
                  <w:tcW w:w="1190" w:type="pct"/>
                  <w:tcBorders>
                    <w:bottom w:val="single" w:color="000000" w:sz="10" w:space="0"/>
                  </w:tcBorders>
                  <w:vAlign w:val="center"/>
                </w:tcPr>
                <w:p w14:paraId="1FADFC23">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大气污染风险；地下水及土壤污染风险</w:t>
                  </w:r>
                </w:p>
              </w:tc>
              <w:tc>
                <w:tcPr>
                  <w:tcW w:w="1020" w:type="pct"/>
                  <w:tcBorders>
                    <w:bottom w:val="single" w:color="000000" w:sz="10" w:space="0"/>
                  </w:tcBorders>
                  <w:vAlign w:val="center"/>
                </w:tcPr>
                <w:p w14:paraId="01C3E7BA">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大气沉降和污水下渗</w:t>
                  </w:r>
                </w:p>
              </w:tc>
              <w:tc>
                <w:tcPr>
                  <w:tcW w:w="1000" w:type="pct"/>
                  <w:tcBorders>
                    <w:bottom w:val="single" w:color="000000" w:sz="10" w:space="0"/>
                    <w:right w:val="single" w:color="000000" w:sz="10" w:space="0"/>
                  </w:tcBorders>
                  <w:vAlign w:val="center"/>
                </w:tcPr>
                <w:p w14:paraId="583EEE78">
                  <w:pPr>
                    <w:pStyle w:val="70"/>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项目区大气</w:t>
                  </w:r>
                </w:p>
              </w:tc>
            </w:tr>
          </w:tbl>
          <w:p w14:paraId="7D4D38EF">
            <w:pPr>
              <w:pStyle w:val="76"/>
              <w:keepNext w:val="0"/>
              <w:keepLines w:val="0"/>
              <w:pageBreakBefore w:val="0"/>
              <w:widowControl w:val="0"/>
              <w:kinsoku/>
              <w:wordWrap/>
              <w:overflowPunct/>
              <w:topLinePunct w:val="0"/>
              <w:autoSpaceDE/>
              <w:autoSpaceDN/>
              <w:bidi w:val="0"/>
              <w:adjustRightInd/>
              <w:snapToGrid/>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7.3</w:t>
            </w:r>
            <w:r>
              <w:rPr>
                <w:b/>
                <w:bCs/>
                <w:color w:val="auto"/>
                <w:spacing w:val="-2"/>
                <w:sz w:val="24"/>
                <w:szCs w:val="24"/>
              </w:rPr>
              <w:t>环境风险防范措施</w:t>
            </w:r>
          </w:p>
          <w:p w14:paraId="549DE3D5">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z w:val="24"/>
                <w:szCs w:val="24"/>
              </w:rPr>
            </w:pPr>
            <w:r>
              <w:rPr>
                <w:color w:val="auto"/>
                <w:spacing w:val="-1"/>
                <w:sz w:val="24"/>
                <w:szCs w:val="24"/>
              </w:rPr>
              <w:t>针对本项目可能发生的环境风险事故，提出以下风险防范措施：</w:t>
            </w:r>
          </w:p>
          <w:p w14:paraId="1DCDD4B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1</w:t>
            </w:r>
            <w:r>
              <w:rPr>
                <w:color w:val="auto"/>
                <w:spacing w:val="-2"/>
                <w:position w:val="2"/>
                <w:sz w:val="24"/>
                <w:szCs w:val="24"/>
              </w:rPr>
              <w:t>）火灾风险防范措施</w:t>
            </w:r>
          </w:p>
          <w:p w14:paraId="7DB789D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①严格控制火源，按照操作规程正确处理易燃化学品，制定厂区禁烟等</w:t>
            </w:r>
            <w:r>
              <w:rPr>
                <w:color w:val="auto"/>
                <w:spacing w:val="-1"/>
                <w:sz w:val="24"/>
                <w:szCs w:val="24"/>
              </w:rPr>
              <w:t>安全规定，并保持生产区域通风良好。</w:t>
            </w:r>
          </w:p>
          <w:p w14:paraId="4B06D67C">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②定期进行消防检查，及时消除火灾隐患，向生产人员普及消防灭火知</w:t>
            </w:r>
            <w:r>
              <w:rPr>
                <w:color w:val="auto"/>
                <w:spacing w:val="-1"/>
                <w:sz w:val="24"/>
                <w:szCs w:val="24"/>
              </w:rPr>
              <w:t>识，加强消防训练与演习。</w:t>
            </w:r>
          </w:p>
          <w:p w14:paraId="6B6884CF">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③按消防规定要求，在生产区域内配备灭火器等消防器材，并对消防器</w:t>
            </w:r>
            <w:r>
              <w:rPr>
                <w:color w:val="auto"/>
                <w:spacing w:val="-1"/>
                <w:sz w:val="24"/>
                <w:szCs w:val="24"/>
              </w:rPr>
              <w:t>材进行定期保养及维护。</w:t>
            </w:r>
          </w:p>
          <w:p w14:paraId="0A3CFBE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④加强企业管理，指定专人负责，一旦发生事故，及时做出反应，以避</w:t>
            </w:r>
            <w:r>
              <w:rPr>
                <w:color w:val="auto"/>
                <w:spacing w:val="-3"/>
                <w:sz w:val="24"/>
                <w:szCs w:val="24"/>
              </w:rPr>
              <w:t>免事故扩大化。</w:t>
            </w:r>
          </w:p>
          <w:p w14:paraId="619C4E67">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2</w:t>
            </w:r>
            <w:r>
              <w:rPr>
                <w:color w:val="auto"/>
                <w:spacing w:val="-2"/>
                <w:position w:val="2"/>
                <w:sz w:val="24"/>
                <w:szCs w:val="24"/>
              </w:rPr>
              <w:t>）泄漏风险防范措施</w:t>
            </w:r>
          </w:p>
          <w:p w14:paraId="403D777E">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易燃品钢瓶存放容器应定期检查，确保其密闭性，并将其存放在通风阴凉处，远离火种、热源、防止阳光直射，搬</w:t>
            </w:r>
            <w:r>
              <w:rPr>
                <w:color w:val="auto"/>
                <w:spacing w:val="-1"/>
                <w:sz w:val="24"/>
                <w:szCs w:val="24"/>
              </w:rPr>
              <w:t>运时轻拿轻放，防止钢瓶受损。</w:t>
            </w:r>
          </w:p>
          <w:p w14:paraId="33910CE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3</w:t>
            </w:r>
            <w:r>
              <w:rPr>
                <w:color w:val="auto"/>
                <w:spacing w:val="-2"/>
                <w:position w:val="2"/>
                <w:sz w:val="24"/>
                <w:szCs w:val="24"/>
              </w:rPr>
              <w:t>）火灾应急处理措施</w:t>
            </w:r>
          </w:p>
          <w:p w14:paraId="54414851">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color w:val="auto"/>
                <w:sz w:val="24"/>
                <w:szCs w:val="24"/>
              </w:rPr>
            </w:pPr>
            <w:r>
              <w:rPr>
                <w:color w:val="auto"/>
                <w:spacing w:val="-5"/>
                <w:sz w:val="24"/>
                <w:szCs w:val="24"/>
              </w:rPr>
              <w:t>①一旦发生火灾事故，厂区职工应立即移开周围易燃物质，再进行</w:t>
            </w:r>
            <w:r>
              <w:rPr>
                <w:color w:val="auto"/>
                <w:spacing w:val="-6"/>
                <w:sz w:val="24"/>
                <w:szCs w:val="24"/>
              </w:rPr>
              <w:t>扑救，</w:t>
            </w:r>
            <w:r>
              <w:rPr>
                <w:color w:val="auto"/>
                <w:spacing w:val="-2"/>
                <w:sz w:val="24"/>
                <w:szCs w:val="24"/>
              </w:rPr>
              <w:t>灭火时应从四周向中间扑灭。</w:t>
            </w:r>
          </w:p>
          <w:p w14:paraId="0E78CB45">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②若火灾由电路引起，应立即切断总电源，用干粉灭火器扑灭，严禁用水。火势扑灭后应报维修人员进行全厂检修，确保设备及电路无故障后再投</w:t>
            </w:r>
            <w:r>
              <w:rPr>
                <w:color w:val="auto"/>
                <w:spacing w:val="-3"/>
                <w:sz w:val="24"/>
                <w:szCs w:val="24"/>
              </w:rPr>
              <w:t>入研发。</w:t>
            </w:r>
          </w:p>
          <w:p w14:paraId="04E4FED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b/>
                <w:color w:val="auto"/>
                <w:sz w:val="24"/>
                <w:highlight w:val="none"/>
              </w:rPr>
            </w:pPr>
            <w:r>
              <w:rPr>
                <w:color w:val="auto"/>
                <w:sz w:val="24"/>
                <w:szCs w:val="24"/>
              </w:rPr>
              <w:t>③若火灾由生产引起，应视情况进行处理。当火势较小，应立即用石棉</w:t>
            </w:r>
            <w:r>
              <w:rPr>
                <w:color w:val="auto"/>
                <w:spacing w:val="-2"/>
                <w:sz w:val="24"/>
                <w:szCs w:val="24"/>
              </w:rPr>
              <w:t>布或湿布盖灭；若火势较大无法控制，应立即疏散员工，并拨打</w:t>
            </w:r>
            <w:r>
              <w:rPr>
                <w:rFonts w:ascii="Times New Roman" w:hAnsi="Times New Roman" w:eastAsia="Times New Roman" w:cs="Times New Roman"/>
                <w:color w:val="auto"/>
                <w:spacing w:val="-2"/>
                <w:sz w:val="24"/>
                <w:szCs w:val="24"/>
              </w:rPr>
              <w:t>119</w:t>
            </w:r>
            <w:r>
              <w:rPr>
                <w:color w:val="auto"/>
                <w:spacing w:val="-2"/>
                <w:sz w:val="24"/>
                <w:szCs w:val="24"/>
              </w:rPr>
              <w:t>。</w:t>
            </w:r>
          </w:p>
          <w:p w14:paraId="03054F53">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4</w:t>
            </w:r>
            <w:r>
              <w:rPr>
                <w:color w:val="auto"/>
                <w:spacing w:val="-2"/>
                <w:position w:val="2"/>
                <w:sz w:val="24"/>
                <w:szCs w:val="24"/>
              </w:rPr>
              <w:t>）泄漏应急处理措施</w:t>
            </w:r>
          </w:p>
          <w:p w14:paraId="331F1BB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迅速撤离泄漏污染区人员至上风处，并进行隔离，严格限值出入。切断火源，建议应急人员戴自给正压式呼吸器，穿一般作业工作服。避免与可燃</w:t>
            </w:r>
            <w:r>
              <w:rPr>
                <w:color w:val="auto"/>
                <w:spacing w:val="2"/>
                <w:sz w:val="24"/>
                <w:szCs w:val="24"/>
              </w:rPr>
              <w:t>物或易燃物接触，尽可能切断泄漏源，合理通风，加速扩散。泄漏容器要</w:t>
            </w:r>
            <w:r>
              <w:rPr>
                <w:color w:val="auto"/>
                <w:spacing w:val="-1"/>
                <w:sz w:val="24"/>
                <w:szCs w:val="24"/>
              </w:rPr>
              <w:t>妥善处理、修复、检验后再用。注意速冻低温，避免高浓度吸入。</w:t>
            </w:r>
          </w:p>
          <w:p w14:paraId="55881EA9">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sz w:val="24"/>
                <w:szCs w:val="24"/>
              </w:rPr>
            </w:pPr>
            <w:r>
              <w:rPr>
                <w:color w:val="auto"/>
                <w:spacing w:val="-3"/>
                <w:position w:val="2"/>
                <w:sz w:val="24"/>
                <w:szCs w:val="24"/>
              </w:rPr>
              <w:t>（</w:t>
            </w:r>
            <w:r>
              <w:rPr>
                <w:rFonts w:hint="eastAsia"/>
                <w:color w:val="auto"/>
                <w:spacing w:val="-3"/>
                <w:position w:val="2"/>
                <w:sz w:val="24"/>
                <w:szCs w:val="24"/>
                <w:lang w:val="en-US" w:eastAsia="zh-CN"/>
              </w:rPr>
              <w:t>5</w:t>
            </w:r>
            <w:r>
              <w:rPr>
                <w:color w:val="auto"/>
                <w:spacing w:val="-3"/>
                <w:position w:val="2"/>
                <w:sz w:val="24"/>
                <w:szCs w:val="24"/>
              </w:rPr>
              <w:t>）应急要求</w:t>
            </w:r>
          </w:p>
          <w:p w14:paraId="38492F7E">
            <w:pPr>
              <w:pStyle w:val="76"/>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sz w:val="24"/>
                <w:szCs w:val="24"/>
              </w:rPr>
            </w:pPr>
            <w:r>
              <w:rPr>
                <w:color w:val="auto"/>
                <w:sz w:val="24"/>
                <w:szCs w:val="24"/>
              </w:rPr>
              <w:t>本项目针对环境风险事故采取多种防范措施，可将风险事故的概率降至较低的水平，但概率不会降为零，一旦发生事故仍需采取应急措施，控制和减少事故危害，根据原环境保护部发布的《企业突发环境事件风险评估指南</w:t>
            </w:r>
            <w:r>
              <w:rPr>
                <w:rFonts w:ascii="Times New Roman" w:hAnsi="Times New Roman" w:eastAsia="Times New Roman" w:cs="Times New Roman"/>
                <w:color w:val="auto"/>
                <w:spacing w:val="-4"/>
                <w:sz w:val="24"/>
                <w:szCs w:val="24"/>
              </w:rPr>
              <w:t>(</w:t>
            </w:r>
            <w:r>
              <w:rPr>
                <w:color w:val="auto"/>
                <w:spacing w:val="-4"/>
                <w:sz w:val="24"/>
                <w:szCs w:val="24"/>
              </w:rPr>
              <w:t>试行</w:t>
            </w:r>
            <w:r>
              <w:rPr>
                <w:rFonts w:ascii="Times New Roman" w:hAnsi="Times New Roman" w:eastAsia="Times New Roman" w:cs="Times New Roman"/>
                <w:color w:val="auto"/>
                <w:spacing w:val="-4"/>
                <w:sz w:val="24"/>
                <w:szCs w:val="24"/>
              </w:rPr>
              <w:t>)</w:t>
            </w:r>
            <w:r>
              <w:rPr>
                <w:color w:val="auto"/>
                <w:spacing w:val="-4"/>
                <w:sz w:val="24"/>
                <w:szCs w:val="24"/>
              </w:rPr>
              <w:t>》</w:t>
            </w:r>
            <w:r>
              <w:rPr>
                <w:rFonts w:ascii="Times New Roman" w:hAnsi="Times New Roman" w:eastAsia="Times New Roman" w:cs="Times New Roman"/>
                <w:color w:val="auto"/>
                <w:spacing w:val="-4"/>
                <w:sz w:val="24"/>
                <w:szCs w:val="24"/>
              </w:rPr>
              <w:t>(</w:t>
            </w:r>
            <w:r>
              <w:rPr>
                <w:color w:val="auto"/>
                <w:spacing w:val="-4"/>
                <w:sz w:val="24"/>
                <w:szCs w:val="24"/>
              </w:rPr>
              <w:t>环办</w:t>
            </w:r>
            <w:r>
              <w:rPr>
                <w:rFonts w:ascii="Times New Roman" w:hAnsi="Times New Roman" w:eastAsia="Times New Roman" w:cs="Times New Roman"/>
                <w:color w:val="auto"/>
                <w:spacing w:val="-4"/>
                <w:sz w:val="24"/>
                <w:szCs w:val="24"/>
              </w:rPr>
              <w:t>[2014]34</w:t>
            </w:r>
            <w:r>
              <w:rPr>
                <w:color w:val="auto"/>
                <w:spacing w:val="-4"/>
                <w:sz w:val="24"/>
                <w:szCs w:val="24"/>
              </w:rPr>
              <w:t>号</w:t>
            </w:r>
            <w:r>
              <w:rPr>
                <w:rFonts w:ascii="Times New Roman" w:hAnsi="Times New Roman" w:eastAsia="Times New Roman" w:cs="Times New Roman"/>
                <w:color w:val="auto"/>
                <w:spacing w:val="-4"/>
                <w:sz w:val="24"/>
                <w:szCs w:val="24"/>
              </w:rPr>
              <w:t>)</w:t>
            </w:r>
            <w:r>
              <w:rPr>
                <w:color w:val="auto"/>
                <w:spacing w:val="-4"/>
                <w:sz w:val="24"/>
                <w:szCs w:val="24"/>
              </w:rPr>
              <w:t>、《突发环境事件应急管理办法》</w:t>
            </w:r>
            <w:r>
              <w:rPr>
                <w:rFonts w:ascii="Times New Roman" w:hAnsi="Times New Roman" w:eastAsia="Times New Roman" w:cs="Times New Roman"/>
                <w:color w:val="auto"/>
                <w:spacing w:val="-4"/>
                <w:sz w:val="24"/>
                <w:szCs w:val="24"/>
              </w:rPr>
              <w:t>(</w:t>
            </w:r>
            <w:r>
              <w:rPr>
                <w:color w:val="auto"/>
                <w:spacing w:val="-4"/>
                <w:sz w:val="24"/>
                <w:szCs w:val="24"/>
              </w:rPr>
              <w:t>原环境保</w:t>
            </w:r>
            <w:r>
              <w:rPr>
                <w:color w:val="auto"/>
                <w:spacing w:val="-5"/>
                <w:sz w:val="24"/>
                <w:szCs w:val="24"/>
              </w:rPr>
              <w:t>护部令</w:t>
            </w:r>
            <w:r>
              <w:rPr>
                <w:rFonts w:ascii="Times New Roman" w:hAnsi="Times New Roman" w:eastAsia="Times New Roman" w:cs="Times New Roman"/>
                <w:color w:val="auto"/>
                <w:spacing w:val="3"/>
                <w:sz w:val="24"/>
                <w:szCs w:val="24"/>
              </w:rPr>
              <w:t>34</w:t>
            </w:r>
            <w:r>
              <w:rPr>
                <w:color w:val="auto"/>
                <w:spacing w:val="3"/>
                <w:sz w:val="24"/>
                <w:szCs w:val="24"/>
              </w:rPr>
              <w:t>号</w:t>
            </w:r>
            <w:r>
              <w:rPr>
                <w:rFonts w:ascii="Times New Roman" w:hAnsi="Times New Roman" w:eastAsia="Times New Roman" w:cs="Times New Roman"/>
                <w:color w:val="auto"/>
                <w:spacing w:val="3"/>
                <w:sz w:val="24"/>
                <w:szCs w:val="24"/>
              </w:rPr>
              <w:t>)</w:t>
            </w:r>
            <w:r>
              <w:rPr>
                <w:color w:val="auto"/>
                <w:spacing w:val="3"/>
                <w:sz w:val="24"/>
                <w:szCs w:val="24"/>
              </w:rPr>
              <w:t>和《企业事业单位突发环境事件应急预案备案</w:t>
            </w:r>
            <w:r>
              <w:rPr>
                <w:color w:val="auto"/>
                <w:spacing w:val="2"/>
                <w:sz w:val="24"/>
                <w:szCs w:val="24"/>
              </w:rPr>
              <w:t>管理办法</w:t>
            </w:r>
            <w:r>
              <w:rPr>
                <w:rFonts w:ascii="Times New Roman" w:hAnsi="Times New Roman" w:eastAsia="Times New Roman" w:cs="Times New Roman"/>
                <w:color w:val="auto"/>
                <w:spacing w:val="2"/>
                <w:sz w:val="24"/>
                <w:szCs w:val="24"/>
              </w:rPr>
              <w:t>(</w:t>
            </w:r>
            <w:r>
              <w:rPr>
                <w:color w:val="auto"/>
                <w:spacing w:val="2"/>
                <w:sz w:val="24"/>
                <w:szCs w:val="24"/>
              </w:rPr>
              <w:t>试行</w:t>
            </w:r>
            <w:r>
              <w:rPr>
                <w:rFonts w:ascii="Times New Roman" w:hAnsi="Times New Roman" w:eastAsia="Times New Roman" w:cs="Times New Roman"/>
                <w:color w:val="auto"/>
                <w:spacing w:val="2"/>
                <w:sz w:val="24"/>
                <w:szCs w:val="24"/>
              </w:rPr>
              <w:t>)</w:t>
            </w:r>
            <w:r>
              <w:rPr>
                <w:color w:val="auto"/>
                <w:spacing w:val="2"/>
                <w:sz w:val="24"/>
                <w:szCs w:val="24"/>
              </w:rPr>
              <w:t>》</w:t>
            </w:r>
            <w:r>
              <w:rPr>
                <w:rFonts w:ascii="Times New Roman" w:hAnsi="Times New Roman" w:eastAsia="Times New Roman" w:cs="Times New Roman"/>
                <w:color w:val="auto"/>
                <w:spacing w:val="2"/>
                <w:sz w:val="24"/>
                <w:szCs w:val="24"/>
              </w:rPr>
              <w:t>(</w:t>
            </w:r>
            <w:r>
              <w:rPr>
                <w:color w:val="auto"/>
                <w:spacing w:val="2"/>
                <w:sz w:val="24"/>
                <w:szCs w:val="24"/>
              </w:rPr>
              <w:t>环发</w:t>
            </w:r>
            <w:r>
              <w:rPr>
                <w:rFonts w:ascii="Times New Roman" w:hAnsi="Times New Roman" w:eastAsia="Times New Roman" w:cs="Times New Roman"/>
                <w:color w:val="auto"/>
                <w:spacing w:val="2"/>
                <w:sz w:val="24"/>
                <w:szCs w:val="24"/>
              </w:rPr>
              <w:t>[2015]4</w:t>
            </w:r>
            <w:r>
              <w:rPr>
                <w:color w:val="auto"/>
                <w:spacing w:val="2"/>
                <w:sz w:val="24"/>
                <w:szCs w:val="24"/>
              </w:rPr>
              <w:t>号</w:t>
            </w:r>
            <w:r>
              <w:rPr>
                <w:rFonts w:ascii="Times New Roman" w:hAnsi="Times New Roman" w:eastAsia="Times New Roman" w:cs="Times New Roman"/>
                <w:color w:val="auto"/>
                <w:spacing w:val="2"/>
                <w:sz w:val="24"/>
                <w:szCs w:val="24"/>
              </w:rPr>
              <w:t>)</w:t>
            </w:r>
            <w:r>
              <w:rPr>
                <w:color w:val="auto"/>
                <w:spacing w:val="2"/>
                <w:sz w:val="24"/>
                <w:szCs w:val="24"/>
              </w:rPr>
              <w:t>要求，应根据项目生产过程存在的风险事故类型，制定适</w:t>
            </w:r>
            <w:r>
              <w:rPr>
                <w:color w:val="auto"/>
                <w:spacing w:val="1"/>
                <w:sz w:val="24"/>
                <w:szCs w:val="24"/>
              </w:rPr>
              <w:t>用于本</w:t>
            </w:r>
            <w:r>
              <w:rPr>
                <w:color w:val="auto"/>
                <w:sz w:val="24"/>
                <w:szCs w:val="24"/>
              </w:rPr>
              <w:t>项目的环境风险应急预案并向当地生态环境主管部门备案。本次评价提出应</w:t>
            </w:r>
            <w:r>
              <w:rPr>
                <w:color w:val="auto"/>
                <w:spacing w:val="-1"/>
                <w:sz w:val="24"/>
                <w:szCs w:val="24"/>
              </w:rPr>
              <w:t>急预案纲要，供企业及管理部门参考。</w:t>
            </w:r>
          </w:p>
          <w:p w14:paraId="7DE73A63">
            <w:pPr>
              <w:pStyle w:val="76"/>
              <w:spacing w:before="36" w:line="220" w:lineRule="auto"/>
              <w:ind w:left="3108"/>
              <w:rPr>
                <w:color w:val="auto"/>
                <w:sz w:val="24"/>
                <w:szCs w:val="24"/>
              </w:rPr>
            </w:pPr>
            <w:r>
              <w:rPr>
                <w:b/>
                <w:bCs/>
                <w:color w:val="auto"/>
                <w:spacing w:val="-2"/>
                <w:sz w:val="24"/>
                <w:szCs w:val="24"/>
              </w:rPr>
              <w:t>表</w:t>
            </w:r>
            <w:r>
              <w:rPr>
                <w:rFonts w:ascii="Times New Roman" w:hAnsi="Times New Roman" w:eastAsia="Times New Roman" w:cs="Times New Roman"/>
                <w:b/>
                <w:bCs/>
                <w:color w:val="auto"/>
                <w:spacing w:val="-2"/>
                <w:sz w:val="24"/>
                <w:szCs w:val="24"/>
              </w:rPr>
              <w:t>4-</w:t>
            </w:r>
            <w:r>
              <w:rPr>
                <w:rFonts w:hint="eastAsia" w:ascii="Times New Roman" w:hAnsi="Times New Roman" w:eastAsia="宋体" w:cs="Times New Roman"/>
                <w:b/>
                <w:bCs/>
                <w:color w:val="auto"/>
                <w:spacing w:val="-2"/>
                <w:sz w:val="24"/>
                <w:szCs w:val="24"/>
                <w:lang w:val="en-US" w:eastAsia="zh-CN"/>
              </w:rPr>
              <w:t>14</w:t>
            </w:r>
            <w:r>
              <w:rPr>
                <w:b/>
                <w:bCs/>
                <w:color w:val="auto"/>
                <w:spacing w:val="-2"/>
                <w:sz w:val="24"/>
                <w:szCs w:val="24"/>
              </w:rPr>
              <w:t>应急预案内容</w:t>
            </w:r>
          </w:p>
          <w:p w14:paraId="6D8A91A1">
            <w:pPr>
              <w:spacing w:line="19" w:lineRule="exact"/>
              <w:rPr>
                <w:color w:val="auto"/>
              </w:rPr>
            </w:pPr>
          </w:p>
          <w:tbl>
            <w:tblPr>
              <w:tblStyle w:val="7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6"/>
              <w:gridCol w:w="2108"/>
              <w:gridCol w:w="4969"/>
            </w:tblGrid>
            <w:tr w14:paraId="27D03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436" w:type="pct"/>
                  <w:tcBorders>
                    <w:top w:val="single" w:color="000000" w:sz="10" w:space="0"/>
                    <w:left w:val="single" w:color="000000" w:sz="10" w:space="0"/>
                  </w:tcBorders>
                  <w:vAlign w:val="center"/>
                </w:tcPr>
                <w:p w14:paraId="3606CCE6">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序号</w:t>
                  </w:r>
                </w:p>
              </w:tc>
              <w:tc>
                <w:tcPr>
                  <w:tcW w:w="1359" w:type="pct"/>
                  <w:tcBorders>
                    <w:top w:val="single" w:color="000000" w:sz="10" w:space="0"/>
                  </w:tcBorders>
                  <w:vAlign w:val="center"/>
                </w:tcPr>
                <w:p w14:paraId="3BF368BE">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项目</w:t>
                  </w:r>
                </w:p>
              </w:tc>
              <w:tc>
                <w:tcPr>
                  <w:tcW w:w="3204" w:type="pct"/>
                  <w:tcBorders>
                    <w:top w:val="single" w:color="000000" w:sz="10" w:space="0"/>
                    <w:right w:val="single" w:color="000000" w:sz="10" w:space="0"/>
                  </w:tcBorders>
                  <w:vAlign w:val="center"/>
                </w:tcPr>
                <w:p w14:paraId="5C4FCF1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内容及要求</w:t>
                  </w:r>
                </w:p>
              </w:tc>
            </w:tr>
            <w:tr w14:paraId="73F58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36" w:type="pct"/>
                  <w:tcBorders>
                    <w:left w:val="single" w:color="000000" w:sz="10" w:space="0"/>
                  </w:tcBorders>
                  <w:vAlign w:val="center"/>
                </w:tcPr>
                <w:p w14:paraId="56FF3D7E">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c>
                <w:tcPr>
                  <w:tcW w:w="1359" w:type="pct"/>
                  <w:vAlign w:val="center"/>
                </w:tcPr>
                <w:p w14:paraId="2494CD0A">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应急计划区</w:t>
                  </w:r>
                </w:p>
              </w:tc>
              <w:tc>
                <w:tcPr>
                  <w:tcW w:w="3204" w:type="pct"/>
                  <w:tcBorders>
                    <w:right w:val="single" w:color="000000" w:sz="10" w:space="0"/>
                  </w:tcBorders>
                  <w:vAlign w:val="center"/>
                </w:tcPr>
                <w:p w14:paraId="7545B97E">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危险目标，特置区、环境保护目标</w:t>
                  </w:r>
                </w:p>
              </w:tc>
            </w:tr>
            <w:tr w14:paraId="5DAB7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36" w:type="pct"/>
                  <w:tcBorders>
                    <w:left w:val="single" w:color="000000" w:sz="10" w:space="0"/>
                  </w:tcBorders>
                  <w:vAlign w:val="center"/>
                </w:tcPr>
                <w:p w14:paraId="6D94E51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2</w:t>
                  </w:r>
                </w:p>
              </w:tc>
              <w:tc>
                <w:tcPr>
                  <w:tcW w:w="1359" w:type="pct"/>
                  <w:vAlign w:val="center"/>
                </w:tcPr>
                <w:p w14:paraId="63D2593D">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应急组织机构、人员</w:t>
                  </w:r>
                </w:p>
              </w:tc>
              <w:tc>
                <w:tcPr>
                  <w:tcW w:w="3204" w:type="pct"/>
                  <w:tcBorders>
                    <w:right w:val="single" w:color="000000" w:sz="10" w:space="0"/>
                  </w:tcBorders>
                  <w:vAlign w:val="center"/>
                </w:tcPr>
                <w:p w14:paraId="4C6B49A6">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工厂、地区应急组织机构、人员</w:t>
                  </w:r>
                </w:p>
              </w:tc>
            </w:tr>
            <w:tr w14:paraId="7720F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36" w:type="pct"/>
                  <w:tcBorders>
                    <w:left w:val="single" w:color="000000" w:sz="10" w:space="0"/>
                  </w:tcBorders>
                  <w:vAlign w:val="center"/>
                </w:tcPr>
                <w:p w14:paraId="3615C49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3</w:t>
                  </w:r>
                </w:p>
              </w:tc>
              <w:tc>
                <w:tcPr>
                  <w:tcW w:w="1359" w:type="pct"/>
                  <w:vAlign w:val="center"/>
                </w:tcPr>
                <w:p w14:paraId="1D5D713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预案分级响应条件</w:t>
                  </w:r>
                </w:p>
              </w:tc>
              <w:tc>
                <w:tcPr>
                  <w:tcW w:w="3204" w:type="pct"/>
                  <w:tcBorders>
                    <w:right w:val="single" w:color="000000" w:sz="10" w:space="0"/>
                  </w:tcBorders>
                  <w:vAlign w:val="center"/>
                </w:tcPr>
                <w:p w14:paraId="108D273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规定预案的级别及分级响应程序</w:t>
                  </w:r>
                </w:p>
              </w:tc>
            </w:tr>
            <w:tr w14:paraId="148D7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36" w:type="pct"/>
                  <w:tcBorders>
                    <w:left w:val="single" w:color="000000" w:sz="10" w:space="0"/>
                  </w:tcBorders>
                  <w:vAlign w:val="center"/>
                </w:tcPr>
                <w:p w14:paraId="3835655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4</w:t>
                  </w:r>
                </w:p>
              </w:tc>
              <w:tc>
                <w:tcPr>
                  <w:tcW w:w="1359" w:type="pct"/>
                  <w:vAlign w:val="center"/>
                </w:tcPr>
                <w:p w14:paraId="303A5277">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应急救援保障</w:t>
                  </w:r>
                </w:p>
              </w:tc>
              <w:tc>
                <w:tcPr>
                  <w:tcW w:w="3204" w:type="pct"/>
                  <w:tcBorders>
                    <w:right w:val="single" w:color="000000" w:sz="10" w:space="0"/>
                  </w:tcBorders>
                  <w:vAlign w:val="center"/>
                </w:tcPr>
                <w:p w14:paraId="0C8EFAB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应急设施，设备与器材等</w:t>
                  </w:r>
                </w:p>
              </w:tc>
            </w:tr>
            <w:tr w14:paraId="76951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36" w:type="pct"/>
                  <w:tcBorders>
                    <w:left w:val="single" w:color="000000" w:sz="10" w:space="0"/>
                  </w:tcBorders>
                  <w:vAlign w:val="center"/>
                </w:tcPr>
                <w:p w14:paraId="6F35AB70">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w:t>
                  </w:r>
                </w:p>
              </w:tc>
              <w:tc>
                <w:tcPr>
                  <w:tcW w:w="1359" w:type="pct"/>
                  <w:vAlign w:val="center"/>
                </w:tcPr>
                <w:p w14:paraId="2B3A7254">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报警、通讯联络方式</w:t>
                  </w:r>
                </w:p>
              </w:tc>
              <w:tc>
                <w:tcPr>
                  <w:tcW w:w="3204" w:type="pct"/>
                  <w:tcBorders>
                    <w:right w:val="single" w:color="000000" w:sz="10" w:space="0"/>
                  </w:tcBorders>
                  <w:vAlign w:val="center"/>
                </w:tcPr>
                <w:p w14:paraId="56AE269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规定应急状态下的报警通讯方式和交通保障、管制</w:t>
                  </w:r>
                </w:p>
              </w:tc>
            </w:tr>
            <w:tr w14:paraId="3F2AF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36" w:type="pct"/>
                  <w:tcBorders>
                    <w:left w:val="single" w:color="000000" w:sz="10" w:space="0"/>
                  </w:tcBorders>
                  <w:vAlign w:val="center"/>
                </w:tcPr>
                <w:p w14:paraId="4950143A">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6</w:t>
                  </w:r>
                </w:p>
              </w:tc>
              <w:tc>
                <w:tcPr>
                  <w:tcW w:w="1359" w:type="pct"/>
                  <w:vAlign w:val="center"/>
                </w:tcPr>
                <w:p w14:paraId="5AED8E4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应急环境监测、抢险、救援及控制措施</w:t>
                  </w:r>
                </w:p>
              </w:tc>
              <w:tc>
                <w:tcPr>
                  <w:tcW w:w="3204" w:type="pct"/>
                  <w:tcBorders>
                    <w:right w:val="single" w:color="000000" w:sz="10" w:space="0"/>
                  </w:tcBorders>
                  <w:vAlign w:val="center"/>
                </w:tcPr>
                <w:p w14:paraId="34CD4049">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由专业队伍负责对事故现场进行整侦察监测，对事故性质、参数与后果进行评估，为指挥部门提供决策依据</w:t>
                  </w:r>
                </w:p>
              </w:tc>
            </w:tr>
            <w:tr w14:paraId="394A8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36" w:type="pct"/>
                  <w:tcBorders>
                    <w:left w:val="single" w:color="000000" w:sz="10" w:space="0"/>
                  </w:tcBorders>
                  <w:vAlign w:val="center"/>
                </w:tcPr>
                <w:p w14:paraId="68D44CD5">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7</w:t>
                  </w:r>
                </w:p>
              </w:tc>
              <w:tc>
                <w:tcPr>
                  <w:tcW w:w="1359" w:type="pct"/>
                  <w:vAlign w:val="center"/>
                </w:tcPr>
                <w:p w14:paraId="789B8074">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应急检测、防护措施</w:t>
                  </w:r>
                </w:p>
              </w:tc>
              <w:tc>
                <w:tcPr>
                  <w:tcW w:w="3204" w:type="pct"/>
                  <w:tcBorders>
                    <w:right w:val="single" w:color="000000" w:sz="10" w:space="0"/>
                  </w:tcBorders>
                  <w:vAlign w:val="center"/>
                </w:tcPr>
                <w:p w14:paraId="4F58457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事故现场、临近区域、控制防火区域，控制和清除污染措施及相应设备</w:t>
                  </w:r>
                </w:p>
              </w:tc>
            </w:tr>
            <w:tr w14:paraId="71500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36" w:type="pct"/>
                  <w:tcBorders>
                    <w:left w:val="single" w:color="000000" w:sz="10" w:space="0"/>
                  </w:tcBorders>
                  <w:vAlign w:val="center"/>
                </w:tcPr>
                <w:p w14:paraId="7953CEDD">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8</w:t>
                  </w:r>
                </w:p>
              </w:tc>
              <w:tc>
                <w:tcPr>
                  <w:tcW w:w="1359" w:type="pct"/>
                  <w:vAlign w:val="center"/>
                </w:tcPr>
                <w:p w14:paraId="4F4CFDDA">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人员紧急撤离、疏散，</w:t>
                  </w:r>
                </w:p>
                <w:p w14:paraId="32F1DDE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应急计量控制、撤离组</w:t>
                  </w:r>
                </w:p>
                <w:p w14:paraId="61BC08D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织计划</w:t>
                  </w:r>
                </w:p>
              </w:tc>
              <w:tc>
                <w:tcPr>
                  <w:tcW w:w="3204" w:type="pct"/>
                  <w:tcBorders>
                    <w:right w:val="single" w:color="000000" w:sz="10" w:space="0"/>
                  </w:tcBorders>
                  <w:vAlign w:val="center"/>
                </w:tcPr>
                <w:p w14:paraId="3E2CD14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事故现场、工厂临近区、受事故影响的区域人员及公众对易燃物应急计量控制规定，撤离组织计划及救护，医</w:t>
                  </w:r>
                </w:p>
                <w:p w14:paraId="4EFC9FEF">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疗救护与公众健康</w:t>
                  </w:r>
                </w:p>
              </w:tc>
            </w:tr>
            <w:tr w14:paraId="0C671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36" w:type="pct"/>
                  <w:tcBorders>
                    <w:left w:val="single" w:color="000000" w:sz="10" w:space="0"/>
                  </w:tcBorders>
                  <w:vAlign w:val="center"/>
                </w:tcPr>
                <w:p w14:paraId="288A20A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9</w:t>
                  </w:r>
                </w:p>
              </w:tc>
              <w:tc>
                <w:tcPr>
                  <w:tcW w:w="1359" w:type="pct"/>
                  <w:vAlign w:val="center"/>
                </w:tcPr>
                <w:p w14:paraId="4A62F93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事故应急救援关闭程序与恢复措施</w:t>
                  </w:r>
                </w:p>
              </w:tc>
              <w:tc>
                <w:tcPr>
                  <w:tcW w:w="3204" w:type="pct"/>
                  <w:tcBorders>
                    <w:right w:val="single" w:color="000000" w:sz="10" w:space="0"/>
                  </w:tcBorders>
                  <w:vAlign w:val="center"/>
                </w:tcPr>
                <w:p w14:paraId="5349DD3A">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规定应急状态终止程序；事故现场善后处理，恢复措施；临近区域解除事故警戒及善后恢复措施</w:t>
                  </w:r>
                </w:p>
              </w:tc>
            </w:tr>
            <w:tr w14:paraId="442E1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436" w:type="pct"/>
                  <w:tcBorders>
                    <w:left w:val="single" w:color="000000" w:sz="10" w:space="0"/>
                    <w:bottom w:val="single" w:color="000000" w:sz="10" w:space="0"/>
                  </w:tcBorders>
                  <w:vAlign w:val="center"/>
                </w:tcPr>
                <w:p w14:paraId="054B0C2B">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10</w:t>
                  </w:r>
                </w:p>
              </w:tc>
              <w:tc>
                <w:tcPr>
                  <w:tcW w:w="1359" w:type="pct"/>
                  <w:tcBorders>
                    <w:bottom w:val="single" w:color="000000" w:sz="10" w:space="0"/>
                  </w:tcBorders>
                  <w:vAlign w:val="center"/>
                </w:tcPr>
                <w:p w14:paraId="4496B8F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应急培训计划</w:t>
                  </w:r>
                </w:p>
              </w:tc>
              <w:tc>
                <w:tcPr>
                  <w:tcW w:w="3204" w:type="pct"/>
                  <w:tcBorders>
                    <w:bottom w:val="single" w:color="000000" w:sz="10" w:space="0"/>
                    <w:right w:val="single" w:color="000000" w:sz="10" w:space="0"/>
                  </w:tcBorders>
                  <w:vAlign w:val="center"/>
                </w:tcPr>
                <w:p w14:paraId="671F025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应急计划制定后，平时安排人员培训与演练</w:t>
                  </w:r>
                </w:p>
              </w:tc>
            </w:tr>
          </w:tbl>
          <w:p w14:paraId="13F795EA">
            <w:pPr>
              <w:pStyle w:val="76"/>
              <w:keepNext w:val="0"/>
              <w:keepLines w:val="0"/>
              <w:pageBreakBefore w:val="0"/>
              <w:widowControl w:val="0"/>
              <w:kinsoku/>
              <w:wordWrap/>
              <w:overflowPunct/>
              <w:autoSpaceDE/>
              <w:autoSpaceDN/>
              <w:bidi w:val="0"/>
              <w:spacing w:line="360" w:lineRule="auto"/>
              <w:ind w:left="0" w:right="0" w:firstLine="468" w:firstLineChars="200"/>
              <w:textAlignment w:val="auto"/>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7</w:t>
            </w:r>
            <w:r>
              <w:rPr>
                <w:color w:val="auto"/>
                <w:spacing w:val="-3"/>
                <w:sz w:val="24"/>
                <w:szCs w:val="24"/>
              </w:rPr>
              <w:t>）应急监测</w:t>
            </w:r>
          </w:p>
          <w:p w14:paraId="5FE15FA3">
            <w:pPr>
              <w:pStyle w:val="76"/>
              <w:keepNext w:val="0"/>
              <w:keepLines w:val="0"/>
              <w:pageBreakBefore w:val="0"/>
              <w:widowControl w:val="0"/>
              <w:kinsoku/>
              <w:wordWrap/>
              <w:overflowPunct/>
              <w:autoSpaceDE/>
              <w:autoSpaceDN/>
              <w:bidi w:val="0"/>
              <w:spacing w:line="360" w:lineRule="auto"/>
              <w:ind w:left="0" w:right="0" w:firstLine="472" w:firstLineChars="200"/>
              <w:textAlignment w:val="auto"/>
              <w:rPr>
                <w:color w:val="auto"/>
                <w:sz w:val="24"/>
                <w:szCs w:val="24"/>
              </w:rPr>
            </w:pPr>
            <w:r>
              <w:rPr>
                <w:color w:val="auto"/>
                <w:spacing w:val="-2"/>
                <w:sz w:val="24"/>
                <w:szCs w:val="24"/>
              </w:rPr>
              <w:t>①监测项目</w:t>
            </w:r>
          </w:p>
          <w:p w14:paraId="3434998E">
            <w:pPr>
              <w:pStyle w:val="76"/>
              <w:keepNext w:val="0"/>
              <w:keepLines w:val="0"/>
              <w:pageBreakBefore w:val="0"/>
              <w:widowControl w:val="0"/>
              <w:kinsoku/>
              <w:wordWrap/>
              <w:overflowPunct/>
              <w:autoSpaceDE/>
              <w:autoSpaceDN/>
              <w:bidi w:val="0"/>
              <w:spacing w:line="360" w:lineRule="auto"/>
              <w:ind w:left="0" w:right="0" w:firstLine="464" w:firstLineChars="200"/>
              <w:textAlignment w:val="auto"/>
              <w:rPr>
                <w:color w:val="auto"/>
                <w:sz w:val="24"/>
                <w:szCs w:val="24"/>
              </w:rPr>
            </w:pPr>
            <w:r>
              <w:rPr>
                <w:color w:val="auto"/>
                <w:spacing w:val="-4"/>
                <w:position w:val="1"/>
                <w:sz w:val="24"/>
                <w:szCs w:val="24"/>
              </w:rPr>
              <w:t>环境空气：颗粒物；</w:t>
            </w:r>
          </w:p>
          <w:p w14:paraId="329871AE">
            <w:pPr>
              <w:pStyle w:val="76"/>
              <w:keepNext w:val="0"/>
              <w:keepLines w:val="0"/>
              <w:pageBreakBefore w:val="0"/>
              <w:widowControl w:val="0"/>
              <w:kinsoku/>
              <w:wordWrap/>
              <w:overflowPunct/>
              <w:autoSpaceDE/>
              <w:autoSpaceDN/>
              <w:bidi w:val="0"/>
              <w:spacing w:line="360" w:lineRule="auto"/>
              <w:ind w:left="0" w:right="0" w:firstLine="464" w:firstLineChars="200"/>
              <w:textAlignment w:val="auto"/>
              <w:rPr>
                <w:color w:val="auto"/>
                <w:sz w:val="24"/>
                <w:szCs w:val="24"/>
              </w:rPr>
            </w:pPr>
            <w:r>
              <w:rPr>
                <w:color w:val="auto"/>
                <w:spacing w:val="-4"/>
                <w:sz w:val="24"/>
                <w:szCs w:val="24"/>
              </w:rPr>
              <w:t>地表水：</w:t>
            </w:r>
            <w:r>
              <w:rPr>
                <w:rFonts w:ascii="Times New Roman" w:hAnsi="Times New Roman" w:eastAsia="Times New Roman" w:cs="Times New Roman"/>
                <w:color w:val="auto"/>
                <w:spacing w:val="-4"/>
                <w:sz w:val="24"/>
                <w:szCs w:val="24"/>
              </w:rPr>
              <w:t>pH</w:t>
            </w:r>
            <w:r>
              <w:rPr>
                <w:color w:val="auto"/>
                <w:spacing w:val="-4"/>
                <w:sz w:val="24"/>
                <w:szCs w:val="24"/>
              </w:rPr>
              <w:t>、</w:t>
            </w:r>
            <w:r>
              <w:rPr>
                <w:rFonts w:ascii="Times New Roman" w:hAnsi="Times New Roman" w:eastAsia="Times New Roman" w:cs="Times New Roman"/>
                <w:color w:val="auto"/>
                <w:spacing w:val="-4"/>
                <w:sz w:val="24"/>
                <w:szCs w:val="24"/>
              </w:rPr>
              <w:t>CODcr</w:t>
            </w:r>
            <w:r>
              <w:rPr>
                <w:color w:val="auto"/>
                <w:spacing w:val="-4"/>
                <w:sz w:val="24"/>
                <w:szCs w:val="24"/>
              </w:rPr>
              <w:t>、石油类等；</w:t>
            </w:r>
          </w:p>
          <w:p w14:paraId="7403DBCC">
            <w:pPr>
              <w:pStyle w:val="76"/>
              <w:keepNext w:val="0"/>
              <w:keepLines w:val="0"/>
              <w:pageBreakBefore w:val="0"/>
              <w:widowControl w:val="0"/>
              <w:kinsoku/>
              <w:wordWrap/>
              <w:overflowPunct/>
              <w:autoSpaceDE/>
              <w:autoSpaceDN/>
              <w:bidi w:val="0"/>
              <w:spacing w:line="360" w:lineRule="auto"/>
              <w:ind w:left="0" w:right="0" w:firstLine="468" w:firstLineChars="200"/>
              <w:textAlignment w:val="auto"/>
              <w:rPr>
                <w:color w:val="auto"/>
                <w:sz w:val="24"/>
                <w:szCs w:val="24"/>
              </w:rPr>
            </w:pPr>
            <w:r>
              <w:rPr>
                <w:color w:val="auto"/>
                <w:spacing w:val="-3"/>
                <w:sz w:val="24"/>
                <w:szCs w:val="24"/>
              </w:rPr>
              <w:t>土壤：</w:t>
            </w:r>
            <w:r>
              <w:rPr>
                <w:rFonts w:ascii="Times New Roman" w:hAnsi="Times New Roman" w:eastAsia="Times New Roman" w:cs="Times New Roman"/>
                <w:color w:val="auto"/>
                <w:spacing w:val="-3"/>
                <w:sz w:val="24"/>
                <w:szCs w:val="24"/>
              </w:rPr>
              <w:t>pH</w:t>
            </w:r>
            <w:r>
              <w:rPr>
                <w:color w:val="auto"/>
                <w:spacing w:val="-3"/>
                <w:sz w:val="24"/>
                <w:szCs w:val="24"/>
              </w:rPr>
              <w:t>、砷、镉、铬（六价）、铜、汞、镍、铅、石油烃等。</w:t>
            </w:r>
            <w:r>
              <w:rPr>
                <w:color w:val="auto"/>
                <w:spacing w:val="-2"/>
                <w:sz w:val="24"/>
                <w:szCs w:val="24"/>
              </w:rPr>
              <w:t>②监测区域</w:t>
            </w:r>
          </w:p>
          <w:p w14:paraId="06A646CA">
            <w:pPr>
              <w:keepNext w:val="0"/>
              <w:keepLines w:val="0"/>
              <w:pageBreakBefore w:val="0"/>
              <w:widowControl w:val="0"/>
              <w:kinsoku/>
              <w:wordWrap/>
              <w:overflowPunct/>
              <w:autoSpaceDE/>
              <w:autoSpaceDN/>
              <w:bidi w:val="0"/>
              <w:spacing w:line="360" w:lineRule="auto"/>
              <w:ind w:left="0" w:right="0" w:firstLine="476" w:firstLineChars="200"/>
              <w:textAlignment w:val="auto"/>
              <w:rPr>
                <w:b/>
                <w:color w:val="auto"/>
                <w:sz w:val="24"/>
                <w:highlight w:val="none"/>
              </w:rPr>
            </w:pPr>
            <w:r>
              <w:rPr>
                <w:color w:val="auto"/>
                <w:spacing w:val="-1"/>
                <w:position w:val="2"/>
                <w:sz w:val="24"/>
                <w:szCs w:val="24"/>
              </w:rPr>
              <w:t>大气环境：本项目周边区域</w:t>
            </w:r>
            <w:r>
              <w:rPr>
                <w:rFonts w:ascii="Times New Roman" w:hAnsi="Times New Roman" w:eastAsia="Times New Roman" w:cs="Times New Roman"/>
                <w:color w:val="auto"/>
                <w:spacing w:val="-1"/>
                <w:position w:val="2"/>
                <w:sz w:val="24"/>
                <w:szCs w:val="24"/>
              </w:rPr>
              <w:t>(</w:t>
            </w:r>
            <w:r>
              <w:rPr>
                <w:color w:val="auto"/>
                <w:spacing w:val="-1"/>
                <w:position w:val="2"/>
                <w:sz w:val="24"/>
                <w:szCs w:val="24"/>
              </w:rPr>
              <w:t>根据事故排放量定监测范围</w:t>
            </w:r>
            <w:r>
              <w:rPr>
                <w:rFonts w:ascii="Times New Roman" w:hAnsi="Times New Roman" w:eastAsia="Times New Roman" w:cs="Times New Roman"/>
                <w:color w:val="auto"/>
                <w:spacing w:val="-1"/>
                <w:position w:val="2"/>
                <w:sz w:val="24"/>
                <w:szCs w:val="24"/>
              </w:rPr>
              <w:t>)</w:t>
            </w:r>
            <w:r>
              <w:rPr>
                <w:color w:val="auto"/>
                <w:spacing w:val="-1"/>
                <w:position w:val="2"/>
                <w:sz w:val="24"/>
                <w:szCs w:val="24"/>
              </w:rPr>
              <w:t>；</w:t>
            </w:r>
          </w:p>
          <w:p w14:paraId="7D7537D2">
            <w:pPr>
              <w:pStyle w:val="76"/>
              <w:keepNext w:val="0"/>
              <w:keepLines w:val="0"/>
              <w:pageBreakBefore w:val="0"/>
              <w:widowControl w:val="0"/>
              <w:kinsoku/>
              <w:wordWrap/>
              <w:overflowPunct/>
              <w:autoSpaceDE/>
              <w:autoSpaceDN/>
              <w:bidi w:val="0"/>
              <w:spacing w:line="360" w:lineRule="auto"/>
              <w:ind w:left="0" w:right="0" w:firstLine="472" w:firstLineChars="200"/>
              <w:textAlignment w:val="auto"/>
              <w:rPr>
                <w:color w:val="auto"/>
                <w:sz w:val="24"/>
                <w:szCs w:val="24"/>
              </w:rPr>
            </w:pPr>
            <w:r>
              <w:rPr>
                <w:color w:val="auto"/>
                <w:spacing w:val="-2"/>
                <w:sz w:val="24"/>
                <w:szCs w:val="24"/>
              </w:rPr>
              <w:t>水环境：泄漏排污口</w:t>
            </w:r>
          </w:p>
          <w:p w14:paraId="2310129F">
            <w:pPr>
              <w:pStyle w:val="76"/>
              <w:keepNext w:val="0"/>
              <w:keepLines w:val="0"/>
              <w:pageBreakBefore w:val="0"/>
              <w:widowControl w:val="0"/>
              <w:kinsoku/>
              <w:wordWrap/>
              <w:overflowPunct/>
              <w:autoSpaceDE/>
              <w:autoSpaceDN/>
              <w:bidi w:val="0"/>
              <w:spacing w:line="360" w:lineRule="auto"/>
              <w:ind w:left="0" w:right="0" w:firstLine="476" w:firstLineChars="200"/>
              <w:textAlignment w:val="auto"/>
              <w:rPr>
                <w:color w:val="auto"/>
                <w:sz w:val="24"/>
                <w:szCs w:val="24"/>
              </w:rPr>
            </w:pPr>
            <w:r>
              <w:rPr>
                <w:color w:val="auto"/>
                <w:spacing w:val="-1"/>
                <w:position w:val="3"/>
                <w:sz w:val="24"/>
                <w:szCs w:val="24"/>
              </w:rPr>
              <w:t>土壤环境：本项目周边区域</w:t>
            </w:r>
            <w:r>
              <w:rPr>
                <w:rFonts w:ascii="Times New Roman" w:hAnsi="Times New Roman" w:eastAsia="Times New Roman" w:cs="Times New Roman"/>
                <w:color w:val="auto"/>
                <w:spacing w:val="-1"/>
                <w:position w:val="3"/>
                <w:sz w:val="24"/>
                <w:szCs w:val="24"/>
              </w:rPr>
              <w:t>(</w:t>
            </w:r>
            <w:r>
              <w:rPr>
                <w:color w:val="auto"/>
                <w:spacing w:val="-1"/>
                <w:position w:val="3"/>
                <w:sz w:val="24"/>
                <w:szCs w:val="24"/>
              </w:rPr>
              <w:t>根据事故排放量定监测范围</w:t>
            </w:r>
            <w:r>
              <w:rPr>
                <w:rFonts w:ascii="Times New Roman" w:hAnsi="Times New Roman" w:eastAsia="Times New Roman" w:cs="Times New Roman"/>
                <w:color w:val="auto"/>
                <w:spacing w:val="-1"/>
                <w:position w:val="3"/>
                <w:sz w:val="24"/>
                <w:szCs w:val="24"/>
              </w:rPr>
              <w:t>)</w:t>
            </w:r>
            <w:r>
              <w:rPr>
                <w:color w:val="auto"/>
                <w:spacing w:val="-1"/>
                <w:position w:val="3"/>
                <w:sz w:val="24"/>
                <w:szCs w:val="24"/>
              </w:rPr>
              <w:t>；</w:t>
            </w:r>
          </w:p>
          <w:p w14:paraId="0E3A284A">
            <w:pPr>
              <w:pStyle w:val="76"/>
              <w:keepNext w:val="0"/>
              <w:keepLines w:val="0"/>
              <w:pageBreakBefore w:val="0"/>
              <w:widowControl w:val="0"/>
              <w:kinsoku/>
              <w:wordWrap/>
              <w:overflowPunct/>
              <w:autoSpaceDE/>
              <w:autoSpaceDN/>
              <w:bidi w:val="0"/>
              <w:spacing w:line="360" w:lineRule="auto"/>
              <w:ind w:right="0"/>
              <w:textAlignment w:val="auto"/>
              <w:rPr>
                <w:color w:val="auto"/>
                <w:sz w:val="24"/>
                <w:szCs w:val="24"/>
              </w:rPr>
            </w:pPr>
            <w:r>
              <w:rPr>
                <w:rFonts w:ascii="Times New Roman" w:hAnsi="Times New Roman" w:eastAsia="Times New Roman" w:cs="Times New Roman"/>
                <w:b/>
                <w:bCs/>
                <w:color w:val="auto"/>
                <w:spacing w:val="-2"/>
                <w:sz w:val="24"/>
                <w:szCs w:val="24"/>
              </w:rPr>
              <w:t>7.4</w:t>
            </w:r>
            <w:r>
              <w:rPr>
                <w:b/>
                <w:bCs/>
                <w:color w:val="auto"/>
                <w:spacing w:val="-2"/>
                <w:sz w:val="24"/>
                <w:szCs w:val="24"/>
              </w:rPr>
              <w:t>环境风险评价结论</w:t>
            </w:r>
          </w:p>
          <w:p w14:paraId="2C5F0D54">
            <w:pPr>
              <w:pStyle w:val="76"/>
              <w:keepNext w:val="0"/>
              <w:keepLines w:val="0"/>
              <w:pageBreakBefore w:val="0"/>
              <w:widowControl w:val="0"/>
              <w:kinsoku/>
              <w:wordWrap/>
              <w:overflowPunct/>
              <w:autoSpaceDE/>
              <w:autoSpaceDN/>
              <w:bidi w:val="0"/>
              <w:spacing w:line="360" w:lineRule="auto"/>
              <w:ind w:left="0" w:right="0" w:firstLine="480" w:firstLineChars="200"/>
              <w:jc w:val="both"/>
              <w:textAlignment w:val="auto"/>
              <w:rPr>
                <w:color w:val="auto"/>
                <w:sz w:val="24"/>
                <w:szCs w:val="24"/>
              </w:rPr>
            </w:pPr>
            <w:r>
              <w:rPr>
                <w:color w:val="auto"/>
                <w:sz w:val="24"/>
                <w:szCs w:val="24"/>
              </w:rPr>
              <w:t>综合环境风险评价分析，本项目事故情况在最不利气象条件和最常见条件下，泄漏的物料对周边的人群居住区的居民影响较小，仅对厂区内的工作人员产生影响，对厂界外人员基本没有影响；泄露的物料对地表水和周边地下水环境无影响。因此，本项目在认真落实项目拟采取的安全措施及评价所提出的安全措施及安全对策后，项目的事故对周围</w:t>
            </w:r>
            <w:r>
              <w:rPr>
                <w:color w:val="auto"/>
                <w:spacing w:val="-1"/>
                <w:sz w:val="24"/>
                <w:szCs w:val="24"/>
              </w:rPr>
              <w:t>的影响是可以接受的。</w:t>
            </w:r>
          </w:p>
          <w:p w14:paraId="0ED75F50">
            <w:pPr>
              <w:keepNext w:val="0"/>
              <w:keepLines w:val="0"/>
              <w:pageBreakBefore w:val="0"/>
              <w:widowControl w:val="0"/>
              <w:kinsoku/>
              <w:wordWrap/>
              <w:overflowPunct/>
              <w:autoSpaceDE/>
              <w:autoSpaceDN/>
              <w:bidi w:val="0"/>
              <w:spacing w:line="360" w:lineRule="auto"/>
              <w:ind w:left="0" w:right="0" w:firstLine="482" w:firstLineChars="200"/>
              <w:textAlignment w:val="auto"/>
              <w:rPr>
                <w:b/>
                <w:bCs/>
                <w:color w:val="auto"/>
                <w:sz w:val="24"/>
                <w:highlight w:val="none"/>
              </w:rPr>
            </w:pPr>
            <w:r>
              <w:rPr>
                <w:b/>
                <w:bCs/>
                <w:color w:val="auto"/>
                <w:sz w:val="24"/>
                <w:highlight w:val="none"/>
              </w:rPr>
              <w:t>8环保投资分析</w:t>
            </w:r>
          </w:p>
          <w:p w14:paraId="1E34FAD0">
            <w:pPr>
              <w:keepNext w:val="0"/>
              <w:keepLines w:val="0"/>
              <w:pageBreakBefore w:val="0"/>
              <w:widowControl w:val="0"/>
              <w:kinsoku/>
              <w:wordWrap/>
              <w:overflowPunct/>
              <w:topLinePunct/>
              <w:autoSpaceDE/>
              <w:autoSpaceDN/>
              <w:bidi w:val="0"/>
              <w:adjustRightInd w:val="0"/>
              <w:snapToGrid w:val="0"/>
              <w:spacing w:line="360" w:lineRule="auto"/>
              <w:ind w:left="0" w:right="0" w:firstLine="480" w:firstLineChars="200"/>
              <w:jc w:val="left"/>
              <w:textAlignment w:val="auto"/>
              <w:rPr>
                <w:b/>
                <w:color w:val="auto"/>
                <w:szCs w:val="21"/>
                <w:highlight w:val="none"/>
              </w:rPr>
            </w:pPr>
            <w:r>
              <w:rPr>
                <w:color w:val="auto"/>
                <w:kern w:val="0"/>
                <w:sz w:val="24"/>
                <w:highlight w:val="none"/>
              </w:rPr>
              <w:t>本项目建成投产后，环保投资估算为</w:t>
            </w:r>
            <w:r>
              <w:rPr>
                <w:rFonts w:hint="eastAsia"/>
                <w:color w:val="auto"/>
                <w:kern w:val="0"/>
                <w:sz w:val="24"/>
                <w:highlight w:val="none"/>
                <w:lang w:val="en-US" w:eastAsia="zh-CN"/>
              </w:rPr>
              <w:t>186</w:t>
            </w:r>
            <w:r>
              <w:rPr>
                <w:color w:val="auto"/>
                <w:kern w:val="0"/>
                <w:sz w:val="24"/>
                <w:highlight w:val="none"/>
              </w:rPr>
              <w:t>万元，约占项目总投资</w:t>
            </w:r>
            <w:r>
              <w:rPr>
                <w:rFonts w:hint="eastAsia"/>
                <w:color w:val="auto"/>
                <w:sz w:val="24"/>
                <w:highlight w:val="none"/>
                <w:lang w:val="en-US" w:eastAsia="zh-CN"/>
              </w:rPr>
              <w:t>47081.38</w:t>
            </w:r>
            <w:r>
              <w:rPr>
                <w:color w:val="auto"/>
                <w:kern w:val="0"/>
                <w:sz w:val="24"/>
                <w:highlight w:val="none"/>
              </w:rPr>
              <w:t>万元的0.</w:t>
            </w:r>
            <w:r>
              <w:rPr>
                <w:rFonts w:hint="eastAsia"/>
                <w:color w:val="auto"/>
                <w:kern w:val="0"/>
                <w:sz w:val="24"/>
                <w:highlight w:val="none"/>
                <w:lang w:val="en-US" w:eastAsia="zh-CN"/>
              </w:rPr>
              <w:t>39</w:t>
            </w:r>
            <w:r>
              <w:rPr>
                <w:color w:val="auto"/>
                <w:kern w:val="0"/>
                <w:sz w:val="24"/>
                <w:highlight w:val="none"/>
              </w:rPr>
              <w:t>%。具体环保投资估算见</w:t>
            </w:r>
            <w:r>
              <w:rPr>
                <w:color w:val="auto"/>
                <w:sz w:val="24"/>
                <w:highlight w:val="none"/>
              </w:rPr>
              <w:t>表</w:t>
            </w:r>
            <w:r>
              <w:rPr>
                <w:rFonts w:hint="eastAsia"/>
                <w:color w:val="auto"/>
                <w:sz w:val="24"/>
                <w:highlight w:val="none"/>
                <w:lang w:val="en-US" w:eastAsia="zh-CN"/>
              </w:rPr>
              <w:t>4-15</w:t>
            </w:r>
            <w:r>
              <w:rPr>
                <w:color w:val="auto"/>
                <w:kern w:val="0"/>
                <w:sz w:val="24"/>
                <w:highlight w:val="none"/>
              </w:rPr>
              <w:t>。</w:t>
            </w:r>
          </w:p>
          <w:p w14:paraId="3040D36A">
            <w:pPr>
              <w:pStyle w:val="10"/>
              <w:spacing w:line="520" w:lineRule="exact"/>
              <w:rPr>
                <w:color w:val="auto"/>
                <w:sz w:val="21"/>
                <w:szCs w:val="21"/>
                <w:highlight w:val="none"/>
              </w:rPr>
            </w:pPr>
            <w:r>
              <w:rPr>
                <w:color w:val="auto"/>
                <w:sz w:val="21"/>
                <w:szCs w:val="21"/>
                <w:highlight w:val="none"/>
              </w:rPr>
              <w:t>表</w:t>
            </w:r>
            <w:r>
              <w:rPr>
                <w:rFonts w:hint="eastAsia"/>
                <w:color w:val="auto"/>
                <w:sz w:val="21"/>
                <w:szCs w:val="21"/>
                <w:highlight w:val="none"/>
                <w:lang w:val="en-US" w:eastAsia="zh-CN"/>
              </w:rPr>
              <w:t>4-15</w:t>
            </w:r>
            <w:r>
              <w:rPr>
                <w:color w:val="auto"/>
                <w:sz w:val="21"/>
                <w:szCs w:val="21"/>
                <w:highlight w:val="none"/>
              </w:rPr>
              <w:t>环境保护投资估算一览表</w:t>
            </w:r>
          </w:p>
          <w:tbl>
            <w:tblPr>
              <w:tblStyle w:val="74"/>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1"/>
              <w:gridCol w:w="1389"/>
              <w:gridCol w:w="4248"/>
              <w:gridCol w:w="1305"/>
            </w:tblGrid>
            <w:tr w14:paraId="5FD66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418" w:type="pct"/>
                  <w:gridSpan w:val="2"/>
                  <w:tcBorders>
                    <w:top w:val="single" w:color="000000" w:sz="10" w:space="0"/>
                    <w:left w:val="single" w:color="000000" w:sz="10" w:space="0"/>
                  </w:tcBorders>
                  <w:vAlign w:val="center"/>
                </w:tcPr>
                <w:p w14:paraId="06100647">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类别</w:t>
                  </w:r>
                </w:p>
              </w:tc>
              <w:tc>
                <w:tcPr>
                  <w:tcW w:w="2739" w:type="pct"/>
                  <w:tcBorders>
                    <w:top w:val="single" w:color="000000" w:sz="10" w:space="0"/>
                  </w:tcBorders>
                  <w:vAlign w:val="center"/>
                </w:tcPr>
                <w:p w14:paraId="777C08C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环保措施</w:t>
                  </w:r>
                </w:p>
              </w:tc>
              <w:tc>
                <w:tcPr>
                  <w:tcW w:w="841" w:type="pct"/>
                  <w:tcBorders>
                    <w:top w:val="single" w:color="000000" w:sz="10" w:space="0"/>
                  </w:tcBorders>
                  <w:vAlign w:val="center"/>
                </w:tcPr>
                <w:p w14:paraId="70D00BCF">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投资</w:t>
                  </w:r>
                </w:p>
                <w:p w14:paraId="7D040B9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（万元）</w:t>
                  </w:r>
                </w:p>
              </w:tc>
            </w:tr>
            <w:tr w14:paraId="60ADE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523" w:type="pct"/>
                  <w:vMerge w:val="restart"/>
                  <w:tcBorders>
                    <w:left w:val="single" w:color="000000" w:sz="10" w:space="0"/>
                    <w:bottom w:val="nil"/>
                  </w:tcBorders>
                  <w:vAlign w:val="center"/>
                </w:tcPr>
                <w:p w14:paraId="240B2A2B">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废气</w:t>
                  </w:r>
                </w:p>
              </w:tc>
              <w:tc>
                <w:tcPr>
                  <w:tcW w:w="895" w:type="pct"/>
                  <w:vMerge w:val="restart"/>
                  <w:tcBorders>
                    <w:bottom w:val="nil"/>
                  </w:tcBorders>
                  <w:vAlign w:val="center"/>
                </w:tcPr>
                <w:p w14:paraId="59147B5D">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施工期</w:t>
                  </w:r>
                </w:p>
              </w:tc>
              <w:tc>
                <w:tcPr>
                  <w:tcW w:w="2739" w:type="pct"/>
                  <w:vAlign w:val="center"/>
                </w:tcPr>
                <w:p w14:paraId="5541F884">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苫盖、洒水降尘</w:t>
                  </w:r>
                </w:p>
              </w:tc>
              <w:tc>
                <w:tcPr>
                  <w:tcW w:w="841" w:type="pct"/>
                  <w:vAlign w:val="center"/>
                </w:tcPr>
                <w:p w14:paraId="01A5191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2</w:t>
                  </w:r>
                </w:p>
              </w:tc>
            </w:tr>
            <w:tr w14:paraId="63826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523" w:type="pct"/>
                  <w:vMerge w:val="continue"/>
                  <w:tcBorders>
                    <w:top w:val="nil"/>
                    <w:left w:val="single" w:color="000000" w:sz="10" w:space="0"/>
                    <w:bottom w:val="nil"/>
                  </w:tcBorders>
                  <w:vAlign w:val="center"/>
                </w:tcPr>
                <w:p w14:paraId="4CB79123">
                  <w:pPr>
                    <w:pStyle w:val="70"/>
                    <w:jc w:val="center"/>
                    <w:rPr>
                      <w:rFonts w:hint="default" w:ascii="Times New Roman" w:hAnsi="Times New Roman" w:eastAsia="宋体" w:cs="Times New Roman"/>
                      <w:b w:val="0"/>
                      <w:bCs w:val="0"/>
                      <w:color w:val="auto"/>
                      <w:sz w:val="21"/>
                      <w:szCs w:val="21"/>
                      <w:highlight w:val="none"/>
                    </w:rPr>
                  </w:pPr>
                </w:p>
              </w:tc>
              <w:tc>
                <w:tcPr>
                  <w:tcW w:w="895" w:type="pct"/>
                  <w:vMerge w:val="continue"/>
                  <w:tcBorders>
                    <w:top w:val="nil"/>
                  </w:tcBorders>
                  <w:vAlign w:val="center"/>
                </w:tcPr>
                <w:p w14:paraId="545B05DF">
                  <w:pPr>
                    <w:pStyle w:val="70"/>
                    <w:jc w:val="center"/>
                    <w:rPr>
                      <w:rFonts w:hint="default" w:ascii="Times New Roman" w:hAnsi="Times New Roman" w:eastAsia="宋体" w:cs="Times New Roman"/>
                      <w:b w:val="0"/>
                      <w:bCs w:val="0"/>
                      <w:color w:val="auto"/>
                      <w:sz w:val="21"/>
                      <w:szCs w:val="21"/>
                      <w:highlight w:val="none"/>
                    </w:rPr>
                  </w:pPr>
                </w:p>
              </w:tc>
              <w:tc>
                <w:tcPr>
                  <w:tcW w:w="2739" w:type="pct"/>
                  <w:vAlign w:val="center"/>
                </w:tcPr>
                <w:p w14:paraId="462F226C">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围栏或部分围栏</w:t>
                  </w:r>
                </w:p>
              </w:tc>
              <w:tc>
                <w:tcPr>
                  <w:tcW w:w="841" w:type="pct"/>
                  <w:vAlign w:val="center"/>
                </w:tcPr>
                <w:p w14:paraId="4E856EB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r>
            <w:tr w14:paraId="60766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523" w:type="pct"/>
                  <w:vMerge w:val="continue"/>
                  <w:tcBorders>
                    <w:top w:val="nil"/>
                    <w:left w:val="single" w:color="000000" w:sz="10" w:space="0"/>
                  </w:tcBorders>
                  <w:vAlign w:val="center"/>
                </w:tcPr>
                <w:p w14:paraId="3F10852E">
                  <w:pPr>
                    <w:pStyle w:val="70"/>
                    <w:jc w:val="center"/>
                    <w:rPr>
                      <w:rFonts w:hint="default" w:ascii="Times New Roman" w:hAnsi="Times New Roman" w:eastAsia="宋体" w:cs="Times New Roman"/>
                      <w:b w:val="0"/>
                      <w:bCs w:val="0"/>
                      <w:color w:val="auto"/>
                      <w:sz w:val="21"/>
                      <w:szCs w:val="21"/>
                      <w:highlight w:val="none"/>
                    </w:rPr>
                  </w:pPr>
                </w:p>
              </w:tc>
              <w:tc>
                <w:tcPr>
                  <w:tcW w:w="895" w:type="pct"/>
                  <w:vAlign w:val="center"/>
                </w:tcPr>
                <w:p w14:paraId="22DB52F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运营期</w:t>
                  </w:r>
                </w:p>
              </w:tc>
              <w:tc>
                <w:tcPr>
                  <w:tcW w:w="2739" w:type="pct"/>
                  <w:vAlign w:val="center"/>
                </w:tcPr>
                <w:p w14:paraId="62F4D088">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油烟净化器</w:t>
                  </w:r>
                  <w:r>
                    <w:rPr>
                      <w:rFonts w:hint="eastAsia"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车间密闭</w:t>
                  </w:r>
                </w:p>
              </w:tc>
              <w:tc>
                <w:tcPr>
                  <w:tcW w:w="841" w:type="pct"/>
                  <w:vAlign w:val="center"/>
                </w:tcPr>
                <w:p w14:paraId="1D36BAE1">
                  <w:pPr>
                    <w:pStyle w:val="7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w:t>
                  </w:r>
                </w:p>
              </w:tc>
            </w:tr>
            <w:tr w14:paraId="1A68A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523" w:type="pct"/>
                  <w:vMerge w:val="restart"/>
                  <w:tcBorders>
                    <w:left w:val="single" w:color="000000" w:sz="10" w:space="0"/>
                    <w:bottom w:val="nil"/>
                  </w:tcBorders>
                  <w:vAlign w:val="center"/>
                </w:tcPr>
                <w:p w14:paraId="2EAB809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废水</w:t>
                  </w:r>
                </w:p>
              </w:tc>
              <w:tc>
                <w:tcPr>
                  <w:tcW w:w="895" w:type="pct"/>
                  <w:vAlign w:val="center"/>
                </w:tcPr>
                <w:p w14:paraId="3C49E6D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施工期</w:t>
                  </w:r>
                </w:p>
              </w:tc>
              <w:tc>
                <w:tcPr>
                  <w:tcW w:w="2739" w:type="pct"/>
                  <w:vAlign w:val="center"/>
                </w:tcPr>
                <w:p w14:paraId="337ECCF1">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施工废水沉淀池</w:t>
                  </w:r>
                </w:p>
              </w:tc>
              <w:tc>
                <w:tcPr>
                  <w:tcW w:w="841" w:type="pct"/>
                  <w:vAlign w:val="center"/>
                </w:tcPr>
                <w:p w14:paraId="26205A80">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w:t>
                  </w:r>
                </w:p>
              </w:tc>
            </w:tr>
            <w:tr w14:paraId="22E6B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523" w:type="pct"/>
                  <w:vMerge w:val="continue"/>
                  <w:tcBorders>
                    <w:top w:val="nil"/>
                    <w:left w:val="single" w:color="000000" w:sz="10" w:space="0"/>
                  </w:tcBorders>
                  <w:vAlign w:val="center"/>
                </w:tcPr>
                <w:p w14:paraId="3BA1B7DE">
                  <w:pPr>
                    <w:pStyle w:val="70"/>
                    <w:jc w:val="center"/>
                    <w:rPr>
                      <w:rFonts w:hint="default" w:ascii="Times New Roman" w:hAnsi="Times New Roman" w:eastAsia="宋体" w:cs="Times New Roman"/>
                      <w:b w:val="0"/>
                      <w:bCs w:val="0"/>
                      <w:color w:val="auto"/>
                      <w:sz w:val="21"/>
                      <w:szCs w:val="21"/>
                      <w:highlight w:val="none"/>
                    </w:rPr>
                  </w:pPr>
                </w:p>
              </w:tc>
              <w:tc>
                <w:tcPr>
                  <w:tcW w:w="895" w:type="pct"/>
                  <w:vAlign w:val="center"/>
                </w:tcPr>
                <w:p w14:paraId="5B14EC2C">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运营期</w:t>
                  </w:r>
                </w:p>
              </w:tc>
              <w:tc>
                <w:tcPr>
                  <w:tcW w:w="2739" w:type="pct"/>
                  <w:vAlign w:val="center"/>
                </w:tcPr>
                <w:p w14:paraId="6CB218AD">
                  <w:pPr>
                    <w:pStyle w:val="7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隔油池、排水管道</w:t>
                  </w:r>
                </w:p>
              </w:tc>
              <w:tc>
                <w:tcPr>
                  <w:tcW w:w="841" w:type="pct"/>
                  <w:vAlign w:val="center"/>
                </w:tcPr>
                <w:p w14:paraId="635A6888">
                  <w:pPr>
                    <w:pStyle w:val="7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w:t>
                  </w:r>
                </w:p>
              </w:tc>
            </w:tr>
            <w:tr w14:paraId="75C45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523" w:type="pct"/>
                  <w:vMerge w:val="restart"/>
                  <w:tcBorders>
                    <w:left w:val="single" w:color="000000" w:sz="10" w:space="0"/>
                    <w:bottom w:val="nil"/>
                  </w:tcBorders>
                  <w:vAlign w:val="center"/>
                </w:tcPr>
                <w:p w14:paraId="5CC9AC67">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固废</w:t>
                  </w:r>
                </w:p>
              </w:tc>
              <w:tc>
                <w:tcPr>
                  <w:tcW w:w="895" w:type="pct"/>
                  <w:vAlign w:val="center"/>
                </w:tcPr>
                <w:p w14:paraId="0A29B0EC">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生活垃圾</w:t>
                  </w:r>
                </w:p>
              </w:tc>
              <w:tc>
                <w:tcPr>
                  <w:tcW w:w="2739" w:type="pct"/>
                  <w:vAlign w:val="center"/>
                </w:tcPr>
                <w:p w14:paraId="6AB04186">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生活垃圾箱</w:t>
                  </w:r>
                </w:p>
              </w:tc>
              <w:tc>
                <w:tcPr>
                  <w:tcW w:w="841" w:type="pct"/>
                  <w:vAlign w:val="center"/>
                </w:tcPr>
                <w:p w14:paraId="17979079">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r>
            <w:tr w14:paraId="71E55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523" w:type="pct"/>
                  <w:vMerge w:val="continue"/>
                  <w:tcBorders>
                    <w:top w:val="nil"/>
                    <w:left w:val="single" w:color="000000" w:sz="10" w:space="0"/>
                  </w:tcBorders>
                  <w:vAlign w:val="center"/>
                </w:tcPr>
                <w:p w14:paraId="7CF7A8DD">
                  <w:pPr>
                    <w:pStyle w:val="70"/>
                    <w:jc w:val="center"/>
                    <w:rPr>
                      <w:rFonts w:hint="default" w:ascii="Times New Roman" w:hAnsi="Times New Roman" w:eastAsia="宋体" w:cs="Times New Roman"/>
                      <w:b w:val="0"/>
                      <w:bCs w:val="0"/>
                      <w:color w:val="auto"/>
                      <w:sz w:val="21"/>
                      <w:szCs w:val="21"/>
                      <w:highlight w:val="none"/>
                    </w:rPr>
                  </w:pPr>
                </w:p>
              </w:tc>
              <w:tc>
                <w:tcPr>
                  <w:tcW w:w="895" w:type="pct"/>
                  <w:vAlign w:val="center"/>
                </w:tcPr>
                <w:p w14:paraId="2283E3A5">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一般固废</w:t>
                  </w:r>
                </w:p>
              </w:tc>
              <w:tc>
                <w:tcPr>
                  <w:tcW w:w="2739" w:type="pct"/>
                  <w:vAlign w:val="center"/>
                </w:tcPr>
                <w:p w14:paraId="30B338C4">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一般固废暂存间</w:t>
                  </w:r>
                </w:p>
              </w:tc>
              <w:tc>
                <w:tcPr>
                  <w:tcW w:w="841" w:type="pct"/>
                  <w:vAlign w:val="center"/>
                </w:tcPr>
                <w:p w14:paraId="5A2E086B">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w:t>
                  </w:r>
                </w:p>
              </w:tc>
            </w:tr>
            <w:tr w14:paraId="7E50E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523" w:type="pct"/>
                  <w:tcBorders>
                    <w:left w:val="single" w:color="000000" w:sz="10" w:space="0"/>
                  </w:tcBorders>
                  <w:vAlign w:val="center"/>
                </w:tcPr>
                <w:p w14:paraId="280FC51C">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噪声</w:t>
                  </w:r>
                </w:p>
              </w:tc>
              <w:tc>
                <w:tcPr>
                  <w:tcW w:w="895" w:type="pct"/>
                  <w:vAlign w:val="center"/>
                </w:tcPr>
                <w:p w14:paraId="1AA1B84D">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机械噪声</w:t>
                  </w:r>
                </w:p>
              </w:tc>
              <w:tc>
                <w:tcPr>
                  <w:tcW w:w="2739" w:type="pct"/>
                  <w:vAlign w:val="center"/>
                </w:tcPr>
                <w:p w14:paraId="41F5915E">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选择低噪声设备，减震降噪、隔声消声措施，加强绿化等</w:t>
                  </w:r>
                </w:p>
              </w:tc>
              <w:tc>
                <w:tcPr>
                  <w:tcW w:w="841" w:type="pct"/>
                  <w:vAlign w:val="center"/>
                </w:tcPr>
                <w:p w14:paraId="56178B26">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50</w:t>
                  </w:r>
                </w:p>
              </w:tc>
            </w:tr>
            <w:tr w14:paraId="25DA5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418" w:type="pct"/>
                  <w:gridSpan w:val="2"/>
                  <w:tcBorders>
                    <w:left w:val="single" w:color="000000" w:sz="10" w:space="0"/>
                  </w:tcBorders>
                  <w:vAlign w:val="center"/>
                </w:tcPr>
                <w:p w14:paraId="21892046">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土壤和地下水</w:t>
                  </w:r>
                </w:p>
              </w:tc>
              <w:tc>
                <w:tcPr>
                  <w:tcW w:w="2739" w:type="pct"/>
                  <w:vAlign w:val="center"/>
                </w:tcPr>
                <w:p w14:paraId="5F3ADBC0">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厂区硬化和分区防渗</w:t>
                  </w:r>
                </w:p>
              </w:tc>
              <w:tc>
                <w:tcPr>
                  <w:tcW w:w="841" w:type="pct"/>
                  <w:vAlign w:val="center"/>
                </w:tcPr>
                <w:p w14:paraId="40FD0993">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40</w:t>
                  </w:r>
                </w:p>
              </w:tc>
            </w:tr>
            <w:tr w14:paraId="17DC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523" w:type="pct"/>
                  <w:vMerge w:val="restart"/>
                  <w:tcBorders>
                    <w:left w:val="single" w:color="000000" w:sz="10" w:space="0"/>
                    <w:bottom w:val="nil"/>
                  </w:tcBorders>
                  <w:vAlign w:val="center"/>
                </w:tcPr>
                <w:p w14:paraId="218BD5F0">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其他</w:t>
                  </w:r>
                </w:p>
              </w:tc>
              <w:tc>
                <w:tcPr>
                  <w:tcW w:w="895" w:type="pct"/>
                  <w:vMerge w:val="restart"/>
                  <w:tcBorders>
                    <w:bottom w:val="nil"/>
                  </w:tcBorders>
                  <w:vAlign w:val="center"/>
                </w:tcPr>
                <w:p w14:paraId="68D106BF">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环境管理和监测</w:t>
                  </w:r>
                </w:p>
              </w:tc>
              <w:tc>
                <w:tcPr>
                  <w:tcW w:w="2739" w:type="pct"/>
                  <w:vAlign w:val="center"/>
                </w:tcPr>
                <w:p w14:paraId="0EBFFF72">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建立健全各项环境管理制度，污染源环保标志牌、排污口规范化等</w:t>
                  </w:r>
                </w:p>
              </w:tc>
              <w:tc>
                <w:tcPr>
                  <w:tcW w:w="841" w:type="pct"/>
                  <w:vAlign w:val="center"/>
                </w:tcPr>
                <w:p w14:paraId="76F76219">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40</w:t>
                  </w:r>
                </w:p>
              </w:tc>
            </w:tr>
            <w:tr w14:paraId="5EF8F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523" w:type="pct"/>
                  <w:vMerge w:val="continue"/>
                  <w:tcBorders>
                    <w:top w:val="nil"/>
                    <w:left w:val="single" w:color="000000" w:sz="10" w:space="0"/>
                  </w:tcBorders>
                  <w:vAlign w:val="center"/>
                </w:tcPr>
                <w:p w14:paraId="230E1855">
                  <w:pPr>
                    <w:pStyle w:val="70"/>
                    <w:jc w:val="center"/>
                    <w:rPr>
                      <w:rFonts w:hint="default" w:ascii="Times New Roman" w:hAnsi="Times New Roman" w:eastAsia="宋体" w:cs="Times New Roman"/>
                      <w:b w:val="0"/>
                      <w:bCs w:val="0"/>
                      <w:color w:val="auto"/>
                      <w:sz w:val="21"/>
                      <w:szCs w:val="21"/>
                      <w:highlight w:val="none"/>
                    </w:rPr>
                  </w:pPr>
                </w:p>
              </w:tc>
              <w:tc>
                <w:tcPr>
                  <w:tcW w:w="895" w:type="pct"/>
                  <w:vMerge w:val="continue"/>
                  <w:tcBorders>
                    <w:top w:val="nil"/>
                  </w:tcBorders>
                  <w:vAlign w:val="center"/>
                </w:tcPr>
                <w:p w14:paraId="39E2E60B">
                  <w:pPr>
                    <w:pStyle w:val="70"/>
                    <w:jc w:val="center"/>
                    <w:rPr>
                      <w:rFonts w:hint="default" w:ascii="Times New Roman" w:hAnsi="Times New Roman" w:eastAsia="宋体" w:cs="Times New Roman"/>
                      <w:b w:val="0"/>
                      <w:bCs w:val="0"/>
                      <w:color w:val="auto"/>
                      <w:sz w:val="21"/>
                      <w:szCs w:val="21"/>
                      <w:highlight w:val="none"/>
                    </w:rPr>
                  </w:pPr>
                </w:p>
              </w:tc>
              <w:tc>
                <w:tcPr>
                  <w:tcW w:w="2739" w:type="pct"/>
                  <w:vAlign w:val="center"/>
                </w:tcPr>
                <w:p w14:paraId="4EB3B694">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污染物常规监测</w:t>
                  </w:r>
                </w:p>
              </w:tc>
              <w:tc>
                <w:tcPr>
                  <w:tcW w:w="841" w:type="pct"/>
                  <w:vAlign w:val="center"/>
                </w:tcPr>
                <w:p w14:paraId="785E857B">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10</w:t>
                  </w:r>
                </w:p>
              </w:tc>
            </w:tr>
            <w:tr w14:paraId="3F393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jc w:val="center"/>
              </w:trPr>
              <w:tc>
                <w:tcPr>
                  <w:tcW w:w="1418" w:type="pct"/>
                  <w:gridSpan w:val="2"/>
                  <w:tcBorders>
                    <w:left w:val="single" w:color="000000" w:sz="10" w:space="0"/>
                    <w:bottom w:val="single" w:color="000000" w:sz="10" w:space="0"/>
                  </w:tcBorders>
                  <w:vAlign w:val="center"/>
                </w:tcPr>
                <w:p w14:paraId="0752DAEB">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合计</w:t>
                  </w:r>
                </w:p>
              </w:tc>
              <w:tc>
                <w:tcPr>
                  <w:tcW w:w="2739" w:type="pct"/>
                  <w:tcBorders>
                    <w:bottom w:val="single" w:color="000000" w:sz="10" w:space="0"/>
                  </w:tcBorders>
                  <w:vAlign w:val="center"/>
                </w:tcPr>
                <w:p w14:paraId="463DB09E">
                  <w:pPr>
                    <w:pStyle w:val="7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w:t>
                  </w:r>
                </w:p>
              </w:tc>
              <w:tc>
                <w:tcPr>
                  <w:tcW w:w="841" w:type="pct"/>
                  <w:tcBorders>
                    <w:bottom w:val="single" w:color="000000" w:sz="10" w:space="0"/>
                  </w:tcBorders>
                  <w:vAlign w:val="center"/>
                </w:tcPr>
                <w:p w14:paraId="2997545B">
                  <w:pPr>
                    <w:pStyle w:val="7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186</w:t>
                  </w:r>
                </w:p>
              </w:tc>
            </w:tr>
          </w:tbl>
          <w:p w14:paraId="030E978B">
            <w:pPr>
              <w:pStyle w:val="76"/>
              <w:keepNext w:val="0"/>
              <w:keepLines w:val="0"/>
              <w:pageBreakBefore w:val="0"/>
              <w:widowControl w:val="0"/>
              <w:kinsoku/>
              <w:wordWrap/>
              <w:overflowPunct/>
              <w:topLinePunct w:val="0"/>
              <w:bidi w:val="0"/>
              <w:spacing w:line="360" w:lineRule="auto"/>
              <w:ind w:left="0" w:right="0" w:firstLine="456" w:firstLineChars="200"/>
              <w:textAlignment w:val="auto"/>
              <w:rPr>
                <w:color w:val="auto"/>
                <w:sz w:val="24"/>
                <w:szCs w:val="24"/>
              </w:rPr>
            </w:pPr>
            <w:r>
              <w:rPr>
                <w:rFonts w:ascii="Times New Roman" w:hAnsi="Times New Roman" w:eastAsia="Times New Roman" w:cs="Times New Roman"/>
                <w:b/>
                <w:bCs/>
                <w:color w:val="auto"/>
                <w:spacing w:val="-6"/>
                <w:sz w:val="24"/>
                <w:szCs w:val="24"/>
              </w:rPr>
              <w:t>9</w:t>
            </w:r>
            <w:r>
              <w:rPr>
                <w:b/>
                <w:bCs/>
                <w:color w:val="auto"/>
                <w:spacing w:val="-6"/>
                <w:sz w:val="24"/>
                <w:szCs w:val="24"/>
              </w:rPr>
              <w:t>、环境管理要求</w:t>
            </w:r>
          </w:p>
          <w:p w14:paraId="61EB9B53">
            <w:pPr>
              <w:pStyle w:val="76"/>
              <w:keepNext w:val="0"/>
              <w:keepLines w:val="0"/>
              <w:pageBreakBefore w:val="0"/>
              <w:widowControl w:val="0"/>
              <w:kinsoku/>
              <w:wordWrap/>
              <w:overflowPunct/>
              <w:topLinePunct w:val="0"/>
              <w:bidi w:val="0"/>
              <w:spacing w:line="360" w:lineRule="auto"/>
              <w:ind w:left="0" w:right="0" w:firstLine="480" w:firstLineChars="200"/>
              <w:textAlignment w:val="auto"/>
              <w:rPr>
                <w:color w:val="auto"/>
                <w:sz w:val="24"/>
                <w:szCs w:val="24"/>
              </w:rPr>
            </w:pPr>
            <w:r>
              <w:rPr>
                <w:color w:val="auto"/>
                <w:sz w:val="24"/>
                <w:szCs w:val="24"/>
              </w:rPr>
              <w:t>为了落实各项污染防治措施，加强环境保护工作管理，应当根据实际特</w:t>
            </w:r>
            <w:r>
              <w:rPr>
                <w:color w:val="auto"/>
                <w:spacing w:val="-2"/>
                <w:sz w:val="24"/>
                <w:szCs w:val="24"/>
              </w:rPr>
              <w:t>点，制定各种类型的环保制度。</w:t>
            </w:r>
          </w:p>
          <w:p w14:paraId="6D5098BE">
            <w:pPr>
              <w:pStyle w:val="76"/>
              <w:keepNext w:val="0"/>
              <w:keepLines w:val="0"/>
              <w:pageBreakBefore w:val="0"/>
              <w:widowControl w:val="0"/>
              <w:kinsoku/>
              <w:wordWrap/>
              <w:overflowPunct/>
              <w:topLinePunct w:val="0"/>
              <w:bidi w:val="0"/>
              <w:spacing w:line="360" w:lineRule="auto"/>
              <w:ind w:left="0" w:right="0" w:firstLine="476" w:firstLineChars="200"/>
              <w:textAlignment w:val="auto"/>
              <w:rPr>
                <w:color w:val="auto"/>
                <w:sz w:val="24"/>
                <w:szCs w:val="24"/>
              </w:rPr>
            </w:pPr>
            <w:r>
              <w:rPr>
                <w:color w:val="auto"/>
                <w:spacing w:val="-1"/>
                <w:position w:val="2"/>
                <w:sz w:val="24"/>
                <w:szCs w:val="24"/>
              </w:rPr>
              <w:t>（</w:t>
            </w:r>
            <w:r>
              <w:rPr>
                <w:rFonts w:ascii="Times New Roman" w:hAnsi="Times New Roman" w:eastAsia="Times New Roman" w:cs="Times New Roman"/>
                <w:color w:val="auto"/>
                <w:spacing w:val="-1"/>
                <w:position w:val="2"/>
                <w:sz w:val="24"/>
                <w:szCs w:val="24"/>
              </w:rPr>
              <w:t>1</w:t>
            </w:r>
            <w:r>
              <w:rPr>
                <w:color w:val="auto"/>
                <w:spacing w:val="-1"/>
                <w:position w:val="2"/>
                <w:sz w:val="24"/>
                <w:szCs w:val="24"/>
              </w:rPr>
              <w:t>）环保设施的建设、运行及维护费用保障制度</w:t>
            </w:r>
          </w:p>
          <w:p w14:paraId="122EE28F">
            <w:pPr>
              <w:pStyle w:val="76"/>
              <w:keepNext w:val="0"/>
              <w:keepLines w:val="0"/>
              <w:pageBreakBefore w:val="0"/>
              <w:widowControl w:val="0"/>
              <w:kinsoku/>
              <w:wordWrap/>
              <w:overflowPunct/>
              <w:topLinePunct w:val="0"/>
              <w:bidi w:val="0"/>
              <w:spacing w:line="360" w:lineRule="auto"/>
              <w:ind w:left="0" w:right="0" w:firstLine="480" w:firstLineChars="200"/>
              <w:textAlignment w:val="auto"/>
              <w:rPr>
                <w:color w:val="auto"/>
                <w:sz w:val="24"/>
                <w:szCs w:val="24"/>
              </w:rPr>
            </w:pPr>
            <w:r>
              <w:rPr>
                <w:color w:val="auto"/>
                <w:sz w:val="24"/>
                <w:szCs w:val="24"/>
              </w:rPr>
              <w:t>在项目的建设、运行、维护的过程中，要设立专项的环保资金，所有环保投支出该专项资金投入，并定时、定量对该环保资金进行补充，以保证环</w:t>
            </w:r>
            <w:r>
              <w:rPr>
                <w:color w:val="auto"/>
                <w:spacing w:val="-1"/>
                <w:sz w:val="24"/>
                <w:szCs w:val="24"/>
              </w:rPr>
              <w:t>保设施的正常建设、运行和维护。</w:t>
            </w:r>
          </w:p>
          <w:p w14:paraId="1652C479">
            <w:pPr>
              <w:pStyle w:val="76"/>
              <w:keepNext w:val="0"/>
              <w:keepLines w:val="0"/>
              <w:pageBreakBefore w:val="0"/>
              <w:widowControl w:val="0"/>
              <w:kinsoku/>
              <w:wordWrap/>
              <w:overflowPunct/>
              <w:topLinePunct w:val="0"/>
              <w:bidi w:val="0"/>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2</w:t>
            </w:r>
            <w:r>
              <w:rPr>
                <w:color w:val="auto"/>
                <w:spacing w:val="-3"/>
                <w:position w:val="2"/>
                <w:sz w:val="24"/>
                <w:szCs w:val="24"/>
              </w:rPr>
              <w:t>）申请排污许可证</w:t>
            </w:r>
          </w:p>
          <w:p w14:paraId="6B18D234">
            <w:pPr>
              <w:pStyle w:val="76"/>
              <w:keepNext w:val="0"/>
              <w:keepLines w:val="0"/>
              <w:pageBreakBefore w:val="0"/>
              <w:widowControl w:val="0"/>
              <w:kinsoku/>
              <w:wordWrap/>
              <w:overflowPunct/>
              <w:topLinePunct w:val="0"/>
              <w:bidi w:val="0"/>
              <w:spacing w:line="360" w:lineRule="auto"/>
              <w:ind w:left="0" w:right="0" w:firstLine="436" w:firstLineChars="200"/>
              <w:textAlignment w:val="auto"/>
              <w:rPr>
                <w:color w:val="auto"/>
                <w:sz w:val="24"/>
                <w:szCs w:val="24"/>
              </w:rPr>
            </w:pPr>
            <w:r>
              <w:rPr>
                <w:rFonts w:ascii="Times New Roman" w:hAnsi="Times New Roman" w:eastAsia="Times New Roman" w:cs="Times New Roman"/>
                <w:color w:val="auto"/>
                <w:spacing w:val="-11"/>
                <w:sz w:val="24"/>
                <w:szCs w:val="24"/>
              </w:rPr>
              <w:t>2016</w:t>
            </w:r>
            <w:r>
              <w:rPr>
                <w:color w:val="auto"/>
                <w:spacing w:val="-11"/>
                <w:sz w:val="24"/>
                <w:szCs w:val="24"/>
              </w:rPr>
              <w:t>年</w:t>
            </w:r>
            <w:r>
              <w:rPr>
                <w:rFonts w:ascii="Times New Roman" w:hAnsi="Times New Roman" w:eastAsia="Times New Roman" w:cs="Times New Roman"/>
                <w:color w:val="auto"/>
                <w:spacing w:val="-11"/>
                <w:sz w:val="24"/>
                <w:szCs w:val="24"/>
              </w:rPr>
              <w:t>11</w:t>
            </w:r>
            <w:r>
              <w:rPr>
                <w:color w:val="auto"/>
                <w:spacing w:val="-11"/>
                <w:sz w:val="24"/>
                <w:szCs w:val="24"/>
              </w:rPr>
              <w:t>月，国务院办公厅发布了《控制污染物排放许可制实施方案》，</w:t>
            </w:r>
            <w:r>
              <w:rPr>
                <w:color w:val="auto"/>
                <w:spacing w:val="-3"/>
                <w:sz w:val="24"/>
                <w:szCs w:val="24"/>
              </w:rPr>
              <w:t>方案指出：</w:t>
            </w:r>
            <w:r>
              <w:rPr>
                <w:rFonts w:ascii="Times New Roman" w:hAnsi="Times New Roman" w:eastAsia="Times New Roman" w:cs="Times New Roman"/>
                <w:color w:val="auto"/>
                <w:spacing w:val="-3"/>
                <w:sz w:val="24"/>
                <w:szCs w:val="24"/>
              </w:rPr>
              <w:t>“</w:t>
            </w:r>
            <w:r>
              <w:rPr>
                <w:color w:val="auto"/>
                <w:spacing w:val="-3"/>
                <w:sz w:val="24"/>
                <w:szCs w:val="24"/>
              </w:rPr>
              <w:t>环境影响评价制度是建设项目的环境准入门槛，排污许可制是企</w:t>
            </w:r>
            <w:r>
              <w:rPr>
                <w:color w:val="auto"/>
                <w:sz w:val="24"/>
                <w:szCs w:val="24"/>
              </w:rPr>
              <w:t>事业单位生产运营期排污的法律依据，必须做好充分衔接，实现从污染预防到污染治理和排放控制的全过程监管。新建项目必须在发生实际排污行为之前申领排污许可证，环境影响评价文件及批复中与污染物排放相关的主要内容应当纳入排污许可证，其排污许可证执行情况应作为环境影响后评价的重</w:t>
            </w:r>
            <w:r>
              <w:rPr>
                <w:color w:val="auto"/>
                <w:spacing w:val="-2"/>
                <w:sz w:val="24"/>
                <w:szCs w:val="24"/>
              </w:rPr>
              <w:t>要依据</w:t>
            </w:r>
            <w:r>
              <w:rPr>
                <w:rFonts w:ascii="Times New Roman" w:hAnsi="Times New Roman" w:eastAsia="Times New Roman" w:cs="Times New Roman"/>
                <w:color w:val="auto"/>
                <w:spacing w:val="-2"/>
                <w:sz w:val="24"/>
                <w:szCs w:val="24"/>
              </w:rPr>
              <w:t>”</w:t>
            </w:r>
            <w:r>
              <w:rPr>
                <w:color w:val="auto"/>
                <w:spacing w:val="-2"/>
                <w:sz w:val="24"/>
                <w:szCs w:val="24"/>
              </w:rPr>
              <w:t>。</w:t>
            </w:r>
          </w:p>
          <w:p w14:paraId="69DB0B7F">
            <w:pPr>
              <w:pStyle w:val="76"/>
              <w:keepNext w:val="0"/>
              <w:keepLines w:val="0"/>
              <w:pageBreakBefore w:val="0"/>
              <w:widowControl w:val="0"/>
              <w:kinsoku/>
              <w:wordWrap/>
              <w:overflowPunct/>
              <w:topLinePunct w:val="0"/>
              <w:bidi w:val="0"/>
              <w:spacing w:line="360" w:lineRule="auto"/>
              <w:ind w:left="0" w:right="0" w:firstLine="480" w:firstLineChars="200"/>
              <w:jc w:val="both"/>
              <w:textAlignment w:val="auto"/>
              <w:rPr>
                <w:rFonts w:hint="default" w:eastAsia="宋体"/>
                <w:color w:val="auto"/>
                <w:sz w:val="24"/>
                <w:szCs w:val="24"/>
                <w:lang w:val="en-US" w:eastAsia="zh-CN"/>
              </w:rPr>
            </w:pPr>
            <w:r>
              <w:rPr>
                <w:color w:val="auto"/>
                <w:sz w:val="24"/>
                <w:szCs w:val="24"/>
              </w:rPr>
              <w:t>因此，本项目在报批环评报告表后、项目实际运行前，应尽快进</w:t>
            </w:r>
            <w:r>
              <w:rPr>
                <w:color w:val="auto"/>
                <w:spacing w:val="-1"/>
                <w:sz w:val="24"/>
                <w:szCs w:val="24"/>
              </w:rPr>
              <w:t>行排污</w:t>
            </w:r>
            <w:r>
              <w:rPr>
                <w:color w:val="auto"/>
                <w:sz w:val="24"/>
                <w:szCs w:val="24"/>
              </w:rPr>
              <w:t>许可证申领，作为本项目合法运行的前提。排污许可证申请及核发按《排污</w:t>
            </w:r>
            <w:r>
              <w:rPr>
                <w:color w:val="auto"/>
                <w:spacing w:val="-1"/>
                <w:sz w:val="24"/>
                <w:szCs w:val="24"/>
              </w:rPr>
              <w:t>许可证管理暂行规定》填报执行。</w:t>
            </w:r>
            <w:r>
              <w:rPr>
                <w:rFonts w:hint="eastAsia"/>
                <w:color w:val="auto"/>
                <w:spacing w:val="-1"/>
                <w:sz w:val="24"/>
                <w:szCs w:val="24"/>
                <w:lang w:val="en-US" w:eastAsia="zh-CN"/>
              </w:rPr>
              <w:t>根据《固定污染源排污许可分类管理名录》本项目为登记管理，因此项目在实际运行前应取得排污许可登记回执。</w:t>
            </w:r>
          </w:p>
          <w:p w14:paraId="3B4CE663">
            <w:pPr>
              <w:pStyle w:val="76"/>
              <w:keepNext w:val="0"/>
              <w:keepLines w:val="0"/>
              <w:pageBreakBefore w:val="0"/>
              <w:widowControl w:val="0"/>
              <w:kinsoku/>
              <w:wordWrap/>
              <w:overflowPunct/>
              <w:topLinePunct w:val="0"/>
              <w:bidi w:val="0"/>
              <w:spacing w:line="360" w:lineRule="auto"/>
              <w:ind w:left="0" w:right="0" w:firstLine="472" w:firstLineChars="200"/>
              <w:textAlignment w:val="auto"/>
              <w:rPr>
                <w:color w:val="auto"/>
                <w:sz w:val="24"/>
                <w:szCs w:val="24"/>
              </w:rPr>
            </w:pPr>
            <w:r>
              <w:rPr>
                <w:color w:val="auto"/>
                <w:spacing w:val="-2"/>
                <w:position w:val="2"/>
                <w:sz w:val="24"/>
                <w:szCs w:val="24"/>
              </w:rPr>
              <w:t>（</w:t>
            </w:r>
            <w:r>
              <w:rPr>
                <w:rFonts w:ascii="Times New Roman" w:hAnsi="Times New Roman" w:eastAsia="Times New Roman" w:cs="Times New Roman"/>
                <w:color w:val="auto"/>
                <w:spacing w:val="-2"/>
                <w:position w:val="2"/>
                <w:sz w:val="24"/>
                <w:szCs w:val="24"/>
              </w:rPr>
              <w:t>3</w:t>
            </w:r>
            <w:r>
              <w:rPr>
                <w:color w:val="auto"/>
                <w:spacing w:val="-2"/>
                <w:position w:val="2"/>
                <w:sz w:val="24"/>
                <w:szCs w:val="24"/>
              </w:rPr>
              <w:t>）污染处理设施的管理制度</w:t>
            </w:r>
          </w:p>
          <w:p w14:paraId="0686088E">
            <w:pPr>
              <w:pStyle w:val="76"/>
              <w:keepNext w:val="0"/>
              <w:keepLines w:val="0"/>
              <w:pageBreakBefore w:val="0"/>
              <w:widowControl w:val="0"/>
              <w:kinsoku/>
              <w:wordWrap/>
              <w:overflowPunct/>
              <w:topLinePunct w:val="0"/>
              <w:bidi w:val="0"/>
              <w:spacing w:line="360" w:lineRule="auto"/>
              <w:ind w:left="0" w:right="0" w:firstLine="512" w:firstLineChars="200"/>
              <w:textAlignment w:val="auto"/>
              <w:rPr>
                <w:color w:val="auto"/>
                <w:sz w:val="24"/>
                <w:szCs w:val="24"/>
              </w:rPr>
            </w:pPr>
            <w:r>
              <w:rPr>
                <w:color w:val="auto"/>
                <w:spacing w:val="8"/>
                <w:sz w:val="24"/>
                <w:szCs w:val="24"/>
              </w:rPr>
              <w:t>对污染治理设施的管理必须与生产经营活动一起纳入企业的日常管理</w:t>
            </w:r>
            <w:r>
              <w:rPr>
                <w:color w:val="auto"/>
                <w:spacing w:val="-1"/>
                <w:sz w:val="24"/>
                <w:szCs w:val="24"/>
              </w:rPr>
              <w:t>中，要建立岗位责任制，制定操作规程，建立环</w:t>
            </w:r>
            <w:r>
              <w:rPr>
                <w:color w:val="auto"/>
                <w:spacing w:val="-2"/>
                <w:sz w:val="24"/>
                <w:szCs w:val="24"/>
              </w:rPr>
              <w:t>境管理台账。</w:t>
            </w:r>
          </w:p>
          <w:p w14:paraId="53DD2D7B">
            <w:pPr>
              <w:pStyle w:val="76"/>
              <w:keepNext w:val="0"/>
              <w:keepLines w:val="0"/>
              <w:pageBreakBefore w:val="0"/>
              <w:widowControl w:val="0"/>
              <w:kinsoku/>
              <w:wordWrap/>
              <w:overflowPunct/>
              <w:topLinePunct w:val="0"/>
              <w:bidi w:val="0"/>
              <w:spacing w:line="360" w:lineRule="auto"/>
              <w:ind w:left="0" w:right="0" w:firstLine="468" w:firstLineChars="200"/>
              <w:textAlignment w:val="auto"/>
              <w:rPr>
                <w:color w:val="auto"/>
                <w:sz w:val="24"/>
                <w:szCs w:val="24"/>
              </w:rPr>
            </w:pPr>
            <w:r>
              <w:rPr>
                <w:color w:val="auto"/>
                <w:spacing w:val="-3"/>
                <w:position w:val="2"/>
                <w:sz w:val="24"/>
                <w:szCs w:val="24"/>
              </w:rPr>
              <w:t>（</w:t>
            </w:r>
            <w:r>
              <w:rPr>
                <w:rFonts w:ascii="Times New Roman" w:hAnsi="Times New Roman" w:eastAsia="Times New Roman" w:cs="Times New Roman"/>
                <w:color w:val="auto"/>
                <w:spacing w:val="-3"/>
                <w:position w:val="2"/>
                <w:sz w:val="24"/>
                <w:szCs w:val="24"/>
              </w:rPr>
              <w:t>4</w:t>
            </w:r>
            <w:r>
              <w:rPr>
                <w:color w:val="auto"/>
                <w:spacing w:val="-3"/>
                <w:position w:val="2"/>
                <w:sz w:val="24"/>
                <w:szCs w:val="24"/>
              </w:rPr>
              <w:t>）奖惩制度</w:t>
            </w:r>
          </w:p>
          <w:p w14:paraId="75792082">
            <w:pPr>
              <w:pStyle w:val="76"/>
              <w:keepNext w:val="0"/>
              <w:keepLines w:val="0"/>
              <w:pageBreakBefore w:val="0"/>
              <w:widowControl w:val="0"/>
              <w:kinsoku/>
              <w:wordWrap/>
              <w:overflowPunct/>
              <w:topLinePunct w:val="0"/>
              <w:bidi w:val="0"/>
              <w:spacing w:line="360" w:lineRule="auto"/>
              <w:ind w:left="0" w:right="0" w:firstLine="480" w:firstLineChars="200"/>
              <w:textAlignment w:val="auto"/>
              <w:rPr>
                <w:color w:val="auto"/>
                <w:sz w:val="24"/>
                <w:szCs w:val="24"/>
              </w:rPr>
            </w:pPr>
            <w:r>
              <w:rPr>
                <w:color w:val="auto"/>
                <w:sz w:val="24"/>
                <w:szCs w:val="24"/>
              </w:rPr>
              <w:t>企业应设置环境保护奖惩制度，对爱护环保设施，节能降耗、改善环境者实行奖励；对不按环保要求管理，造成环保设施损坏、环境污染和资源、</w:t>
            </w:r>
            <w:r>
              <w:rPr>
                <w:color w:val="auto"/>
                <w:spacing w:val="-2"/>
                <w:sz w:val="24"/>
                <w:szCs w:val="24"/>
              </w:rPr>
              <w:t>能源浪费者予以处罚。</w:t>
            </w:r>
          </w:p>
          <w:p w14:paraId="2AF9934E">
            <w:pPr>
              <w:pStyle w:val="76"/>
              <w:keepNext w:val="0"/>
              <w:keepLines w:val="0"/>
              <w:pageBreakBefore w:val="0"/>
              <w:widowControl w:val="0"/>
              <w:kinsoku/>
              <w:wordWrap/>
              <w:overflowPunct/>
              <w:topLinePunct w:val="0"/>
              <w:bidi w:val="0"/>
              <w:spacing w:line="360" w:lineRule="auto"/>
              <w:ind w:left="0" w:right="0" w:firstLine="468" w:firstLineChars="200"/>
              <w:textAlignment w:val="auto"/>
              <w:rPr>
                <w:color w:val="auto"/>
                <w:sz w:val="24"/>
                <w:szCs w:val="24"/>
              </w:rPr>
            </w:pPr>
            <w:r>
              <w:rPr>
                <w:color w:val="auto"/>
                <w:spacing w:val="-3"/>
                <w:sz w:val="24"/>
                <w:szCs w:val="24"/>
              </w:rPr>
              <w:t>（</w:t>
            </w:r>
            <w:r>
              <w:rPr>
                <w:rFonts w:ascii="Times New Roman" w:hAnsi="Times New Roman" w:eastAsia="Times New Roman" w:cs="Times New Roman"/>
                <w:color w:val="auto"/>
                <w:spacing w:val="-3"/>
                <w:sz w:val="24"/>
                <w:szCs w:val="24"/>
              </w:rPr>
              <w:t>5</w:t>
            </w:r>
            <w:r>
              <w:rPr>
                <w:color w:val="auto"/>
                <w:spacing w:val="-3"/>
                <w:sz w:val="24"/>
                <w:szCs w:val="24"/>
              </w:rPr>
              <w:t>）规范排污口</w:t>
            </w:r>
          </w:p>
          <w:p w14:paraId="1A590FB3">
            <w:pPr>
              <w:pStyle w:val="76"/>
              <w:keepNext w:val="0"/>
              <w:keepLines w:val="0"/>
              <w:pageBreakBefore w:val="0"/>
              <w:widowControl w:val="0"/>
              <w:kinsoku/>
              <w:wordWrap/>
              <w:overflowPunct/>
              <w:topLinePunct w:val="0"/>
              <w:bidi w:val="0"/>
              <w:spacing w:line="360" w:lineRule="auto"/>
              <w:ind w:left="0" w:right="0" w:firstLine="480" w:firstLineChars="200"/>
              <w:textAlignment w:val="auto"/>
              <w:rPr>
                <w:color w:val="auto"/>
                <w:sz w:val="24"/>
                <w:szCs w:val="24"/>
              </w:rPr>
            </w:pPr>
            <w:r>
              <w:rPr>
                <w:color w:val="auto"/>
                <w:sz w:val="24"/>
                <w:szCs w:val="24"/>
              </w:rPr>
              <w:t>企业废气排放口、废水排污口、噪声排放源和固体废物贮存、处置场所应适于采样、监测计量等工作条件，排污单位应按所在地生态环境主管部门</w:t>
            </w:r>
            <w:r>
              <w:rPr>
                <w:color w:val="auto"/>
                <w:spacing w:val="-4"/>
                <w:sz w:val="24"/>
                <w:szCs w:val="24"/>
              </w:rPr>
              <w:t>的要求设立标志。</w:t>
            </w:r>
          </w:p>
          <w:p w14:paraId="23DAD676">
            <w:pPr>
              <w:pStyle w:val="76"/>
              <w:keepNext w:val="0"/>
              <w:keepLines w:val="0"/>
              <w:pageBreakBefore w:val="0"/>
              <w:widowControl w:val="0"/>
              <w:kinsoku/>
              <w:wordWrap/>
              <w:overflowPunct/>
              <w:topLinePunct w:val="0"/>
              <w:bidi w:val="0"/>
              <w:spacing w:line="360" w:lineRule="auto"/>
              <w:ind w:left="0" w:right="0" w:firstLine="476" w:firstLineChars="200"/>
              <w:jc w:val="both"/>
              <w:textAlignment w:val="auto"/>
              <w:rPr>
                <w:color w:val="auto"/>
                <w:sz w:val="24"/>
                <w:szCs w:val="24"/>
              </w:rPr>
            </w:pPr>
            <w:r>
              <w:rPr>
                <w:color w:val="auto"/>
                <w:spacing w:val="-1"/>
                <w:sz w:val="24"/>
                <w:szCs w:val="24"/>
              </w:rPr>
              <w:t>本项目应按《环境保护图形标志</w:t>
            </w:r>
            <w:r>
              <w:rPr>
                <w:rFonts w:ascii="Times New Roman" w:hAnsi="Times New Roman" w:eastAsia="Times New Roman" w:cs="Times New Roman"/>
                <w:color w:val="auto"/>
                <w:spacing w:val="-1"/>
                <w:sz w:val="24"/>
                <w:szCs w:val="24"/>
              </w:rPr>
              <w:t>-</w:t>
            </w:r>
            <w:r>
              <w:rPr>
                <w:color w:val="auto"/>
                <w:spacing w:val="-1"/>
                <w:sz w:val="24"/>
                <w:szCs w:val="24"/>
              </w:rPr>
              <w:t>排放口（源）》（</w:t>
            </w:r>
            <w:r>
              <w:rPr>
                <w:rFonts w:ascii="Times New Roman" w:hAnsi="Times New Roman" w:eastAsia="Times New Roman" w:cs="Times New Roman"/>
                <w:color w:val="auto"/>
                <w:spacing w:val="-1"/>
                <w:sz w:val="24"/>
                <w:szCs w:val="24"/>
              </w:rPr>
              <w:t>GB</w:t>
            </w:r>
            <w:r>
              <w:rPr>
                <w:rFonts w:ascii="Times New Roman" w:hAnsi="Times New Roman" w:eastAsia="Times New Roman" w:cs="Times New Roman"/>
                <w:color w:val="auto"/>
                <w:spacing w:val="-2"/>
                <w:sz w:val="24"/>
                <w:szCs w:val="24"/>
              </w:rPr>
              <w:t>15562.1-1995</w:t>
            </w:r>
            <w:r>
              <w:rPr>
                <w:color w:val="auto"/>
                <w:spacing w:val="-2"/>
                <w:sz w:val="24"/>
                <w:szCs w:val="24"/>
              </w:rPr>
              <w:t>）、《环境保护图形标志</w:t>
            </w:r>
            <w:r>
              <w:rPr>
                <w:rFonts w:ascii="Times New Roman" w:hAnsi="Times New Roman" w:eastAsia="Times New Roman" w:cs="Times New Roman"/>
                <w:color w:val="auto"/>
                <w:spacing w:val="-2"/>
                <w:sz w:val="24"/>
                <w:szCs w:val="24"/>
              </w:rPr>
              <w:t>-</w:t>
            </w:r>
            <w:r>
              <w:rPr>
                <w:color w:val="auto"/>
                <w:spacing w:val="-2"/>
                <w:sz w:val="24"/>
                <w:szCs w:val="24"/>
              </w:rPr>
              <w:t>固体废物贮存（处置）场》（</w:t>
            </w:r>
            <w:r>
              <w:rPr>
                <w:rFonts w:ascii="Times New Roman" w:hAnsi="Times New Roman" w:eastAsia="Times New Roman" w:cs="Times New Roman"/>
                <w:color w:val="auto"/>
                <w:spacing w:val="-2"/>
                <w:sz w:val="24"/>
                <w:szCs w:val="24"/>
              </w:rPr>
              <w:t>GB15562.2-1995</w:t>
            </w:r>
            <w:r>
              <w:rPr>
                <w:color w:val="auto"/>
                <w:spacing w:val="-2"/>
                <w:sz w:val="24"/>
                <w:szCs w:val="24"/>
              </w:rPr>
              <w:t>）及其修</w:t>
            </w:r>
            <w:r>
              <w:rPr>
                <w:color w:val="auto"/>
                <w:sz w:val="24"/>
                <w:szCs w:val="24"/>
              </w:rPr>
              <w:t>改单规定的图形，在各气、声排污口（源）挂牌标识，做到各</w:t>
            </w:r>
            <w:r>
              <w:rPr>
                <w:color w:val="auto"/>
                <w:spacing w:val="-1"/>
                <w:sz w:val="24"/>
                <w:szCs w:val="24"/>
              </w:rPr>
              <w:t>排污口（源）的环保标志明显，便于企业管理和公众监督。</w:t>
            </w:r>
          </w:p>
          <w:p w14:paraId="1D9074C6">
            <w:pPr>
              <w:pStyle w:val="76"/>
              <w:keepNext w:val="0"/>
              <w:keepLines w:val="0"/>
              <w:pageBreakBefore w:val="0"/>
              <w:widowControl w:val="0"/>
              <w:kinsoku/>
              <w:wordWrap/>
              <w:overflowPunct/>
              <w:topLinePunct w:val="0"/>
              <w:bidi w:val="0"/>
              <w:spacing w:line="360" w:lineRule="auto"/>
              <w:ind w:left="0" w:right="0" w:firstLine="480" w:firstLineChars="200"/>
              <w:jc w:val="both"/>
              <w:textAlignment w:val="auto"/>
              <w:rPr>
                <w:color w:val="auto"/>
                <w:sz w:val="24"/>
                <w:szCs w:val="24"/>
              </w:rPr>
            </w:pPr>
            <w:r>
              <w:rPr>
                <w:color w:val="auto"/>
                <w:sz w:val="24"/>
                <w:szCs w:val="24"/>
              </w:rPr>
              <w:t>列入总量控制污染物的排污口为管理的重点，排污口应便于采样与计量监测，便于日常现场监督检查。排污口位置必须合理确定，按要求规范化管</w:t>
            </w:r>
            <w:r>
              <w:rPr>
                <w:color w:val="auto"/>
                <w:spacing w:val="-6"/>
                <w:sz w:val="24"/>
                <w:szCs w:val="24"/>
              </w:rPr>
              <w:t>理。</w:t>
            </w:r>
          </w:p>
          <w:p w14:paraId="4397C99E">
            <w:pPr>
              <w:pStyle w:val="76"/>
              <w:keepNext w:val="0"/>
              <w:keepLines w:val="0"/>
              <w:pageBreakBefore w:val="0"/>
              <w:widowControl w:val="0"/>
              <w:kinsoku/>
              <w:wordWrap/>
              <w:overflowPunct/>
              <w:topLinePunct w:val="0"/>
              <w:bidi w:val="0"/>
              <w:spacing w:line="360" w:lineRule="auto"/>
              <w:ind w:left="0" w:right="0" w:firstLine="480" w:firstLineChars="200"/>
              <w:jc w:val="both"/>
              <w:textAlignment w:val="auto"/>
              <w:rPr>
                <w:color w:val="auto"/>
                <w:sz w:val="24"/>
                <w:szCs w:val="24"/>
              </w:rPr>
            </w:pPr>
            <w:r>
              <w:rPr>
                <w:color w:val="auto"/>
                <w:sz w:val="24"/>
                <w:szCs w:val="24"/>
              </w:rPr>
              <w:t>污染物排放口的环保图形标志牌应设置在靠近采样点的醒目位置处，标</w:t>
            </w:r>
            <w:r>
              <w:rPr>
                <w:color w:val="auto"/>
                <w:spacing w:val="-1"/>
                <w:sz w:val="24"/>
                <w:szCs w:val="24"/>
              </w:rPr>
              <w:t>志牌设置高度为其上缘距地面约</w:t>
            </w:r>
            <w:r>
              <w:rPr>
                <w:rFonts w:ascii="Times New Roman" w:hAnsi="Times New Roman" w:eastAsia="Times New Roman" w:cs="Times New Roman"/>
                <w:color w:val="auto"/>
                <w:spacing w:val="-1"/>
                <w:sz w:val="24"/>
                <w:szCs w:val="24"/>
              </w:rPr>
              <w:t>2m</w:t>
            </w:r>
            <w:r>
              <w:rPr>
                <w:color w:val="auto"/>
                <w:spacing w:val="-1"/>
                <w:sz w:val="24"/>
                <w:szCs w:val="24"/>
              </w:rPr>
              <w:t>。排污口</w:t>
            </w:r>
            <w:r>
              <w:rPr>
                <w:color w:val="auto"/>
                <w:spacing w:val="-2"/>
                <w:sz w:val="24"/>
                <w:szCs w:val="24"/>
              </w:rPr>
              <w:t>附近</w:t>
            </w:r>
            <w:r>
              <w:rPr>
                <w:rFonts w:ascii="Times New Roman" w:hAnsi="Times New Roman" w:eastAsia="Times New Roman" w:cs="Times New Roman"/>
                <w:color w:val="auto"/>
                <w:spacing w:val="-2"/>
                <w:sz w:val="24"/>
                <w:szCs w:val="24"/>
              </w:rPr>
              <w:t>1m</w:t>
            </w:r>
            <w:r>
              <w:rPr>
                <w:color w:val="auto"/>
                <w:spacing w:val="-2"/>
                <w:sz w:val="24"/>
                <w:szCs w:val="24"/>
              </w:rPr>
              <w:t>范围内无建筑物，设立</w:t>
            </w:r>
            <w:r>
              <w:rPr>
                <w:color w:val="auto"/>
                <w:spacing w:val="-3"/>
                <w:sz w:val="24"/>
                <w:szCs w:val="24"/>
              </w:rPr>
              <w:t>式标志牌。</w:t>
            </w:r>
          </w:p>
          <w:p w14:paraId="63FE5101">
            <w:pPr>
              <w:pStyle w:val="76"/>
              <w:keepNext w:val="0"/>
              <w:keepLines w:val="0"/>
              <w:pageBreakBefore w:val="0"/>
              <w:widowControl w:val="0"/>
              <w:kinsoku/>
              <w:wordWrap/>
              <w:overflowPunct/>
              <w:topLinePunct w:val="0"/>
              <w:bidi w:val="0"/>
              <w:spacing w:line="360" w:lineRule="auto"/>
              <w:ind w:left="0" w:right="0" w:firstLine="480" w:firstLineChars="200"/>
              <w:jc w:val="both"/>
              <w:textAlignment w:val="auto"/>
              <w:rPr>
                <w:color w:val="auto"/>
                <w:sz w:val="24"/>
                <w:szCs w:val="24"/>
              </w:rPr>
            </w:pPr>
            <w:r>
              <w:rPr>
                <w:color w:val="auto"/>
                <w:sz w:val="24"/>
                <w:szCs w:val="24"/>
              </w:rPr>
              <w:t>重点排污单位的污染物排放口或固体废物贮存处置场地以设置立式标志牌为主，一般排污单位的污染物排放口或固体废物贮存处置场地可以根据情况设置立式或平面固定式标志牌。一般污染物排放口或固体废物贮存堆放场</w:t>
            </w:r>
            <w:r>
              <w:rPr>
                <w:color w:val="auto"/>
                <w:spacing w:val="-1"/>
                <w:sz w:val="24"/>
                <w:szCs w:val="24"/>
              </w:rPr>
              <w:t>地设置提示性环境保护图形标志牌。</w:t>
            </w:r>
          </w:p>
          <w:p w14:paraId="7EAD890F">
            <w:pPr>
              <w:pStyle w:val="76"/>
              <w:keepNext w:val="0"/>
              <w:keepLines w:val="0"/>
              <w:pageBreakBefore w:val="0"/>
              <w:widowControl w:val="0"/>
              <w:kinsoku/>
              <w:wordWrap/>
              <w:overflowPunct/>
              <w:topLinePunct w:val="0"/>
              <w:bidi w:val="0"/>
              <w:spacing w:line="360" w:lineRule="auto"/>
              <w:ind w:left="0" w:right="0" w:firstLine="480" w:firstLineChars="200"/>
              <w:jc w:val="both"/>
              <w:textAlignment w:val="auto"/>
              <w:rPr>
                <w:color w:val="auto"/>
                <w:sz w:val="24"/>
                <w:szCs w:val="24"/>
              </w:rPr>
            </w:pPr>
            <w:r>
              <w:rPr>
                <w:color w:val="auto"/>
                <w:sz w:val="24"/>
                <w:szCs w:val="24"/>
              </w:rPr>
              <w:t>危险废物的容器和包装物，以及收集、贮存、利用、处置危险废物的设施、场所使用的环境保护识别标志的设置，按照《危险废物识别标志设置技</w:t>
            </w:r>
            <w:r>
              <w:rPr>
                <w:color w:val="auto"/>
                <w:spacing w:val="-1"/>
                <w:sz w:val="24"/>
                <w:szCs w:val="24"/>
              </w:rPr>
              <w:t>术规范》（</w:t>
            </w:r>
            <w:r>
              <w:rPr>
                <w:rFonts w:ascii="Times New Roman" w:hAnsi="Times New Roman" w:eastAsia="Times New Roman" w:cs="Times New Roman"/>
                <w:color w:val="auto"/>
                <w:spacing w:val="-1"/>
                <w:sz w:val="24"/>
                <w:szCs w:val="24"/>
              </w:rPr>
              <w:t>HJ1276-2022</w:t>
            </w:r>
            <w:r>
              <w:rPr>
                <w:color w:val="auto"/>
                <w:spacing w:val="-1"/>
                <w:sz w:val="24"/>
                <w:szCs w:val="24"/>
              </w:rPr>
              <w:t>）设置。</w:t>
            </w:r>
          </w:p>
          <w:p w14:paraId="1003CA72">
            <w:pPr>
              <w:pStyle w:val="76"/>
              <w:keepNext w:val="0"/>
              <w:keepLines w:val="0"/>
              <w:pageBreakBefore w:val="0"/>
              <w:widowControl w:val="0"/>
              <w:kinsoku/>
              <w:wordWrap/>
              <w:overflowPunct/>
              <w:topLinePunct w:val="0"/>
              <w:bidi w:val="0"/>
              <w:spacing w:line="360" w:lineRule="auto"/>
              <w:ind w:left="0" w:right="0" w:firstLine="488" w:firstLineChars="200"/>
              <w:textAlignment w:val="auto"/>
              <w:rPr>
                <w:color w:val="auto"/>
                <w:sz w:val="24"/>
                <w:szCs w:val="24"/>
              </w:rPr>
            </w:pPr>
            <w:r>
              <w:rPr>
                <w:color w:val="auto"/>
                <w:spacing w:val="2"/>
                <w:position w:val="2"/>
                <w:sz w:val="24"/>
                <w:szCs w:val="24"/>
              </w:rPr>
              <w:t>环境保护图形标志具体设置图形见表</w:t>
            </w:r>
            <w:r>
              <w:rPr>
                <w:rFonts w:ascii="Times New Roman" w:hAnsi="Times New Roman" w:eastAsia="Times New Roman" w:cs="Times New Roman"/>
                <w:color w:val="auto"/>
                <w:spacing w:val="2"/>
                <w:position w:val="2"/>
                <w:sz w:val="24"/>
                <w:szCs w:val="24"/>
              </w:rPr>
              <w:t>4-</w:t>
            </w:r>
            <w:r>
              <w:rPr>
                <w:rFonts w:hint="eastAsia" w:ascii="Times New Roman" w:hAnsi="Times New Roman" w:eastAsia="宋体" w:cs="Times New Roman"/>
                <w:color w:val="auto"/>
                <w:spacing w:val="2"/>
                <w:position w:val="2"/>
                <w:sz w:val="24"/>
                <w:szCs w:val="24"/>
                <w:lang w:val="en-US" w:eastAsia="zh-CN"/>
              </w:rPr>
              <w:t>16</w:t>
            </w:r>
            <w:r>
              <w:rPr>
                <w:color w:val="auto"/>
                <w:spacing w:val="2"/>
                <w:position w:val="2"/>
                <w:sz w:val="24"/>
                <w:szCs w:val="24"/>
              </w:rPr>
              <w:t>。</w:t>
            </w:r>
          </w:p>
          <w:p w14:paraId="6DEA80DB">
            <w:pPr>
              <w:pStyle w:val="76"/>
              <w:keepNext w:val="0"/>
              <w:keepLines w:val="0"/>
              <w:pageBreakBefore w:val="0"/>
              <w:widowControl w:val="0"/>
              <w:kinsoku/>
              <w:wordWrap/>
              <w:overflowPunct/>
              <w:topLinePunct w:val="0"/>
              <w:bidi w:val="0"/>
              <w:spacing w:line="360" w:lineRule="auto"/>
              <w:ind w:right="0"/>
              <w:jc w:val="center"/>
              <w:textAlignment w:val="auto"/>
              <w:rPr>
                <w:color w:val="auto"/>
              </w:rPr>
            </w:pPr>
            <w:r>
              <w:rPr>
                <w:b/>
                <w:bCs/>
                <w:color w:val="auto"/>
                <w:spacing w:val="-2"/>
                <w:sz w:val="24"/>
                <w:szCs w:val="24"/>
              </w:rPr>
              <w:t>表</w:t>
            </w:r>
            <w:r>
              <w:rPr>
                <w:rFonts w:ascii="Times New Roman" w:hAnsi="Times New Roman" w:eastAsia="Times New Roman" w:cs="Times New Roman"/>
                <w:b/>
                <w:bCs/>
                <w:color w:val="auto"/>
                <w:spacing w:val="-2"/>
                <w:sz w:val="24"/>
                <w:szCs w:val="24"/>
              </w:rPr>
              <w:t>4-</w:t>
            </w:r>
            <w:r>
              <w:rPr>
                <w:rFonts w:hint="eastAsia" w:ascii="Times New Roman" w:hAnsi="Times New Roman" w:eastAsia="宋体" w:cs="Times New Roman"/>
                <w:b/>
                <w:bCs/>
                <w:color w:val="auto"/>
                <w:spacing w:val="-2"/>
                <w:sz w:val="24"/>
                <w:szCs w:val="24"/>
                <w:lang w:val="en-US" w:eastAsia="zh-CN"/>
              </w:rPr>
              <w:t>16</w:t>
            </w:r>
            <w:r>
              <w:rPr>
                <w:b/>
                <w:bCs/>
                <w:color w:val="auto"/>
                <w:spacing w:val="-2"/>
                <w:sz w:val="24"/>
                <w:szCs w:val="24"/>
              </w:rPr>
              <w:t>环保图形标准设置图形表</w:t>
            </w:r>
          </w:p>
          <w:tbl>
            <w:tblPr>
              <w:tblStyle w:val="7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2"/>
              <w:gridCol w:w="1692"/>
              <w:gridCol w:w="1879"/>
              <w:gridCol w:w="1530"/>
              <w:gridCol w:w="1761"/>
            </w:tblGrid>
            <w:tr w14:paraId="16114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75" w:type="pct"/>
                  <w:tcBorders>
                    <w:top w:val="single" w:color="000000" w:sz="10" w:space="0"/>
                    <w:left w:val="single" w:color="000000" w:sz="10" w:space="0"/>
                  </w:tcBorders>
                  <w:vAlign w:val="center"/>
                </w:tcPr>
                <w:p w14:paraId="21BA71F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6"/>
                      <w:sz w:val="21"/>
                      <w:szCs w:val="21"/>
                    </w:rPr>
                    <w:t>排放口</w:t>
                  </w:r>
                </w:p>
              </w:tc>
              <w:tc>
                <w:tcPr>
                  <w:tcW w:w="1090" w:type="pct"/>
                  <w:tcBorders>
                    <w:top w:val="single" w:color="000000" w:sz="10" w:space="0"/>
                  </w:tcBorders>
                  <w:vAlign w:val="center"/>
                </w:tcPr>
                <w:p w14:paraId="3307777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5"/>
                      <w:sz w:val="21"/>
                      <w:szCs w:val="21"/>
                    </w:rPr>
                    <w:t>废气</w:t>
                  </w:r>
                </w:p>
              </w:tc>
              <w:tc>
                <w:tcPr>
                  <w:tcW w:w="1211" w:type="pct"/>
                  <w:tcBorders>
                    <w:top w:val="single" w:color="000000" w:sz="10" w:space="0"/>
                  </w:tcBorders>
                  <w:vAlign w:val="center"/>
                </w:tcPr>
                <w:p w14:paraId="467038A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5"/>
                      <w:sz w:val="21"/>
                      <w:szCs w:val="21"/>
                    </w:rPr>
                    <w:t>废水</w:t>
                  </w:r>
                </w:p>
              </w:tc>
              <w:tc>
                <w:tcPr>
                  <w:tcW w:w="986" w:type="pct"/>
                  <w:tcBorders>
                    <w:top w:val="single" w:color="000000" w:sz="10" w:space="0"/>
                  </w:tcBorders>
                  <w:vAlign w:val="center"/>
                </w:tcPr>
                <w:p w14:paraId="4B623D1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1"/>
                      <w:sz w:val="21"/>
                      <w:szCs w:val="21"/>
                    </w:rPr>
                    <w:t>噪声</w:t>
                  </w:r>
                </w:p>
              </w:tc>
              <w:tc>
                <w:tcPr>
                  <w:tcW w:w="1134" w:type="pct"/>
                  <w:tcBorders>
                    <w:top w:val="single" w:color="000000" w:sz="10" w:space="0"/>
                    <w:right w:val="single" w:color="000000" w:sz="10" w:space="0"/>
                  </w:tcBorders>
                  <w:vAlign w:val="center"/>
                </w:tcPr>
                <w:p w14:paraId="7A067E45">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6"/>
                      <w:sz w:val="21"/>
                      <w:szCs w:val="21"/>
                    </w:rPr>
                    <w:t>一般固废</w:t>
                  </w:r>
                </w:p>
              </w:tc>
            </w:tr>
            <w:tr w14:paraId="48C6A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3" w:hRule="atLeast"/>
              </w:trPr>
              <w:tc>
                <w:tcPr>
                  <w:tcW w:w="575" w:type="pct"/>
                  <w:tcBorders>
                    <w:left w:val="single" w:color="000000" w:sz="10" w:space="0"/>
                  </w:tcBorders>
                  <w:vAlign w:val="center"/>
                </w:tcPr>
                <w:p w14:paraId="22344DD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auto"/>
                      <w:sz w:val="21"/>
                      <w:szCs w:val="21"/>
                    </w:rPr>
                  </w:pPr>
                </w:p>
                <w:p w14:paraId="518338E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z w:val="21"/>
                      <w:szCs w:val="21"/>
                    </w:rPr>
                    <w:t>图形符号</w:t>
                  </w:r>
                </w:p>
              </w:tc>
              <w:tc>
                <w:tcPr>
                  <w:tcW w:w="1090" w:type="pct"/>
                  <w:vAlign w:val="center"/>
                </w:tcPr>
                <w:p w14:paraId="4D5CAE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position w:val="-26"/>
                      <w:sz w:val="21"/>
                      <w:szCs w:val="21"/>
                    </w:rPr>
                    <w:drawing>
                      <wp:inline distT="0" distB="0" distL="0" distR="0">
                        <wp:extent cx="935355" cy="850265"/>
                        <wp:effectExtent l="0" t="0" r="9525" b="3175"/>
                        <wp:docPr id="18" name="IM 62"/>
                        <wp:cNvGraphicFramePr/>
                        <a:graphic xmlns:a="http://schemas.openxmlformats.org/drawingml/2006/main">
                          <a:graphicData uri="http://schemas.openxmlformats.org/drawingml/2006/picture">
                            <pic:pic xmlns:pic="http://schemas.openxmlformats.org/drawingml/2006/picture">
                              <pic:nvPicPr>
                                <pic:cNvPr id="18" name="IM 62"/>
                                <pic:cNvPicPr/>
                              </pic:nvPicPr>
                              <pic:blipFill>
                                <a:blip r:embed="rId19"/>
                                <a:stretch>
                                  <a:fillRect/>
                                </a:stretch>
                              </pic:blipFill>
                              <pic:spPr>
                                <a:xfrm>
                                  <a:off x="0" y="0"/>
                                  <a:ext cx="935736" cy="850265"/>
                                </a:xfrm>
                                <a:prstGeom prst="rect">
                                  <a:avLst/>
                                </a:prstGeom>
                              </pic:spPr>
                            </pic:pic>
                          </a:graphicData>
                        </a:graphic>
                      </wp:inline>
                    </w:drawing>
                  </w:r>
                </w:p>
              </w:tc>
              <w:tc>
                <w:tcPr>
                  <w:tcW w:w="1211" w:type="pct"/>
                  <w:vAlign w:val="center"/>
                </w:tcPr>
                <w:p w14:paraId="62587BF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position w:val="-26"/>
                      <w:sz w:val="21"/>
                      <w:szCs w:val="21"/>
                    </w:rPr>
                    <w:drawing>
                      <wp:inline distT="0" distB="0" distL="0" distR="0">
                        <wp:extent cx="935355" cy="850265"/>
                        <wp:effectExtent l="0" t="0" r="9525" b="3175"/>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0"/>
                                <a:stretch>
                                  <a:fillRect/>
                                </a:stretch>
                              </pic:blipFill>
                              <pic:spPr>
                                <a:xfrm>
                                  <a:off x="0" y="0"/>
                                  <a:ext cx="935735" cy="850265"/>
                                </a:xfrm>
                                <a:prstGeom prst="rect">
                                  <a:avLst/>
                                </a:prstGeom>
                              </pic:spPr>
                            </pic:pic>
                          </a:graphicData>
                        </a:graphic>
                      </wp:inline>
                    </w:drawing>
                  </w:r>
                </w:p>
              </w:tc>
              <w:tc>
                <w:tcPr>
                  <w:tcW w:w="986" w:type="pct"/>
                  <w:vAlign w:val="center"/>
                </w:tcPr>
                <w:p w14:paraId="28102E5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position w:val="-26"/>
                      <w:sz w:val="21"/>
                      <w:szCs w:val="21"/>
                    </w:rPr>
                    <w:drawing>
                      <wp:inline distT="0" distB="0" distL="0" distR="0">
                        <wp:extent cx="935355" cy="850265"/>
                        <wp:effectExtent l="0" t="0" r="9525" b="3175"/>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1"/>
                                <a:stretch>
                                  <a:fillRect/>
                                </a:stretch>
                              </pic:blipFill>
                              <pic:spPr>
                                <a:xfrm>
                                  <a:off x="0" y="0"/>
                                  <a:ext cx="935735" cy="850265"/>
                                </a:xfrm>
                                <a:prstGeom prst="rect">
                                  <a:avLst/>
                                </a:prstGeom>
                              </pic:spPr>
                            </pic:pic>
                          </a:graphicData>
                        </a:graphic>
                      </wp:inline>
                    </w:drawing>
                  </w:r>
                </w:p>
              </w:tc>
              <w:tc>
                <w:tcPr>
                  <w:tcW w:w="1134" w:type="pct"/>
                  <w:tcBorders>
                    <w:right w:val="single" w:color="000000" w:sz="10" w:space="0"/>
                  </w:tcBorders>
                  <w:vAlign w:val="center"/>
                </w:tcPr>
                <w:p w14:paraId="3F925F9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position w:val="-26"/>
                      <w:sz w:val="21"/>
                      <w:szCs w:val="21"/>
                    </w:rPr>
                    <w:drawing>
                      <wp:inline distT="0" distB="0" distL="0" distR="0">
                        <wp:extent cx="935355" cy="849630"/>
                        <wp:effectExtent l="0" t="0" r="9525" b="3810"/>
                        <wp:docPr id="19" name="IM 68"/>
                        <wp:cNvGraphicFramePr/>
                        <a:graphic xmlns:a="http://schemas.openxmlformats.org/drawingml/2006/main">
                          <a:graphicData uri="http://schemas.openxmlformats.org/drawingml/2006/picture">
                            <pic:pic xmlns:pic="http://schemas.openxmlformats.org/drawingml/2006/picture">
                              <pic:nvPicPr>
                                <pic:cNvPr id="19" name="IM 68"/>
                                <pic:cNvPicPr/>
                              </pic:nvPicPr>
                              <pic:blipFill>
                                <a:blip r:embed="rId22"/>
                                <a:stretch>
                                  <a:fillRect/>
                                </a:stretch>
                              </pic:blipFill>
                              <pic:spPr>
                                <a:xfrm>
                                  <a:off x="0" y="0"/>
                                  <a:ext cx="935736" cy="850264"/>
                                </a:xfrm>
                                <a:prstGeom prst="rect">
                                  <a:avLst/>
                                </a:prstGeom>
                              </pic:spPr>
                            </pic:pic>
                          </a:graphicData>
                        </a:graphic>
                      </wp:inline>
                    </w:drawing>
                  </w:r>
                </w:p>
              </w:tc>
            </w:tr>
            <w:tr w14:paraId="2DDBE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75" w:type="pct"/>
                  <w:tcBorders>
                    <w:left w:val="single" w:color="000000" w:sz="10" w:space="0"/>
                  </w:tcBorders>
                  <w:vAlign w:val="center"/>
                </w:tcPr>
                <w:p w14:paraId="01D30C2D">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5"/>
                      <w:sz w:val="21"/>
                      <w:szCs w:val="21"/>
                    </w:rPr>
                    <w:t>背景颜</w:t>
                  </w:r>
                </w:p>
                <w:p w14:paraId="7EE04F3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z w:val="21"/>
                      <w:szCs w:val="21"/>
                    </w:rPr>
                    <w:t>色</w:t>
                  </w:r>
                </w:p>
              </w:tc>
              <w:tc>
                <w:tcPr>
                  <w:tcW w:w="1090" w:type="pct"/>
                  <w:vAlign w:val="center"/>
                </w:tcPr>
                <w:p w14:paraId="369B51B5">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3"/>
                      <w:sz w:val="21"/>
                      <w:szCs w:val="21"/>
                    </w:rPr>
                    <w:t>绿色</w:t>
                  </w:r>
                </w:p>
              </w:tc>
              <w:tc>
                <w:tcPr>
                  <w:tcW w:w="1211" w:type="pct"/>
                  <w:vAlign w:val="center"/>
                </w:tcPr>
                <w:p w14:paraId="231C9B7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3"/>
                      <w:sz w:val="21"/>
                      <w:szCs w:val="21"/>
                    </w:rPr>
                    <w:t>绿色</w:t>
                  </w:r>
                </w:p>
              </w:tc>
              <w:tc>
                <w:tcPr>
                  <w:tcW w:w="986" w:type="pct"/>
                  <w:vAlign w:val="center"/>
                </w:tcPr>
                <w:p w14:paraId="58AB20B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3"/>
                      <w:sz w:val="21"/>
                      <w:szCs w:val="21"/>
                    </w:rPr>
                    <w:t>绿色</w:t>
                  </w:r>
                </w:p>
              </w:tc>
              <w:tc>
                <w:tcPr>
                  <w:tcW w:w="1134" w:type="pct"/>
                  <w:tcBorders>
                    <w:right w:val="single" w:color="000000" w:sz="10" w:space="0"/>
                  </w:tcBorders>
                  <w:vAlign w:val="center"/>
                </w:tcPr>
                <w:p w14:paraId="33DE367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5"/>
                      <w:sz w:val="21"/>
                      <w:szCs w:val="21"/>
                    </w:rPr>
                    <w:t>黄色</w:t>
                  </w:r>
                </w:p>
              </w:tc>
            </w:tr>
            <w:tr w14:paraId="759AB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575" w:type="pct"/>
                  <w:tcBorders>
                    <w:left w:val="single" w:color="000000" w:sz="10" w:space="0"/>
                    <w:bottom w:val="single" w:color="000000" w:sz="10" w:space="0"/>
                  </w:tcBorders>
                  <w:vAlign w:val="center"/>
                </w:tcPr>
                <w:p w14:paraId="7B16841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z w:val="21"/>
                      <w:szCs w:val="21"/>
                    </w:rPr>
                    <w:t>图形颜色</w:t>
                  </w:r>
                </w:p>
              </w:tc>
              <w:tc>
                <w:tcPr>
                  <w:tcW w:w="1090" w:type="pct"/>
                  <w:tcBorders>
                    <w:bottom w:val="single" w:color="000000" w:sz="10" w:space="0"/>
                  </w:tcBorders>
                  <w:vAlign w:val="center"/>
                </w:tcPr>
                <w:p w14:paraId="464C7A7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11"/>
                      <w:sz w:val="21"/>
                      <w:szCs w:val="21"/>
                    </w:rPr>
                    <w:t>白色</w:t>
                  </w:r>
                </w:p>
              </w:tc>
              <w:tc>
                <w:tcPr>
                  <w:tcW w:w="1211" w:type="pct"/>
                  <w:tcBorders>
                    <w:bottom w:val="single" w:color="000000" w:sz="10" w:space="0"/>
                  </w:tcBorders>
                  <w:vAlign w:val="center"/>
                </w:tcPr>
                <w:p w14:paraId="461A58B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11"/>
                      <w:sz w:val="21"/>
                      <w:szCs w:val="21"/>
                    </w:rPr>
                    <w:t>白色</w:t>
                  </w:r>
                </w:p>
              </w:tc>
              <w:tc>
                <w:tcPr>
                  <w:tcW w:w="986" w:type="pct"/>
                  <w:tcBorders>
                    <w:bottom w:val="single" w:color="000000" w:sz="10" w:space="0"/>
                  </w:tcBorders>
                  <w:vAlign w:val="center"/>
                </w:tcPr>
                <w:p w14:paraId="6060255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11"/>
                      <w:sz w:val="21"/>
                      <w:szCs w:val="21"/>
                    </w:rPr>
                    <w:t>白色</w:t>
                  </w:r>
                </w:p>
              </w:tc>
              <w:tc>
                <w:tcPr>
                  <w:tcW w:w="1134" w:type="pct"/>
                  <w:tcBorders>
                    <w:bottom w:val="single" w:color="000000" w:sz="10" w:space="0"/>
                    <w:right w:val="single" w:color="000000" w:sz="10" w:space="0"/>
                  </w:tcBorders>
                  <w:vAlign w:val="center"/>
                </w:tcPr>
                <w:p w14:paraId="0AE9BF0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auto"/>
                      <w:sz w:val="21"/>
                      <w:szCs w:val="21"/>
                    </w:rPr>
                  </w:pPr>
                  <w:r>
                    <w:rPr>
                      <w:color w:val="auto"/>
                      <w:spacing w:val="2"/>
                      <w:sz w:val="21"/>
                      <w:szCs w:val="21"/>
                    </w:rPr>
                    <w:t>黑色</w:t>
                  </w:r>
                </w:p>
              </w:tc>
            </w:tr>
          </w:tbl>
          <w:p w14:paraId="4339853A">
            <w:pPr>
              <w:pStyle w:val="46"/>
              <w:keepNext w:val="0"/>
              <w:keepLines w:val="0"/>
              <w:pageBreakBefore w:val="0"/>
              <w:widowControl w:val="0"/>
              <w:numPr>
                <w:ilvl w:val="0"/>
                <w:numId w:val="0"/>
              </w:numPr>
              <w:kinsoku/>
              <w:wordWrap/>
              <w:overflowPunct/>
              <w:topLinePunct w:val="0"/>
              <w:bidi w:val="0"/>
              <w:spacing w:line="360" w:lineRule="auto"/>
              <w:ind w:left="0" w:right="0" w:firstLine="468" w:firstLineChars="200"/>
              <w:textAlignment w:val="auto"/>
              <w:rPr>
                <w:rFonts w:hint="default" w:ascii="Times New Roman" w:hAnsi="Times New Roman" w:eastAsia="宋体" w:cs="宋体"/>
                <w:color w:val="auto"/>
                <w:spacing w:val="-3"/>
                <w:kern w:val="0"/>
                <w:position w:val="2"/>
                <w:sz w:val="24"/>
                <w:szCs w:val="24"/>
                <w:lang w:val="en-US" w:eastAsia="zh-CN" w:bidi="ar-SA"/>
              </w:rPr>
            </w:pPr>
            <w:r>
              <w:rPr>
                <w:rFonts w:ascii="Times New Roman" w:hAnsi="Times New Roman" w:eastAsia="宋体" w:cs="宋体"/>
                <w:color w:val="auto"/>
                <w:spacing w:val="-3"/>
                <w:kern w:val="0"/>
                <w:position w:val="2"/>
                <w:sz w:val="24"/>
                <w:szCs w:val="24"/>
                <w:lang w:val="en-US" w:eastAsia="zh-CN" w:bidi="ar-SA"/>
              </w:rPr>
              <w:t>（6）</w:t>
            </w:r>
            <w:r>
              <w:rPr>
                <w:rFonts w:hint="eastAsia" w:eastAsia="宋体"/>
                <w:color w:val="auto"/>
                <w:spacing w:val="-3"/>
                <w:position w:val="2"/>
                <w:sz w:val="24"/>
                <w:szCs w:val="24"/>
                <w:lang w:val="en-US" w:eastAsia="zh-CN"/>
              </w:rPr>
              <w:t>二维码设计规范</w:t>
            </w:r>
          </w:p>
          <w:p w14:paraId="6836E1A5">
            <w:pPr>
              <w:pStyle w:val="4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firstLine="468" w:firstLineChars="200"/>
              <w:textAlignment w:val="auto"/>
              <w:rPr>
                <w:rFonts w:ascii="Times New Roman" w:hAnsi="Times New Roman" w:eastAsia="宋体" w:cs="宋体"/>
                <w:color w:val="auto"/>
                <w:spacing w:val="-3"/>
                <w:kern w:val="0"/>
                <w:position w:val="2"/>
                <w:sz w:val="24"/>
                <w:szCs w:val="24"/>
                <w:lang w:val="en-US" w:eastAsia="zh-CN" w:bidi="ar-SA"/>
              </w:rPr>
            </w:pPr>
            <w:r>
              <w:rPr>
                <w:rFonts w:hint="eastAsia" w:cs="宋体"/>
                <w:color w:val="auto"/>
                <w:spacing w:val="-3"/>
                <w:kern w:val="0"/>
                <w:position w:val="2"/>
                <w:sz w:val="24"/>
                <w:szCs w:val="24"/>
                <w:lang w:val="en-US" w:eastAsia="zh-CN" w:bidi="ar-SA"/>
              </w:rPr>
              <w:t>根据《排污单位污染物排放口二维码标识技术规范》（HJ 1297—2023）</w:t>
            </w:r>
            <w:r>
              <w:rPr>
                <w:rFonts w:hint="eastAsia" w:ascii="Times New Roman" w:hAnsi="Times New Roman" w:eastAsia="宋体" w:cs="宋体"/>
                <w:color w:val="auto"/>
                <w:spacing w:val="-3"/>
                <w:kern w:val="0"/>
                <w:position w:val="2"/>
                <w:sz w:val="24"/>
                <w:szCs w:val="24"/>
                <w:lang w:val="en-US" w:eastAsia="zh-CN" w:bidi="ar-SA"/>
              </w:rPr>
              <w:t>。</w:t>
            </w:r>
          </w:p>
          <w:p w14:paraId="64F59559">
            <w:pPr>
              <w:pStyle w:val="46"/>
              <w:keepNext w:val="0"/>
              <w:keepLines w:val="0"/>
              <w:pageBreakBefore w:val="0"/>
              <w:widowControl w:val="0"/>
              <w:numPr>
                <w:ilvl w:val="0"/>
                <w:numId w:val="0"/>
              </w:numPr>
              <w:kinsoku/>
              <w:wordWrap/>
              <w:overflowPunct/>
              <w:topLinePunct w:val="0"/>
              <w:bidi w:val="0"/>
              <w:spacing w:line="360" w:lineRule="auto"/>
              <w:ind w:left="0" w:right="0" w:firstLine="468" w:firstLineChars="200"/>
              <w:textAlignment w:val="auto"/>
              <w:rPr>
                <w:rFonts w:ascii="Times New Roman" w:hAnsi="Times New Roman" w:eastAsia="宋体" w:cs="宋体"/>
                <w:color w:val="auto"/>
                <w:spacing w:val="-3"/>
                <w:kern w:val="0"/>
                <w:position w:val="2"/>
                <w:sz w:val="24"/>
                <w:szCs w:val="24"/>
                <w:lang w:val="en-US" w:eastAsia="zh-CN" w:bidi="ar-SA"/>
              </w:rPr>
            </w:pPr>
            <w:r>
              <w:rPr>
                <w:rFonts w:hint="eastAsia" w:cs="宋体"/>
                <w:color w:val="auto"/>
                <w:spacing w:val="-3"/>
                <w:kern w:val="0"/>
                <w:position w:val="2"/>
                <w:sz w:val="24"/>
                <w:szCs w:val="24"/>
                <w:lang w:val="en-US" w:eastAsia="zh-CN" w:bidi="ar-SA"/>
              </w:rPr>
              <w:t>①</w:t>
            </w:r>
            <w:r>
              <w:rPr>
                <w:rFonts w:hint="eastAsia" w:ascii="Times New Roman" w:hAnsi="Times New Roman" w:eastAsia="宋体" w:cs="宋体"/>
                <w:color w:val="auto"/>
                <w:spacing w:val="-3"/>
                <w:kern w:val="0"/>
                <w:position w:val="2"/>
                <w:sz w:val="24"/>
                <w:szCs w:val="24"/>
                <w:lang w:val="en-US" w:eastAsia="zh-CN" w:bidi="ar-SA"/>
              </w:rPr>
              <w:t>排放口二维码标识应与排放口一一对应，标识位置尽量设置在少油污、少触碰、少摩擦、少高温少潮湿等不易对二维码产生损害的位置，标识位置的选择应便于扫描、易于识读</w:t>
            </w:r>
          </w:p>
          <w:p w14:paraId="2E3F2366">
            <w:pPr>
              <w:pStyle w:val="46"/>
              <w:keepNext w:val="0"/>
              <w:keepLines w:val="0"/>
              <w:pageBreakBefore w:val="0"/>
              <w:widowControl w:val="0"/>
              <w:numPr>
                <w:ilvl w:val="0"/>
                <w:numId w:val="0"/>
              </w:numPr>
              <w:kinsoku/>
              <w:wordWrap/>
              <w:overflowPunct/>
              <w:topLinePunct w:val="0"/>
              <w:bidi w:val="0"/>
              <w:spacing w:line="360" w:lineRule="auto"/>
              <w:ind w:left="0" w:right="0" w:firstLine="468" w:firstLineChars="200"/>
              <w:textAlignment w:val="auto"/>
              <w:rPr>
                <w:rFonts w:hint="default" w:ascii="Times New Roman" w:hAnsi="Times New Roman" w:eastAsia="宋体" w:cs="宋体"/>
                <w:color w:val="auto"/>
                <w:spacing w:val="-3"/>
                <w:kern w:val="0"/>
                <w:position w:val="2"/>
                <w:sz w:val="24"/>
                <w:szCs w:val="24"/>
                <w:lang w:val="en-US" w:eastAsia="zh-CN" w:bidi="ar-SA"/>
              </w:rPr>
            </w:pPr>
            <w:r>
              <w:rPr>
                <w:rFonts w:hint="eastAsia" w:cs="宋体"/>
                <w:color w:val="auto"/>
                <w:spacing w:val="-3"/>
                <w:kern w:val="0"/>
                <w:position w:val="2"/>
                <w:sz w:val="24"/>
                <w:szCs w:val="24"/>
                <w:lang w:val="en-US" w:eastAsia="zh-CN" w:bidi="ar-SA"/>
              </w:rPr>
              <w:t>②排放口二维码符号大小应根据代码内容、纠错等级、印制面积、版面设计、识读装置与系统、标签允许空间等因素综合确定。最小模块尺寸不宜小于 0.254mm。排放口二维码模块为黑色，背景色为白色，背景区域应大于条码边缘至少2mm。分辨率大于或等于4mil。</w:t>
            </w:r>
          </w:p>
          <w:p w14:paraId="3E19BF40">
            <w:pPr>
              <w:pStyle w:val="46"/>
              <w:keepNext w:val="0"/>
              <w:keepLines w:val="0"/>
              <w:pageBreakBefore w:val="0"/>
              <w:widowControl w:val="0"/>
              <w:numPr>
                <w:ilvl w:val="0"/>
                <w:numId w:val="0"/>
              </w:numPr>
              <w:kinsoku/>
              <w:wordWrap/>
              <w:overflowPunct/>
              <w:topLinePunct w:val="0"/>
              <w:bidi w:val="0"/>
              <w:spacing w:line="360" w:lineRule="auto"/>
              <w:ind w:left="0" w:right="0" w:firstLine="468" w:firstLineChars="200"/>
              <w:textAlignment w:val="auto"/>
              <w:rPr>
                <w:rFonts w:ascii="Times New Roman" w:hAnsi="Times New Roman" w:eastAsia="宋体" w:cs="宋体"/>
                <w:color w:val="auto"/>
                <w:spacing w:val="-3"/>
                <w:kern w:val="0"/>
                <w:position w:val="2"/>
                <w:sz w:val="24"/>
                <w:szCs w:val="24"/>
                <w:lang w:val="en-US" w:eastAsia="zh-CN" w:bidi="ar-SA"/>
              </w:rPr>
            </w:pPr>
            <w:r>
              <w:rPr>
                <w:rFonts w:hint="eastAsia" w:cs="宋体"/>
                <w:color w:val="auto"/>
                <w:spacing w:val="-3"/>
                <w:kern w:val="0"/>
                <w:position w:val="2"/>
                <w:sz w:val="24"/>
                <w:szCs w:val="24"/>
                <w:lang w:val="en-US" w:eastAsia="zh-CN" w:bidi="ar-SA"/>
              </w:rPr>
              <w:t>③排放口二维码标识管理应符合 UTC1002要求。在排放口二维码使用过程中出现无法识读、识读错误或者毁损、因排污许可证重新申请或变更导致排放口代码发生变化的情况时，应在一个月内完成修复更正。</w:t>
            </w:r>
          </w:p>
          <w:p w14:paraId="3E3F0F68">
            <w:pPr>
              <w:pStyle w:val="46"/>
              <w:keepNext w:val="0"/>
              <w:keepLines w:val="0"/>
              <w:pageBreakBefore w:val="0"/>
              <w:widowControl w:val="0"/>
              <w:numPr>
                <w:ilvl w:val="0"/>
                <w:numId w:val="0"/>
              </w:numPr>
              <w:kinsoku/>
              <w:wordWrap/>
              <w:overflowPunct/>
              <w:topLinePunct w:val="0"/>
              <w:bidi w:val="0"/>
              <w:spacing w:line="360" w:lineRule="auto"/>
              <w:ind w:left="0" w:right="0" w:firstLine="468" w:firstLineChars="200"/>
              <w:textAlignment w:val="auto"/>
              <w:rPr>
                <w:color w:val="auto"/>
                <w:spacing w:val="-3"/>
                <w:position w:val="2"/>
                <w:sz w:val="24"/>
                <w:szCs w:val="24"/>
              </w:rPr>
            </w:pPr>
            <w:r>
              <w:rPr>
                <w:rFonts w:ascii="Times New Roman" w:hAnsi="Times New Roman" w:eastAsia="宋体" w:cs="宋体"/>
                <w:color w:val="auto"/>
                <w:spacing w:val="-3"/>
                <w:kern w:val="0"/>
                <w:position w:val="2"/>
                <w:sz w:val="24"/>
                <w:szCs w:val="24"/>
                <w:lang w:val="en-US" w:eastAsia="zh-CN" w:bidi="ar-SA"/>
              </w:rPr>
              <w:t>（</w:t>
            </w:r>
            <w:r>
              <w:rPr>
                <w:rFonts w:hint="eastAsia" w:cs="宋体"/>
                <w:color w:val="auto"/>
                <w:spacing w:val="-3"/>
                <w:kern w:val="0"/>
                <w:position w:val="2"/>
                <w:sz w:val="24"/>
                <w:szCs w:val="24"/>
                <w:lang w:val="en-US" w:eastAsia="zh-CN" w:bidi="ar-SA"/>
              </w:rPr>
              <w:t>7</w:t>
            </w:r>
            <w:r>
              <w:rPr>
                <w:rFonts w:ascii="Times New Roman" w:hAnsi="Times New Roman" w:eastAsia="宋体" w:cs="宋体"/>
                <w:color w:val="auto"/>
                <w:spacing w:val="-3"/>
                <w:kern w:val="0"/>
                <w:position w:val="2"/>
                <w:sz w:val="24"/>
                <w:szCs w:val="24"/>
                <w:lang w:val="en-US" w:eastAsia="zh-CN" w:bidi="ar-SA"/>
              </w:rPr>
              <w:t>）</w:t>
            </w:r>
            <w:r>
              <w:rPr>
                <w:color w:val="auto"/>
                <w:spacing w:val="-3"/>
                <w:position w:val="2"/>
                <w:sz w:val="24"/>
                <w:szCs w:val="24"/>
              </w:rPr>
              <w:t>竣工验收管理</w:t>
            </w:r>
          </w:p>
          <w:p w14:paraId="0F78BBB4">
            <w:pPr>
              <w:pStyle w:val="76"/>
              <w:keepNext w:val="0"/>
              <w:keepLines w:val="0"/>
              <w:pageBreakBefore w:val="0"/>
              <w:widowControl w:val="0"/>
              <w:kinsoku/>
              <w:wordWrap/>
              <w:overflowPunct/>
              <w:topLinePunct w:val="0"/>
              <w:bidi w:val="0"/>
              <w:spacing w:line="360" w:lineRule="auto"/>
              <w:ind w:left="0" w:right="0" w:firstLine="480" w:firstLineChars="200"/>
              <w:textAlignment w:val="auto"/>
              <w:rPr>
                <w:color w:val="auto"/>
                <w:sz w:val="24"/>
                <w:szCs w:val="24"/>
              </w:rPr>
            </w:pPr>
            <w:r>
              <w:rPr>
                <w:color w:val="auto"/>
                <w:sz w:val="24"/>
                <w:szCs w:val="24"/>
              </w:rPr>
              <w:t>建设项目竣工后，建设单位应当按照国家有关法律法规、建设项目竣工环境保护验收技术规范、环境影响报告表和审批决定等要求，如实查验、监测、记载建设项目环境保护设施的建设和调试情况，同时还应如实记载其他</w:t>
            </w:r>
            <w:r>
              <w:rPr>
                <w:color w:val="auto"/>
                <w:spacing w:val="1"/>
                <w:sz w:val="24"/>
                <w:szCs w:val="24"/>
              </w:rPr>
              <w:t>环境保护对策措施</w:t>
            </w:r>
            <w:r>
              <w:rPr>
                <w:rFonts w:ascii="Times New Roman" w:hAnsi="Times New Roman" w:eastAsia="Times New Roman" w:cs="Times New Roman"/>
                <w:color w:val="auto"/>
                <w:spacing w:val="1"/>
                <w:sz w:val="24"/>
                <w:szCs w:val="24"/>
              </w:rPr>
              <w:t>“</w:t>
            </w:r>
            <w:r>
              <w:rPr>
                <w:color w:val="auto"/>
                <w:spacing w:val="1"/>
                <w:sz w:val="24"/>
                <w:szCs w:val="24"/>
              </w:rPr>
              <w:t>三同时</w:t>
            </w:r>
            <w:r>
              <w:rPr>
                <w:rFonts w:ascii="Times New Roman" w:hAnsi="Times New Roman" w:eastAsia="Times New Roman" w:cs="Times New Roman"/>
                <w:color w:val="auto"/>
                <w:spacing w:val="1"/>
                <w:sz w:val="24"/>
                <w:szCs w:val="24"/>
              </w:rPr>
              <w:t>”</w:t>
            </w:r>
            <w:r>
              <w:rPr>
                <w:color w:val="auto"/>
                <w:spacing w:val="1"/>
                <w:sz w:val="24"/>
                <w:szCs w:val="24"/>
              </w:rPr>
              <w:t>落实情况，编制竣工环境保护验收报告。验收报告编制完成后，建设单位应组织成立验收工作组。验收工作组由建设单位、</w:t>
            </w:r>
            <w:r>
              <w:rPr>
                <w:color w:val="auto"/>
                <w:sz w:val="24"/>
                <w:szCs w:val="24"/>
              </w:rPr>
              <w:t>设计单位、施工单位、环境影响报告表编制机构、验收报告编制机构等单位代表和专业技术专家组成。验收工作组形成验收意见，建设单位应当对验收工作组提出的问题进行整改，合格后方可出具验收合格的意见。建设项目配</w:t>
            </w:r>
            <w:r>
              <w:rPr>
                <w:color w:val="auto"/>
                <w:spacing w:val="-4"/>
                <w:sz w:val="24"/>
                <w:szCs w:val="24"/>
              </w:rPr>
              <w:t>套建设的环境保护设施经验收合格后，其主体工程才可以</w:t>
            </w:r>
            <w:r>
              <w:rPr>
                <w:color w:val="auto"/>
                <w:spacing w:val="-5"/>
                <w:sz w:val="24"/>
                <w:szCs w:val="24"/>
              </w:rPr>
              <w:t>投入生产或者使用。</w:t>
            </w:r>
          </w:p>
          <w:p w14:paraId="2C92AF98">
            <w:pPr>
              <w:pStyle w:val="46"/>
              <w:keepNext w:val="0"/>
              <w:keepLines w:val="0"/>
              <w:pageBreakBefore w:val="0"/>
              <w:widowControl w:val="0"/>
              <w:numPr>
                <w:ilvl w:val="0"/>
                <w:numId w:val="0"/>
              </w:numPr>
              <w:kinsoku/>
              <w:wordWrap/>
              <w:overflowPunct/>
              <w:topLinePunct w:val="0"/>
              <w:bidi w:val="0"/>
              <w:spacing w:line="360" w:lineRule="auto"/>
              <w:ind w:left="0" w:right="0" w:firstLine="480" w:firstLineChars="200"/>
              <w:textAlignment w:val="auto"/>
              <w:rPr>
                <w:color w:val="auto"/>
                <w:spacing w:val="-3"/>
                <w:position w:val="2"/>
                <w:sz w:val="24"/>
                <w:szCs w:val="24"/>
              </w:rPr>
            </w:pPr>
            <w:r>
              <w:rPr>
                <w:color w:val="auto"/>
                <w:sz w:val="24"/>
                <w:szCs w:val="24"/>
              </w:rPr>
              <w:t>建设单位应当在出具验收合格的意见后</w:t>
            </w:r>
            <w:r>
              <w:rPr>
                <w:rFonts w:ascii="Times New Roman" w:hAnsi="Times New Roman" w:eastAsia="Times New Roman" w:cs="Times New Roman"/>
                <w:color w:val="auto"/>
                <w:sz w:val="24"/>
                <w:szCs w:val="24"/>
              </w:rPr>
              <w:t>5</w:t>
            </w:r>
            <w:r>
              <w:rPr>
                <w:color w:val="auto"/>
                <w:sz w:val="24"/>
                <w:szCs w:val="24"/>
              </w:rPr>
              <w:t>个工作日内，通过网站或者其他便于公众知悉的方式，依法向社会公开验收报告和验收意见，公开的期限</w:t>
            </w:r>
            <w:r>
              <w:rPr>
                <w:color w:val="auto"/>
                <w:spacing w:val="-1"/>
                <w:sz w:val="24"/>
                <w:szCs w:val="24"/>
              </w:rPr>
              <w:t>不得少于</w:t>
            </w:r>
            <w:r>
              <w:rPr>
                <w:rFonts w:ascii="Times New Roman" w:hAnsi="Times New Roman" w:eastAsia="Times New Roman" w:cs="Times New Roman"/>
                <w:color w:val="auto"/>
                <w:spacing w:val="-1"/>
                <w:sz w:val="24"/>
                <w:szCs w:val="24"/>
              </w:rPr>
              <w:t>20</w:t>
            </w:r>
            <w:r>
              <w:rPr>
                <w:color w:val="auto"/>
                <w:spacing w:val="-1"/>
                <w:sz w:val="24"/>
                <w:szCs w:val="24"/>
              </w:rPr>
              <w:t>个工作日。公开结束后</w:t>
            </w:r>
            <w:r>
              <w:rPr>
                <w:rFonts w:ascii="Times New Roman" w:hAnsi="Times New Roman" w:eastAsia="Times New Roman" w:cs="Times New Roman"/>
                <w:color w:val="auto"/>
                <w:spacing w:val="-1"/>
                <w:sz w:val="24"/>
                <w:szCs w:val="24"/>
              </w:rPr>
              <w:t>5</w:t>
            </w:r>
            <w:r>
              <w:rPr>
                <w:color w:val="auto"/>
                <w:spacing w:val="-1"/>
                <w:sz w:val="24"/>
                <w:szCs w:val="24"/>
              </w:rPr>
              <w:t>个</w:t>
            </w:r>
            <w:r>
              <w:rPr>
                <w:color w:val="auto"/>
                <w:spacing w:val="-2"/>
                <w:sz w:val="24"/>
                <w:szCs w:val="24"/>
              </w:rPr>
              <w:t>工作日内，建设单位应当登录全国建</w:t>
            </w:r>
            <w:r>
              <w:rPr>
                <w:color w:val="auto"/>
                <w:sz w:val="24"/>
                <w:szCs w:val="24"/>
              </w:rPr>
              <w:t>设项目竣工环境保护验收信息平台，填报相关信息并对信息的真实性、准确</w:t>
            </w:r>
            <w:r>
              <w:rPr>
                <w:color w:val="auto"/>
                <w:spacing w:val="-2"/>
                <w:sz w:val="24"/>
                <w:szCs w:val="24"/>
              </w:rPr>
              <w:t>性和完整性负责。</w:t>
            </w:r>
          </w:p>
        </w:tc>
      </w:tr>
    </w:tbl>
    <w:p w14:paraId="5077D88F">
      <w:pPr>
        <w:pStyle w:val="26"/>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br w:type="column"/>
      </w:r>
      <w:r>
        <w:rPr>
          <w:rFonts w:hint="eastAsia" w:ascii="黑体" w:hAnsi="黑体" w:eastAsia="黑体"/>
          <w:snapToGrid w:val="0"/>
          <w:color w:val="auto"/>
          <w:sz w:val="30"/>
          <w:szCs w:val="30"/>
          <w:highlight w:val="none"/>
        </w:rPr>
        <w:t>五、</w:t>
      </w:r>
      <w:bookmarkStart w:id="2" w:name="_Hlk54167917"/>
      <w:r>
        <w:rPr>
          <w:rFonts w:hint="eastAsia" w:ascii="黑体" w:hAnsi="黑体" w:eastAsia="黑体"/>
          <w:snapToGrid w:val="0"/>
          <w:color w:val="auto"/>
          <w:sz w:val="30"/>
          <w:szCs w:val="30"/>
          <w:highlight w:val="none"/>
        </w:rPr>
        <w:t>环境保护措施监督检查清单</w:t>
      </w:r>
      <w:bookmarkEnd w:id="2"/>
    </w:p>
    <w:tbl>
      <w:tblPr>
        <w:tblStyle w:val="74"/>
        <w:tblW w:w="506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4"/>
        <w:gridCol w:w="1393"/>
        <w:gridCol w:w="1275"/>
        <w:gridCol w:w="2256"/>
        <w:gridCol w:w="2641"/>
      </w:tblGrid>
      <w:tr w14:paraId="4AD56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513" w:type="pct"/>
            <w:tcBorders>
              <w:top w:val="single" w:color="auto" w:sz="4" w:space="0"/>
              <w:left w:val="single" w:color="auto" w:sz="4" w:space="0"/>
              <w:bottom w:val="single" w:color="auto" w:sz="4" w:space="0"/>
              <w:right w:val="single" w:color="auto" w:sz="4" w:space="0"/>
              <w:tl2br w:val="single" w:color="000000" w:sz="4" w:space="0"/>
            </w:tcBorders>
            <w:vAlign w:val="top"/>
          </w:tcPr>
          <w:p w14:paraId="6DDBC68E">
            <w:pPr>
              <w:pStyle w:val="76"/>
              <w:spacing w:before="37" w:line="234" w:lineRule="auto"/>
              <w:ind w:left="110" w:right="172" w:firstLine="235"/>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内容</w:t>
            </w:r>
            <w:r>
              <w:rPr>
                <w:rFonts w:hint="default" w:ascii="Times New Roman" w:hAnsi="Times New Roman" w:cs="Times New Roman"/>
                <w:color w:val="auto"/>
                <w:spacing w:val="4"/>
                <w:sz w:val="21"/>
                <w:szCs w:val="21"/>
              </w:rPr>
              <w:t>要素</w:t>
            </w:r>
          </w:p>
        </w:tc>
        <w:tc>
          <w:tcPr>
            <w:tcW w:w="826" w:type="pct"/>
            <w:tcBorders>
              <w:top w:val="single" w:color="000000" w:sz="6" w:space="0"/>
              <w:left w:val="single" w:color="auto" w:sz="4" w:space="0"/>
            </w:tcBorders>
            <w:vAlign w:val="center"/>
          </w:tcPr>
          <w:p w14:paraId="0F058D4C">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position w:val="2"/>
                <w:sz w:val="21"/>
                <w:szCs w:val="21"/>
              </w:rPr>
              <w:t>排放口</w:t>
            </w:r>
            <w:r>
              <w:rPr>
                <w:rFonts w:hint="default" w:ascii="Times New Roman" w:hAnsi="Times New Roman" w:eastAsia="Times New Roman" w:cs="Times New Roman"/>
                <w:color w:val="auto"/>
                <w:spacing w:val="6"/>
                <w:position w:val="2"/>
                <w:sz w:val="21"/>
                <w:szCs w:val="21"/>
              </w:rPr>
              <w:t>(</w:t>
            </w:r>
            <w:r>
              <w:rPr>
                <w:rFonts w:hint="default" w:ascii="Times New Roman" w:hAnsi="Times New Roman" w:cs="Times New Roman"/>
                <w:color w:val="auto"/>
                <w:spacing w:val="6"/>
                <w:position w:val="2"/>
                <w:sz w:val="21"/>
                <w:szCs w:val="21"/>
              </w:rPr>
              <w:t>编号、名称</w:t>
            </w:r>
            <w:r>
              <w:rPr>
                <w:rFonts w:hint="default" w:ascii="Times New Roman" w:hAnsi="Times New Roman" w:eastAsia="Times New Roman" w:cs="Times New Roman"/>
                <w:color w:val="auto"/>
                <w:spacing w:val="6"/>
                <w:position w:val="2"/>
                <w:sz w:val="21"/>
                <w:szCs w:val="21"/>
              </w:rPr>
              <w:t>)/</w:t>
            </w:r>
            <w:r>
              <w:rPr>
                <w:rFonts w:hint="default" w:ascii="Times New Roman" w:hAnsi="Times New Roman" w:cs="Times New Roman"/>
                <w:color w:val="auto"/>
                <w:spacing w:val="6"/>
                <w:position w:val="2"/>
                <w:sz w:val="21"/>
                <w:szCs w:val="21"/>
              </w:rPr>
              <w:t>污染源</w:t>
            </w:r>
          </w:p>
        </w:tc>
        <w:tc>
          <w:tcPr>
            <w:tcW w:w="756" w:type="pct"/>
            <w:tcBorders>
              <w:top w:val="single" w:color="000000" w:sz="6" w:space="0"/>
            </w:tcBorders>
            <w:vAlign w:val="center"/>
          </w:tcPr>
          <w:p w14:paraId="1FA289B5">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污染物项目</w:t>
            </w:r>
          </w:p>
        </w:tc>
        <w:tc>
          <w:tcPr>
            <w:tcW w:w="1338" w:type="pct"/>
            <w:tcBorders>
              <w:top w:val="single" w:color="000000" w:sz="6" w:space="0"/>
            </w:tcBorders>
            <w:vAlign w:val="center"/>
          </w:tcPr>
          <w:p w14:paraId="37A5E8CC">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环境保护措施</w:t>
            </w:r>
          </w:p>
        </w:tc>
        <w:tc>
          <w:tcPr>
            <w:tcW w:w="1564" w:type="pct"/>
            <w:tcBorders>
              <w:top w:val="single" w:color="000000" w:sz="6" w:space="0"/>
              <w:bottom w:val="single" w:color="auto" w:sz="4" w:space="0"/>
              <w:right w:val="single" w:color="000000" w:sz="6" w:space="0"/>
            </w:tcBorders>
            <w:vAlign w:val="center"/>
          </w:tcPr>
          <w:p w14:paraId="59B7E062">
            <w:pPr>
              <w:pStyle w:val="7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执行标准</w:t>
            </w:r>
          </w:p>
        </w:tc>
      </w:tr>
      <w:tr w14:paraId="425F3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13" w:type="pct"/>
            <w:vMerge w:val="restart"/>
            <w:tcBorders>
              <w:top w:val="single" w:color="auto" w:sz="4" w:space="0"/>
              <w:left w:val="single" w:color="auto" w:sz="4" w:space="0"/>
              <w:right w:val="single" w:color="auto" w:sz="4" w:space="0"/>
            </w:tcBorders>
            <w:vAlign w:val="center"/>
          </w:tcPr>
          <w:p w14:paraId="7475F89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大气环</w:t>
            </w:r>
            <w:r>
              <w:rPr>
                <w:rFonts w:hint="default" w:ascii="Times New Roman" w:hAnsi="Times New Roman" w:cs="Times New Roman"/>
                <w:color w:val="auto"/>
                <w:sz w:val="21"/>
                <w:szCs w:val="21"/>
              </w:rPr>
              <w:t>境</w:t>
            </w:r>
          </w:p>
        </w:tc>
        <w:tc>
          <w:tcPr>
            <w:tcW w:w="826" w:type="pct"/>
            <w:tcBorders>
              <w:left w:val="single" w:color="auto" w:sz="4" w:space="0"/>
            </w:tcBorders>
            <w:vAlign w:val="center"/>
          </w:tcPr>
          <w:p w14:paraId="52DF06C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MPCVD</w:t>
            </w:r>
            <w:r>
              <w:rPr>
                <w:rFonts w:hint="default" w:ascii="Times New Roman" w:hAnsi="Times New Roman" w:cs="Times New Roman"/>
                <w:color w:val="auto"/>
                <w:spacing w:val="24"/>
                <w:sz w:val="21"/>
                <w:szCs w:val="21"/>
              </w:rPr>
              <w:t>沉积</w:t>
            </w:r>
          </w:p>
          <w:p w14:paraId="73B0D2D7">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废气</w:t>
            </w:r>
          </w:p>
        </w:tc>
        <w:tc>
          <w:tcPr>
            <w:tcW w:w="756" w:type="pct"/>
            <w:vAlign w:val="center"/>
          </w:tcPr>
          <w:p w14:paraId="4BB2676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9"/>
                <w:sz w:val="21"/>
                <w:szCs w:val="21"/>
              </w:rPr>
              <w:t>甲烷、氢气、</w:t>
            </w:r>
            <w:r>
              <w:rPr>
                <w:rFonts w:hint="default" w:ascii="Times New Roman" w:hAnsi="Times New Roman" w:cs="Times New Roman"/>
                <w:color w:val="auto"/>
                <w:spacing w:val="8"/>
                <w:sz w:val="21"/>
                <w:szCs w:val="21"/>
              </w:rPr>
              <w:t>氩气、二氧</w:t>
            </w:r>
            <w:r>
              <w:rPr>
                <w:rFonts w:hint="default" w:ascii="Times New Roman" w:hAnsi="Times New Roman" w:cs="Times New Roman"/>
                <w:color w:val="auto"/>
                <w:spacing w:val="4"/>
                <w:sz w:val="21"/>
                <w:szCs w:val="21"/>
              </w:rPr>
              <w:t>化碳</w:t>
            </w:r>
          </w:p>
        </w:tc>
        <w:tc>
          <w:tcPr>
            <w:tcW w:w="1338" w:type="pct"/>
            <w:vMerge w:val="restart"/>
            <w:tcBorders>
              <w:right w:val="single" w:color="auto" w:sz="4" w:space="0"/>
            </w:tcBorders>
            <w:vAlign w:val="center"/>
          </w:tcPr>
          <w:p w14:paraId="1D8E7C05">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8"/>
                <w:sz w:val="21"/>
                <w:szCs w:val="21"/>
                <w:lang w:val="en-US" w:eastAsia="zh-CN"/>
              </w:rPr>
            </w:pPr>
            <w:r>
              <w:rPr>
                <w:rFonts w:hint="default" w:ascii="Times New Roman" w:hAnsi="Times New Roman" w:cs="Times New Roman"/>
                <w:color w:val="auto"/>
                <w:spacing w:val="8"/>
                <w:sz w:val="21"/>
                <w:szCs w:val="21"/>
              </w:rPr>
              <w:t>管道收集</w:t>
            </w:r>
            <w:r>
              <w:rPr>
                <w:rFonts w:hint="eastAsia" w:ascii="Times New Roman" w:hAnsi="Times New Roman" w:cs="Times New Roman"/>
                <w:color w:val="auto"/>
                <w:spacing w:val="8"/>
                <w:sz w:val="21"/>
                <w:szCs w:val="21"/>
                <w:lang w:val="en-US" w:eastAsia="zh-CN"/>
              </w:rPr>
              <w:t>后经袋式除尘器，通过一根15m高排气筒（DA001）排放</w:t>
            </w:r>
          </w:p>
          <w:p w14:paraId="509F8E3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c>
          <w:tcPr>
            <w:tcW w:w="1564" w:type="pct"/>
            <w:vMerge w:val="restart"/>
            <w:tcBorders>
              <w:top w:val="single" w:color="auto" w:sz="4" w:space="0"/>
              <w:left w:val="single" w:color="auto" w:sz="4" w:space="0"/>
              <w:bottom w:val="single" w:color="auto" w:sz="4" w:space="0"/>
              <w:right w:val="single" w:color="auto" w:sz="4" w:space="0"/>
            </w:tcBorders>
            <w:vAlign w:val="center"/>
          </w:tcPr>
          <w:p w14:paraId="09C35DC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《大气污染物综合排放标</w:t>
            </w:r>
          </w:p>
          <w:p w14:paraId="034ABB5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cs="Times New Roman"/>
                <w:color w:val="auto"/>
                <w:spacing w:val="5"/>
                <w:position w:val="1"/>
                <w:sz w:val="21"/>
                <w:szCs w:val="21"/>
              </w:rPr>
              <w:t>准》（</w:t>
            </w:r>
            <w:r>
              <w:rPr>
                <w:rFonts w:hint="default" w:ascii="Times New Roman" w:hAnsi="Times New Roman" w:eastAsia="Times New Roman" w:cs="Times New Roman"/>
                <w:color w:val="auto"/>
                <w:position w:val="1"/>
                <w:sz w:val="21"/>
                <w:szCs w:val="21"/>
              </w:rPr>
              <w:t>GB</w:t>
            </w:r>
            <w:r>
              <w:rPr>
                <w:rFonts w:hint="default" w:ascii="Times New Roman" w:hAnsi="Times New Roman" w:eastAsia="Times New Roman" w:cs="Times New Roman"/>
                <w:color w:val="auto"/>
                <w:spacing w:val="5"/>
                <w:position w:val="1"/>
                <w:sz w:val="21"/>
                <w:szCs w:val="21"/>
              </w:rPr>
              <w:t>16297-1996</w:t>
            </w:r>
            <w:r>
              <w:rPr>
                <w:rFonts w:hint="default" w:ascii="Times New Roman" w:hAnsi="Times New Roman" w:cs="Times New Roman"/>
                <w:color w:val="auto"/>
                <w:spacing w:val="5"/>
                <w:position w:val="1"/>
                <w:sz w:val="21"/>
                <w:szCs w:val="21"/>
              </w:rPr>
              <w:t>）表</w:t>
            </w:r>
            <w:r>
              <w:rPr>
                <w:rFonts w:hint="default" w:ascii="Times New Roman" w:hAnsi="Times New Roman" w:eastAsia="Times New Roman" w:cs="Times New Roman"/>
                <w:color w:val="auto"/>
                <w:spacing w:val="5"/>
                <w:position w:val="1"/>
                <w:sz w:val="21"/>
                <w:szCs w:val="21"/>
              </w:rPr>
              <w:t>2</w:t>
            </w:r>
          </w:p>
          <w:p w14:paraId="0F8CCD0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3"/>
                <w:sz w:val="21"/>
                <w:szCs w:val="21"/>
              </w:rPr>
              <w:t>二级</w:t>
            </w:r>
            <w:r>
              <w:rPr>
                <w:rFonts w:hint="eastAsia" w:ascii="Times New Roman" w:hAnsi="Times New Roman" w:cs="Times New Roman"/>
                <w:color w:val="auto"/>
                <w:spacing w:val="3"/>
                <w:sz w:val="21"/>
                <w:szCs w:val="21"/>
                <w:lang w:val="en-US" w:eastAsia="zh-CN"/>
              </w:rPr>
              <w:t>标准</w:t>
            </w:r>
          </w:p>
        </w:tc>
      </w:tr>
      <w:tr w14:paraId="05271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13" w:type="pct"/>
            <w:vMerge w:val="continue"/>
            <w:tcBorders>
              <w:left w:val="single" w:color="auto" w:sz="4" w:space="0"/>
              <w:right w:val="single" w:color="auto" w:sz="4" w:space="0"/>
            </w:tcBorders>
            <w:vAlign w:val="center"/>
          </w:tcPr>
          <w:p w14:paraId="22D7B05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6"/>
                <w:sz w:val="21"/>
                <w:szCs w:val="21"/>
              </w:rPr>
            </w:pPr>
          </w:p>
        </w:tc>
        <w:tc>
          <w:tcPr>
            <w:tcW w:w="826" w:type="pct"/>
            <w:tcBorders>
              <w:left w:val="single" w:color="auto" w:sz="4" w:space="0"/>
            </w:tcBorders>
            <w:vAlign w:val="center"/>
          </w:tcPr>
          <w:p w14:paraId="14D56E1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5"/>
                <w:sz w:val="21"/>
                <w:szCs w:val="21"/>
                <w:lang w:val="en-US" w:eastAsia="zh-CN"/>
              </w:rPr>
            </w:pPr>
            <w:r>
              <w:rPr>
                <w:rFonts w:hint="eastAsia" w:ascii="Times New Roman" w:hAnsi="Times New Roman" w:cs="Times New Roman"/>
                <w:color w:val="auto"/>
                <w:spacing w:val="5"/>
                <w:sz w:val="21"/>
                <w:szCs w:val="21"/>
                <w:lang w:val="en-US" w:eastAsia="zh-CN"/>
              </w:rPr>
              <w:t>单质碳颗粒</w:t>
            </w:r>
          </w:p>
        </w:tc>
        <w:tc>
          <w:tcPr>
            <w:tcW w:w="756" w:type="pct"/>
            <w:vAlign w:val="center"/>
          </w:tcPr>
          <w:p w14:paraId="661198E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9"/>
                <w:sz w:val="21"/>
                <w:szCs w:val="21"/>
                <w:lang w:val="en-US"/>
              </w:rPr>
            </w:pPr>
            <w:r>
              <w:rPr>
                <w:rFonts w:hint="eastAsia" w:ascii="Times New Roman" w:hAnsi="Times New Roman" w:cs="Times New Roman"/>
                <w:color w:val="auto"/>
                <w:spacing w:val="5"/>
                <w:sz w:val="21"/>
                <w:szCs w:val="21"/>
                <w:lang w:val="en-US" w:eastAsia="zh-CN"/>
              </w:rPr>
              <w:t>纳米级碳颗粒</w:t>
            </w:r>
          </w:p>
        </w:tc>
        <w:tc>
          <w:tcPr>
            <w:tcW w:w="1338" w:type="pct"/>
            <w:vMerge w:val="continue"/>
            <w:tcBorders>
              <w:right w:val="single" w:color="auto" w:sz="4" w:space="0"/>
            </w:tcBorders>
            <w:vAlign w:val="center"/>
          </w:tcPr>
          <w:p w14:paraId="23FB690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pacing w:val="8"/>
                <w:sz w:val="21"/>
                <w:szCs w:val="21"/>
                <w:lang w:val="en-US" w:eastAsia="zh-CN"/>
              </w:rPr>
            </w:pPr>
          </w:p>
        </w:tc>
        <w:tc>
          <w:tcPr>
            <w:tcW w:w="1564" w:type="pct"/>
            <w:vMerge w:val="continue"/>
            <w:tcBorders>
              <w:left w:val="single" w:color="auto" w:sz="4" w:space="0"/>
              <w:right w:val="single" w:color="auto" w:sz="4" w:space="0"/>
            </w:tcBorders>
            <w:vAlign w:val="center"/>
          </w:tcPr>
          <w:p w14:paraId="726FA99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3"/>
                <w:sz w:val="21"/>
                <w:szCs w:val="21"/>
              </w:rPr>
            </w:pPr>
          </w:p>
        </w:tc>
      </w:tr>
      <w:tr w14:paraId="09FCD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13" w:type="pct"/>
            <w:vMerge w:val="continue"/>
            <w:tcBorders>
              <w:left w:val="single" w:color="auto" w:sz="4" w:space="0"/>
              <w:right w:val="single" w:color="auto" w:sz="4" w:space="0"/>
            </w:tcBorders>
            <w:vAlign w:val="center"/>
          </w:tcPr>
          <w:p w14:paraId="65B0493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c>
          <w:tcPr>
            <w:tcW w:w="826" w:type="pct"/>
            <w:tcBorders>
              <w:left w:val="single" w:color="auto" w:sz="4" w:space="0"/>
            </w:tcBorders>
            <w:vAlign w:val="center"/>
          </w:tcPr>
          <w:p w14:paraId="600FF4A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position w:val="1"/>
                <w:sz w:val="21"/>
                <w:szCs w:val="21"/>
              </w:rPr>
              <w:t>激光切割</w:t>
            </w:r>
            <w:r>
              <w:rPr>
                <w:rFonts w:hint="default" w:ascii="Times New Roman" w:hAnsi="Times New Roman" w:cs="Times New Roman"/>
                <w:color w:val="auto"/>
                <w:spacing w:val="6"/>
                <w:sz w:val="21"/>
                <w:szCs w:val="21"/>
              </w:rPr>
              <w:t>废气</w:t>
            </w:r>
          </w:p>
        </w:tc>
        <w:tc>
          <w:tcPr>
            <w:tcW w:w="756" w:type="pct"/>
            <w:vAlign w:val="center"/>
          </w:tcPr>
          <w:p w14:paraId="4F1E940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颗粒物</w:t>
            </w:r>
          </w:p>
        </w:tc>
        <w:tc>
          <w:tcPr>
            <w:tcW w:w="1338" w:type="pct"/>
            <w:tcBorders>
              <w:right w:val="single" w:color="auto" w:sz="4" w:space="0"/>
            </w:tcBorders>
            <w:vAlign w:val="center"/>
          </w:tcPr>
          <w:p w14:paraId="61830C1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pacing w:val="8"/>
                <w:sz w:val="21"/>
                <w:szCs w:val="21"/>
                <w:lang w:val="en-US" w:eastAsia="zh-CN"/>
              </w:rPr>
              <w:t>经每台切割机自带的滤尘袋过滤后，集中通过集气管道经一根15m高排气筒（DA002）排放</w:t>
            </w:r>
          </w:p>
        </w:tc>
        <w:tc>
          <w:tcPr>
            <w:tcW w:w="1564" w:type="pct"/>
            <w:vMerge w:val="continue"/>
            <w:tcBorders>
              <w:top w:val="single" w:color="auto" w:sz="4" w:space="0"/>
              <w:left w:val="single" w:color="auto" w:sz="4" w:space="0"/>
              <w:bottom w:val="single" w:color="auto" w:sz="4" w:space="0"/>
              <w:right w:val="single" w:color="auto" w:sz="4" w:space="0"/>
            </w:tcBorders>
            <w:vAlign w:val="center"/>
          </w:tcPr>
          <w:p w14:paraId="4671CF2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r>
      <w:tr w14:paraId="07C77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13" w:type="pct"/>
            <w:vMerge w:val="continue"/>
            <w:tcBorders>
              <w:left w:val="single" w:color="auto" w:sz="4" w:space="0"/>
              <w:bottom w:val="single" w:color="auto" w:sz="4" w:space="0"/>
              <w:right w:val="single" w:color="auto" w:sz="4" w:space="0"/>
            </w:tcBorders>
            <w:vAlign w:val="center"/>
          </w:tcPr>
          <w:p w14:paraId="7CA9609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c>
          <w:tcPr>
            <w:tcW w:w="826" w:type="pct"/>
            <w:tcBorders>
              <w:left w:val="single" w:color="auto" w:sz="4" w:space="0"/>
            </w:tcBorders>
            <w:vAlign w:val="center"/>
          </w:tcPr>
          <w:p w14:paraId="5BF77EFD">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7"/>
                <w:position w:val="1"/>
                <w:sz w:val="21"/>
                <w:szCs w:val="21"/>
                <w:lang w:val="en-US" w:eastAsia="zh-CN"/>
              </w:rPr>
            </w:pPr>
            <w:r>
              <w:rPr>
                <w:rFonts w:hint="eastAsia" w:ascii="Times New Roman" w:hAnsi="Times New Roman" w:cs="Times New Roman"/>
                <w:color w:val="auto"/>
                <w:spacing w:val="7"/>
                <w:position w:val="1"/>
                <w:sz w:val="21"/>
                <w:szCs w:val="21"/>
                <w:lang w:val="en-US" w:eastAsia="zh-CN"/>
              </w:rPr>
              <w:t>食堂油烟</w:t>
            </w:r>
          </w:p>
        </w:tc>
        <w:tc>
          <w:tcPr>
            <w:tcW w:w="756" w:type="pct"/>
            <w:vAlign w:val="center"/>
          </w:tcPr>
          <w:p w14:paraId="677639D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pacing w:val="7"/>
                <w:sz w:val="21"/>
                <w:szCs w:val="21"/>
                <w:lang w:val="en-US" w:eastAsia="zh-CN"/>
              </w:rPr>
            </w:pPr>
            <w:r>
              <w:rPr>
                <w:rFonts w:hint="eastAsia" w:ascii="Times New Roman" w:hAnsi="Times New Roman" w:cs="Times New Roman"/>
                <w:color w:val="auto"/>
                <w:spacing w:val="7"/>
                <w:sz w:val="21"/>
                <w:szCs w:val="21"/>
                <w:lang w:val="en-US" w:eastAsia="zh-CN"/>
              </w:rPr>
              <w:t>油烟</w:t>
            </w:r>
          </w:p>
        </w:tc>
        <w:tc>
          <w:tcPr>
            <w:tcW w:w="1338" w:type="pct"/>
            <w:tcBorders>
              <w:right w:val="single" w:color="auto" w:sz="4" w:space="0"/>
            </w:tcBorders>
            <w:vAlign w:val="center"/>
          </w:tcPr>
          <w:p w14:paraId="22B1466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8"/>
                <w:sz w:val="21"/>
                <w:szCs w:val="21"/>
                <w:lang w:val="en-US" w:eastAsia="zh-CN"/>
              </w:rPr>
            </w:pPr>
            <w:r>
              <w:rPr>
                <w:rFonts w:hint="eastAsia" w:ascii="Times New Roman" w:hAnsi="Times New Roman" w:cs="Times New Roman"/>
                <w:color w:val="auto"/>
                <w:spacing w:val="8"/>
                <w:sz w:val="21"/>
                <w:szCs w:val="21"/>
                <w:lang w:val="en-US" w:eastAsia="zh-CN"/>
              </w:rPr>
              <w:t>经油烟净化器处理后有组织排放</w:t>
            </w:r>
          </w:p>
        </w:tc>
        <w:tc>
          <w:tcPr>
            <w:tcW w:w="1564" w:type="pct"/>
            <w:tcBorders>
              <w:top w:val="single" w:color="auto" w:sz="4" w:space="0"/>
              <w:left w:val="single" w:color="auto" w:sz="4" w:space="0"/>
              <w:bottom w:val="single" w:color="auto" w:sz="4" w:space="0"/>
              <w:right w:val="single" w:color="auto" w:sz="4" w:space="0"/>
            </w:tcBorders>
            <w:vAlign w:val="center"/>
          </w:tcPr>
          <w:p w14:paraId="64E2B37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《饮食业油烟排放标准》（GB18483-2001）</w:t>
            </w:r>
          </w:p>
        </w:tc>
      </w:tr>
      <w:tr w14:paraId="7B936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513" w:type="pct"/>
            <w:vMerge w:val="restart"/>
            <w:tcBorders>
              <w:top w:val="single" w:color="auto" w:sz="4" w:space="0"/>
              <w:left w:val="single" w:color="000000" w:sz="6" w:space="0"/>
            </w:tcBorders>
            <w:vAlign w:val="center"/>
          </w:tcPr>
          <w:p w14:paraId="3326D81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地表水</w:t>
            </w:r>
            <w:r>
              <w:rPr>
                <w:rFonts w:hint="default" w:ascii="Times New Roman" w:hAnsi="Times New Roman" w:cs="Times New Roman"/>
                <w:color w:val="auto"/>
                <w:spacing w:val="4"/>
                <w:sz w:val="21"/>
                <w:szCs w:val="21"/>
              </w:rPr>
              <w:t>环境</w:t>
            </w:r>
          </w:p>
        </w:tc>
        <w:tc>
          <w:tcPr>
            <w:tcW w:w="826" w:type="pct"/>
            <w:vAlign w:val="center"/>
          </w:tcPr>
          <w:p w14:paraId="0F5777E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生活污水</w:t>
            </w:r>
          </w:p>
        </w:tc>
        <w:tc>
          <w:tcPr>
            <w:tcW w:w="756" w:type="pct"/>
            <w:vAlign w:val="center"/>
          </w:tcPr>
          <w:p w14:paraId="1582565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pacing w:val="-4"/>
                <w:sz w:val="21"/>
                <w:szCs w:val="21"/>
                <w:lang w:val="en-US" w:eastAsia="zh-CN"/>
              </w:rPr>
              <w:t>BOD</w:t>
            </w:r>
            <w:r>
              <w:rPr>
                <w:rFonts w:hint="eastAsia" w:ascii="Times New Roman" w:hAnsi="Times New Roman" w:cs="Times New Roman"/>
                <w:color w:val="auto"/>
                <w:spacing w:val="-4"/>
                <w:sz w:val="21"/>
                <w:szCs w:val="21"/>
                <w:lang w:eastAsia="zh-CN"/>
              </w:rPr>
              <w:t>、</w:t>
            </w:r>
            <w:r>
              <w:rPr>
                <w:rFonts w:hint="default" w:ascii="Times New Roman" w:hAnsi="Times New Roman" w:eastAsia="Times New Roman" w:cs="Times New Roman"/>
                <w:color w:val="auto"/>
                <w:spacing w:val="-4"/>
                <w:sz w:val="21"/>
                <w:szCs w:val="21"/>
              </w:rPr>
              <w:t>CODcr</w:t>
            </w:r>
            <w:r>
              <w:rPr>
                <w:rFonts w:hint="default" w:ascii="Times New Roman" w:hAnsi="Times New Roman" w:cs="Times New Roman"/>
                <w:color w:val="auto"/>
                <w:spacing w:val="-4"/>
                <w:sz w:val="21"/>
                <w:szCs w:val="21"/>
              </w:rPr>
              <w:t>、</w:t>
            </w:r>
            <w:r>
              <w:rPr>
                <w:rFonts w:hint="default" w:ascii="Times New Roman" w:hAnsi="Times New Roman" w:eastAsia="Times New Roman" w:cs="Times New Roman"/>
                <w:color w:val="auto"/>
                <w:sz w:val="21"/>
                <w:szCs w:val="21"/>
              </w:rPr>
              <w:t>SS</w:t>
            </w:r>
            <w:r>
              <w:rPr>
                <w:rFonts w:hint="default" w:ascii="Times New Roman" w:hAnsi="Times New Roman" w:cs="Times New Roman"/>
                <w:color w:val="auto"/>
                <w:sz w:val="21"/>
                <w:szCs w:val="21"/>
              </w:rPr>
              <w:t>、氨氮</w:t>
            </w:r>
          </w:p>
        </w:tc>
        <w:tc>
          <w:tcPr>
            <w:tcW w:w="1338" w:type="pct"/>
            <w:vAlign w:val="center"/>
          </w:tcPr>
          <w:p w14:paraId="78892E6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lang w:val="en-US" w:eastAsia="zh-CN"/>
              </w:rPr>
              <w:t>经隔油池处理后</w:t>
            </w:r>
            <w:r>
              <w:rPr>
                <w:rFonts w:hint="eastAsia" w:ascii="Times New Roman" w:hAnsi="Times New Roman" w:cs="Times New Roman"/>
                <w:color w:val="auto"/>
                <w:spacing w:val="8"/>
                <w:sz w:val="21"/>
                <w:szCs w:val="21"/>
                <w:lang w:val="en-US" w:eastAsia="zh-CN"/>
              </w:rPr>
              <w:t>，</w:t>
            </w:r>
            <w:r>
              <w:rPr>
                <w:rFonts w:hint="default" w:ascii="Times New Roman" w:hAnsi="Times New Roman" w:cs="Times New Roman"/>
                <w:color w:val="auto"/>
                <w:spacing w:val="8"/>
                <w:sz w:val="21"/>
                <w:szCs w:val="21"/>
              </w:rPr>
              <w:t>排至园区污水管网</w:t>
            </w:r>
          </w:p>
        </w:tc>
        <w:tc>
          <w:tcPr>
            <w:tcW w:w="1564" w:type="pct"/>
            <w:vMerge w:val="restart"/>
            <w:tcBorders>
              <w:top w:val="single" w:color="auto" w:sz="4" w:space="0"/>
              <w:right w:val="single" w:color="000000" w:sz="6" w:space="0"/>
            </w:tcBorders>
            <w:vAlign w:val="center"/>
          </w:tcPr>
          <w:p w14:paraId="5B89649B">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《污水综合排放标准》</w:t>
            </w:r>
            <w:r>
              <w:rPr>
                <w:rFonts w:hint="default" w:ascii="Times New Roman" w:hAnsi="Times New Roman" w:cs="Times New Roman"/>
                <w:color w:val="auto"/>
                <w:spacing w:val="2"/>
                <w:position w:val="1"/>
                <w:sz w:val="21"/>
                <w:szCs w:val="21"/>
              </w:rPr>
              <w:t>（</w:t>
            </w:r>
            <w:r>
              <w:rPr>
                <w:rFonts w:hint="default" w:ascii="Times New Roman" w:hAnsi="Times New Roman" w:eastAsia="Times New Roman" w:cs="Times New Roman"/>
                <w:color w:val="auto"/>
                <w:position w:val="1"/>
                <w:sz w:val="21"/>
                <w:szCs w:val="21"/>
              </w:rPr>
              <w:t>GB</w:t>
            </w:r>
            <w:r>
              <w:rPr>
                <w:rFonts w:hint="default" w:ascii="Times New Roman" w:hAnsi="Times New Roman" w:eastAsia="Times New Roman" w:cs="Times New Roman"/>
                <w:color w:val="auto"/>
                <w:spacing w:val="2"/>
                <w:position w:val="1"/>
                <w:sz w:val="21"/>
                <w:szCs w:val="21"/>
              </w:rPr>
              <w:t>8978-1996</w:t>
            </w:r>
            <w:r>
              <w:rPr>
                <w:rFonts w:hint="default" w:ascii="Times New Roman" w:hAnsi="Times New Roman" w:cs="Times New Roman"/>
                <w:color w:val="auto"/>
                <w:spacing w:val="2"/>
                <w:position w:val="1"/>
                <w:sz w:val="21"/>
                <w:szCs w:val="21"/>
              </w:rPr>
              <w:t>）表</w:t>
            </w:r>
            <w:r>
              <w:rPr>
                <w:rFonts w:hint="default" w:ascii="Times New Roman" w:hAnsi="Times New Roman" w:eastAsia="Times New Roman" w:cs="Times New Roman"/>
                <w:color w:val="auto"/>
                <w:spacing w:val="2"/>
                <w:position w:val="1"/>
                <w:sz w:val="21"/>
                <w:szCs w:val="21"/>
              </w:rPr>
              <w:t>4</w:t>
            </w:r>
            <w:r>
              <w:rPr>
                <w:rFonts w:hint="default" w:ascii="Times New Roman" w:hAnsi="Times New Roman" w:cs="Times New Roman"/>
                <w:color w:val="auto"/>
                <w:spacing w:val="2"/>
                <w:position w:val="1"/>
                <w:sz w:val="21"/>
                <w:szCs w:val="21"/>
              </w:rPr>
              <w:t>中三级</w:t>
            </w:r>
            <w:r>
              <w:rPr>
                <w:rFonts w:hint="default" w:ascii="Times New Roman" w:hAnsi="Times New Roman" w:cs="Times New Roman"/>
                <w:color w:val="auto"/>
                <w:spacing w:val="7"/>
                <w:sz w:val="21"/>
                <w:szCs w:val="21"/>
              </w:rPr>
              <w:t>标准限值</w:t>
            </w:r>
          </w:p>
        </w:tc>
      </w:tr>
      <w:tr w14:paraId="42CF2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 w:hRule="atLeast"/>
        </w:trPr>
        <w:tc>
          <w:tcPr>
            <w:tcW w:w="513" w:type="pct"/>
            <w:vMerge w:val="continue"/>
            <w:tcBorders>
              <w:left w:val="single" w:color="000000" w:sz="6" w:space="0"/>
            </w:tcBorders>
            <w:vAlign w:val="center"/>
          </w:tcPr>
          <w:p w14:paraId="497AA1D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6"/>
                <w:sz w:val="21"/>
                <w:szCs w:val="21"/>
              </w:rPr>
            </w:pPr>
          </w:p>
        </w:tc>
        <w:tc>
          <w:tcPr>
            <w:tcW w:w="826" w:type="pct"/>
            <w:vMerge w:val="restart"/>
            <w:vAlign w:val="center"/>
          </w:tcPr>
          <w:p w14:paraId="7A85FF3D">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color w:val="auto"/>
                <w:spacing w:val="4"/>
                <w:sz w:val="21"/>
                <w:szCs w:val="21"/>
                <w:lang w:eastAsia="zh-CN"/>
              </w:rPr>
            </w:pPr>
            <w:r>
              <w:rPr>
                <w:rFonts w:hint="eastAsia" w:ascii="Times New Roman" w:hAnsi="Times New Roman" w:cs="Times New Roman"/>
                <w:color w:val="auto"/>
                <w:spacing w:val="4"/>
                <w:sz w:val="21"/>
                <w:szCs w:val="21"/>
                <w:lang w:val="en-US" w:eastAsia="zh-CN"/>
              </w:rPr>
              <w:t>生产废水</w:t>
            </w:r>
          </w:p>
        </w:tc>
        <w:tc>
          <w:tcPr>
            <w:tcW w:w="756" w:type="pct"/>
            <w:vAlign w:val="center"/>
          </w:tcPr>
          <w:p w14:paraId="3C12A43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lang w:val="en-US" w:eastAsia="zh-CN"/>
              </w:rPr>
            </w:pPr>
            <w:r>
              <w:rPr>
                <w:rFonts w:hint="eastAsia" w:ascii="Times New Roman" w:hAnsi="Times New Roman" w:cs="Times New Roman"/>
                <w:color w:val="auto"/>
                <w:spacing w:val="-4"/>
                <w:sz w:val="21"/>
                <w:szCs w:val="21"/>
                <w:lang w:val="en-US" w:eastAsia="zh-CN"/>
              </w:rPr>
              <w:t>清洗废水</w:t>
            </w:r>
          </w:p>
        </w:tc>
        <w:tc>
          <w:tcPr>
            <w:tcW w:w="1338" w:type="pct"/>
            <w:vAlign w:val="center"/>
          </w:tcPr>
          <w:p w14:paraId="12C3D0D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排至园区污水管网</w:t>
            </w:r>
          </w:p>
        </w:tc>
        <w:tc>
          <w:tcPr>
            <w:tcW w:w="1564" w:type="pct"/>
            <w:vMerge w:val="continue"/>
            <w:tcBorders>
              <w:right w:val="single" w:color="000000" w:sz="6" w:space="0"/>
            </w:tcBorders>
            <w:vAlign w:val="center"/>
          </w:tcPr>
          <w:p w14:paraId="1872D91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7"/>
                <w:sz w:val="21"/>
                <w:szCs w:val="21"/>
              </w:rPr>
            </w:pPr>
          </w:p>
        </w:tc>
      </w:tr>
      <w:tr w14:paraId="12C01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 w:hRule="atLeast"/>
        </w:trPr>
        <w:tc>
          <w:tcPr>
            <w:tcW w:w="513" w:type="pct"/>
            <w:vMerge w:val="continue"/>
            <w:tcBorders>
              <w:left w:val="single" w:color="000000" w:sz="6" w:space="0"/>
            </w:tcBorders>
            <w:vAlign w:val="center"/>
          </w:tcPr>
          <w:p w14:paraId="7718EA7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6"/>
                <w:sz w:val="21"/>
                <w:szCs w:val="21"/>
              </w:rPr>
            </w:pPr>
          </w:p>
        </w:tc>
        <w:tc>
          <w:tcPr>
            <w:tcW w:w="826" w:type="pct"/>
            <w:vMerge w:val="continue"/>
            <w:vAlign w:val="center"/>
          </w:tcPr>
          <w:p w14:paraId="797A8EB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lang w:val="en-US"/>
              </w:rPr>
            </w:pPr>
          </w:p>
        </w:tc>
        <w:tc>
          <w:tcPr>
            <w:tcW w:w="756" w:type="pct"/>
            <w:vAlign w:val="center"/>
          </w:tcPr>
          <w:p w14:paraId="22E8155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lang w:val="en-US" w:eastAsia="zh-CN"/>
              </w:rPr>
            </w:pPr>
            <w:r>
              <w:rPr>
                <w:rFonts w:hint="eastAsia" w:ascii="Times New Roman" w:hAnsi="Times New Roman" w:cs="Times New Roman"/>
                <w:color w:val="auto"/>
                <w:spacing w:val="-4"/>
                <w:sz w:val="21"/>
                <w:szCs w:val="21"/>
                <w:lang w:val="en-US" w:eastAsia="zh-CN"/>
              </w:rPr>
              <w:t>抛光冷却水</w:t>
            </w:r>
          </w:p>
        </w:tc>
        <w:tc>
          <w:tcPr>
            <w:tcW w:w="1338" w:type="pct"/>
            <w:vAlign w:val="center"/>
          </w:tcPr>
          <w:p w14:paraId="79912FC4">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排至园区污水管网</w:t>
            </w:r>
          </w:p>
        </w:tc>
        <w:tc>
          <w:tcPr>
            <w:tcW w:w="1564" w:type="pct"/>
            <w:vMerge w:val="continue"/>
            <w:tcBorders>
              <w:right w:val="single" w:color="000000" w:sz="6" w:space="0"/>
            </w:tcBorders>
            <w:vAlign w:val="center"/>
          </w:tcPr>
          <w:p w14:paraId="177498D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7"/>
                <w:sz w:val="21"/>
                <w:szCs w:val="21"/>
              </w:rPr>
            </w:pPr>
          </w:p>
        </w:tc>
      </w:tr>
      <w:tr w14:paraId="107BE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13" w:type="pct"/>
            <w:tcBorders>
              <w:left w:val="single" w:color="000000" w:sz="6" w:space="0"/>
            </w:tcBorders>
            <w:vAlign w:val="center"/>
          </w:tcPr>
          <w:p w14:paraId="0DAE7E3D">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声环境</w:t>
            </w:r>
          </w:p>
        </w:tc>
        <w:tc>
          <w:tcPr>
            <w:tcW w:w="826" w:type="pct"/>
            <w:vAlign w:val="center"/>
          </w:tcPr>
          <w:p w14:paraId="10C6347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切割机、抛光机等</w:t>
            </w:r>
          </w:p>
        </w:tc>
        <w:tc>
          <w:tcPr>
            <w:tcW w:w="756" w:type="pct"/>
            <w:vAlign w:val="center"/>
          </w:tcPr>
          <w:p w14:paraId="75F41F0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sz w:val="21"/>
                <w:szCs w:val="21"/>
              </w:rPr>
              <w:t>L</w:t>
            </w:r>
            <w:r>
              <w:rPr>
                <w:rFonts w:hint="default" w:ascii="Times New Roman" w:hAnsi="Times New Roman" w:eastAsia="Times New Roman" w:cs="Times New Roman"/>
                <w:color w:val="auto"/>
                <w:spacing w:val="2"/>
                <w:sz w:val="21"/>
                <w:szCs w:val="21"/>
                <w:vertAlign w:val="subscript"/>
              </w:rPr>
              <w:t>Aeq</w:t>
            </w:r>
          </w:p>
        </w:tc>
        <w:tc>
          <w:tcPr>
            <w:tcW w:w="1338" w:type="pct"/>
            <w:vAlign w:val="center"/>
          </w:tcPr>
          <w:p w14:paraId="51B50EC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减振、消声、隔声</w:t>
            </w:r>
          </w:p>
        </w:tc>
        <w:tc>
          <w:tcPr>
            <w:tcW w:w="1564" w:type="pct"/>
            <w:tcBorders>
              <w:right w:val="single" w:color="000000" w:sz="6" w:space="0"/>
            </w:tcBorders>
            <w:vAlign w:val="center"/>
          </w:tcPr>
          <w:p w14:paraId="4F5E0AB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《工业企业厂界环境噪声</w:t>
            </w:r>
            <w:r>
              <w:rPr>
                <w:rFonts w:hint="default" w:ascii="Times New Roman" w:hAnsi="Times New Roman" w:cs="Times New Roman"/>
                <w:color w:val="auto"/>
                <w:spacing w:val="-3"/>
                <w:position w:val="1"/>
                <w:sz w:val="21"/>
                <w:szCs w:val="21"/>
              </w:rPr>
              <w:t>排放标准》（</w:t>
            </w:r>
            <w:r>
              <w:rPr>
                <w:rFonts w:hint="default" w:ascii="Times New Roman" w:hAnsi="Times New Roman" w:eastAsia="Times New Roman" w:cs="Times New Roman"/>
                <w:color w:val="auto"/>
                <w:spacing w:val="-3"/>
                <w:position w:val="1"/>
                <w:sz w:val="21"/>
                <w:szCs w:val="21"/>
              </w:rPr>
              <w:t>GB12348-2008</w:t>
            </w:r>
            <w:r>
              <w:rPr>
                <w:rFonts w:hint="default" w:ascii="Times New Roman" w:hAnsi="Times New Roman" w:cs="Times New Roman"/>
                <w:color w:val="auto"/>
                <w:spacing w:val="-3"/>
                <w:position w:val="1"/>
                <w:sz w:val="21"/>
                <w:szCs w:val="21"/>
              </w:rPr>
              <w:t>）</w:t>
            </w:r>
            <w:r>
              <w:rPr>
                <w:rFonts w:hint="default" w:ascii="Times New Roman" w:hAnsi="Times New Roman" w:cs="Times New Roman"/>
                <w:color w:val="auto"/>
                <w:spacing w:val="6"/>
                <w:sz w:val="21"/>
                <w:szCs w:val="21"/>
              </w:rPr>
              <w:t>中的</w:t>
            </w:r>
            <w:r>
              <w:rPr>
                <w:rFonts w:hint="default" w:ascii="Times New Roman" w:hAnsi="Times New Roman" w:eastAsia="Times New Roman" w:cs="Times New Roman"/>
                <w:color w:val="auto"/>
                <w:spacing w:val="6"/>
                <w:sz w:val="21"/>
                <w:szCs w:val="21"/>
              </w:rPr>
              <w:t>3</w:t>
            </w:r>
            <w:r>
              <w:rPr>
                <w:rFonts w:hint="default" w:ascii="Times New Roman" w:hAnsi="Times New Roman" w:cs="Times New Roman"/>
                <w:color w:val="auto"/>
                <w:spacing w:val="6"/>
                <w:sz w:val="21"/>
                <w:szCs w:val="21"/>
              </w:rPr>
              <w:t>类功能区标准</w:t>
            </w:r>
          </w:p>
        </w:tc>
      </w:tr>
      <w:tr w14:paraId="25559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13" w:type="pct"/>
            <w:tcBorders>
              <w:left w:val="single" w:color="000000" w:sz="6" w:space="0"/>
            </w:tcBorders>
            <w:vAlign w:val="center"/>
          </w:tcPr>
          <w:p w14:paraId="63CB794A">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电磁辐</w:t>
            </w:r>
            <w:r>
              <w:rPr>
                <w:rFonts w:hint="default" w:ascii="Times New Roman" w:hAnsi="Times New Roman" w:cs="Times New Roman"/>
                <w:color w:val="auto"/>
                <w:sz w:val="21"/>
                <w:szCs w:val="21"/>
              </w:rPr>
              <w:t>射</w:t>
            </w:r>
          </w:p>
        </w:tc>
        <w:tc>
          <w:tcPr>
            <w:tcW w:w="826" w:type="pct"/>
            <w:vAlign w:val="center"/>
          </w:tcPr>
          <w:p w14:paraId="5B22438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position w:val="1"/>
                <w:sz w:val="21"/>
                <w:szCs w:val="21"/>
              </w:rPr>
              <w:t>/</w:t>
            </w:r>
          </w:p>
        </w:tc>
        <w:tc>
          <w:tcPr>
            <w:tcW w:w="756" w:type="pct"/>
            <w:vAlign w:val="center"/>
          </w:tcPr>
          <w:p w14:paraId="4B4AEAD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position w:val="1"/>
                <w:sz w:val="21"/>
                <w:szCs w:val="21"/>
              </w:rPr>
              <w:t>/</w:t>
            </w:r>
          </w:p>
        </w:tc>
        <w:tc>
          <w:tcPr>
            <w:tcW w:w="1338" w:type="pct"/>
            <w:vAlign w:val="center"/>
          </w:tcPr>
          <w:p w14:paraId="3CF7F2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position w:val="1"/>
                <w:sz w:val="21"/>
                <w:szCs w:val="21"/>
              </w:rPr>
              <w:t>/</w:t>
            </w:r>
          </w:p>
        </w:tc>
        <w:tc>
          <w:tcPr>
            <w:tcW w:w="1564" w:type="pct"/>
            <w:tcBorders>
              <w:right w:val="single" w:color="000000" w:sz="6" w:space="0"/>
            </w:tcBorders>
            <w:vAlign w:val="center"/>
          </w:tcPr>
          <w:p w14:paraId="57628CC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pacing w:val="2"/>
                <w:position w:val="1"/>
                <w:sz w:val="21"/>
                <w:szCs w:val="21"/>
              </w:rPr>
              <w:t>/</w:t>
            </w:r>
          </w:p>
        </w:tc>
      </w:tr>
      <w:tr w14:paraId="2C254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513" w:type="pct"/>
            <w:tcBorders>
              <w:left w:val="single" w:color="000000" w:sz="6" w:space="0"/>
            </w:tcBorders>
            <w:vAlign w:val="center"/>
          </w:tcPr>
          <w:p w14:paraId="6C6F120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固体废物</w:t>
            </w:r>
          </w:p>
        </w:tc>
        <w:tc>
          <w:tcPr>
            <w:tcW w:w="4486" w:type="pct"/>
            <w:gridSpan w:val="4"/>
            <w:tcBorders>
              <w:right w:val="single" w:color="000000" w:sz="6" w:space="0"/>
            </w:tcBorders>
            <w:vAlign w:val="center"/>
          </w:tcPr>
          <w:p w14:paraId="343D2F8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0"/>
                <w:sz w:val="21"/>
                <w:szCs w:val="21"/>
              </w:rPr>
              <w:t>生活垃圾委托环卫部门处置。</w:t>
            </w:r>
            <w:r>
              <w:rPr>
                <w:rFonts w:hint="eastAsia" w:ascii="Times New Roman" w:hAnsi="Times New Roman" w:cs="Times New Roman"/>
                <w:color w:val="auto"/>
                <w:spacing w:val="10"/>
                <w:sz w:val="21"/>
                <w:szCs w:val="21"/>
                <w:lang w:val="en-US" w:eastAsia="zh-CN"/>
              </w:rPr>
              <w:t>废边角料、不合格产品外售</w:t>
            </w:r>
            <w:r>
              <w:rPr>
                <w:rFonts w:hint="default" w:ascii="Times New Roman" w:hAnsi="Times New Roman" w:cs="Times New Roman"/>
                <w:color w:val="auto"/>
                <w:spacing w:val="9"/>
                <w:sz w:val="21"/>
                <w:szCs w:val="21"/>
              </w:rPr>
              <w:t>，全部得到有效处置。满</w:t>
            </w:r>
            <w:r>
              <w:rPr>
                <w:rFonts w:hint="default" w:ascii="Times New Roman" w:hAnsi="Times New Roman" w:cs="Times New Roman"/>
                <w:color w:val="auto"/>
                <w:spacing w:val="8"/>
                <w:position w:val="1"/>
                <w:sz w:val="21"/>
                <w:szCs w:val="21"/>
              </w:rPr>
              <w:t>足《一般工业固体废物贮存和填埋污染控制标准》</w:t>
            </w:r>
            <w:r>
              <w:rPr>
                <w:rFonts w:hint="default" w:ascii="Times New Roman" w:hAnsi="Times New Roman" w:cs="Times New Roman"/>
                <w:color w:val="auto"/>
                <w:spacing w:val="7"/>
                <w:position w:val="1"/>
                <w:sz w:val="21"/>
                <w:szCs w:val="21"/>
              </w:rPr>
              <w:t>（</w:t>
            </w:r>
            <w:r>
              <w:rPr>
                <w:rFonts w:hint="default" w:ascii="Times New Roman" w:hAnsi="Times New Roman" w:eastAsia="Times New Roman" w:cs="Times New Roman"/>
                <w:color w:val="auto"/>
                <w:position w:val="1"/>
                <w:sz w:val="21"/>
                <w:szCs w:val="21"/>
              </w:rPr>
              <w:t>GB</w:t>
            </w:r>
            <w:r>
              <w:rPr>
                <w:rFonts w:hint="default" w:ascii="Times New Roman" w:hAnsi="Times New Roman" w:eastAsia="Times New Roman" w:cs="Times New Roman"/>
                <w:color w:val="auto"/>
                <w:spacing w:val="7"/>
                <w:position w:val="1"/>
                <w:sz w:val="21"/>
                <w:szCs w:val="21"/>
              </w:rPr>
              <w:t>18599-2020</w:t>
            </w:r>
            <w:r>
              <w:rPr>
                <w:rFonts w:hint="default" w:ascii="Times New Roman" w:hAnsi="Times New Roman" w:cs="Times New Roman"/>
                <w:color w:val="auto"/>
                <w:spacing w:val="7"/>
                <w:position w:val="1"/>
                <w:sz w:val="21"/>
                <w:szCs w:val="21"/>
              </w:rPr>
              <w:t>）要求。</w:t>
            </w:r>
          </w:p>
        </w:tc>
      </w:tr>
      <w:tr w14:paraId="44957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trPr>
        <w:tc>
          <w:tcPr>
            <w:tcW w:w="513" w:type="pct"/>
            <w:tcBorders>
              <w:left w:val="single" w:color="000000" w:sz="6" w:space="0"/>
            </w:tcBorders>
            <w:vAlign w:val="center"/>
          </w:tcPr>
          <w:p w14:paraId="56519A1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土壤及地下水污染防</w:t>
            </w:r>
            <w:r>
              <w:rPr>
                <w:rFonts w:hint="default" w:ascii="Times New Roman" w:hAnsi="Times New Roman" w:cs="Times New Roman"/>
                <w:color w:val="auto"/>
                <w:spacing w:val="5"/>
                <w:sz w:val="21"/>
                <w:szCs w:val="21"/>
              </w:rPr>
              <w:t>治措施</w:t>
            </w:r>
          </w:p>
        </w:tc>
        <w:tc>
          <w:tcPr>
            <w:tcW w:w="4486" w:type="pct"/>
            <w:gridSpan w:val="4"/>
            <w:tcBorders>
              <w:right w:val="single" w:color="000000" w:sz="6" w:space="0"/>
            </w:tcBorders>
            <w:vAlign w:val="center"/>
          </w:tcPr>
          <w:p w14:paraId="262630B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9"/>
                <w:sz w:val="21"/>
                <w:szCs w:val="21"/>
              </w:rPr>
              <w:t>采取分区防渗，加强日常巡检，发现裂缝及时修补，并采取有效防渗措施。</w:t>
            </w:r>
          </w:p>
        </w:tc>
      </w:tr>
      <w:tr w14:paraId="61407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513" w:type="pct"/>
            <w:tcBorders>
              <w:left w:val="single" w:color="000000" w:sz="6" w:space="0"/>
            </w:tcBorders>
            <w:vAlign w:val="center"/>
          </w:tcPr>
          <w:p w14:paraId="6D70ADD9">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生态保护措施</w:t>
            </w:r>
          </w:p>
        </w:tc>
        <w:tc>
          <w:tcPr>
            <w:tcW w:w="4486" w:type="pct"/>
            <w:gridSpan w:val="4"/>
            <w:tcBorders>
              <w:right w:val="single" w:color="000000" w:sz="6" w:space="0"/>
            </w:tcBorders>
            <w:vAlign w:val="center"/>
          </w:tcPr>
          <w:p w14:paraId="4F1E235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0"/>
                <w:sz w:val="21"/>
                <w:szCs w:val="21"/>
              </w:rPr>
              <w:t>本项目位于园区工业用地，未改变评价区域土地利用</w:t>
            </w:r>
            <w:r>
              <w:rPr>
                <w:rFonts w:hint="default" w:ascii="Times New Roman" w:hAnsi="Times New Roman" w:cs="Times New Roman"/>
                <w:color w:val="auto"/>
                <w:spacing w:val="9"/>
                <w:sz w:val="21"/>
                <w:szCs w:val="21"/>
              </w:rPr>
              <w:t>类型，同时项目厂区在建设完</w:t>
            </w:r>
            <w:r>
              <w:rPr>
                <w:rFonts w:hint="default" w:ascii="Times New Roman" w:hAnsi="Times New Roman" w:cs="Times New Roman"/>
                <w:color w:val="auto"/>
                <w:spacing w:val="8"/>
                <w:sz w:val="21"/>
                <w:szCs w:val="21"/>
              </w:rPr>
              <w:t>成后会进行相应的绿化和地面硬化措施。</w:t>
            </w:r>
          </w:p>
        </w:tc>
      </w:tr>
      <w:tr w14:paraId="45545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3" w:hRule="atLeast"/>
        </w:trPr>
        <w:tc>
          <w:tcPr>
            <w:tcW w:w="513" w:type="pct"/>
            <w:tcBorders>
              <w:left w:val="single" w:color="000000" w:sz="6" w:space="0"/>
            </w:tcBorders>
            <w:vAlign w:val="center"/>
          </w:tcPr>
          <w:p w14:paraId="57BCD01F">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环境风</w:t>
            </w:r>
            <w:r>
              <w:rPr>
                <w:rFonts w:hint="default" w:ascii="Times New Roman" w:hAnsi="Times New Roman" w:cs="Times New Roman"/>
                <w:color w:val="auto"/>
                <w:spacing w:val="-8"/>
                <w:sz w:val="21"/>
                <w:szCs w:val="21"/>
              </w:rPr>
              <w:t>险防范</w:t>
            </w:r>
            <w:r>
              <w:rPr>
                <w:rFonts w:hint="default" w:ascii="Times New Roman" w:hAnsi="Times New Roman" w:cs="Times New Roman"/>
                <w:color w:val="auto"/>
                <w:sz w:val="21"/>
                <w:szCs w:val="21"/>
              </w:rPr>
              <w:t>措施</w:t>
            </w:r>
          </w:p>
        </w:tc>
        <w:tc>
          <w:tcPr>
            <w:tcW w:w="4486" w:type="pct"/>
            <w:gridSpan w:val="4"/>
            <w:tcBorders>
              <w:right w:val="single" w:color="000000" w:sz="6" w:space="0"/>
            </w:tcBorders>
            <w:vAlign w:val="center"/>
          </w:tcPr>
          <w:p w14:paraId="3CD188D0">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position w:val="1"/>
                <w:sz w:val="21"/>
                <w:szCs w:val="21"/>
              </w:rPr>
              <w:t>（</w:t>
            </w:r>
            <w:r>
              <w:rPr>
                <w:rFonts w:hint="default" w:ascii="Times New Roman" w:hAnsi="Times New Roman" w:eastAsia="Times New Roman" w:cs="Times New Roman"/>
                <w:color w:val="auto"/>
                <w:spacing w:val="8"/>
                <w:position w:val="1"/>
                <w:sz w:val="21"/>
                <w:szCs w:val="21"/>
              </w:rPr>
              <w:t>1</w:t>
            </w:r>
            <w:r>
              <w:rPr>
                <w:rFonts w:hint="default" w:ascii="Times New Roman" w:hAnsi="Times New Roman" w:cs="Times New Roman"/>
                <w:color w:val="auto"/>
                <w:spacing w:val="8"/>
                <w:position w:val="1"/>
                <w:sz w:val="21"/>
                <w:szCs w:val="21"/>
              </w:rPr>
              <w:t>）严格按照规章制度标准设计建设。</w:t>
            </w:r>
          </w:p>
          <w:p w14:paraId="2CCE214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6"/>
                <w:position w:val="1"/>
                <w:sz w:val="21"/>
                <w:szCs w:val="21"/>
              </w:rPr>
              <w:t>（</w:t>
            </w:r>
            <w:r>
              <w:rPr>
                <w:rFonts w:hint="default" w:ascii="Times New Roman" w:hAnsi="Times New Roman" w:eastAsia="Times New Roman" w:cs="Times New Roman"/>
                <w:color w:val="auto"/>
                <w:spacing w:val="6"/>
                <w:position w:val="1"/>
                <w:sz w:val="21"/>
                <w:szCs w:val="21"/>
              </w:rPr>
              <w:t>2</w:t>
            </w:r>
            <w:r>
              <w:rPr>
                <w:rFonts w:hint="default" w:ascii="Times New Roman" w:hAnsi="Times New Roman" w:cs="Times New Roman"/>
                <w:color w:val="auto"/>
                <w:spacing w:val="6"/>
                <w:position w:val="1"/>
                <w:sz w:val="21"/>
                <w:szCs w:val="21"/>
              </w:rPr>
              <w:t>）厂区采取分区防渗措施，地面全部采用耐腐蚀防渗硬化地面，厂区</w:t>
            </w:r>
            <w:r>
              <w:rPr>
                <w:rFonts w:hint="default" w:ascii="Times New Roman" w:hAnsi="Times New Roman" w:cs="Times New Roman"/>
                <w:color w:val="auto"/>
                <w:spacing w:val="6"/>
                <w:position w:val="1"/>
                <w:sz w:val="21"/>
                <w:szCs w:val="21"/>
                <w:lang w:val="en-US" w:eastAsia="zh-CN"/>
              </w:rPr>
              <w:t>设置事故池。</w:t>
            </w:r>
          </w:p>
          <w:p w14:paraId="047281F3">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9"/>
                <w:position w:val="1"/>
                <w:sz w:val="21"/>
                <w:szCs w:val="21"/>
              </w:rPr>
              <w:t>（</w:t>
            </w:r>
            <w:r>
              <w:rPr>
                <w:rFonts w:hint="default" w:ascii="Times New Roman" w:hAnsi="Times New Roman" w:eastAsia="Times New Roman" w:cs="Times New Roman"/>
                <w:color w:val="auto"/>
                <w:spacing w:val="9"/>
                <w:position w:val="1"/>
                <w:sz w:val="21"/>
                <w:szCs w:val="21"/>
              </w:rPr>
              <w:t>3</w:t>
            </w:r>
            <w:r>
              <w:rPr>
                <w:rFonts w:hint="default" w:ascii="Times New Roman" w:hAnsi="Times New Roman" w:cs="Times New Roman"/>
                <w:color w:val="auto"/>
                <w:spacing w:val="9"/>
                <w:position w:val="1"/>
                <w:sz w:val="21"/>
                <w:szCs w:val="21"/>
              </w:rPr>
              <w:t>）设置防爆、防雷、防静电接地装置；</w:t>
            </w:r>
            <w:r>
              <w:rPr>
                <w:rFonts w:hint="default" w:ascii="Times New Roman" w:hAnsi="Times New Roman" w:cs="Times New Roman"/>
                <w:color w:val="auto"/>
                <w:spacing w:val="8"/>
                <w:position w:val="1"/>
                <w:sz w:val="21"/>
                <w:szCs w:val="21"/>
              </w:rPr>
              <w:t>设有通风换气设施。</w:t>
            </w:r>
          </w:p>
          <w:p w14:paraId="2A952CA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8"/>
                <w:position w:val="1"/>
                <w:sz w:val="21"/>
                <w:szCs w:val="21"/>
              </w:rPr>
              <w:t>（</w:t>
            </w:r>
            <w:r>
              <w:rPr>
                <w:rFonts w:hint="default" w:ascii="Times New Roman" w:hAnsi="Times New Roman" w:eastAsia="Times New Roman" w:cs="Times New Roman"/>
                <w:color w:val="auto"/>
                <w:spacing w:val="8"/>
                <w:position w:val="1"/>
                <w:sz w:val="21"/>
                <w:szCs w:val="21"/>
              </w:rPr>
              <w:t>4</w:t>
            </w:r>
            <w:r>
              <w:rPr>
                <w:rFonts w:hint="default" w:ascii="Times New Roman" w:hAnsi="Times New Roman" w:cs="Times New Roman"/>
                <w:color w:val="auto"/>
                <w:spacing w:val="8"/>
                <w:position w:val="1"/>
                <w:sz w:val="21"/>
                <w:szCs w:val="21"/>
              </w:rPr>
              <w:t>）建立严格的管理制度和应急预案，并开展应急演练。</w:t>
            </w:r>
          </w:p>
          <w:p w14:paraId="518E7A6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9"/>
                <w:sz w:val="21"/>
                <w:szCs w:val="21"/>
              </w:rPr>
              <w:t>（</w:t>
            </w:r>
            <w:r>
              <w:rPr>
                <w:rFonts w:hint="default" w:ascii="Times New Roman" w:hAnsi="Times New Roman" w:eastAsia="Times New Roman" w:cs="Times New Roman"/>
                <w:color w:val="auto"/>
                <w:spacing w:val="9"/>
                <w:sz w:val="21"/>
                <w:szCs w:val="21"/>
              </w:rPr>
              <w:t>5</w:t>
            </w:r>
            <w:r>
              <w:rPr>
                <w:rFonts w:hint="default" w:ascii="Times New Roman" w:hAnsi="Times New Roman" w:cs="Times New Roman"/>
                <w:color w:val="auto"/>
                <w:spacing w:val="9"/>
                <w:sz w:val="21"/>
                <w:szCs w:val="21"/>
              </w:rPr>
              <w:t>）应配备足量泄漏、火灾、爆炸事故的应急物资和医药应</w:t>
            </w:r>
            <w:r>
              <w:rPr>
                <w:rFonts w:hint="default" w:ascii="Times New Roman" w:hAnsi="Times New Roman" w:cs="Times New Roman"/>
                <w:color w:val="auto"/>
                <w:spacing w:val="8"/>
                <w:sz w:val="21"/>
                <w:szCs w:val="21"/>
              </w:rPr>
              <w:t>急药品等。</w:t>
            </w:r>
          </w:p>
        </w:tc>
      </w:tr>
      <w:tr w14:paraId="3689B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8" w:hRule="atLeast"/>
        </w:trPr>
        <w:tc>
          <w:tcPr>
            <w:tcW w:w="513" w:type="pct"/>
            <w:tcBorders>
              <w:left w:val="single" w:color="000000" w:sz="6" w:space="0"/>
              <w:bottom w:val="single" w:color="000000" w:sz="6" w:space="0"/>
            </w:tcBorders>
            <w:vAlign w:val="center"/>
          </w:tcPr>
          <w:p w14:paraId="371EF748">
            <w:pPr>
              <w:pStyle w:val="76"/>
              <w:spacing w:before="135" w:line="229" w:lineRule="auto"/>
              <w:ind w:left="163"/>
              <w:jc w:val="center"/>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其他环</w:t>
            </w:r>
            <w:r>
              <w:rPr>
                <w:rFonts w:hint="default" w:ascii="Times New Roman" w:hAnsi="Times New Roman" w:cs="Times New Roman"/>
                <w:color w:val="auto"/>
                <w:spacing w:val="-4"/>
                <w:sz w:val="21"/>
                <w:szCs w:val="21"/>
              </w:rPr>
              <w:t>境管理</w:t>
            </w:r>
            <w:r>
              <w:rPr>
                <w:rFonts w:hint="default" w:ascii="Times New Roman" w:hAnsi="Times New Roman" w:cs="Times New Roman"/>
                <w:color w:val="auto"/>
                <w:sz w:val="21"/>
                <w:szCs w:val="21"/>
              </w:rPr>
              <w:t>要求</w:t>
            </w:r>
          </w:p>
        </w:tc>
        <w:tc>
          <w:tcPr>
            <w:tcW w:w="4486" w:type="pct"/>
            <w:gridSpan w:val="4"/>
            <w:tcBorders>
              <w:bottom w:val="single" w:color="000000" w:sz="6" w:space="0"/>
              <w:right w:val="single" w:color="000000" w:sz="6" w:space="0"/>
            </w:tcBorders>
            <w:vAlign w:val="center"/>
          </w:tcPr>
          <w:p w14:paraId="1ABEA1E2">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pacing w:val="6"/>
                <w:position w:val="1"/>
                <w:sz w:val="21"/>
                <w:szCs w:val="21"/>
                <w:lang w:val="en-US" w:eastAsia="zh-CN"/>
              </w:rPr>
            </w:pPr>
            <w:r>
              <w:rPr>
                <w:rFonts w:hint="default" w:ascii="Times New Roman" w:hAnsi="Times New Roman" w:cs="Times New Roman"/>
                <w:color w:val="auto"/>
                <w:spacing w:val="6"/>
                <w:position w:val="1"/>
                <w:sz w:val="21"/>
                <w:szCs w:val="21"/>
              </w:rPr>
              <w:t>（1）建立完善的环境管理制度，设立专门环境管理机构，建立完善的</w:t>
            </w:r>
            <w:r>
              <w:rPr>
                <w:rFonts w:hint="default" w:ascii="Times New Roman" w:hAnsi="Times New Roman" w:cs="Times New Roman"/>
                <w:color w:val="auto"/>
                <w:spacing w:val="6"/>
                <w:position w:val="1"/>
                <w:sz w:val="21"/>
                <w:szCs w:val="21"/>
                <w:lang w:val="en-US" w:eastAsia="zh-CN"/>
              </w:rPr>
              <w:t>环境监测制度。</w:t>
            </w:r>
          </w:p>
          <w:p w14:paraId="21D73BF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pacing w:val="6"/>
                <w:position w:val="1"/>
                <w:sz w:val="21"/>
                <w:szCs w:val="21"/>
              </w:rPr>
            </w:pPr>
            <w:r>
              <w:rPr>
                <w:rFonts w:hint="default" w:ascii="Times New Roman" w:hAnsi="Times New Roman" w:cs="Times New Roman"/>
                <w:color w:val="auto"/>
                <w:spacing w:val="6"/>
                <w:position w:val="1"/>
                <w:sz w:val="21"/>
                <w:szCs w:val="21"/>
              </w:rPr>
              <w:t>（2）按照环境监测计划对项目废气、厂界噪声、废水等定期进行监测。</w:t>
            </w:r>
          </w:p>
          <w:p w14:paraId="60439B9E">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cs="Times New Roman"/>
                <w:color w:val="auto"/>
                <w:spacing w:val="6"/>
                <w:position w:val="1"/>
                <w:sz w:val="21"/>
                <w:szCs w:val="21"/>
              </w:rPr>
            </w:pPr>
            <w:r>
              <w:rPr>
                <w:rFonts w:hint="default" w:ascii="Times New Roman" w:hAnsi="Times New Roman" w:cs="Times New Roman"/>
                <w:color w:val="auto"/>
                <w:spacing w:val="6"/>
                <w:position w:val="1"/>
                <w:sz w:val="21"/>
                <w:szCs w:val="21"/>
              </w:rPr>
              <w:t>（3）设立相应标志标牌。</w:t>
            </w:r>
          </w:p>
          <w:p w14:paraId="34DC94F8">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default" w:ascii="Times New Roman" w:hAnsi="Times New Roman" w:eastAsia="宋体" w:cs="Times New Roman"/>
                <w:color w:val="auto"/>
                <w:spacing w:val="6"/>
                <w:position w:val="1"/>
                <w:sz w:val="21"/>
                <w:szCs w:val="21"/>
                <w:lang w:val="en-US" w:eastAsia="zh-CN"/>
              </w:rPr>
            </w:pPr>
            <w:r>
              <w:rPr>
                <w:rFonts w:hint="eastAsia" w:ascii="Times New Roman" w:hAnsi="Times New Roman" w:cs="Times New Roman"/>
                <w:color w:val="auto"/>
                <w:spacing w:val="6"/>
                <w:position w:val="1"/>
                <w:sz w:val="21"/>
                <w:szCs w:val="21"/>
                <w:lang w:eastAsia="zh-CN"/>
              </w:rPr>
              <w:t>（</w:t>
            </w:r>
            <w:r>
              <w:rPr>
                <w:rFonts w:hint="eastAsia" w:ascii="Times New Roman" w:hAnsi="Times New Roman" w:cs="Times New Roman"/>
                <w:color w:val="auto"/>
                <w:spacing w:val="6"/>
                <w:position w:val="1"/>
                <w:sz w:val="21"/>
                <w:szCs w:val="21"/>
                <w:lang w:val="en-US" w:eastAsia="zh-CN"/>
              </w:rPr>
              <w:t>4</w:t>
            </w:r>
            <w:r>
              <w:rPr>
                <w:rFonts w:hint="eastAsia" w:ascii="Times New Roman" w:hAnsi="Times New Roman" w:cs="Times New Roman"/>
                <w:color w:val="auto"/>
                <w:spacing w:val="6"/>
                <w:position w:val="1"/>
                <w:sz w:val="21"/>
                <w:szCs w:val="21"/>
                <w:lang w:eastAsia="zh-CN"/>
              </w:rPr>
              <w:t>）</w:t>
            </w:r>
            <w:r>
              <w:rPr>
                <w:rFonts w:hint="eastAsia" w:ascii="Times New Roman" w:hAnsi="Times New Roman" w:cs="Times New Roman"/>
                <w:color w:val="auto"/>
                <w:spacing w:val="6"/>
                <w:position w:val="1"/>
                <w:sz w:val="21"/>
                <w:szCs w:val="21"/>
                <w:lang w:val="en-US" w:eastAsia="zh-CN"/>
              </w:rPr>
              <w:t>项目在实际运行前应取得排污许可登记回执。</w:t>
            </w:r>
          </w:p>
        </w:tc>
      </w:tr>
    </w:tbl>
    <w:p w14:paraId="2DB9564A">
      <w:pPr>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br w:type="page"/>
      </w:r>
    </w:p>
    <w:p w14:paraId="1F9B4E4A">
      <w:pPr>
        <w:pStyle w:val="26"/>
        <w:jc w:val="center"/>
        <w:outlineLvl w:val="0"/>
        <w:rPr>
          <w:rFonts w:ascii="Times New Roman" w:hAnsi="Times New Roman" w:eastAsia="黑体"/>
          <w:snapToGrid w:val="0"/>
          <w:color w:val="auto"/>
          <w:szCs w:val="24"/>
          <w:highlight w:val="none"/>
        </w:rPr>
      </w:pPr>
      <w:r>
        <w:rPr>
          <w:rFonts w:hint="eastAsia" w:ascii="黑体" w:hAnsi="黑体" w:eastAsia="黑体"/>
          <w:snapToGrid w:val="0"/>
          <w:color w:val="auto"/>
          <w:sz w:val="30"/>
          <w:szCs w:val="30"/>
          <w:highlight w:val="none"/>
        </w:rPr>
        <w:t>六、结论</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0"/>
      </w:tblGrid>
      <w:tr w14:paraId="3F6CE5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9040" w:type="dxa"/>
            <w:vAlign w:val="center"/>
          </w:tcPr>
          <w:p w14:paraId="14C654A3">
            <w:pPr>
              <w:spacing w:line="360" w:lineRule="auto"/>
              <w:ind w:firstLine="480"/>
              <w:rPr>
                <w:color w:val="auto"/>
                <w:sz w:val="24"/>
                <w:szCs w:val="32"/>
                <w:highlight w:val="none"/>
              </w:rPr>
            </w:pPr>
            <w:r>
              <w:rPr>
                <w:rFonts w:hint="eastAsia"/>
                <w:color w:val="auto"/>
                <w:sz w:val="24"/>
                <w:szCs w:val="32"/>
                <w:highlight w:val="none"/>
              </w:rPr>
              <w:t>本项目符合当前国家产业政策的要求，项目在采取环保治理措施及污染控制措施后，可实现各类污染物的稳定达标排放，不会对周围环境产生明显影响。因此，本评价从环保角度认为，本项目的建设是可行的。</w:t>
            </w:r>
          </w:p>
          <w:p w14:paraId="75054B0D">
            <w:pPr>
              <w:pStyle w:val="8"/>
              <w:rPr>
                <w:color w:val="auto"/>
                <w:highlight w:val="none"/>
              </w:rPr>
            </w:pPr>
          </w:p>
          <w:p w14:paraId="75231C8B">
            <w:pPr>
              <w:rPr>
                <w:color w:val="auto"/>
                <w:sz w:val="24"/>
                <w:szCs w:val="32"/>
                <w:highlight w:val="none"/>
              </w:rPr>
            </w:pPr>
          </w:p>
          <w:p w14:paraId="69FF60EC">
            <w:pPr>
              <w:pStyle w:val="8"/>
              <w:rPr>
                <w:color w:val="auto"/>
                <w:highlight w:val="none"/>
              </w:rPr>
            </w:pPr>
          </w:p>
          <w:p w14:paraId="2F11B9E1">
            <w:pPr>
              <w:rPr>
                <w:color w:val="auto"/>
                <w:sz w:val="24"/>
                <w:szCs w:val="32"/>
                <w:highlight w:val="none"/>
              </w:rPr>
            </w:pPr>
          </w:p>
          <w:p w14:paraId="2C611533">
            <w:pPr>
              <w:pStyle w:val="8"/>
              <w:rPr>
                <w:color w:val="auto"/>
                <w:highlight w:val="none"/>
              </w:rPr>
            </w:pPr>
          </w:p>
          <w:p w14:paraId="453F5B29">
            <w:pPr>
              <w:rPr>
                <w:color w:val="auto"/>
                <w:sz w:val="24"/>
                <w:szCs w:val="32"/>
                <w:highlight w:val="none"/>
              </w:rPr>
            </w:pPr>
          </w:p>
          <w:p w14:paraId="4479709F">
            <w:pPr>
              <w:pStyle w:val="8"/>
              <w:rPr>
                <w:color w:val="auto"/>
                <w:highlight w:val="none"/>
              </w:rPr>
            </w:pPr>
          </w:p>
          <w:p w14:paraId="42FCC9DF">
            <w:pPr>
              <w:rPr>
                <w:color w:val="auto"/>
                <w:sz w:val="24"/>
                <w:szCs w:val="32"/>
                <w:highlight w:val="none"/>
              </w:rPr>
            </w:pPr>
          </w:p>
          <w:p w14:paraId="12FFE11F">
            <w:pPr>
              <w:pStyle w:val="8"/>
              <w:rPr>
                <w:color w:val="auto"/>
                <w:highlight w:val="none"/>
              </w:rPr>
            </w:pPr>
          </w:p>
          <w:p w14:paraId="1D17FB40">
            <w:pPr>
              <w:rPr>
                <w:color w:val="auto"/>
                <w:sz w:val="24"/>
                <w:szCs w:val="32"/>
                <w:highlight w:val="none"/>
              </w:rPr>
            </w:pPr>
          </w:p>
          <w:p w14:paraId="6AAFA6EC">
            <w:pPr>
              <w:pStyle w:val="8"/>
              <w:rPr>
                <w:color w:val="auto"/>
                <w:highlight w:val="none"/>
              </w:rPr>
            </w:pPr>
          </w:p>
          <w:p w14:paraId="368EC2B0">
            <w:pPr>
              <w:rPr>
                <w:color w:val="auto"/>
                <w:sz w:val="24"/>
                <w:szCs w:val="32"/>
                <w:highlight w:val="none"/>
              </w:rPr>
            </w:pPr>
          </w:p>
          <w:p w14:paraId="6C9FF225">
            <w:pPr>
              <w:pStyle w:val="8"/>
              <w:rPr>
                <w:color w:val="auto"/>
                <w:highlight w:val="none"/>
              </w:rPr>
            </w:pPr>
          </w:p>
          <w:p w14:paraId="24597E6E">
            <w:pPr>
              <w:rPr>
                <w:color w:val="auto"/>
                <w:sz w:val="24"/>
                <w:szCs w:val="32"/>
                <w:highlight w:val="none"/>
              </w:rPr>
            </w:pPr>
          </w:p>
          <w:p w14:paraId="4469EAE8">
            <w:pPr>
              <w:pStyle w:val="8"/>
              <w:rPr>
                <w:color w:val="auto"/>
                <w:highlight w:val="none"/>
              </w:rPr>
            </w:pPr>
          </w:p>
          <w:p w14:paraId="35781435">
            <w:pPr>
              <w:rPr>
                <w:color w:val="auto"/>
                <w:sz w:val="24"/>
                <w:szCs w:val="32"/>
                <w:highlight w:val="none"/>
              </w:rPr>
            </w:pPr>
          </w:p>
          <w:p w14:paraId="1EDDAECE">
            <w:pPr>
              <w:pStyle w:val="8"/>
              <w:rPr>
                <w:color w:val="auto"/>
                <w:highlight w:val="none"/>
              </w:rPr>
            </w:pPr>
          </w:p>
          <w:p w14:paraId="7BA10B54">
            <w:pPr>
              <w:rPr>
                <w:color w:val="auto"/>
                <w:sz w:val="24"/>
                <w:szCs w:val="32"/>
                <w:highlight w:val="none"/>
              </w:rPr>
            </w:pPr>
          </w:p>
          <w:p w14:paraId="602A7FEA">
            <w:pPr>
              <w:pStyle w:val="8"/>
              <w:rPr>
                <w:color w:val="auto"/>
                <w:highlight w:val="none"/>
              </w:rPr>
            </w:pPr>
          </w:p>
          <w:p w14:paraId="32EC5432">
            <w:pPr>
              <w:rPr>
                <w:color w:val="auto"/>
                <w:sz w:val="24"/>
                <w:szCs w:val="32"/>
                <w:highlight w:val="none"/>
              </w:rPr>
            </w:pPr>
          </w:p>
          <w:p w14:paraId="1D084F69">
            <w:pPr>
              <w:pStyle w:val="8"/>
              <w:rPr>
                <w:color w:val="auto"/>
                <w:highlight w:val="none"/>
              </w:rPr>
            </w:pPr>
          </w:p>
          <w:p w14:paraId="0740E000">
            <w:pPr>
              <w:rPr>
                <w:color w:val="auto"/>
                <w:sz w:val="24"/>
                <w:szCs w:val="32"/>
                <w:highlight w:val="none"/>
              </w:rPr>
            </w:pPr>
          </w:p>
          <w:p w14:paraId="1804FC56">
            <w:pPr>
              <w:pStyle w:val="8"/>
              <w:rPr>
                <w:color w:val="auto"/>
                <w:highlight w:val="none"/>
              </w:rPr>
            </w:pPr>
          </w:p>
          <w:p w14:paraId="7A70ED45">
            <w:pPr>
              <w:rPr>
                <w:color w:val="auto"/>
                <w:sz w:val="24"/>
                <w:szCs w:val="32"/>
                <w:highlight w:val="none"/>
              </w:rPr>
            </w:pPr>
          </w:p>
          <w:p w14:paraId="087FACB1">
            <w:pPr>
              <w:pStyle w:val="8"/>
              <w:rPr>
                <w:color w:val="auto"/>
                <w:highlight w:val="none"/>
              </w:rPr>
            </w:pPr>
          </w:p>
          <w:p w14:paraId="347B7172">
            <w:pPr>
              <w:rPr>
                <w:color w:val="auto"/>
                <w:sz w:val="24"/>
                <w:szCs w:val="32"/>
                <w:highlight w:val="none"/>
              </w:rPr>
            </w:pPr>
          </w:p>
          <w:p w14:paraId="688EFC9C">
            <w:pPr>
              <w:pStyle w:val="8"/>
              <w:rPr>
                <w:color w:val="auto"/>
                <w:highlight w:val="none"/>
              </w:rPr>
            </w:pPr>
          </w:p>
          <w:p w14:paraId="3B684AB8">
            <w:pPr>
              <w:spacing w:line="360" w:lineRule="auto"/>
              <w:rPr>
                <w:snapToGrid w:val="0"/>
                <w:color w:val="auto"/>
                <w:sz w:val="24"/>
                <w:highlight w:val="none"/>
              </w:rPr>
            </w:pPr>
          </w:p>
          <w:p w14:paraId="286A5197">
            <w:pPr>
              <w:spacing w:line="360" w:lineRule="auto"/>
              <w:rPr>
                <w:color w:val="auto"/>
                <w:sz w:val="24"/>
                <w:highlight w:val="none"/>
              </w:rPr>
            </w:pPr>
          </w:p>
        </w:tc>
      </w:tr>
    </w:tbl>
    <w:p w14:paraId="1A2F373E">
      <w:pPr>
        <w:rPr>
          <w:color w:val="auto"/>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5603D40">
      <w:pPr>
        <w:pStyle w:val="26"/>
        <w:adjustRightInd w:val="0"/>
        <w:snapToGrid w:val="0"/>
        <w:spacing w:before="0" w:beforeAutospacing="0" w:after="0" w:afterAutospacing="0" w:line="360" w:lineRule="auto"/>
        <w:outlineLvl w:val="0"/>
        <w:rPr>
          <w:rFonts w:ascii="Times New Roman" w:hAnsi="Times New Roman" w:eastAsia="黑体"/>
          <w:snapToGrid w:val="0"/>
          <w:color w:val="auto"/>
          <w:sz w:val="32"/>
          <w:szCs w:val="32"/>
          <w:highlight w:val="none"/>
        </w:rPr>
      </w:pPr>
      <w:r>
        <w:rPr>
          <w:rFonts w:ascii="Times New Roman" w:hAnsi="Times New Roman" w:eastAsia="黑体"/>
          <w:snapToGrid w:val="0"/>
          <w:color w:val="auto"/>
          <w:sz w:val="32"/>
          <w:szCs w:val="32"/>
          <w:highlight w:val="none"/>
        </w:rPr>
        <w:t>附表</w:t>
      </w:r>
    </w:p>
    <w:p w14:paraId="11DA2303">
      <w:pPr>
        <w:pStyle w:val="26"/>
        <w:adjustRightInd w:val="0"/>
        <w:snapToGrid w:val="0"/>
        <w:spacing w:before="0" w:beforeAutospacing="0" w:after="0" w:afterAutospacing="0"/>
        <w:jc w:val="center"/>
        <w:outlineLvl w:val="0"/>
        <w:rPr>
          <w:rFonts w:ascii="Times New Roman" w:hAnsi="Times New Roman" w:eastAsia="方正小标宋_GBK"/>
          <w:snapToGrid w:val="0"/>
          <w:color w:val="auto"/>
          <w:sz w:val="38"/>
          <w:szCs w:val="38"/>
          <w:highlight w:val="none"/>
        </w:rPr>
      </w:pPr>
      <w:r>
        <w:rPr>
          <w:rFonts w:ascii="Times New Roman" w:hAnsi="Times New Roman" w:eastAsia="方正小标宋_GBK"/>
          <w:snapToGrid w:val="0"/>
          <w:color w:val="auto"/>
          <w:sz w:val="38"/>
          <w:szCs w:val="38"/>
          <w:highlight w:val="none"/>
        </w:rPr>
        <w:t>建设项目污染物排放量汇总表</w:t>
      </w:r>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950"/>
        <w:gridCol w:w="1591"/>
        <w:gridCol w:w="1328"/>
        <w:gridCol w:w="1649"/>
        <w:gridCol w:w="1559"/>
        <w:gridCol w:w="1532"/>
        <w:gridCol w:w="1694"/>
        <w:gridCol w:w="1320"/>
      </w:tblGrid>
      <w:tr w14:paraId="3C912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7" w:hRule="exact"/>
        </w:trPr>
        <w:tc>
          <w:tcPr>
            <w:tcW w:w="1165" w:type="dxa"/>
            <w:tcBorders>
              <w:tl2br w:val="single" w:color="auto" w:sz="4" w:space="0"/>
            </w:tcBorders>
            <w:tcMar>
              <w:left w:w="28" w:type="dxa"/>
              <w:right w:w="28" w:type="dxa"/>
            </w:tcMar>
            <w:vAlign w:val="center"/>
          </w:tcPr>
          <w:p w14:paraId="28B7CE4F">
            <w:pPr>
              <w:pStyle w:val="55"/>
              <w:spacing w:beforeLines="0" w:afterLines="0" w:line="240" w:lineRule="auto"/>
              <w:jc w:val="right"/>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项目</w:t>
            </w:r>
          </w:p>
          <w:p w14:paraId="12148FB6">
            <w:pPr>
              <w:pStyle w:val="55"/>
              <w:spacing w:beforeLines="0" w:afterLines="0" w:line="240" w:lineRule="auto"/>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分类</w:t>
            </w:r>
          </w:p>
        </w:tc>
        <w:tc>
          <w:tcPr>
            <w:tcW w:w="1950" w:type="dxa"/>
            <w:tcMar>
              <w:left w:w="28" w:type="dxa"/>
              <w:right w:w="28" w:type="dxa"/>
            </w:tcMar>
            <w:vAlign w:val="center"/>
          </w:tcPr>
          <w:p w14:paraId="3A76DABA">
            <w:pPr>
              <w:pStyle w:val="55"/>
              <w:spacing w:beforeLines="0" w:afterLines="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污染物名称</w:t>
            </w:r>
          </w:p>
        </w:tc>
        <w:tc>
          <w:tcPr>
            <w:tcW w:w="1591" w:type="dxa"/>
            <w:tcMar>
              <w:left w:w="28" w:type="dxa"/>
              <w:right w:w="28" w:type="dxa"/>
            </w:tcMar>
            <w:vAlign w:val="center"/>
          </w:tcPr>
          <w:p w14:paraId="478BCBE4">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现有工程</w:t>
            </w:r>
          </w:p>
          <w:p w14:paraId="6B64814A">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排放量（固体废物产生量）</w:t>
            </w: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1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color w:val="auto"/>
                <w:kern w:val="2"/>
                <w:szCs w:val="24"/>
                <w:highlight w:val="none"/>
              </w:rPr>
              <w:t>①</w:t>
            </w:r>
            <w:r>
              <w:rPr>
                <w:rFonts w:ascii="Times New Roman" w:hAnsi="Times New Roman"/>
                <w:b/>
                <w:bCs/>
                <w:snapToGrid w:val="0"/>
                <w:color w:val="auto"/>
                <w:spacing w:val="-6"/>
                <w:kern w:val="21"/>
                <w:szCs w:val="24"/>
                <w:highlight w:val="none"/>
              </w:rPr>
              <w:fldChar w:fldCharType="end"/>
            </w:r>
          </w:p>
        </w:tc>
        <w:tc>
          <w:tcPr>
            <w:tcW w:w="1328" w:type="dxa"/>
            <w:tcMar>
              <w:left w:w="28" w:type="dxa"/>
              <w:right w:w="28" w:type="dxa"/>
            </w:tcMar>
            <w:vAlign w:val="center"/>
          </w:tcPr>
          <w:p w14:paraId="07F7A296">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现有工程</w:t>
            </w:r>
          </w:p>
          <w:p w14:paraId="20AE1B0D">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许可排放量</w:t>
            </w:r>
          </w:p>
          <w:p w14:paraId="6A98945A">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2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②</w:t>
            </w:r>
            <w:r>
              <w:rPr>
                <w:rFonts w:ascii="Times New Roman" w:hAnsi="Times New Roman"/>
                <w:b/>
                <w:bCs/>
                <w:snapToGrid w:val="0"/>
                <w:color w:val="auto"/>
                <w:spacing w:val="-6"/>
                <w:kern w:val="21"/>
                <w:szCs w:val="24"/>
                <w:highlight w:val="none"/>
              </w:rPr>
              <w:fldChar w:fldCharType="end"/>
            </w:r>
          </w:p>
        </w:tc>
        <w:tc>
          <w:tcPr>
            <w:tcW w:w="1649" w:type="dxa"/>
            <w:tcMar>
              <w:left w:w="28" w:type="dxa"/>
              <w:right w:w="28" w:type="dxa"/>
            </w:tcMar>
            <w:vAlign w:val="center"/>
          </w:tcPr>
          <w:p w14:paraId="777A8FC3">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在建工程</w:t>
            </w:r>
          </w:p>
          <w:p w14:paraId="730A87E3">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排放量（固体废物产生量）</w:t>
            </w: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3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③</w:t>
            </w:r>
            <w:r>
              <w:rPr>
                <w:rFonts w:ascii="Times New Roman" w:hAnsi="Times New Roman"/>
                <w:b/>
                <w:bCs/>
                <w:snapToGrid w:val="0"/>
                <w:color w:val="auto"/>
                <w:spacing w:val="-6"/>
                <w:kern w:val="21"/>
                <w:szCs w:val="24"/>
                <w:highlight w:val="none"/>
              </w:rPr>
              <w:fldChar w:fldCharType="end"/>
            </w:r>
          </w:p>
        </w:tc>
        <w:tc>
          <w:tcPr>
            <w:tcW w:w="1559" w:type="dxa"/>
            <w:tcMar>
              <w:left w:w="28" w:type="dxa"/>
              <w:right w:w="28" w:type="dxa"/>
            </w:tcMar>
            <w:vAlign w:val="center"/>
          </w:tcPr>
          <w:p w14:paraId="551EAE72">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本项目</w:t>
            </w:r>
          </w:p>
          <w:p w14:paraId="289D9B2C">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排放量（固体废物产生量）</w:t>
            </w: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4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④</w:t>
            </w:r>
            <w:r>
              <w:rPr>
                <w:rFonts w:ascii="Times New Roman" w:hAnsi="Times New Roman"/>
                <w:b/>
                <w:bCs/>
                <w:snapToGrid w:val="0"/>
                <w:color w:val="auto"/>
                <w:spacing w:val="-6"/>
                <w:kern w:val="21"/>
                <w:szCs w:val="24"/>
                <w:highlight w:val="none"/>
              </w:rPr>
              <w:fldChar w:fldCharType="end"/>
            </w:r>
          </w:p>
        </w:tc>
        <w:tc>
          <w:tcPr>
            <w:tcW w:w="1532" w:type="dxa"/>
            <w:tcMar>
              <w:left w:w="28" w:type="dxa"/>
              <w:right w:w="28" w:type="dxa"/>
            </w:tcMar>
            <w:vAlign w:val="center"/>
          </w:tcPr>
          <w:p w14:paraId="52CBA338">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以新带老削减量（新建项目不填）</w:t>
            </w: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5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⑤</w:t>
            </w:r>
            <w:r>
              <w:rPr>
                <w:rFonts w:ascii="Times New Roman" w:hAnsi="Times New Roman"/>
                <w:b/>
                <w:bCs/>
                <w:snapToGrid w:val="0"/>
                <w:color w:val="auto"/>
                <w:spacing w:val="-6"/>
                <w:kern w:val="21"/>
                <w:szCs w:val="24"/>
                <w:highlight w:val="none"/>
              </w:rPr>
              <w:fldChar w:fldCharType="end"/>
            </w:r>
          </w:p>
        </w:tc>
        <w:tc>
          <w:tcPr>
            <w:tcW w:w="1694" w:type="dxa"/>
            <w:tcMar>
              <w:left w:w="28" w:type="dxa"/>
              <w:right w:w="28" w:type="dxa"/>
            </w:tcMar>
            <w:vAlign w:val="center"/>
          </w:tcPr>
          <w:p w14:paraId="47B57F71">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本项目建成后</w:t>
            </w:r>
          </w:p>
          <w:p w14:paraId="3F5D002D">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全厂排放量（固体废物产生量）</w:t>
            </w: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6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⑥</w:t>
            </w:r>
            <w:r>
              <w:rPr>
                <w:rFonts w:ascii="Times New Roman" w:hAnsi="Times New Roman"/>
                <w:b/>
                <w:bCs/>
                <w:snapToGrid w:val="0"/>
                <w:color w:val="auto"/>
                <w:spacing w:val="-6"/>
                <w:kern w:val="21"/>
                <w:szCs w:val="24"/>
                <w:highlight w:val="none"/>
              </w:rPr>
              <w:fldChar w:fldCharType="end"/>
            </w:r>
          </w:p>
        </w:tc>
        <w:tc>
          <w:tcPr>
            <w:tcW w:w="1320" w:type="dxa"/>
            <w:tcMar>
              <w:left w:w="28" w:type="dxa"/>
              <w:right w:w="28" w:type="dxa"/>
            </w:tcMar>
            <w:vAlign w:val="center"/>
          </w:tcPr>
          <w:p w14:paraId="52226772">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t>变化量</w:t>
            </w:r>
          </w:p>
          <w:p w14:paraId="62CBC5EB">
            <w:pPr>
              <w:pStyle w:val="55"/>
              <w:spacing w:before="0" w:beforeLines="0" w:beforeAutospacing="0" w:after="0" w:afterLines="0" w:afterAutospacing="0" w:line="240" w:lineRule="auto"/>
              <w:jc w:val="center"/>
              <w:rPr>
                <w:rFonts w:ascii="Times New Roman" w:hAnsi="Times New Roman"/>
                <w:b/>
                <w:bCs/>
                <w:snapToGrid w:val="0"/>
                <w:color w:val="auto"/>
                <w:spacing w:val="-6"/>
                <w:kern w:val="21"/>
                <w:szCs w:val="24"/>
                <w:highlight w:val="none"/>
              </w:rPr>
            </w:pPr>
            <w:r>
              <w:rPr>
                <w:rFonts w:ascii="Times New Roman" w:hAnsi="Times New Roman"/>
                <w:b/>
                <w:bCs/>
                <w:snapToGrid w:val="0"/>
                <w:color w:val="auto"/>
                <w:spacing w:val="-6"/>
                <w:kern w:val="21"/>
                <w:szCs w:val="24"/>
                <w:highlight w:val="none"/>
              </w:rPr>
              <w:fldChar w:fldCharType="begin"/>
            </w:r>
            <w:r>
              <w:rPr>
                <w:rFonts w:ascii="Times New Roman" w:hAnsi="Times New Roman"/>
                <w:b/>
                <w:bCs/>
                <w:snapToGrid w:val="0"/>
                <w:color w:val="auto"/>
                <w:spacing w:val="-6"/>
                <w:kern w:val="21"/>
                <w:szCs w:val="24"/>
                <w:highlight w:val="none"/>
              </w:rPr>
              <w:instrText xml:space="preserve"> = 7 \* GB3 \* MERGEFORMAT </w:instrText>
            </w:r>
            <w:r>
              <w:rPr>
                <w:rFonts w:ascii="Times New Roman" w:hAnsi="Times New Roman"/>
                <w:b/>
                <w:bCs/>
                <w:snapToGrid w:val="0"/>
                <w:color w:val="auto"/>
                <w:spacing w:val="-6"/>
                <w:kern w:val="21"/>
                <w:szCs w:val="24"/>
                <w:highlight w:val="none"/>
              </w:rPr>
              <w:fldChar w:fldCharType="separate"/>
            </w:r>
            <w:r>
              <w:rPr>
                <w:rFonts w:ascii="Times New Roman" w:hAnsi="Times New Roman"/>
                <w:b/>
                <w:bCs/>
                <w:snapToGrid w:val="0"/>
                <w:color w:val="auto"/>
                <w:spacing w:val="-6"/>
                <w:kern w:val="21"/>
                <w:szCs w:val="24"/>
                <w:highlight w:val="none"/>
              </w:rPr>
              <w:t>⑦</w:t>
            </w:r>
            <w:r>
              <w:rPr>
                <w:rFonts w:ascii="Times New Roman" w:hAnsi="Times New Roman"/>
                <w:b/>
                <w:bCs/>
                <w:snapToGrid w:val="0"/>
                <w:color w:val="auto"/>
                <w:spacing w:val="-6"/>
                <w:kern w:val="21"/>
                <w:szCs w:val="24"/>
                <w:highlight w:val="none"/>
              </w:rPr>
              <w:fldChar w:fldCharType="end"/>
            </w:r>
          </w:p>
        </w:tc>
      </w:tr>
      <w:tr w14:paraId="2D676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restart"/>
            <w:vAlign w:val="center"/>
          </w:tcPr>
          <w:p w14:paraId="7EBEA104">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废气</w:t>
            </w:r>
          </w:p>
        </w:tc>
        <w:tc>
          <w:tcPr>
            <w:tcW w:w="1950" w:type="dxa"/>
            <w:vAlign w:val="center"/>
          </w:tcPr>
          <w:p w14:paraId="03F130BB">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非甲烷总烃</w:t>
            </w:r>
          </w:p>
        </w:tc>
        <w:tc>
          <w:tcPr>
            <w:tcW w:w="1591" w:type="dxa"/>
            <w:vAlign w:val="center"/>
          </w:tcPr>
          <w:p w14:paraId="28860035">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422020DF">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6EA0AB23">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70424B36">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w:t>
            </w:r>
          </w:p>
        </w:tc>
        <w:tc>
          <w:tcPr>
            <w:tcW w:w="1532" w:type="dxa"/>
            <w:vAlign w:val="center"/>
          </w:tcPr>
          <w:p w14:paraId="27F209A6">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33FB3E08">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w:t>
            </w:r>
          </w:p>
        </w:tc>
        <w:tc>
          <w:tcPr>
            <w:tcW w:w="1320" w:type="dxa"/>
            <w:vAlign w:val="center"/>
          </w:tcPr>
          <w:p w14:paraId="17720E7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r>
      <w:tr w14:paraId="6CD2E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3EFFD544">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647F5437">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颗粒物</w:t>
            </w:r>
          </w:p>
        </w:tc>
        <w:tc>
          <w:tcPr>
            <w:tcW w:w="1591" w:type="dxa"/>
            <w:vAlign w:val="center"/>
          </w:tcPr>
          <w:p w14:paraId="6AF64673">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4CF0148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71E060D3">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4E5F9695">
            <w:pPr>
              <w:pStyle w:val="55"/>
              <w:spacing w:beforeLines="0" w:afterLines="0" w:line="240" w:lineRule="auto"/>
              <w:jc w:val="center"/>
              <w:rPr>
                <w:rFonts w:hint="default" w:ascii="Times New Roman" w:hAnsi="Times New Roman" w:eastAsia="宋体"/>
                <w:snapToGrid w:val="0"/>
                <w:color w:val="auto"/>
                <w:kern w:val="21"/>
                <w:szCs w:val="24"/>
                <w:highlight w:val="none"/>
                <w:lang w:val="en-US" w:eastAsia="zh-CN"/>
              </w:rPr>
            </w:pPr>
            <w:r>
              <w:rPr>
                <w:rFonts w:hint="eastAsia" w:ascii="Times New Roman" w:hAnsi="Times New Roman"/>
                <w:snapToGrid w:val="0"/>
                <w:color w:val="auto"/>
                <w:kern w:val="21"/>
                <w:szCs w:val="24"/>
                <w:highlight w:val="none"/>
                <w:lang w:val="en-US" w:eastAsia="zh-CN"/>
              </w:rPr>
              <w:t>11.25kg/a</w:t>
            </w:r>
          </w:p>
        </w:tc>
        <w:tc>
          <w:tcPr>
            <w:tcW w:w="1532" w:type="dxa"/>
            <w:vAlign w:val="center"/>
          </w:tcPr>
          <w:p w14:paraId="4853E719">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364DC127">
            <w:pPr>
              <w:spacing w:beforeLines="0" w:afterLines="0" w:line="240" w:lineRule="auto"/>
              <w:jc w:val="center"/>
              <w:rPr>
                <w:rFonts w:hint="eastAsia" w:ascii="Times New Roman" w:hAnsi="Times New Roman" w:eastAsia="宋体" w:cs="Times New Roman"/>
                <w:snapToGrid w:val="0"/>
                <w:color w:val="auto"/>
                <w:kern w:val="21"/>
                <w:sz w:val="32"/>
                <w:szCs w:val="32"/>
                <w:highlight w:val="none"/>
                <w:lang w:val="en-US" w:eastAsia="zh-CN" w:bidi="ar-SA"/>
              </w:rPr>
            </w:pPr>
            <w:r>
              <w:rPr>
                <w:rFonts w:hint="eastAsia" w:ascii="Times New Roman" w:hAnsi="Times New Roman"/>
                <w:snapToGrid w:val="0"/>
                <w:color w:val="auto"/>
                <w:kern w:val="21"/>
                <w:sz w:val="24"/>
                <w:szCs w:val="32"/>
                <w:highlight w:val="none"/>
                <w:lang w:val="en-US" w:eastAsia="zh-CN"/>
              </w:rPr>
              <w:t>11.25kg/a</w:t>
            </w:r>
          </w:p>
        </w:tc>
        <w:tc>
          <w:tcPr>
            <w:tcW w:w="1320" w:type="dxa"/>
            <w:vAlign w:val="center"/>
          </w:tcPr>
          <w:p w14:paraId="357A1902">
            <w:pPr>
              <w:spacing w:beforeLines="0" w:afterLines="0" w:line="240" w:lineRule="auto"/>
              <w:jc w:val="center"/>
              <w:rPr>
                <w:rFonts w:ascii="Times New Roman" w:hAnsi="Times New Roman"/>
                <w:snapToGrid w:val="0"/>
                <w:color w:val="auto"/>
                <w:kern w:val="21"/>
                <w:sz w:val="24"/>
                <w:szCs w:val="32"/>
                <w:highlight w:val="none"/>
              </w:rPr>
            </w:pPr>
            <w:r>
              <w:rPr>
                <w:rFonts w:hint="eastAsia" w:ascii="Times New Roman" w:hAnsi="Times New Roman"/>
                <w:snapToGrid w:val="0"/>
                <w:color w:val="auto"/>
                <w:kern w:val="21"/>
                <w:sz w:val="24"/>
                <w:szCs w:val="32"/>
                <w:highlight w:val="none"/>
                <w:lang w:val="en-US" w:eastAsia="zh-CN"/>
              </w:rPr>
              <w:t>+11.25kg/a</w:t>
            </w:r>
          </w:p>
        </w:tc>
      </w:tr>
      <w:tr w14:paraId="77424D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6E1EBF51">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0A7333C5">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SO</w:t>
            </w:r>
            <w:r>
              <w:rPr>
                <w:rFonts w:ascii="Times New Roman" w:hAnsi="Times New Roman"/>
                <w:snapToGrid w:val="0"/>
                <w:color w:val="auto"/>
                <w:kern w:val="21"/>
                <w:szCs w:val="24"/>
                <w:highlight w:val="none"/>
                <w:vertAlign w:val="subscript"/>
              </w:rPr>
              <w:t>2</w:t>
            </w:r>
          </w:p>
        </w:tc>
        <w:tc>
          <w:tcPr>
            <w:tcW w:w="1591" w:type="dxa"/>
            <w:vAlign w:val="center"/>
          </w:tcPr>
          <w:p w14:paraId="6A417FE3">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71D671E0">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33139E59">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2E62B1A5">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w:t>
            </w:r>
          </w:p>
        </w:tc>
        <w:tc>
          <w:tcPr>
            <w:tcW w:w="1532" w:type="dxa"/>
            <w:vAlign w:val="center"/>
          </w:tcPr>
          <w:p w14:paraId="66B3DE1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42C8D7FF">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w:t>
            </w:r>
          </w:p>
        </w:tc>
        <w:tc>
          <w:tcPr>
            <w:tcW w:w="1320" w:type="dxa"/>
            <w:vAlign w:val="center"/>
          </w:tcPr>
          <w:p w14:paraId="44453DD6">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r>
      <w:tr w14:paraId="5A498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1811AA98">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0DCD439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NOx</w:t>
            </w:r>
          </w:p>
        </w:tc>
        <w:tc>
          <w:tcPr>
            <w:tcW w:w="1591" w:type="dxa"/>
            <w:vAlign w:val="center"/>
          </w:tcPr>
          <w:p w14:paraId="672FA47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487B8F26">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764979A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5669765A">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w:t>
            </w:r>
          </w:p>
        </w:tc>
        <w:tc>
          <w:tcPr>
            <w:tcW w:w="1532" w:type="dxa"/>
            <w:vAlign w:val="center"/>
          </w:tcPr>
          <w:p w14:paraId="2831AAE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42A69180">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w:t>
            </w:r>
          </w:p>
        </w:tc>
        <w:tc>
          <w:tcPr>
            <w:tcW w:w="1320" w:type="dxa"/>
            <w:vAlign w:val="center"/>
          </w:tcPr>
          <w:p w14:paraId="7B59B4A6">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r>
      <w:tr w14:paraId="6B2129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restart"/>
            <w:vAlign w:val="center"/>
          </w:tcPr>
          <w:p w14:paraId="4F08662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废水</w:t>
            </w:r>
          </w:p>
        </w:tc>
        <w:tc>
          <w:tcPr>
            <w:tcW w:w="1950" w:type="dxa"/>
            <w:vAlign w:val="center"/>
          </w:tcPr>
          <w:p w14:paraId="5A0E679A">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COD</w:t>
            </w:r>
            <w:r>
              <w:rPr>
                <w:rFonts w:ascii="Times New Roman" w:hAnsi="Times New Roman"/>
                <w:snapToGrid w:val="0"/>
                <w:color w:val="auto"/>
                <w:kern w:val="21"/>
                <w:szCs w:val="24"/>
                <w:highlight w:val="none"/>
                <w:vertAlign w:val="subscript"/>
              </w:rPr>
              <w:t>Cr</w:t>
            </w:r>
          </w:p>
        </w:tc>
        <w:tc>
          <w:tcPr>
            <w:tcW w:w="1591" w:type="dxa"/>
            <w:vAlign w:val="center"/>
          </w:tcPr>
          <w:p w14:paraId="438954B5">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13F57739">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76097C6B">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3C92A0D4">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0.35</w:t>
            </w:r>
            <w:r>
              <w:rPr>
                <w:rFonts w:ascii="Times New Roman" w:hAnsi="Times New Roman"/>
                <w:snapToGrid w:val="0"/>
                <w:color w:val="auto"/>
                <w:kern w:val="21"/>
                <w:szCs w:val="24"/>
                <w:highlight w:val="none"/>
              </w:rPr>
              <w:t>t/a</w:t>
            </w:r>
          </w:p>
        </w:tc>
        <w:tc>
          <w:tcPr>
            <w:tcW w:w="1532" w:type="dxa"/>
            <w:vAlign w:val="center"/>
          </w:tcPr>
          <w:p w14:paraId="061C8242">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2590567B">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0.35</w:t>
            </w:r>
            <w:r>
              <w:rPr>
                <w:rFonts w:ascii="Times New Roman" w:hAnsi="Times New Roman"/>
                <w:snapToGrid w:val="0"/>
                <w:color w:val="auto"/>
                <w:kern w:val="21"/>
                <w:szCs w:val="24"/>
                <w:highlight w:val="none"/>
              </w:rPr>
              <w:t>t/a</w:t>
            </w:r>
          </w:p>
        </w:tc>
        <w:tc>
          <w:tcPr>
            <w:tcW w:w="1320" w:type="dxa"/>
            <w:shd w:val="clear" w:color="auto" w:fill="auto"/>
            <w:vAlign w:val="center"/>
          </w:tcPr>
          <w:p w14:paraId="75CDF0F2">
            <w:pPr>
              <w:pStyle w:val="55"/>
              <w:spacing w:beforeLines="0" w:afterLines="0" w:line="240" w:lineRule="auto"/>
              <w:jc w:val="center"/>
              <w:rPr>
                <w:rFonts w:hint="eastAsia"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+0.35</w:t>
            </w:r>
            <w:r>
              <w:rPr>
                <w:rFonts w:ascii="Times New Roman" w:hAnsi="Times New Roman"/>
                <w:snapToGrid w:val="0"/>
                <w:color w:val="auto"/>
                <w:kern w:val="21"/>
                <w:szCs w:val="24"/>
                <w:highlight w:val="none"/>
              </w:rPr>
              <w:t>t/a</w:t>
            </w:r>
          </w:p>
        </w:tc>
      </w:tr>
      <w:tr w14:paraId="17956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34A047B2">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6F9C879F">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BOD</w:t>
            </w:r>
            <w:r>
              <w:rPr>
                <w:rFonts w:ascii="Times New Roman" w:hAnsi="Times New Roman"/>
                <w:snapToGrid w:val="0"/>
                <w:color w:val="auto"/>
                <w:kern w:val="21"/>
                <w:szCs w:val="24"/>
                <w:highlight w:val="none"/>
                <w:vertAlign w:val="subscript"/>
              </w:rPr>
              <w:t>5</w:t>
            </w:r>
          </w:p>
        </w:tc>
        <w:tc>
          <w:tcPr>
            <w:tcW w:w="1591" w:type="dxa"/>
            <w:vAlign w:val="center"/>
          </w:tcPr>
          <w:p w14:paraId="72AAF5D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1BC1D6A9">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2F6AED2B">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41A8944F">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0.25</w:t>
            </w:r>
            <w:r>
              <w:rPr>
                <w:rFonts w:ascii="Times New Roman" w:hAnsi="Times New Roman"/>
                <w:snapToGrid w:val="0"/>
                <w:color w:val="auto"/>
                <w:kern w:val="21"/>
                <w:szCs w:val="24"/>
                <w:highlight w:val="none"/>
              </w:rPr>
              <w:t>t/a</w:t>
            </w:r>
          </w:p>
        </w:tc>
        <w:tc>
          <w:tcPr>
            <w:tcW w:w="1532" w:type="dxa"/>
            <w:vAlign w:val="center"/>
          </w:tcPr>
          <w:p w14:paraId="6228F8E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5176C46F">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0.25</w:t>
            </w:r>
            <w:r>
              <w:rPr>
                <w:rFonts w:ascii="Times New Roman" w:hAnsi="Times New Roman"/>
                <w:snapToGrid w:val="0"/>
                <w:color w:val="auto"/>
                <w:kern w:val="21"/>
                <w:szCs w:val="24"/>
                <w:highlight w:val="none"/>
              </w:rPr>
              <w:t>t/a</w:t>
            </w:r>
          </w:p>
        </w:tc>
        <w:tc>
          <w:tcPr>
            <w:tcW w:w="1320" w:type="dxa"/>
            <w:shd w:val="clear" w:color="auto" w:fill="auto"/>
            <w:vAlign w:val="center"/>
          </w:tcPr>
          <w:p w14:paraId="0166B437">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+0.25</w:t>
            </w:r>
            <w:r>
              <w:rPr>
                <w:rFonts w:ascii="Times New Roman" w:hAnsi="Times New Roman"/>
                <w:snapToGrid w:val="0"/>
                <w:color w:val="auto"/>
                <w:kern w:val="21"/>
                <w:szCs w:val="24"/>
                <w:highlight w:val="none"/>
              </w:rPr>
              <w:t>t/a</w:t>
            </w:r>
          </w:p>
        </w:tc>
      </w:tr>
      <w:tr w14:paraId="0AF467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7754DD27">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1393EFAC">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SS</w:t>
            </w:r>
          </w:p>
        </w:tc>
        <w:tc>
          <w:tcPr>
            <w:tcW w:w="1591" w:type="dxa"/>
            <w:vAlign w:val="center"/>
          </w:tcPr>
          <w:p w14:paraId="790D65EA">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6562D79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434D744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7479E9B1">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0.2</w:t>
            </w:r>
            <w:r>
              <w:rPr>
                <w:rFonts w:ascii="Times New Roman" w:hAnsi="Times New Roman"/>
                <w:snapToGrid w:val="0"/>
                <w:color w:val="auto"/>
                <w:kern w:val="21"/>
                <w:szCs w:val="24"/>
                <w:highlight w:val="none"/>
              </w:rPr>
              <w:t>t/a</w:t>
            </w:r>
          </w:p>
        </w:tc>
        <w:tc>
          <w:tcPr>
            <w:tcW w:w="1532" w:type="dxa"/>
            <w:vAlign w:val="center"/>
          </w:tcPr>
          <w:p w14:paraId="19FD80D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563BACE8">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0.2</w:t>
            </w:r>
            <w:r>
              <w:rPr>
                <w:rFonts w:ascii="Times New Roman" w:hAnsi="Times New Roman"/>
                <w:snapToGrid w:val="0"/>
                <w:color w:val="auto"/>
                <w:kern w:val="21"/>
                <w:szCs w:val="24"/>
                <w:highlight w:val="none"/>
              </w:rPr>
              <w:t>t/a</w:t>
            </w:r>
          </w:p>
        </w:tc>
        <w:tc>
          <w:tcPr>
            <w:tcW w:w="1320" w:type="dxa"/>
            <w:shd w:val="clear" w:color="auto" w:fill="auto"/>
            <w:vAlign w:val="center"/>
          </w:tcPr>
          <w:p w14:paraId="106F551E">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+0.2</w:t>
            </w:r>
            <w:r>
              <w:rPr>
                <w:rFonts w:ascii="Times New Roman" w:hAnsi="Times New Roman"/>
                <w:snapToGrid w:val="0"/>
                <w:color w:val="auto"/>
                <w:kern w:val="21"/>
                <w:szCs w:val="24"/>
                <w:highlight w:val="none"/>
              </w:rPr>
              <w:t>t/a</w:t>
            </w:r>
          </w:p>
        </w:tc>
      </w:tr>
      <w:tr w14:paraId="0D56F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3C9C13CC">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5D56BEA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NH</w:t>
            </w:r>
            <w:r>
              <w:rPr>
                <w:rFonts w:ascii="Times New Roman" w:hAnsi="Times New Roman"/>
                <w:snapToGrid w:val="0"/>
                <w:color w:val="auto"/>
                <w:kern w:val="21"/>
                <w:szCs w:val="24"/>
                <w:highlight w:val="none"/>
                <w:vertAlign w:val="subscript"/>
              </w:rPr>
              <w:t>3</w:t>
            </w:r>
            <w:r>
              <w:rPr>
                <w:rFonts w:ascii="Times New Roman" w:hAnsi="Times New Roman"/>
                <w:snapToGrid w:val="0"/>
                <w:color w:val="auto"/>
                <w:kern w:val="21"/>
                <w:szCs w:val="24"/>
                <w:highlight w:val="none"/>
              </w:rPr>
              <w:t>-N</w:t>
            </w:r>
          </w:p>
        </w:tc>
        <w:tc>
          <w:tcPr>
            <w:tcW w:w="1591" w:type="dxa"/>
            <w:vAlign w:val="center"/>
          </w:tcPr>
          <w:p w14:paraId="3C460100">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1E439E5F">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5B75BD0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6C70C9AB">
            <w:pPr>
              <w:pStyle w:val="55"/>
              <w:spacing w:beforeLines="0" w:afterLines="0" w:line="240" w:lineRule="auto"/>
              <w:jc w:val="center"/>
              <w:rPr>
                <w:rFonts w:ascii="Times New Roman" w:hAnsi="Times New Roman"/>
                <w:snapToGrid w:val="0"/>
                <w:color w:val="auto"/>
                <w:kern w:val="21"/>
                <w:szCs w:val="24"/>
                <w:highlight w:val="none"/>
              </w:rPr>
            </w:pPr>
            <w:r>
              <w:rPr>
                <w:rFonts w:hint="eastAsia" w:ascii="Times New Roman" w:hAnsi="Times New Roman"/>
                <w:snapToGrid w:val="0"/>
                <w:color w:val="auto"/>
                <w:kern w:val="21"/>
                <w:szCs w:val="24"/>
                <w:highlight w:val="none"/>
                <w:lang w:val="en-US" w:eastAsia="zh-CN"/>
              </w:rPr>
              <w:t>0.04</w:t>
            </w:r>
            <w:r>
              <w:rPr>
                <w:rFonts w:ascii="Times New Roman" w:hAnsi="Times New Roman"/>
                <w:snapToGrid w:val="0"/>
                <w:color w:val="auto"/>
                <w:kern w:val="21"/>
                <w:szCs w:val="24"/>
                <w:highlight w:val="none"/>
              </w:rPr>
              <w:t>t/a</w:t>
            </w:r>
          </w:p>
        </w:tc>
        <w:tc>
          <w:tcPr>
            <w:tcW w:w="1532" w:type="dxa"/>
            <w:vAlign w:val="center"/>
          </w:tcPr>
          <w:p w14:paraId="0208CBAC">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31ED375B">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0.04</w:t>
            </w:r>
            <w:r>
              <w:rPr>
                <w:rFonts w:ascii="Times New Roman" w:hAnsi="Times New Roman"/>
                <w:snapToGrid w:val="0"/>
                <w:color w:val="auto"/>
                <w:kern w:val="21"/>
                <w:szCs w:val="24"/>
                <w:highlight w:val="none"/>
              </w:rPr>
              <w:t>t/a</w:t>
            </w:r>
          </w:p>
        </w:tc>
        <w:tc>
          <w:tcPr>
            <w:tcW w:w="1320" w:type="dxa"/>
            <w:shd w:val="clear" w:color="auto" w:fill="auto"/>
            <w:vAlign w:val="center"/>
          </w:tcPr>
          <w:p w14:paraId="5B1B6155">
            <w:pPr>
              <w:pStyle w:val="55"/>
              <w:spacing w:beforeLines="0" w:afterLines="0" w:line="240" w:lineRule="auto"/>
              <w:jc w:val="center"/>
              <w:rPr>
                <w:rFonts w:ascii="Times New Roman" w:hAnsi="Times New Roman" w:eastAsia="宋体" w:cs="Times New Roman"/>
                <w:snapToGrid w:val="0"/>
                <w:color w:val="auto"/>
                <w:kern w:val="21"/>
                <w:sz w:val="24"/>
                <w:szCs w:val="24"/>
                <w:highlight w:val="none"/>
                <w:lang w:val="en-US" w:eastAsia="zh-CN" w:bidi="ar-SA"/>
              </w:rPr>
            </w:pPr>
            <w:r>
              <w:rPr>
                <w:rFonts w:hint="eastAsia" w:ascii="Times New Roman" w:hAnsi="Times New Roman"/>
                <w:snapToGrid w:val="0"/>
                <w:color w:val="auto"/>
                <w:kern w:val="21"/>
                <w:szCs w:val="24"/>
                <w:highlight w:val="none"/>
                <w:lang w:val="en-US" w:eastAsia="zh-CN"/>
              </w:rPr>
              <w:t>+0.04</w:t>
            </w:r>
            <w:r>
              <w:rPr>
                <w:rFonts w:ascii="Times New Roman" w:hAnsi="Times New Roman"/>
                <w:snapToGrid w:val="0"/>
                <w:color w:val="auto"/>
                <w:kern w:val="21"/>
                <w:szCs w:val="24"/>
                <w:highlight w:val="none"/>
              </w:rPr>
              <w:t>t/a</w:t>
            </w:r>
          </w:p>
        </w:tc>
      </w:tr>
      <w:tr w14:paraId="3C02C5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restart"/>
            <w:vAlign w:val="center"/>
          </w:tcPr>
          <w:p w14:paraId="6A7023C9">
            <w:pPr>
              <w:pStyle w:val="55"/>
              <w:spacing w:before="0" w:beforeLines="0" w:beforeAutospacing="0" w:after="0" w:afterLines="0" w:afterAutospacing="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固体废物</w:t>
            </w:r>
          </w:p>
        </w:tc>
        <w:tc>
          <w:tcPr>
            <w:tcW w:w="1950" w:type="dxa"/>
            <w:vAlign w:val="center"/>
          </w:tcPr>
          <w:p w14:paraId="3C10218C">
            <w:pPr>
              <w:pStyle w:val="7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snapToGrid w:val="0"/>
                <w:color w:val="auto"/>
                <w:kern w:val="21"/>
                <w:szCs w:val="21"/>
                <w:highlight w:val="none"/>
                <w:lang w:val="en-US" w:eastAsia="zh-CN"/>
              </w:rPr>
            </w:pPr>
            <w:r>
              <w:rPr>
                <w:color w:val="auto"/>
                <w:spacing w:val="6"/>
                <w:sz w:val="21"/>
                <w:szCs w:val="21"/>
              </w:rPr>
              <w:t>生活垃圾</w:t>
            </w:r>
          </w:p>
        </w:tc>
        <w:tc>
          <w:tcPr>
            <w:tcW w:w="1591" w:type="dxa"/>
            <w:vAlign w:val="center"/>
          </w:tcPr>
          <w:p w14:paraId="6C0E9EB5">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7D10F4BE">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374E1449">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61FD3578">
            <w:pPr>
              <w:pStyle w:val="55"/>
              <w:spacing w:beforeLines="0" w:afterLines="0" w:line="240" w:lineRule="auto"/>
              <w:jc w:val="center"/>
              <w:rPr>
                <w:rFonts w:ascii="Times New Roman" w:hAnsi="Times New Roman"/>
                <w:snapToGrid w:val="0"/>
                <w:color w:val="auto"/>
                <w:kern w:val="21"/>
                <w:szCs w:val="21"/>
                <w:highlight w:val="none"/>
              </w:rPr>
            </w:pPr>
            <w:r>
              <w:rPr>
                <w:rFonts w:hint="eastAsia" w:ascii="Times New Roman" w:hAnsi="Times New Roman"/>
                <w:snapToGrid w:val="0"/>
                <w:color w:val="auto"/>
                <w:kern w:val="21"/>
                <w:szCs w:val="21"/>
                <w:highlight w:val="none"/>
                <w:lang w:val="en-US" w:eastAsia="zh-CN"/>
              </w:rPr>
              <w:t>24.8</w:t>
            </w:r>
            <w:r>
              <w:rPr>
                <w:rFonts w:ascii="Times New Roman" w:hAnsi="Times New Roman"/>
                <w:snapToGrid w:val="0"/>
                <w:color w:val="auto"/>
                <w:kern w:val="21"/>
                <w:szCs w:val="21"/>
                <w:highlight w:val="none"/>
              </w:rPr>
              <w:t>t/a</w:t>
            </w:r>
          </w:p>
        </w:tc>
        <w:tc>
          <w:tcPr>
            <w:tcW w:w="1532" w:type="dxa"/>
            <w:vAlign w:val="center"/>
          </w:tcPr>
          <w:p w14:paraId="6FCE7C5F">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4D26E649">
            <w:pPr>
              <w:pStyle w:val="55"/>
              <w:spacing w:beforeLines="0" w:afterLines="0" w:line="240" w:lineRule="auto"/>
              <w:jc w:val="center"/>
              <w:rPr>
                <w:rFonts w:ascii="Times New Roman" w:hAnsi="Times New Roman" w:eastAsia="宋体" w:cs="Times New Roman"/>
                <w:snapToGrid w:val="0"/>
                <w:color w:val="auto"/>
                <w:kern w:val="21"/>
                <w:sz w:val="24"/>
                <w:szCs w:val="21"/>
                <w:highlight w:val="none"/>
                <w:lang w:val="en-US" w:eastAsia="zh-CN" w:bidi="ar-SA"/>
              </w:rPr>
            </w:pPr>
            <w:r>
              <w:rPr>
                <w:rFonts w:hint="eastAsia" w:ascii="Times New Roman" w:hAnsi="Times New Roman"/>
                <w:snapToGrid w:val="0"/>
                <w:color w:val="auto"/>
                <w:kern w:val="21"/>
                <w:szCs w:val="21"/>
                <w:highlight w:val="none"/>
                <w:lang w:val="en-US" w:eastAsia="zh-CN"/>
              </w:rPr>
              <w:t>24.8</w:t>
            </w:r>
            <w:r>
              <w:rPr>
                <w:rFonts w:ascii="Times New Roman" w:hAnsi="Times New Roman"/>
                <w:snapToGrid w:val="0"/>
                <w:color w:val="auto"/>
                <w:kern w:val="21"/>
                <w:szCs w:val="21"/>
                <w:highlight w:val="none"/>
              </w:rPr>
              <w:t>t/a</w:t>
            </w:r>
          </w:p>
        </w:tc>
        <w:tc>
          <w:tcPr>
            <w:tcW w:w="1320" w:type="dxa"/>
            <w:shd w:val="clear" w:color="auto" w:fill="auto"/>
            <w:vAlign w:val="center"/>
          </w:tcPr>
          <w:p w14:paraId="051EBF57">
            <w:pPr>
              <w:pStyle w:val="55"/>
              <w:spacing w:beforeLines="0" w:afterLines="0" w:line="240" w:lineRule="auto"/>
              <w:jc w:val="center"/>
              <w:rPr>
                <w:rFonts w:ascii="Times New Roman" w:hAnsi="Times New Roman" w:eastAsia="宋体" w:cs="Times New Roman"/>
                <w:snapToGrid w:val="0"/>
                <w:color w:val="auto"/>
                <w:kern w:val="21"/>
                <w:sz w:val="24"/>
                <w:szCs w:val="21"/>
                <w:highlight w:val="none"/>
                <w:lang w:val="en-US" w:eastAsia="zh-CN" w:bidi="ar-SA"/>
              </w:rPr>
            </w:pPr>
            <w:r>
              <w:rPr>
                <w:rFonts w:hint="eastAsia" w:ascii="Times New Roman" w:hAnsi="Times New Roman"/>
                <w:snapToGrid w:val="0"/>
                <w:color w:val="auto"/>
                <w:kern w:val="21"/>
                <w:szCs w:val="21"/>
                <w:highlight w:val="none"/>
                <w:lang w:val="en-US" w:eastAsia="zh-CN"/>
              </w:rPr>
              <w:t>+24.8</w:t>
            </w:r>
            <w:r>
              <w:rPr>
                <w:rFonts w:ascii="Times New Roman" w:hAnsi="Times New Roman"/>
                <w:snapToGrid w:val="0"/>
                <w:color w:val="auto"/>
                <w:kern w:val="21"/>
                <w:szCs w:val="21"/>
                <w:highlight w:val="none"/>
              </w:rPr>
              <w:t>t/a</w:t>
            </w:r>
          </w:p>
        </w:tc>
      </w:tr>
      <w:tr w14:paraId="1AB4C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29DED870">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000D21D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snapToGrid w:val="0"/>
                <w:color w:val="auto"/>
                <w:kern w:val="21"/>
                <w:szCs w:val="21"/>
                <w:highlight w:val="none"/>
                <w:lang w:val="en-US" w:eastAsia="zh-CN"/>
              </w:rPr>
            </w:pPr>
            <w:r>
              <w:rPr>
                <w:color w:val="auto"/>
                <w:spacing w:val="8"/>
                <w:sz w:val="21"/>
                <w:szCs w:val="21"/>
              </w:rPr>
              <w:t>长晶炉内沉积</w:t>
            </w:r>
            <w:r>
              <w:rPr>
                <w:color w:val="auto"/>
                <w:sz w:val="21"/>
                <w:szCs w:val="21"/>
              </w:rPr>
              <w:t>碳</w:t>
            </w:r>
          </w:p>
        </w:tc>
        <w:tc>
          <w:tcPr>
            <w:tcW w:w="1591" w:type="dxa"/>
            <w:vAlign w:val="center"/>
          </w:tcPr>
          <w:p w14:paraId="739E643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0D888E31">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533C6BF7">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3387556B">
            <w:pPr>
              <w:pStyle w:val="55"/>
              <w:spacing w:beforeLines="0" w:afterLines="0" w:line="240" w:lineRule="auto"/>
              <w:jc w:val="center"/>
              <w:rPr>
                <w:rFonts w:ascii="Times New Roman" w:hAnsi="Times New Roman"/>
                <w:snapToGrid w:val="0"/>
                <w:color w:val="auto"/>
                <w:kern w:val="21"/>
                <w:szCs w:val="21"/>
                <w:highlight w:val="none"/>
              </w:rPr>
            </w:pPr>
            <w:r>
              <w:rPr>
                <w:rFonts w:ascii="Times New Roman" w:hAnsi="Times New Roman"/>
                <w:snapToGrid w:val="0"/>
                <w:color w:val="auto"/>
                <w:kern w:val="21"/>
                <w:szCs w:val="21"/>
                <w:highlight w:val="none"/>
              </w:rPr>
              <w:t>0.</w:t>
            </w:r>
            <w:r>
              <w:rPr>
                <w:rFonts w:hint="eastAsia" w:ascii="Times New Roman" w:hAnsi="Times New Roman"/>
                <w:snapToGrid w:val="0"/>
                <w:color w:val="auto"/>
                <w:kern w:val="21"/>
                <w:szCs w:val="21"/>
                <w:highlight w:val="none"/>
                <w:lang w:val="en-US" w:eastAsia="zh-CN"/>
              </w:rPr>
              <w:t>01</w:t>
            </w:r>
            <w:r>
              <w:rPr>
                <w:rFonts w:ascii="Times New Roman" w:hAnsi="Times New Roman"/>
                <w:snapToGrid w:val="0"/>
                <w:color w:val="auto"/>
                <w:kern w:val="21"/>
                <w:szCs w:val="24"/>
                <w:highlight w:val="none"/>
              </w:rPr>
              <w:t>t/a</w:t>
            </w:r>
          </w:p>
        </w:tc>
        <w:tc>
          <w:tcPr>
            <w:tcW w:w="1532" w:type="dxa"/>
            <w:vAlign w:val="center"/>
          </w:tcPr>
          <w:p w14:paraId="4A4CC978">
            <w:pPr>
              <w:pStyle w:val="55"/>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94" w:type="dxa"/>
            <w:vAlign w:val="center"/>
          </w:tcPr>
          <w:p w14:paraId="31AAD0A6">
            <w:pPr>
              <w:pStyle w:val="55"/>
              <w:spacing w:beforeLines="0" w:afterLines="0" w:line="240" w:lineRule="auto"/>
              <w:jc w:val="center"/>
              <w:rPr>
                <w:rFonts w:ascii="Times New Roman" w:hAnsi="Times New Roman" w:eastAsia="宋体" w:cs="Times New Roman"/>
                <w:snapToGrid w:val="0"/>
                <w:color w:val="auto"/>
                <w:kern w:val="21"/>
                <w:sz w:val="24"/>
                <w:szCs w:val="21"/>
                <w:highlight w:val="none"/>
                <w:lang w:val="en-US" w:eastAsia="zh-CN" w:bidi="ar-SA"/>
              </w:rPr>
            </w:pPr>
            <w:r>
              <w:rPr>
                <w:rFonts w:ascii="Times New Roman" w:hAnsi="Times New Roman"/>
                <w:snapToGrid w:val="0"/>
                <w:color w:val="auto"/>
                <w:kern w:val="21"/>
                <w:szCs w:val="21"/>
                <w:highlight w:val="none"/>
              </w:rPr>
              <w:t>0.</w:t>
            </w:r>
            <w:r>
              <w:rPr>
                <w:rFonts w:hint="eastAsia" w:ascii="Times New Roman" w:hAnsi="Times New Roman"/>
                <w:snapToGrid w:val="0"/>
                <w:color w:val="auto"/>
                <w:kern w:val="21"/>
                <w:szCs w:val="21"/>
                <w:highlight w:val="none"/>
                <w:lang w:val="en-US" w:eastAsia="zh-CN"/>
              </w:rPr>
              <w:t>01</w:t>
            </w:r>
            <w:r>
              <w:rPr>
                <w:rFonts w:ascii="Times New Roman" w:hAnsi="Times New Roman"/>
                <w:snapToGrid w:val="0"/>
                <w:color w:val="auto"/>
                <w:kern w:val="21"/>
                <w:szCs w:val="24"/>
                <w:highlight w:val="none"/>
              </w:rPr>
              <w:t>t/a</w:t>
            </w:r>
          </w:p>
        </w:tc>
        <w:tc>
          <w:tcPr>
            <w:tcW w:w="1320" w:type="dxa"/>
            <w:shd w:val="clear" w:color="auto" w:fill="auto"/>
            <w:vAlign w:val="center"/>
          </w:tcPr>
          <w:p w14:paraId="0809B8BB">
            <w:pPr>
              <w:pStyle w:val="55"/>
              <w:spacing w:beforeLines="0" w:afterLines="0" w:line="240" w:lineRule="auto"/>
              <w:jc w:val="center"/>
              <w:rPr>
                <w:rFonts w:hint="default" w:ascii="Times New Roman" w:hAnsi="Times New Roman" w:eastAsia="宋体" w:cs="Times New Roman"/>
                <w:snapToGrid w:val="0"/>
                <w:color w:val="auto"/>
                <w:kern w:val="21"/>
                <w:sz w:val="24"/>
                <w:szCs w:val="21"/>
                <w:highlight w:val="none"/>
                <w:lang w:val="en-US" w:eastAsia="zh-CN" w:bidi="ar-SA"/>
              </w:rPr>
            </w:pPr>
            <w:r>
              <w:rPr>
                <w:rFonts w:hint="eastAsia" w:ascii="Times New Roman" w:hAnsi="Times New Roman"/>
                <w:snapToGrid w:val="0"/>
                <w:color w:val="auto"/>
                <w:kern w:val="21"/>
                <w:szCs w:val="21"/>
                <w:highlight w:val="none"/>
                <w:lang w:val="en-US" w:eastAsia="zh-CN"/>
              </w:rPr>
              <w:t>+</w:t>
            </w:r>
            <w:r>
              <w:rPr>
                <w:rFonts w:ascii="Times New Roman" w:hAnsi="Times New Roman"/>
                <w:snapToGrid w:val="0"/>
                <w:color w:val="auto"/>
                <w:kern w:val="21"/>
                <w:szCs w:val="21"/>
                <w:highlight w:val="none"/>
              </w:rPr>
              <w:t>0.</w:t>
            </w:r>
            <w:r>
              <w:rPr>
                <w:rFonts w:hint="eastAsia" w:ascii="Times New Roman" w:hAnsi="Times New Roman"/>
                <w:snapToGrid w:val="0"/>
                <w:color w:val="auto"/>
                <w:kern w:val="21"/>
                <w:szCs w:val="21"/>
                <w:highlight w:val="none"/>
                <w:lang w:val="en-US" w:eastAsia="zh-CN"/>
              </w:rPr>
              <w:t>01</w:t>
            </w:r>
            <w:r>
              <w:rPr>
                <w:rFonts w:ascii="Times New Roman" w:hAnsi="Times New Roman"/>
                <w:snapToGrid w:val="0"/>
                <w:color w:val="auto"/>
                <w:kern w:val="21"/>
                <w:szCs w:val="24"/>
                <w:highlight w:val="none"/>
              </w:rPr>
              <w:t>t/a</w:t>
            </w:r>
          </w:p>
        </w:tc>
      </w:tr>
      <w:tr w14:paraId="07D08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281D300D">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603712CC">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pacing w:val="8"/>
                <w:sz w:val="21"/>
                <w:szCs w:val="21"/>
                <w:lang w:val="en-US" w:eastAsia="zh-CN"/>
              </w:rPr>
            </w:pPr>
            <w:r>
              <w:rPr>
                <w:rFonts w:hint="eastAsia"/>
                <w:color w:val="auto"/>
                <w:spacing w:val="8"/>
                <w:sz w:val="21"/>
                <w:szCs w:val="21"/>
                <w:lang w:val="en-US" w:eastAsia="zh-CN"/>
              </w:rPr>
              <w:t>废边角料</w:t>
            </w:r>
          </w:p>
        </w:tc>
        <w:tc>
          <w:tcPr>
            <w:tcW w:w="1591" w:type="dxa"/>
            <w:vAlign w:val="center"/>
          </w:tcPr>
          <w:p w14:paraId="19281EAC">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25D3265A">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38B1401A">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2532BE81">
            <w:pPr>
              <w:pStyle w:val="55"/>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0.005t/a</w:t>
            </w:r>
          </w:p>
        </w:tc>
        <w:tc>
          <w:tcPr>
            <w:tcW w:w="1532" w:type="dxa"/>
            <w:vAlign w:val="center"/>
          </w:tcPr>
          <w:p w14:paraId="71D01DEA">
            <w:pPr>
              <w:pStyle w:val="55"/>
              <w:spacing w:beforeLines="0" w:afterLines="0" w:line="240" w:lineRule="auto"/>
              <w:jc w:val="center"/>
              <w:rPr>
                <w:rFonts w:ascii="Times New Roman" w:hAnsi="Times New Roman" w:eastAsia="宋体" w:cs="Times New Roman"/>
                <w:snapToGrid w:val="0"/>
                <w:color w:val="auto"/>
                <w:kern w:val="21"/>
                <w:szCs w:val="21"/>
                <w:highlight w:val="none"/>
              </w:rPr>
            </w:pPr>
            <w:r>
              <w:rPr>
                <w:rFonts w:ascii="Times New Roman" w:hAnsi="Times New Roman" w:eastAsia="宋体" w:cs="Times New Roman"/>
                <w:snapToGrid w:val="0"/>
                <w:color w:val="auto"/>
                <w:kern w:val="21"/>
                <w:szCs w:val="21"/>
                <w:highlight w:val="none"/>
              </w:rPr>
              <w:t>0</w:t>
            </w:r>
          </w:p>
        </w:tc>
        <w:tc>
          <w:tcPr>
            <w:tcW w:w="1694" w:type="dxa"/>
            <w:vAlign w:val="center"/>
          </w:tcPr>
          <w:p w14:paraId="79D2EEB1">
            <w:pPr>
              <w:pStyle w:val="55"/>
              <w:spacing w:beforeLines="0" w:afterLines="0" w:line="240" w:lineRule="auto"/>
              <w:jc w:val="center"/>
              <w:rPr>
                <w:rFonts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0.005t/a</w:t>
            </w:r>
          </w:p>
        </w:tc>
        <w:tc>
          <w:tcPr>
            <w:tcW w:w="1320" w:type="dxa"/>
            <w:shd w:val="clear" w:color="auto" w:fill="auto"/>
            <w:vAlign w:val="center"/>
          </w:tcPr>
          <w:p w14:paraId="5235C8E2">
            <w:pPr>
              <w:pStyle w:val="55"/>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+0.005t/a</w:t>
            </w:r>
          </w:p>
        </w:tc>
      </w:tr>
      <w:tr w14:paraId="56FD3B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794F184D">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09082481">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pacing w:val="8"/>
                <w:sz w:val="21"/>
                <w:szCs w:val="21"/>
                <w:lang w:val="en-US" w:eastAsia="zh-CN"/>
              </w:rPr>
            </w:pPr>
            <w:r>
              <w:rPr>
                <w:rFonts w:hint="eastAsia"/>
                <w:color w:val="auto"/>
                <w:spacing w:val="8"/>
                <w:sz w:val="21"/>
                <w:szCs w:val="21"/>
                <w:lang w:val="en-US" w:eastAsia="zh-CN"/>
              </w:rPr>
              <w:t>抛光颗粒物</w:t>
            </w:r>
          </w:p>
        </w:tc>
        <w:tc>
          <w:tcPr>
            <w:tcW w:w="1591" w:type="dxa"/>
            <w:vAlign w:val="center"/>
          </w:tcPr>
          <w:p w14:paraId="5493DACB">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00D8147D">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2624F10C">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02E68997">
            <w:pPr>
              <w:pStyle w:val="55"/>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0.36g/a</w:t>
            </w:r>
          </w:p>
        </w:tc>
        <w:tc>
          <w:tcPr>
            <w:tcW w:w="1532" w:type="dxa"/>
            <w:vAlign w:val="center"/>
          </w:tcPr>
          <w:p w14:paraId="52574FE3">
            <w:pPr>
              <w:pStyle w:val="55"/>
              <w:spacing w:beforeLines="0" w:afterLines="0" w:line="240" w:lineRule="auto"/>
              <w:jc w:val="center"/>
              <w:rPr>
                <w:rFonts w:ascii="Times New Roman" w:hAnsi="Times New Roman" w:eastAsia="宋体" w:cs="Times New Roman"/>
                <w:snapToGrid w:val="0"/>
                <w:color w:val="auto"/>
                <w:kern w:val="21"/>
                <w:szCs w:val="21"/>
                <w:highlight w:val="none"/>
              </w:rPr>
            </w:pPr>
            <w:r>
              <w:rPr>
                <w:rFonts w:ascii="Times New Roman" w:hAnsi="Times New Roman" w:eastAsia="宋体" w:cs="Times New Roman"/>
                <w:snapToGrid w:val="0"/>
                <w:color w:val="auto"/>
                <w:kern w:val="21"/>
                <w:szCs w:val="21"/>
                <w:highlight w:val="none"/>
              </w:rPr>
              <w:t>0</w:t>
            </w:r>
          </w:p>
        </w:tc>
        <w:tc>
          <w:tcPr>
            <w:tcW w:w="1694" w:type="dxa"/>
            <w:vAlign w:val="center"/>
          </w:tcPr>
          <w:p w14:paraId="7051F4FB">
            <w:pPr>
              <w:pStyle w:val="55"/>
              <w:spacing w:beforeLines="0" w:afterLines="0" w:line="240" w:lineRule="auto"/>
              <w:jc w:val="center"/>
              <w:rPr>
                <w:rFonts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0.36g/a</w:t>
            </w:r>
          </w:p>
        </w:tc>
        <w:tc>
          <w:tcPr>
            <w:tcW w:w="1320" w:type="dxa"/>
            <w:shd w:val="clear" w:color="auto" w:fill="auto"/>
            <w:vAlign w:val="center"/>
          </w:tcPr>
          <w:p w14:paraId="1A4D6B9C">
            <w:pPr>
              <w:pStyle w:val="55"/>
              <w:spacing w:beforeLines="0" w:afterLines="0" w:line="240" w:lineRule="auto"/>
              <w:jc w:val="center"/>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+0.36g/a</w:t>
            </w:r>
          </w:p>
        </w:tc>
      </w:tr>
      <w:tr w14:paraId="60AE6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65" w:type="dxa"/>
            <w:vMerge w:val="continue"/>
            <w:vAlign w:val="center"/>
          </w:tcPr>
          <w:p w14:paraId="66C04BAA">
            <w:pPr>
              <w:pStyle w:val="55"/>
              <w:spacing w:beforeLines="0" w:afterLines="0" w:line="240" w:lineRule="auto"/>
              <w:jc w:val="center"/>
              <w:rPr>
                <w:rFonts w:ascii="Times New Roman" w:hAnsi="Times New Roman"/>
                <w:snapToGrid w:val="0"/>
                <w:color w:val="auto"/>
                <w:kern w:val="21"/>
                <w:szCs w:val="24"/>
                <w:highlight w:val="none"/>
              </w:rPr>
            </w:pPr>
          </w:p>
        </w:tc>
        <w:tc>
          <w:tcPr>
            <w:tcW w:w="1950" w:type="dxa"/>
            <w:vAlign w:val="center"/>
          </w:tcPr>
          <w:p w14:paraId="1D8276A6">
            <w:pPr>
              <w:pStyle w:val="76"/>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pacing w:val="8"/>
                <w:sz w:val="21"/>
                <w:szCs w:val="21"/>
                <w:lang w:val="en-US" w:eastAsia="zh-CN"/>
              </w:rPr>
            </w:pPr>
            <w:r>
              <w:rPr>
                <w:rFonts w:hint="eastAsia"/>
                <w:color w:val="auto"/>
                <w:spacing w:val="8"/>
                <w:sz w:val="21"/>
                <w:szCs w:val="21"/>
                <w:lang w:val="en-US" w:eastAsia="zh-CN"/>
              </w:rPr>
              <w:t>不合格产品</w:t>
            </w:r>
          </w:p>
        </w:tc>
        <w:tc>
          <w:tcPr>
            <w:tcW w:w="1591" w:type="dxa"/>
            <w:vAlign w:val="center"/>
          </w:tcPr>
          <w:p w14:paraId="1F3F70D7">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328" w:type="dxa"/>
            <w:vAlign w:val="center"/>
          </w:tcPr>
          <w:p w14:paraId="2BD0E516">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649" w:type="dxa"/>
            <w:vAlign w:val="center"/>
          </w:tcPr>
          <w:p w14:paraId="134CEDE5">
            <w:pPr>
              <w:spacing w:beforeLines="0" w:afterLines="0" w:line="240" w:lineRule="auto"/>
              <w:jc w:val="center"/>
              <w:rPr>
                <w:rFonts w:ascii="Times New Roman" w:hAnsi="Times New Roman"/>
                <w:snapToGrid w:val="0"/>
                <w:color w:val="auto"/>
                <w:kern w:val="21"/>
                <w:szCs w:val="24"/>
                <w:highlight w:val="none"/>
              </w:rPr>
            </w:pPr>
            <w:r>
              <w:rPr>
                <w:rFonts w:ascii="Times New Roman" w:hAnsi="Times New Roman"/>
                <w:snapToGrid w:val="0"/>
                <w:color w:val="auto"/>
                <w:kern w:val="21"/>
                <w:szCs w:val="24"/>
                <w:highlight w:val="none"/>
              </w:rPr>
              <w:t>0</w:t>
            </w:r>
          </w:p>
        </w:tc>
        <w:tc>
          <w:tcPr>
            <w:tcW w:w="1559" w:type="dxa"/>
            <w:vAlign w:val="center"/>
          </w:tcPr>
          <w:p w14:paraId="7636E5F5">
            <w:pPr>
              <w:pStyle w:val="55"/>
              <w:spacing w:beforeLines="0" w:afterLines="0" w:line="240" w:lineRule="auto"/>
              <w:jc w:val="center"/>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45.2kg/a</w:t>
            </w:r>
          </w:p>
        </w:tc>
        <w:tc>
          <w:tcPr>
            <w:tcW w:w="1532" w:type="dxa"/>
            <w:vAlign w:val="center"/>
          </w:tcPr>
          <w:p w14:paraId="5D836D69">
            <w:pPr>
              <w:pStyle w:val="55"/>
              <w:spacing w:beforeLines="0" w:afterLines="0" w:line="240" w:lineRule="auto"/>
              <w:jc w:val="center"/>
              <w:rPr>
                <w:rFonts w:ascii="Times New Roman" w:hAnsi="Times New Roman" w:eastAsia="宋体" w:cs="Times New Roman"/>
                <w:snapToGrid w:val="0"/>
                <w:color w:val="auto"/>
                <w:kern w:val="21"/>
                <w:szCs w:val="21"/>
                <w:highlight w:val="none"/>
              </w:rPr>
            </w:pPr>
            <w:r>
              <w:rPr>
                <w:rFonts w:ascii="Times New Roman" w:hAnsi="Times New Roman" w:eastAsia="宋体" w:cs="Times New Roman"/>
                <w:snapToGrid w:val="0"/>
                <w:color w:val="auto"/>
                <w:kern w:val="21"/>
                <w:szCs w:val="21"/>
                <w:highlight w:val="none"/>
              </w:rPr>
              <w:t>0</w:t>
            </w:r>
          </w:p>
        </w:tc>
        <w:tc>
          <w:tcPr>
            <w:tcW w:w="1694" w:type="dxa"/>
            <w:vAlign w:val="center"/>
          </w:tcPr>
          <w:p w14:paraId="561AD4DE">
            <w:pPr>
              <w:spacing w:beforeLines="0" w:afterLines="0" w:line="240" w:lineRule="auto"/>
              <w:jc w:val="center"/>
              <w:rPr>
                <w:rFonts w:ascii="Times New Roman" w:hAnsi="Times New Roman" w:eastAsia="宋体" w:cs="Times New Roman"/>
                <w:snapToGrid w:val="0"/>
                <w:color w:val="auto"/>
                <w:kern w:val="21"/>
                <w:sz w:val="24"/>
                <w:szCs w:val="24"/>
                <w:highlight w:val="none"/>
              </w:rPr>
            </w:pPr>
            <w:r>
              <w:rPr>
                <w:rFonts w:hint="eastAsia" w:ascii="Times New Roman" w:hAnsi="Times New Roman" w:eastAsia="宋体" w:cs="Times New Roman"/>
                <w:snapToGrid w:val="0"/>
                <w:color w:val="auto"/>
                <w:kern w:val="21"/>
                <w:sz w:val="24"/>
                <w:szCs w:val="24"/>
                <w:highlight w:val="none"/>
                <w:lang w:val="en-US" w:eastAsia="zh-CN"/>
              </w:rPr>
              <w:t>45.2kg/a</w:t>
            </w:r>
          </w:p>
        </w:tc>
        <w:tc>
          <w:tcPr>
            <w:tcW w:w="1320" w:type="dxa"/>
            <w:shd w:val="clear" w:color="auto" w:fill="auto"/>
            <w:vAlign w:val="center"/>
          </w:tcPr>
          <w:p w14:paraId="7BE48D2A">
            <w:pPr>
              <w:spacing w:beforeLines="0" w:afterLines="0" w:line="240" w:lineRule="auto"/>
              <w:jc w:val="center"/>
              <w:rPr>
                <w:rFonts w:hint="eastAsia" w:ascii="Times New Roman" w:hAnsi="Times New Roman" w:eastAsia="宋体" w:cs="Times New Roman"/>
                <w:snapToGrid w:val="0"/>
                <w:color w:val="auto"/>
                <w:kern w:val="21"/>
                <w:sz w:val="24"/>
                <w:szCs w:val="24"/>
                <w:highlight w:val="none"/>
                <w:lang w:val="en-US" w:eastAsia="zh-CN"/>
              </w:rPr>
            </w:pPr>
            <w:r>
              <w:rPr>
                <w:rFonts w:hint="eastAsia" w:ascii="Times New Roman" w:hAnsi="Times New Roman" w:eastAsia="宋体" w:cs="Times New Roman"/>
                <w:snapToGrid w:val="0"/>
                <w:color w:val="auto"/>
                <w:kern w:val="21"/>
                <w:sz w:val="24"/>
                <w:szCs w:val="24"/>
                <w:highlight w:val="none"/>
                <w:lang w:val="en-US" w:eastAsia="zh-CN"/>
              </w:rPr>
              <w:t>+45.2kg/a</w:t>
            </w:r>
          </w:p>
        </w:tc>
      </w:tr>
    </w:tbl>
    <w:p w14:paraId="6185822D">
      <w:pPr>
        <w:pStyle w:val="55"/>
        <w:spacing w:before="249" w:beforeLines="80" w:after="31"/>
        <w:rPr>
          <w:color w:val="auto"/>
          <w:szCs w:val="32"/>
          <w:highlight w:val="none"/>
        </w:rPr>
      </w:pPr>
      <w:r>
        <w:rPr>
          <w:snapToGrid w:val="0"/>
          <w:color w:val="auto"/>
          <w:kern w:val="21"/>
          <w:szCs w:val="21"/>
          <w:highlight w:val="none"/>
        </w:rPr>
        <w:t>注：</w:t>
      </w:r>
      <w:r>
        <w:rPr>
          <w:snapToGrid w:val="0"/>
          <w:color w:val="auto"/>
          <w:spacing w:val="-16"/>
          <w:kern w:val="21"/>
          <w:szCs w:val="21"/>
          <w:highlight w:val="none"/>
        </w:rPr>
        <w:fldChar w:fldCharType="begin"/>
      </w:r>
      <w:r>
        <w:rPr>
          <w:snapToGrid w:val="0"/>
          <w:color w:val="auto"/>
          <w:spacing w:val="-16"/>
          <w:kern w:val="21"/>
          <w:szCs w:val="21"/>
          <w:highlight w:val="none"/>
        </w:rPr>
        <w:instrText xml:space="preserve"> = 6 \* GB3 \* MERGEFORMAT </w:instrText>
      </w:r>
      <w:r>
        <w:rPr>
          <w:snapToGrid w:val="0"/>
          <w:color w:val="auto"/>
          <w:spacing w:val="-16"/>
          <w:kern w:val="21"/>
          <w:szCs w:val="21"/>
          <w:highlight w:val="none"/>
        </w:rPr>
        <w:fldChar w:fldCharType="separate"/>
      </w:r>
      <w:r>
        <w:rPr>
          <w:color w:val="auto"/>
          <w:szCs w:val="21"/>
          <w:highlight w:val="none"/>
        </w:rPr>
        <w:t>⑥</w:t>
      </w:r>
      <w:r>
        <w:rPr>
          <w:snapToGrid w:val="0"/>
          <w:color w:val="auto"/>
          <w:spacing w:val="-16"/>
          <w:kern w:val="21"/>
          <w:szCs w:val="21"/>
          <w:highlight w:val="none"/>
        </w:rPr>
        <w:fldChar w:fldCharType="end"/>
      </w:r>
      <w:r>
        <w:rPr>
          <w:snapToGrid w:val="0"/>
          <w:color w:val="auto"/>
          <w:spacing w:val="-16"/>
          <w:kern w:val="21"/>
          <w:szCs w:val="21"/>
          <w:highlight w:val="none"/>
        </w:rPr>
        <w:t>=</w:t>
      </w:r>
      <w:r>
        <w:rPr>
          <w:snapToGrid w:val="0"/>
          <w:color w:val="auto"/>
          <w:spacing w:val="-6"/>
          <w:kern w:val="21"/>
          <w:szCs w:val="21"/>
          <w:highlight w:val="none"/>
        </w:rPr>
        <w:fldChar w:fldCharType="begin"/>
      </w:r>
      <w:r>
        <w:rPr>
          <w:snapToGrid w:val="0"/>
          <w:color w:val="auto"/>
          <w:spacing w:val="-6"/>
          <w:kern w:val="21"/>
          <w:szCs w:val="21"/>
          <w:highlight w:val="none"/>
        </w:rPr>
        <w:instrText xml:space="preserve"> = 1 \* GB3 \* MERGEFORMAT </w:instrText>
      </w:r>
      <w:r>
        <w:rPr>
          <w:snapToGrid w:val="0"/>
          <w:color w:val="auto"/>
          <w:spacing w:val="-6"/>
          <w:kern w:val="21"/>
          <w:szCs w:val="21"/>
          <w:highlight w:val="none"/>
        </w:rPr>
        <w:fldChar w:fldCharType="separate"/>
      </w:r>
      <w:r>
        <w:rPr>
          <w:color w:val="auto"/>
          <w:szCs w:val="21"/>
          <w:highlight w:val="none"/>
        </w:rPr>
        <w:t>①</w:t>
      </w:r>
      <w:r>
        <w:rPr>
          <w:snapToGrid w:val="0"/>
          <w:color w:val="auto"/>
          <w:spacing w:val="-6"/>
          <w:kern w:val="21"/>
          <w:szCs w:val="21"/>
          <w:highlight w:val="none"/>
        </w:rPr>
        <w:fldChar w:fldCharType="end"/>
      </w:r>
      <w:r>
        <w:rPr>
          <w:snapToGrid w:val="0"/>
          <w:color w:val="auto"/>
          <w:spacing w:val="-6"/>
          <w:kern w:val="21"/>
          <w:szCs w:val="21"/>
          <w:highlight w:val="none"/>
        </w:rPr>
        <w:t>+</w:t>
      </w:r>
      <w:r>
        <w:rPr>
          <w:snapToGrid w:val="0"/>
          <w:color w:val="auto"/>
          <w:spacing w:val="-6"/>
          <w:kern w:val="21"/>
          <w:szCs w:val="21"/>
          <w:highlight w:val="none"/>
        </w:rPr>
        <w:fldChar w:fldCharType="begin"/>
      </w:r>
      <w:r>
        <w:rPr>
          <w:snapToGrid w:val="0"/>
          <w:color w:val="auto"/>
          <w:spacing w:val="-6"/>
          <w:kern w:val="21"/>
          <w:szCs w:val="21"/>
          <w:highlight w:val="none"/>
        </w:rPr>
        <w:instrText xml:space="preserve"> = 3 \* GB3 \* MERGEFORMAT </w:instrText>
      </w:r>
      <w:r>
        <w:rPr>
          <w:snapToGrid w:val="0"/>
          <w:color w:val="auto"/>
          <w:spacing w:val="-6"/>
          <w:kern w:val="21"/>
          <w:szCs w:val="21"/>
          <w:highlight w:val="none"/>
        </w:rPr>
        <w:fldChar w:fldCharType="separate"/>
      </w:r>
      <w:r>
        <w:rPr>
          <w:color w:val="auto"/>
          <w:szCs w:val="21"/>
          <w:highlight w:val="none"/>
        </w:rPr>
        <w:t>③</w:t>
      </w:r>
      <w:r>
        <w:rPr>
          <w:snapToGrid w:val="0"/>
          <w:color w:val="auto"/>
          <w:spacing w:val="-6"/>
          <w:kern w:val="21"/>
          <w:szCs w:val="21"/>
          <w:highlight w:val="none"/>
        </w:rPr>
        <w:fldChar w:fldCharType="end"/>
      </w:r>
      <w:r>
        <w:rPr>
          <w:snapToGrid w:val="0"/>
          <w:color w:val="auto"/>
          <w:spacing w:val="-6"/>
          <w:kern w:val="21"/>
          <w:szCs w:val="21"/>
          <w:highlight w:val="none"/>
        </w:rPr>
        <w:t>+</w:t>
      </w:r>
      <w:r>
        <w:rPr>
          <w:snapToGrid w:val="0"/>
          <w:color w:val="auto"/>
          <w:spacing w:val="-6"/>
          <w:kern w:val="21"/>
          <w:szCs w:val="21"/>
          <w:highlight w:val="none"/>
        </w:rPr>
        <w:fldChar w:fldCharType="begin"/>
      </w:r>
      <w:r>
        <w:rPr>
          <w:snapToGrid w:val="0"/>
          <w:color w:val="auto"/>
          <w:spacing w:val="-6"/>
          <w:kern w:val="21"/>
          <w:szCs w:val="21"/>
          <w:highlight w:val="none"/>
        </w:rPr>
        <w:instrText xml:space="preserve"> = 4 \* GB3 \* MERGEFORMAT </w:instrText>
      </w:r>
      <w:r>
        <w:rPr>
          <w:snapToGrid w:val="0"/>
          <w:color w:val="auto"/>
          <w:spacing w:val="-6"/>
          <w:kern w:val="21"/>
          <w:szCs w:val="21"/>
          <w:highlight w:val="none"/>
        </w:rPr>
        <w:fldChar w:fldCharType="separate"/>
      </w:r>
      <w:r>
        <w:rPr>
          <w:color w:val="auto"/>
          <w:szCs w:val="21"/>
          <w:highlight w:val="none"/>
        </w:rPr>
        <w:t>④</w:t>
      </w:r>
      <w:r>
        <w:rPr>
          <w:snapToGrid w:val="0"/>
          <w:color w:val="auto"/>
          <w:spacing w:val="-6"/>
          <w:kern w:val="21"/>
          <w:szCs w:val="21"/>
          <w:highlight w:val="none"/>
        </w:rPr>
        <w:fldChar w:fldCharType="end"/>
      </w:r>
      <w:r>
        <w:rPr>
          <w:snapToGrid w:val="0"/>
          <w:color w:val="auto"/>
          <w:spacing w:val="-6"/>
          <w:kern w:val="21"/>
          <w:szCs w:val="21"/>
          <w:highlight w:val="none"/>
        </w:rPr>
        <w:t>-</w:t>
      </w:r>
      <w:r>
        <w:rPr>
          <w:snapToGrid w:val="0"/>
          <w:color w:val="auto"/>
          <w:spacing w:val="-16"/>
          <w:kern w:val="21"/>
          <w:szCs w:val="21"/>
          <w:highlight w:val="none"/>
        </w:rPr>
        <w:fldChar w:fldCharType="begin"/>
      </w:r>
      <w:r>
        <w:rPr>
          <w:snapToGrid w:val="0"/>
          <w:color w:val="auto"/>
          <w:spacing w:val="-16"/>
          <w:kern w:val="21"/>
          <w:szCs w:val="21"/>
          <w:highlight w:val="none"/>
        </w:rPr>
        <w:instrText xml:space="preserve"> = 5 \* GB3 \* MERGEFORMAT </w:instrText>
      </w:r>
      <w:r>
        <w:rPr>
          <w:snapToGrid w:val="0"/>
          <w:color w:val="auto"/>
          <w:spacing w:val="-16"/>
          <w:kern w:val="21"/>
          <w:szCs w:val="21"/>
          <w:highlight w:val="none"/>
        </w:rPr>
        <w:fldChar w:fldCharType="separate"/>
      </w:r>
      <w:r>
        <w:rPr>
          <w:color w:val="auto"/>
          <w:szCs w:val="21"/>
          <w:highlight w:val="none"/>
        </w:rPr>
        <w:t>⑤</w:t>
      </w:r>
      <w:r>
        <w:rPr>
          <w:snapToGrid w:val="0"/>
          <w:color w:val="auto"/>
          <w:spacing w:val="-16"/>
          <w:kern w:val="21"/>
          <w:szCs w:val="21"/>
          <w:highlight w:val="none"/>
        </w:rPr>
        <w:fldChar w:fldCharType="end"/>
      </w:r>
      <w:r>
        <w:rPr>
          <w:snapToGrid w:val="0"/>
          <w:color w:val="auto"/>
          <w:spacing w:val="-16"/>
          <w:kern w:val="21"/>
          <w:szCs w:val="21"/>
          <w:highlight w:val="none"/>
        </w:rPr>
        <w:t>；</w:t>
      </w:r>
      <w:r>
        <w:rPr>
          <w:snapToGrid w:val="0"/>
          <w:color w:val="auto"/>
          <w:spacing w:val="-6"/>
          <w:kern w:val="21"/>
          <w:szCs w:val="21"/>
          <w:highlight w:val="none"/>
        </w:rPr>
        <w:fldChar w:fldCharType="begin"/>
      </w:r>
      <w:r>
        <w:rPr>
          <w:snapToGrid w:val="0"/>
          <w:color w:val="auto"/>
          <w:spacing w:val="-6"/>
          <w:kern w:val="21"/>
          <w:szCs w:val="21"/>
          <w:highlight w:val="none"/>
        </w:rPr>
        <w:instrText xml:space="preserve"> = 7 \* GB3 \* MERGEFORMAT </w:instrText>
      </w:r>
      <w:r>
        <w:rPr>
          <w:snapToGrid w:val="0"/>
          <w:color w:val="auto"/>
          <w:spacing w:val="-6"/>
          <w:kern w:val="21"/>
          <w:szCs w:val="21"/>
          <w:highlight w:val="none"/>
        </w:rPr>
        <w:fldChar w:fldCharType="separate"/>
      </w:r>
      <w:r>
        <w:rPr>
          <w:color w:val="auto"/>
          <w:szCs w:val="21"/>
          <w:highlight w:val="none"/>
        </w:rPr>
        <w:t>⑦</w:t>
      </w:r>
      <w:r>
        <w:rPr>
          <w:snapToGrid w:val="0"/>
          <w:color w:val="auto"/>
          <w:spacing w:val="-6"/>
          <w:kern w:val="21"/>
          <w:szCs w:val="21"/>
          <w:highlight w:val="none"/>
        </w:rPr>
        <w:fldChar w:fldCharType="end"/>
      </w:r>
      <w:r>
        <w:rPr>
          <w:snapToGrid w:val="0"/>
          <w:color w:val="auto"/>
          <w:spacing w:val="-6"/>
          <w:kern w:val="21"/>
          <w:szCs w:val="21"/>
          <w:highlight w:val="none"/>
        </w:rPr>
        <w:t>=</w:t>
      </w:r>
      <w:r>
        <w:rPr>
          <w:snapToGrid w:val="0"/>
          <w:color w:val="auto"/>
          <w:spacing w:val="-16"/>
          <w:kern w:val="21"/>
          <w:szCs w:val="21"/>
          <w:highlight w:val="none"/>
        </w:rPr>
        <w:fldChar w:fldCharType="begin"/>
      </w:r>
      <w:r>
        <w:rPr>
          <w:snapToGrid w:val="0"/>
          <w:color w:val="auto"/>
          <w:spacing w:val="-16"/>
          <w:kern w:val="21"/>
          <w:szCs w:val="21"/>
          <w:highlight w:val="none"/>
        </w:rPr>
        <w:instrText xml:space="preserve"> = 6 \* GB3 \* MERGEFORMAT </w:instrText>
      </w:r>
      <w:r>
        <w:rPr>
          <w:snapToGrid w:val="0"/>
          <w:color w:val="auto"/>
          <w:spacing w:val="-16"/>
          <w:kern w:val="21"/>
          <w:szCs w:val="21"/>
          <w:highlight w:val="none"/>
        </w:rPr>
        <w:fldChar w:fldCharType="separate"/>
      </w:r>
      <w:r>
        <w:rPr>
          <w:color w:val="auto"/>
          <w:szCs w:val="21"/>
          <w:highlight w:val="none"/>
        </w:rPr>
        <w:t>⑥</w:t>
      </w:r>
      <w:r>
        <w:rPr>
          <w:snapToGrid w:val="0"/>
          <w:color w:val="auto"/>
          <w:spacing w:val="-16"/>
          <w:kern w:val="21"/>
          <w:szCs w:val="21"/>
          <w:highlight w:val="none"/>
        </w:rPr>
        <w:fldChar w:fldCharType="end"/>
      </w:r>
      <w:r>
        <w:rPr>
          <w:snapToGrid w:val="0"/>
          <w:color w:val="auto"/>
          <w:spacing w:val="-16"/>
          <w:kern w:val="21"/>
          <w:szCs w:val="21"/>
          <w:highlight w:val="none"/>
        </w:rPr>
        <w:t>-</w:t>
      </w:r>
      <w:r>
        <w:rPr>
          <w:snapToGrid w:val="0"/>
          <w:color w:val="auto"/>
          <w:spacing w:val="-6"/>
          <w:kern w:val="21"/>
          <w:szCs w:val="21"/>
          <w:highlight w:val="none"/>
        </w:rPr>
        <w:fldChar w:fldCharType="begin"/>
      </w:r>
      <w:r>
        <w:rPr>
          <w:snapToGrid w:val="0"/>
          <w:color w:val="auto"/>
          <w:spacing w:val="-6"/>
          <w:kern w:val="21"/>
          <w:szCs w:val="21"/>
          <w:highlight w:val="none"/>
        </w:rPr>
        <w:instrText xml:space="preserve"> = 1 \* GB3 \* MERGEFORMAT </w:instrText>
      </w:r>
      <w:r>
        <w:rPr>
          <w:snapToGrid w:val="0"/>
          <w:color w:val="auto"/>
          <w:spacing w:val="-6"/>
          <w:kern w:val="21"/>
          <w:szCs w:val="21"/>
          <w:highlight w:val="none"/>
        </w:rPr>
        <w:fldChar w:fldCharType="separate"/>
      </w:r>
      <w:r>
        <w:rPr>
          <w:color w:val="auto"/>
          <w:szCs w:val="21"/>
          <w:highlight w:val="none"/>
        </w:rPr>
        <w:t>①</w:t>
      </w:r>
      <w:r>
        <w:rPr>
          <w:snapToGrid w:val="0"/>
          <w:color w:val="auto"/>
          <w:spacing w:val="-6"/>
          <w:kern w:val="21"/>
          <w:szCs w:val="21"/>
          <w:highlight w:val="none"/>
        </w:rPr>
        <w:fldChar w:fldCharType="end"/>
      </w:r>
    </w:p>
    <w:sectPr>
      <w:footerReference r:id="rId7"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体">
    <w:altName w:val="宋体"/>
    <w:panose1 w:val="00000000000000000000"/>
    <w:charset w:val="86"/>
    <w:family w:val="roma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6443B">
    <w:pPr>
      <w:pStyle w:val="2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27DB">
    <w:pPr>
      <w:pStyle w:val="20"/>
      <w:framePr w:wrap="around" w:vAnchor="text" w:hAnchor="margin" w:xAlign="center" w:y="1"/>
      <w:rPr>
        <w:rStyle w:val="32"/>
      </w:rPr>
    </w:pPr>
    <w:r>
      <w:fldChar w:fldCharType="begin"/>
    </w:r>
    <w:r>
      <w:rPr>
        <w:rStyle w:val="32"/>
      </w:rPr>
      <w:instrText xml:space="preserve">PAGE  </w:instrText>
    </w:r>
    <w:r>
      <w:fldChar w:fldCharType="end"/>
    </w:r>
  </w:p>
  <w:p w14:paraId="72CD47B0">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AF1FB">
    <w:pPr>
      <w:pStyle w:val="20"/>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6F615">
    <w:pPr>
      <w:pStyle w:val="20"/>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26B06">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026B06">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5F030">
    <w:pPr>
      <w:pStyle w:val="20"/>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34030">
                          <w:pPr>
                            <w:pStyle w:val="20"/>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4BB34030">
                    <w:pPr>
                      <w:pStyle w:val="20"/>
                    </w:pPr>
                    <w:r>
                      <w:fldChar w:fldCharType="begin"/>
                    </w:r>
                    <w:r>
                      <w:instrText xml:space="preserve"> PAGE  \* MERGEFORMAT </w:instrText>
                    </w:r>
                    <w:r>
                      <w:fldChar w:fldCharType="separate"/>
                    </w:r>
                    <w:r>
                      <w:t>59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4F071"/>
    <w:multiLevelType w:val="singleLevel"/>
    <w:tmpl w:val="8AE4F071"/>
    <w:lvl w:ilvl="0" w:tentative="0">
      <w:start w:val="1"/>
      <w:numFmt w:val="bullet"/>
      <w:pStyle w:val="16"/>
      <w:lvlText w:val=""/>
      <w:lvlJc w:val="left"/>
      <w:pPr>
        <w:tabs>
          <w:tab w:val="left" w:pos="2040"/>
        </w:tabs>
        <w:ind w:left="2040" w:hanging="360"/>
      </w:pPr>
      <w:rPr>
        <w:rFonts w:hint="default" w:ascii="Wingdings" w:hAnsi="Wingdings"/>
      </w:rPr>
    </w:lvl>
  </w:abstractNum>
  <w:abstractNum w:abstractNumId="1">
    <w:nsid w:val="93E2E9E3"/>
    <w:multiLevelType w:val="singleLevel"/>
    <w:tmpl w:val="93E2E9E3"/>
    <w:lvl w:ilvl="0" w:tentative="0">
      <w:start w:val="2"/>
      <w:numFmt w:val="decimal"/>
      <w:suff w:val="nothing"/>
      <w:lvlText w:val="（%1）"/>
      <w:lvlJc w:val="left"/>
    </w:lvl>
  </w:abstractNum>
  <w:abstractNum w:abstractNumId="2">
    <w:nsid w:val="EAF31595"/>
    <w:multiLevelType w:val="singleLevel"/>
    <w:tmpl w:val="EAF31595"/>
    <w:lvl w:ilvl="0" w:tentative="0">
      <w:start w:val="1"/>
      <w:numFmt w:val="decimal"/>
      <w:pStyle w:val="22"/>
      <w:lvlText w:val="%1."/>
      <w:lvlJc w:val="left"/>
      <w:pPr>
        <w:tabs>
          <w:tab w:val="left" w:pos="2040"/>
        </w:tabs>
        <w:ind w:left="2040" w:hanging="360"/>
      </w:pPr>
    </w:lvl>
  </w:abstractNum>
  <w:abstractNum w:abstractNumId="3">
    <w:nsid w:val="0BA8581C"/>
    <w:multiLevelType w:val="multilevel"/>
    <w:tmpl w:val="0BA8581C"/>
    <w:lvl w:ilvl="0" w:tentative="0">
      <w:start w:val="1"/>
      <w:numFmt w:val="decimal"/>
      <w:pStyle w:val="49"/>
      <w:lvlText w:val="表 %1 "/>
      <w:lvlJc w:val="left"/>
      <w:pPr>
        <w:tabs>
          <w:tab w:val="left" w:pos="900"/>
        </w:tabs>
        <w:ind w:left="540" w:hanging="360"/>
      </w:pPr>
      <w:rPr>
        <w:rFonts w:hint="default" w:ascii="Times New Roman" w:hAnsi="Times New Roman" w:cs="Times New Roman"/>
        <w:sz w:val="24"/>
        <w:szCs w:val="28"/>
      </w:rPr>
    </w:lvl>
    <w:lvl w:ilvl="1" w:tentative="0">
      <w:start w:val="1"/>
      <w:numFmt w:val="decimal"/>
      <w:lvlText w:val="%2)"/>
      <w:lvlJc w:val="left"/>
      <w:pPr>
        <w:tabs>
          <w:tab w:val="left" w:pos="840"/>
        </w:tabs>
        <w:ind w:left="840" w:hanging="420"/>
      </w:pPr>
      <w:rPr>
        <w:rFonts w:hint="eastAsia"/>
        <w:sz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140"/>
        </w:tabs>
        <w:ind w:left="1140" w:hanging="420"/>
      </w:pPr>
      <w:rPr>
        <w:rFonts w:hint="eastAsia"/>
        <w:sz w:val="28"/>
        <w:szCs w:val="28"/>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F2A0187"/>
    <w:multiLevelType w:val="singleLevel"/>
    <w:tmpl w:val="7F2A0187"/>
    <w:lvl w:ilvl="0" w:tentative="0">
      <w:start w:val="1"/>
      <w:numFmt w:val="decimal"/>
      <w:pStyle w:val="71"/>
      <w:suff w:val="space"/>
      <w:lvlText w:val="表%1"/>
      <w:lvlJc w:val="left"/>
      <w:pPr>
        <w:tabs>
          <w:tab w:val="left" w:pos="0"/>
        </w:tabs>
        <w:ind w:left="0" w:firstLine="0"/>
      </w:pPr>
      <w:rPr>
        <w:rFonts w:hint="default" w:ascii="Times New Roman" w:hAnsi="Times New Roman" w:eastAsia="黑体" w:cs="宋体"/>
        <w:sz w:val="21"/>
        <w:highlight w:val="green"/>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hNWRkMDgwMDcxNzMwNDdkMTg1Njg1NTMwZTQ1OGUifQ=="/>
  </w:docVars>
  <w:rsids>
    <w:rsidRoot w:val="008F2DD2"/>
    <w:rsid w:val="0000569A"/>
    <w:rsid w:val="00013654"/>
    <w:rsid w:val="00053D91"/>
    <w:rsid w:val="00076331"/>
    <w:rsid w:val="00076791"/>
    <w:rsid w:val="000A4046"/>
    <w:rsid w:val="000C70C5"/>
    <w:rsid w:val="00120194"/>
    <w:rsid w:val="001570FF"/>
    <w:rsid w:val="00187C26"/>
    <w:rsid w:val="001A24E8"/>
    <w:rsid w:val="001A2968"/>
    <w:rsid w:val="001C66E0"/>
    <w:rsid w:val="001D743E"/>
    <w:rsid w:val="001E72BC"/>
    <w:rsid w:val="00214D56"/>
    <w:rsid w:val="00230A31"/>
    <w:rsid w:val="00264E69"/>
    <w:rsid w:val="002E0DB6"/>
    <w:rsid w:val="00334DB7"/>
    <w:rsid w:val="00337E20"/>
    <w:rsid w:val="0037485E"/>
    <w:rsid w:val="003B49DF"/>
    <w:rsid w:val="003C0DB1"/>
    <w:rsid w:val="003D507C"/>
    <w:rsid w:val="003E151F"/>
    <w:rsid w:val="00416146"/>
    <w:rsid w:val="00425777"/>
    <w:rsid w:val="004479E5"/>
    <w:rsid w:val="004B48CF"/>
    <w:rsid w:val="004C720F"/>
    <w:rsid w:val="004D6899"/>
    <w:rsid w:val="004E2611"/>
    <w:rsid w:val="00537C28"/>
    <w:rsid w:val="00586FEC"/>
    <w:rsid w:val="005E0F7B"/>
    <w:rsid w:val="00665B52"/>
    <w:rsid w:val="00681E42"/>
    <w:rsid w:val="00682259"/>
    <w:rsid w:val="00684B9E"/>
    <w:rsid w:val="006B4F71"/>
    <w:rsid w:val="006D6F3B"/>
    <w:rsid w:val="006E4A62"/>
    <w:rsid w:val="00776D01"/>
    <w:rsid w:val="007D040E"/>
    <w:rsid w:val="007F27CB"/>
    <w:rsid w:val="00802625"/>
    <w:rsid w:val="00826C48"/>
    <w:rsid w:val="0086224D"/>
    <w:rsid w:val="008A2F76"/>
    <w:rsid w:val="008D313A"/>
    <w:rsid w:val="008F2DD2"/>
    <w:rsid w:val="00903CC1"/>
    <w:rsid w:val="009049D8"/>
    <w:rsid w:val="009845B1"/>
    <w:rsid w:val="00A0535D"/>
    <w:rsid w:val="00A32C5B"/>
    <w:rsid w:val="00A7239C"/>
    <w:rsid w:val="00A94F6E"/>
    <w:rsid w:val="00AA6AA8"/>
    <w:rsid w:val="00AB35C0"/>
    <w:rsid w:val="00B52093"/>
    <w:rsid w:val="00B807C4"/>
    <w:rsid w:val="00C528D4"/>
    <w:rsid w:val="00CB4AE6"/>
    <w:rsid w:val="00CD76D4"/>
    <w:rsid w:val="00D348C5"/>
    <w:rsid w:val="00D76DBC"/>
    <w:rsid w:val="00E239CE"/>
    <w:rsid w:val="00E841AB"/>
    <w:rsid w:val="00E85487"/>
    <w:rsid w:val="00E92316"/>
    <w:rsid w:val="00F12923"/>
    <w:rsid w:val="00F431B9"/>
    <w:rsid w:val="00F46953"/>
    <w:rsid w:val="00F50CDF"/>
    <w:rsid w:val="00F705B3"/>
    <w:rsid w:val="00FA6665"/>
    <w:rsid w:val="010158D6"/>
    <w:rsid w:val="0103164E"/>
    <w:rsid w:val="010F7FF3"/>
    <w:rsid w:val="011078C7"/>
    <w:rsid w:val="011A24F4"/>
    <w:rsid w:val="012375FA"/>
    <w:rsid w:val="012D2227"/>
    <w:rsid w:val="013435B5"/>
    <w:rsid w:val="013759AE"/>
    <w:rsid w:val="01397AC9"/>
    <w:rsid w:val="013E2686"/>
    <w:rsid w:val="014A2DD9"/>
    <w:rsid w:val="015C48BA"/>
    <w:rsid w:val="01653B5B"/>
    <w:rsid w:val="01660D29"/>
    <w:rsid w:val="017E2A82"/>
    <w:rsid w:val="0187402D"/>
    <w:rsid w:val="018C1643"/>
    <w:rsid w:val="01995B0E"/>
    <w:rsid w:val="01A52705"/>
    <w:rsid w:val="01AA7D1B"/>
    <w:rsid w:val="01AD5116"/>
    <w:rsid w:val="01AF0E8E"/>
    <w:rsid w:val="01AF5332"/>
    <w:rsid w:val="01BB5A85"/>
    <w:rsid w:val="01C04E49"/>
    <w:rsid w:val="01C25065"/>
    <w:rsid w:val="01CD7566"/>
    <w:rsid w:val="01D54D98"/>
    <w:rsid w:val="01DA23AF"/>
    <w:rsid w:val="01DD59FB"/>
    <w:rsid w:val="01DF79C5"/>
    <w:rsid w:val="01E10A44"/>
    <w:rsid w:val="01EE4D0C"/>
    <w:rsid w:val="01F9077A"/>
    <w:rsid w:val="01FB40D3"/>
    <w:rsid w:val="0204567E"/>
    <w:rsid w:val="020B6A0C"/>
    <w:rsid w:val="020B6A1F"/>
    <w:rsid w:val="021B6523"/>
    <w:rsid w:val="02217FDE"/>
    <w:rsid w:val="02224692"/>
    <w:rsid w:val="0224362A"/>
    <w:rsid w:val="022A76E2"/>
    <w:rsid w:val="022B2C0A"/>
    <w:rsid w:val="022B5BA7"/>
    <w:rsid w:val="023F0464"/>
    <w:rsid w:val="02447828"/>
    <w:rsid w:val="02456A7D"/>
    <w:rsid w:val="02467A44"/>
    <w:rsid w:val="0247556A"/>
    <w:rsid w:val="024F273B"/>
    <w:rsid w:val="02743F39"/>
    <w:rsid w:val="02750329"/>
    <w:rsid w:val="02764CE6"/>
    <w:rsid w:val="02783A91"/>
    <w:rsid w:val="027F6AB2"/>
    <w:rsid w:val="02922C89"/>
    <w:rsid w:val="02A14C7A"/>
    <w:rsid w:val="02AD361F"/>
    <w:rsid w:val="02B524D4"/>
    <w:rsid w:val="02D84414"/>
    <w:rsid w:val="02D973F9"/>
    <w:rsid w:val="02DA1F3A"/>
    <w:rsid w:val="02DC3F04"/>
    <w:rsid w:val="02DE5ECF"/>
    <w:rsid w:val="02EC1619"/>
    <w:rsid w:val="02EE3D3F"/>
    <w:rsid w:val="02F72AEC"/>
    <w:rsid w:val="02F96864"/>
    <w:rsid w:val="02FC45A7"/>
    <w:rsid w:val="03041849"/>
    <w:rsid w:val="03060F81"/>
    <w:rsid w:val="0313544C"/>
    <w:rsid w:val="032F043E"/>
    <w:rsid w:val="032F672A"/>
    <w:rsid w:val="03457CFC"/>
    <w:rsid w:val="034675D0"/>
    <w:rsid w:val="034F0B7A"/>
    <w:rsid w:val="0350044F"/>
    <w:rsid w:val="035146C1"/>
    <w:rsid w:val="03595555"/>
    <w:rsid w:val="036068E4"/>
    <w:rsid w:val="0361265C"/>
    <w:rsid w:val="0362419F"/>
    <w:rsid w:val="0364710C"/>
    <w:rsid w:val="03675EC4"/>
    <w:rsid w:val="03795884"/>
    <w:rsid w:val="0385459C"/>
    <w:rsid w:val="039447DF"/>
    <w:rsid w:val="039E740C"/>
    <w:rsid w:val="03AF31FD"/>
    <w:rsid w:val="03B22EB7"/>
    <w:rsid w:val="03B95FF4"/>
    <w:rsid w:val="03CF75C5"/>
    <w:rsid w:val="03D472D2"/>
    <w:rsid w:val="03D5079D"/>
    <w:rsid w:val="03DE5ED7"/>
    <w:rsid w:val="03E77005"/>
    <w:rsid w:val="03E94B2B"/>
    <w:rsid w:val="03EC461B"/>
    <w:rsid w:val="03EF3054"/>
    <w:rsid w:val="040C25C7"/>
    <w:rsid w:val="04137DFA"/>
    <w:rsid w:val="041662CD"/>
    <w:rsid w:val="04186C50"/>
    <w:rsid w:val="04224AB9"/>
    <w:rsid w:val="042A0CA0"/>
    <w:rsid w:val="04322D53"/>
    <w:rsid w:val="043438CC"/>
    <w:rsid w:val="0440490F"/>
    <w:rsid w:val="044D2F2A"/>
    <w:rsid w:val="04657F2A"/>
    <w:rsid w:val="047D5273"/>
    <w:rsid w:val="047F723D"/>
    <w:rsid w:val="048B7990"/>
    <w:rsid w:val="04A647CA"/>
    <w:rsid w:val="04AE7B23"/>
    <w:rsid w:val="04B073F7"/>
    <w:rsid w:val="04B769D7"/>
    <w:rsid w:val="04EE7F1F"/>
    <w:rsid w:val="04F55751"/>
    <w:rsid w:val="04FC263C"/>
    <w:rsid w:val="050140F6"/>
    <w:rsid w:val="0508013B"/>
    <w:rsid w:val="05094D59"/>
    <w:rsid w:val="050B6D23"/>
    <w:rsid w:val="050F05C1"/>
    <w:rsid w:val="05107E95"/>
    <w:rsid w:val="051E193F"/>
    <w:rsid w:val="051F457C"/>
    <w:rsid w:val="05257DE5"/>
    <w:rsid w:val="052B2F21"/>
    <w:rsid w:val="053022E6"/>
    <w:rsid w:val="0532605E"/>
    <w:rsid w:val="054D2E98"/>
    <w:rsid w:val="05524952"/>
    <w:rsid w:val="0559492D"/>
    <w:rsid w:val="0563090D"/>
    <w:rsid w:val="058D7738"/>
    <w:rsid w:val="05922FA0"/>
    <w:rsid w:val="059E7BA5"/>
    <w:rsid w:val="05A30D0A"/>
    <w:rsid w:val="05AC4062"/>
    <w:rsid w:val="05CA44E8"/>
    <w:rsid w:val="05D95918"/>
    <w:rsid w:val="05E530D0"/>
    <w:rsid w:val="05E7387D"/>
    <w:rsid w:val="05F72E03"/>
    <w:rsid w:val="05FD2B10"/>
    <w:rsid w:val="061059E8"/>
    <w:rsid w:val="06367DD0"/>
    <w:rsid w:val="063F6C84"/>
    <w:rsid w:val="06403D79"/>
    <w:rsid w:val="06475B39"/>
    <w:rsid w:val="064E6EC7"/>
    <w:rsid w:val="065564A8"/>
    <w:rsid w:val="0659421D"/>
    <w:rsid w:val="06734B80"/>
    <w:rsid w:val="067F1BC4"/>
    <w:rsid w:val="068943A3"/>
    <w:rsid w:val="06954AF6"/>
    <w:rsid w:val="069778EF"/>
    <w:rsid w:val="069845E6"/>
    <w:rsid w:val="06A05249"/>
    <w:rsid w:val="06A61794"/>
    <w:rsid w:val="06A64649"/>
    <w:rsid w:val="06B01930"/>
    <w:rsid w:val="06B34F7C"/>
    <w:rsid w:val="06B843C5"/>
    <w:rsid w:val="06BC02D5"/>
    <w:rsid w:val="06C3312A"/>
    <w:rsid w:val="06D01FD2"/>
    <w:rsid w:val="06D33870"/>
    <w:rsid w:val="06D373CC"/>
    <w:rsid w:val="06EC048E"/>
    <w:rsid w:val="06F2019A"/>
    <w:rsid w:val="0701218C"/>
    <w:rsid w:val="0708351A"/>
    <w:rsid w:val="070B125C"/>
    <w:rsid w:val="07131EBF"/>
    <w:rsid w:val="07145492"/>
    <w:rsid w:val="071A149F"/>
    <w:rsid w:val="071F7D9F"/>
    <w:rsid w:val="07222102"/>
    <w:rsid w:val="072639A0"/>
    <w:rsid w:val="072B545A"/>
    <w:rsid w:val="07373DFF"/>
    <w:rsid w:val="07462294"/>
    <w:rsid w:val="074A22ED"/>
    <w:rsid w:val="074F21B3"/>
    <w:rsid w:val="076A5F83"/>
    <w:rsid w:val="076D5A73"/>
    <w:rsid w:val="07762B7A"/>
    <w:rsid w:val="077C5CB6"/>
    <w:rsid w:val="078E1545"/>
    <w:rsid w:val="079052BE"/>
    <w:rsid w:val="079E5C2C"/>
    <w:rsid w:val="07D01B5E"/>
    <w:rsid w:val="07E06245"/>
    <w:rsid w:val="07EA42D2"/>
    <w:rsid w:val="07EF0236"/>
    <w:rsid w:val="07F43A9E"/>
    <w:rsid w:val="0808579C"/>
    <w:rsid w:val="0817778D"/>
    <w:rsid w:val="08204893"/>
    <w:rsid w:val="0832011C"/>
    <w:rsid w:val="083D71F3"/>
    <w:rsid w:val="084E641F"/>
    <w:rsid w:val="084F3DA9"/>
    <w:rsid w:val="08652D8D"/>
    <w:rsid w:val="08674270"/>
    <w:rsid w:val="0874698D"/>
    <w:rsid w:val="087C1D20"/>
    <w:rsid w:val="087D5842"/>
    <w:rsid w:val="087D7F38"/>
    <w:rsid w:val="08874912"/>
    <w:rsid w:val="088E5CA1"/>
    <w:rsid w:val="08955281"/>
    <w:rsid w:val="08956B48"/>
    <w:rsid w:val="089B216C"/>
    <w:rsid w:val="08A70B11"/>
    <w:rsid w:val="08CE42EF"/>
    <w:rsid w:val="08D37B58"/>
    <w:rsid w:val="08DB5ECB"/>
    <w:rsid w:val="08E12275"/>
    <w:rsid w:val="08EF4EDB"/>
    <w:rsid w:val="08F04266"/>
    <w:rsid w:val="09012917"/>
    <w:rsid w:val="09067F2D"/>
    <w:rsid w:val="09077801"/>
    <w:rsid w:val="090E0B90"/>
    <w:rsid w:val="09120680"/>
    <w:rsid w:val="0913264A"/>
    <w:rsid w:val="09137F54"/>
    <w:rsid w:val="09153CCC"/>
    <w:rsid w:val="09167A44"/>
    <w:rsid w:val="0917697C"/>
    <w:rsid w:val="091A7535"/>
    <w:rsid w:val="09246D4D"/>
    <w:rsid w:val="09304FAA"/>
    <w:rsid w:val="09385C0D"/>
    <w:rsid w:val="093A3733"/>
    <w:rsid w:val="09434CDD"/>
    <w:rsid w:val="094E5A0A"/>
    <w:rsid w:val="09555CE0"/>
    <w:rsid w:val="097642D7"/>
    <w:rsid w:val="097B739A"/>
    <w:rsid w:val="0992356F"/>
    <w:rsid w:val="099F1A1E"/>
    <w:rsid w:val="09A339CE"/>
    <w:rsid w:val="09A3752A"/>
    <w:rsid w:val="09AD65FB"/>
    <w:rsid w:val="09B5725D"/>
    <w:rsid w:val="09B63701"/>
    <w:rsid w:val="09BA72A5"/>
    <w:rsid w:val="09BE4364"/>
    <w:rsid w:val="09C3197A"/>
    <w:rsid w:val="09C63218"/>
    <w:rsid w:val="09C96293"/>
    <w:rsid w:val="09CA084E"/>
    <w:rsid w:val="09DB3168"/>
    <w:rsid w:val="09DC2A3C"/>
    <w:rsid w:val="09E0077E"/>
    <w:rsid w:val="09E35B78"/>
    <w:rsid w:val="09E55D95"/>
    <w:rsid w:val="09E71B0D"/>
    <w:rsid w:val="09E76698"/>
    <w:rsid w:val="09E84410"/>
    <w:rsid w:val="09EC23D5"/>
    <w:rsid w:val="09F75AC8"/>
    <w:rsid w:val="09F77876"/>
    <w:rsid w:val="0A075D0B"/>
    <w:rsid w:val="0A1641A0"/>
    <w:rsid w:val="0A1960F7"/>
    <w:rsid w:val="0A1F4EAB"/>
    <w:rsid w:val="0A2C751F"/>
    <w:rsid w:val="0A2D5046"/>
    <w:rsid w:val="0A326B00"/>
    <w:rsid w:val="0A36039E"/>
    <w:rsid w:val="0A3C5699"/>
    <w:rsid w:val="0A4D7496"/>
    <w:rsid w:val="0A546A76"/>
    <w:rsid w:val="0A5B6057"/>
    <w:rsid w:val="0A726EFC"/>
    <w:rsid w:val="0A794981"/>
    <w:rsid w:val="0A7B04A7"/>
    <w:rsid w:val="0A7B72A1"/>
    <w:rsid w:val="0A7F7F97"/>
    <w:rsid w:val="0A854E82"/>
    <w:rsid w:val="0A911A78"/>
    <w:rsid w:val="0A951CC1"/>
    <w:rsid w:val="0A9A6B7F"/>
    <w:rsid w:val="0A9C10C4"/>
    <w:rsid w:val="0AAC0660"/>
    <w:rsid w:val="0AAE43D8"/>
    <w:rsid w:val="0AB94B2B"/>
    <w:rsid w:val="0ABC1B74"/>
    <w:rsid w:val="0ADB0F46"/>
    <w:rsid w:val="0ADC5DDF"/>
    <w:rsid w:val="0B04049C"/>
    <w:rsid w:val="0B0C6FC2"/>
    <w:rsid w:val="0B1F52D6"/>
    <w:rsid w:val="0B2428ED"/>
    <w:rsid w:val="0B27418B"/>
    <w:rsid w:val="0B3C19E4"/>
    <w:rsid w:val="0B422D73"/>
    <w:rsid w:val="0B4765DB"/>
    <w:rsid w:val="0B505490"/>
    <w:rsid w:val="0B506007"/>
    <w:rsid w:val="0B512FB6"/>
    <w:rsid w:val="0B725406"/>
    <w:rsid w:val="0B7E7A31"/>
    <w:rsid w:val="0B7F5D75"/>
    <w:rsid w:val="0B8213C1"/>
    <w:rsid w:val="0B903ADE"/>
    <w:rsid w:val="0B904CD3"/>
    <w:rsid w:val="0B923CFA"/>
    <w:rsid w:val="0B9F1F73"/>
    <w:rsid w:val="0B9F3D21"/>
    <w:rsid w:val="0BAF665A"/>
    <w:rsid w:val="0BC828EE"/>
    <w:rsid w:val="0BC96FF0"/>
    <w:rsid w:val="0BD35D98"/>
    <w:rsid w:val="0BFE4EEC"/>
    <w:rsid w:val="0C006EB6"/>
    <w:rsid w:val="0C030754"/>
    <w:rsid w:val="0C060244"/>
    <w:rsid w:val="0C061FF2"/>
    <w:rsid w:val="0C120997"/>
    <w:rsid w:val="0C152235"/>
    <w:rsid w:val="0C160487"/>
    <w:rsid w:val="0C243E28"/>
    <w:rsid w:val="0C25691C"/>
    <w:rsid w:val="0C324B95"/>
    <w:rsid w:val="0C403756"/>
    <w:rsid w:val="0C6311F3"/>
    <w:rsid w:val="0C6805B7"/>
    <w:rsid w:val="0C762CD4"/>
    <w:rsid w:val="0C7B478E"/>
    <w:rsid w:val="0C886EAB"/>
    <w:rsid w:val="0C9653BE"/>
    <w:rsid w:val="0CA75583"/>
    <w:rsid w:val="0CAD62CD"/>
    <w:rsid w:val="0CBD4BE1"/>
    <w:rsid w:val="0CBE28CD"/>
    <w:rsid w:val="0CC47EE3"/>
    <w:rsid w:val="0CC51EAD"/>
    <w:rsid w:val="0CC9374C"/>
    <w:rsid w:val="0CD12600"/>
    <w:rsid w:val="0CDE6ACB"/>
    <w:rsid w:val="0CDF2F6F"/>
    <w:rsid w:val="0CE00A95"/>
    <w:rsid w:val="0CF568E1"/>
    <w:rsid w:val="0CF739D6"/>
    <w:rsid w:val="0D0227BA"/>
    <w:rsid w:val="0D0E115E"/>
    <w:rsid w:val="0D103128"/>
    <w:rsid w:val="0D113E6C"/>
    <w:rsid w:val="0D1A5D55"/>
    <w:rsid w:val="0D2941EA"/>
    <w:rsid w:val="0D2C44AE"/>
    <w:rsid w:val="0D314E4D"/>
    <w:rsid w:val="0D3A63F7"/>
    <w:rsid w:val="0D3F756A"/>
    <w:rsid w:val="0D470B14"/>
    <w:rsid w:val="0D49540E"/>
    <w:rsid w:val="0D531267"/>
    <w:rsid w:val="0D5D3E94"/>
    <w:rsid w:val="0D5D7AAB"/>
    <w:rsid w:val="0D611BD6"/>
    <w:rsid w:val="0D6F54E2"/>
    <w:rsid w:val="0D70006B"/>
    <w:rsid w:val="0D710239"/>
    <w:rsid w:val="0D7367C3"/>
    <w:rsid w:val="0D7654CD"/>
    <w:rsid w:val="0D780CCE"/>
    <w:rsid w:val="0D7A4A46"/>
    <w:rsid w:val="0D7F1A65"/>
    <w:rsid w:val="0D8F1F77"/>
    <w:rsid w:val="0D9378B6"/>
    <w:rsid w:val="0D9C49BC"/>
    <w:rsid w:val="0DB31D06"/>
    <w:rsid w:val="0DDA54E4"/>
    <w:rsid w:val="0DE16873"/>
    <w:rsid w:val="0DEA1BCB"/>
    <w:rsid w:val="0DED3FE6"/>
    <w:rsid w:val="0DEF2165"/>
    <w:rsid w:val="0E0D673E"/>
    <w:rsid w:val="0E1409F6"/>
    <w:rsid w:val="0E1B6C5D"/>
    <w:rsid w:val="0E1C78AB"/>
    <w:rsid w:val="0E1F06A5"/>
    <w:rsid w:val="0E342E47"/>
    <w:rsid w:val="0E3C1CFB"/>
    <w:rsid w:val="0E3C7F4D"/>
    <w:rsid w:val="0E417312"/>
    <w:rsid w:val="0E422B0F"/>
    <w:rsid w:val="0E4B1F3E"/>
    <w:rsid w:val="0E576B35"/>
    <w:rsid w:val="0E5A03D3"/>
    <w:rsid w:val="0E5B6625"/>
    <w:rsid w:val="0E5C05EF"/>
    <w:rsid w:val="0E625C06"/>
    <w:rsid w:val="0E634FB8"/>
    <w:rsid w:val="0E770F85"/>
    <w:rsid w:val="0E9C09EC"/>
    <w:rsid w:val="0EAD49A7"/>
    <w:rsid w:val="0EB61AAE"/>
    <w:rsid w:val="0EBB5316"/>
    <w:rsid w:val="0EC25178"/>
    <w:rsid w:val="0EC811B3"/>
    <w:rsid w:val="0EC95C85"/>
    <w:rsid w:val="0ECE329B"/>
    <w:rsid w:val="0ED222B1"/>
    <w:rsid w:val="0ED816A6"/>
    <w:rsid w:val="0ED84DF6"/>
    <w:rsid w:val="0ED85EC8"/>
    <w:rsid w:val="0EE859DF"/>
    <w:rsid w:val="0EF16F8A"/>
    <w:rsid w:val="0EF56A7A"/>
    <w:rsid w:val="0F022F45"/>
    <w:rsid w:val="0F0C5B71"/>
    <w:rsid w:val="0F0E18EA"/>
    <w:rsid w:val="0F2509E1"/>
    <w:rsid w:val="0F274759"/>
    <w:rsid w:val="0F2F28A9"/>
    <w:rsid w:val="0F3155D8"/>
    <w:rsid w:val="0F317386"/>
    <w:rsid w:val="0F36499C"/>
    <w:rsid w:val="0F380715"/>
    <w:rsid w:val="0F3E1864"/>
    <w:rsid w:val="0F54403E"/>
    <w:rsid w:val="0F5F1EEF"/>
    <w:rsid w:val="0F607C6B"/>
    <w:rsid w:val="0F657030"/>
    <w:rsid w:val="0F661726"/>
    <w:rsid w:val="0F6E2384"/>
    <w:rsid w:val="0F786D63"/>
    <w:rsid w:val="0F7B6853"/>
    <w:rsid w:val="0F7D6A6F"/>
    <w:rsid w:val="0F8B02EB"/>
    <w:rsid w:val="0F8D3048"/>
    <w:rsid w:val="0F917E25"/>
    <w:rsid w:val="0F933B9D"/>
    <w:rsid w:val="0FA1275E"/>
    <w:rsid w:val="0FA61BD3"/>
    <w:rsid w:val="0FA97864"/>
    <w:rsid w:val="0FAD1102"/>
    <w:rsid w:val="0FB3423F"/>
    <w:rsid w:val="0FBC1346"/>
    <w:rsid w:val="0FC87CEA"/>
    <w:rsid w:val="0FCD552D"/>
    <w:rsid w:val="0FD06B9F"/>
    <w:rsid w:val="0FD50659"/>
    <w:rsid w:val="0FD51817"/>
    <w:rsid w:val="0FE67F22"/>
    <w:rsid w:val="0FED7751"/>
    <w:rsid w:val="0FF87EA4"/>
    <w:rsid w:val="10090303"/>
    <w:rsid w:val="100920B1"/>
    <w:rsid w:val="10196798"/>
    <w:rsid w:val="10280789"/>
    <w:rsid w:val="102962AF"/>
    <w:rsid w:val="103435D2"/>
    <w:rsid w:val="1034712E"/>
    <w:rsid w:val="103765D3"/>
    <w:rsid w:val="105D213F"/>
    <w:rsid w:val="105E064F"/>
    <w:rsid w:val="10751C23"/>
    <w:rsid w:val="107C6D27"/>
    <w:rsid w:val="10816FB7"/>
    <w:rsid w:val="108A1444"/>
    <w:rsid w:val="108C51BC"/>
    <w:rsid w:val="108C5DE9"/>
    <w:rsid w:val="108D2CE2"/>
    <w:rsid w:val="10955460"/>
    <w:rsid w:val="109739E2"/>
    <w:rsid w:val="109E14FC"/>
    <w:rsid w:val="10B1077E"/>
    <w:rsid w:val="10B65D95"/>
    <w:rsid w:val="10B9028D"/>
    <w:rsid w:val="10B97633"/>
    <w:rsid w:val="10BE10ED"/>
    <w:rsid w:val="10BE2E9B"/>
    <w:rsid w:val="10BE733F"/>
    <w:rsid w:val="10C52C97"/>
    <w:rsid w:val="10C549F6"/>
    <w:rsid w:val="10C87871"/>
    <w:rsid w:val="10FC5772"/>
    <w:rsid w:val="10FD39C4"/>
    <w:rsid w:val="11036B00"/>
    <w:rsid w:val="110A7E8F"/>
    <w:rsid w:val="110B4857"/>
    <w:rsid w:val="110C1E59"/>
    <w:rsid w:val="111025C9"/>
    <w:rsid w:val="11196324"/>
    <w:rsid w:val="111F7DDE"/>
    <w:rsid w:val="112278CE"/>
    <w:rsid w:val="112A6783"/>
    <w:rsid w:val="11366ED6"/>
    <w:rsid w:val="113D3054"/>
    <w:rsid w:val="114535BD"/>
    <w:rsid w:val="1145536B"/>
    <w:rsid w:val="11457119"/>
    <w:rsid w:val="114E2471"/>
    <w:rsid w:val="115455AE"/>
    <w:rsid w:val="115476AB"/>
    <w:rsid w:val="1167180E"/>
    <w:rsid w:val="116C0B49"/>
    <w:rsid w:val="116C63FB"/>
    <w:rsid w:val="116F4A90"/>
    <w:rsid w:val="117B2B3A"/>
    <w:rsid w:val="11847C41"/>
    <w:rsid w:val="11916802"/>
    <w:rsid w:val="119836EC"/>
    <w:rsid w:val="11A976A8"/>
    <w:rsid w:val="11AC3497"/>
    <w:rsid w:val="11AD363C"/>
    <w:rsid w:val="11B878C8"/>
    <w:rsid w:val="11CE5360"/>
    <w:rsid w:val="11D81F58"/>
    <w:rsid w:val="11DA5AB3"/>
    <w:rsid w:val="11F1104F"/>
    <w:rsid w:val="11F12DFD"/>
    <w:rsid w:val="120B2110"/>
    <w:rsid w:val="12105979"/>
    <w:rsid w:val="12252716"/>
    <w:rsid w:val="122907E8"/>
    <w:rsid w:val="12372F05"/>
    <w:rsid w:val="123D7707"/>
    <w:rsid w:val="124267B3"/>
    <w:rsid w:val="124318AA"/>
    <w:rsid w:val="12445622"/>
    <w:rsid w:val="12495CFE"/>
    <w:rsid w:val="1255782F"/>
    <w:rsid w:val="125F420A"/>
    <w:rsid w:val="12665599"/>
    <w:rsid w:val="12714E0A"/>
    <w:rsid w:val="127E6D86"/>
    <w:rsid w:val="12842CCC"/>
    <w:rsid w:val="129C0FBA"/>
    <w:rsid w:val="129E4D32"/>
    <w:rsid w:val="12A120F9"/>
    <w:rsid w:val="12A52C82"/>
    <w:rsid w:val="12B377DA"/>
    <w:rsid w:val="12BA7692"/>
    <w:rsid w:val="12C624DB"/>
    <w:rsid w:val="12CA3D79"/>
    <w:rsid w:val="12CD386A"/>
    <w:rsid w:val="12D531FB"/>
    <w:rsid w:val="12D63ECA"/>
    <w:rsid w:val="12D746E8"/>
    <w:rsid w:val="12D9220E"/>
    <w:rsid w:val="12DD44FB"/>
    <w:rsid w:val="12E017EF"/>
    <w:rsid w:val="12E12E71"/>
    <w:rsid w:val="12F157AA"/>
    <w:rsid w:val="12F75385"/>
    <w:rsid w:val="12F86CA8"/>
    <w:rsid w:val="13053ED0"/>
    <w:rsid w:val="1319260B"/>
    <w:rsid w:val="13273F27"/>
    <w:rsid w:val="13274D28"/>
    <w:rsid w:val="132C67E2"/>
    <w:rsid w:val="13313DF9"/>
    <w:rsid w:val="133D454B"/>
    <w:rsid w:val="13441D7E"/>
    <w:rsid w:val="134F0723"/>
    <w:rsid w:val="13517FF7"/>
    <w:rsid w:val="13622204"/>
    <w:rsid w:val="136441CE"/>
    <w:rsid w:val="137B5039"/>
    <w:rsid w:val="138B23AF"/>
    <w:rsid w:val="138C102F"/>
    <w:rsid w:val="13936861"/>
    <w:rsid w:val="13BB1914"/>
    <w:rsid w:val="13D529D6"/>
    <w:rsid w:val="13E0137B"/>
    <w:rsid w:val="13FF5CA5"/>
    <w:rsid w:val="14060DE1"/>
    <w:rsid w:val="1418637D"/>
    <w:rsid w:val="14333BA0"/>
    <w:rsid w:val="143A4F2F"/>
    <w:rsid w:val="143F2545"/>
    <w:rsid w:val="14413D9A"/>
    <w:rsid w:val="147815B3"/>
    <w:rsid w:val="1479117B"/>
    <w:rsid w:val="148937C0"/>
    <w:rsid w:val="14900FF3"/>
    <w:rsid w:val="149366D3"/>
    <w:rsid w:val="14977C8B"/>
    <w:rsid w:val="14A10B0A"/>
    <w:rsid w:val="14A34882"/>
    <w:rsid w:val="14B4083D"/>
    <w:rsid w:val="14B940A6"/>
    <w:rsid w:val="14B95E54"/>
    <w:rsid w:val="14D709D0"/>
    <w:rsid w:val="14D7277E"/>
    <w:rsid w:val="14E07884"/>
    <w:rsid w:val="14E222CC"/>
    <w:rsid w:val="14ED1FA1"/>
    <w:rsid w:val="14EF7AC7"/>
    <w:rsid w:val="14F055ED"/>
    <w:rsid w:val="14F25809"/>
    <w:rsid w:val="14F43330"/>
    <w:rsid w:val="14F90946"/>
    <w:rsid w:val="14FB2910"/>
    <w:rsid w:val="14FE7D0A"/>
    <w:rsid w:val="15015A4D"/>
    <w:rsid w:val="150177FB"/>
    <w:rsid w:val="15052E29"/>
    <w:rsid w:val="150D2643"/>
    <w:rsid w:val="151A266A"/>
    <w:rsid w:val="151B08BC"/>
    <w:rsid w:val="1528122B"/>
    <w:rsid w:val="15304B69"/>
    <w:rsid w:val="153100E0"/>
    <w:rsid w:val="153C6A85"/>
    <w:rsid w:val="154047C7"/>
    <w:rsid w:val="15406575"/>
    <w:rsid w:val="154F4A0A"/>
    <w:rsid w:val="156009C5"/>
    <w:rsid w:val="157306F8"/>
    <w:rsid w:val="15761F97"/>
    <w:rsid w:val="158C17BA"/>
    <w:rsid w:val="158C55A3"/>
    <w:rsid w:val="159212A1"/>
    <w:rsid w:val="15932B49"/>
    <w:rsid w:val="159422B6"/>
    <w:rsid w:val="1594241D"/>
    <w:rsid w:val="159468C1"/>
    <w:rsid w:val="159E5049"/>
    <w:rsid w:val="15A05265"/>
    <w:rsid w:val="15B14D7D"/>
    <w:rsid w:val="15BD0DEB"/>
    <w:rsid w:val="15CF68DB"/>
    <w:rsid w:val="15D849FF"/>
    <w:rsid w:val="15E11B06"/>
    <w:rsid w:val="15E92769"/>
    <w:rsid w:val="15EA7F1F"/>
    <w:rsid w:val="15F86E50"/>
    <w:rsid w:val="16094BB9"/>
    <w:rsid w:val="160A0AEE"/>
    <w:rsid w:val="160E6673"/>
    <w:rsid w:val="16302145"/>
    <w:rsid w:val="1636461D"/>
    <w:rsid w:val="163A700E"/>
    <w:rsid w:val="164756E1"/>
    <w:rsid w:val="166A2814"/>
    <w:rsid w:val="166E7112"/>
    <w:rsid w:val="16702E8A"/>
    <w:rsid w:val="16781D3E"/>
    <w:rsid w:val="16921052"/>
    <w:rsid w:val="1693385B"/>
    <w:rsid w:val="16A15587"/>
    <w:rsid w:val="16B0772A"/>
    <w:rsid w:val="16B404F1"/>
    <w:rsid w:val="16B74615"/>
    <w:rsid w:val="16B77FBF"/>
    <w:rsid w:val="16C531D6"/>
    <w:rsid w:val="16D52CED"/>
    <w:rsid w:val="16DD7609"/>
    <w:rsid w:val="16EA2C3C"/>
    <w:rsid w:val="16F5513D"/>
    <w:rsid w:val="16FB6BF7"/>
    <w:rsid w:val="16FE3FF2"/>
    <w:rsid w:val="17005A49"/>
    <w:rsid w:val="17005FBC"/>
    <w:rsid w:val="17045380"/>
    <w:rsid w:val="17107B4D"/>
    <w:rsid w:val="171B1048"/>
    <w:rsid w:val="171E28E6"/>
    <w:rsid w:val="172A4DE7"/>
    <w:rsid w:val="1743234C"/>
    <w:rsid w:val="174D10A5"/>
    <w:rsid w:val="174E54AC"/>
    <w:rsid w:val="174F0CF1"/>
    <w:rsid w:val="176127D3"/>
    <w:rsid w:val="17624056"/>
    <w:rsid w:val="17683B61"/>
    <w:rsid w:val="176F6C9D"/>
    <w:rsid w:val="177D585E"/>
    <w:rsid w:val="1780009A"/>
    <w:rsid w:val="178A3AD7"/>
    <w:rsid w:val="17944956"/>
    <w:rsid w:val="17A50911"/>
    <w:rsid w:val="17B80644"/>
    <w:rsid w:val="17BC218E"/>
    <w:rsid w:val="17BE7C25"/>
    <w:rsid w:val="17BF5E77"/>
    <w:rsid w:val="17C57205"/>
    <w:rsid w:val="17CA481C"/>
    <w:rsid w:val="17CD1C16"/>
    <w:rsid w:val="17CE60BA"/>
    <w:rsid w:val="17D31922"/>
    <w:rsid w:val="17D82A95"/>
    <w:rsid w:val="17D905BB"/>
    <w:rsid w:val="17DF2075"/>
    <w:rsid w:val="17E86A50"/>
    <w:rsid w:val="17EA0A1A"/>
    <w:rsid w:val="17EF7DDE"/>
    <w:rsid w:val="18003D99"/>
    <w:rsid w:val="1807619E"/>
    <w:rsid w:val="18131D1F"/>
    <w:rsid w:val="1821268E"/>
    <w:rsid w:val="182E4DAB"/>
    <w:rsid w:val="183C74C7"/>
    <w:rsid w:val="183D4FEE"/>
    <w:rsid w:val="1844012A"/>
    <w:rsid w:val="184B6914"/>
    <w:rsid w:val="18583BD5"/>
    <w:rsid w:val="185D743E"/>
    <w:rsid w:val="186D58D3"/>
    <w:rsid w:val="18736C61"/>
    <w:rsid w:val="188E5849"/>
    <w:rsid w:val="18900E47"/>
    <w:rsid w:val="189256F4"/>
    <w:rsid w:val="189B3AC2"/>
    <w:rsid w:val="18B03A11"/>
    <w:rsid w:val="18BA4890"/>
    <w:rsid w:val="18CE5C46"/>
    <w:rsid w:val="190D676E"/>
    <w:rsid w:val="19112B5C"/>
    <w:rsid w:val="19207AF3"/>
    <w:rsid w:val="192D6E10"/>
    <w:rsid w:val="19397563"/>
    <w:rsid w:val="19510D51"/>
    <w:rsid w:val="195E346D"/>
    <w:rsid w:val="196254B2"/>
    <w:rsid w:val="19636CD6"/>
    <w:rsid w:val="197E141A"/>
    <w:rsid w:val="1980080C"/>
    <w:rsid w:val="19921369"/>
    <w:rsid w:val="199D21E8"/>
    <w:rsid w:val="199E386A"/>
    <w:rsid w:val="199E7D0E"/>
    <w:rsid w:val="19A5109C"/>
    <w:rsid w:val="19A74E14"/>
    <w:rsid w:val="19A90B8D"/>
    <w:rsid w:val="19A92BD4"/>
    <w:rsid w:val="19AC41D9"/>
    <w:rsid w:val="19B61C6C"/>
    <w:rsid w:val="19C04378"/>
    <w:rsid w:val="19D35C0A"/>
    <w:rsid w:val="19D63004"/>
    <w:rsid w:val="19E35721"/>
    <w:rsid w:val="19F71887"/>
    <w:rsid w:val="19FE07AD"/>
    <w:rsid w:val="1A0E3162"/>
    <w:rsid w:val="1A163D48"/>
    <w:rsid w:val="1A3146DE"/>
    <w:rsid w:val="1A3A17E5"/>
    <w:rsid w:val="1A456726"/>
    <w:rsid w:val="1A491A28"/>
    <w:rsid w:val="1A495ECC"/>
    <w:rsid w:val="1A4A57A0"/>
    <w:rsid w:val="1A4C32C6"/>
    <w:rsid w:val="1A4E1060"/>
    <w:rsid w:val="1A622AE9"/>
    <w:rsid w:val="1A66082C"/>
    <w:rsid w:val="1A6920CA"/>
    <w:rsid w:val="1A89451A"/>
    <w:rsid w:val="1A907657"/>
    <w:rsid w:val="1A9C249F"/>
    <w:rsid w:val="1AA20301"/>
    <w:rsid w:val="1AA3395A"/>
    <w:rsid w:val="1AA51F83"/>
    <w:rsid w:val="1AA94BBC"/>
    <w:rsid w:val="1AAB26E2"/>
    <w:rsid w:val="1AB23A71"/>
    <w:rsid w:val="1AC90DBB"/>
    <w:rsid w:val="1AD02149"/>
    <w:rsid w:val="1AE654C9"/>
    <w:rsid w:val="1AE71241"/>
    <w:rsid w:val="1AEF3BF4"/>
    <w:rsid w:val="1AF04599"/>
    <w:rsid w:val="1AFC4CEC"/>
    <w:rsid w:val="1AFF24AC"/>
    <w:rsid w:val="1B0B4F2F"/>
    <w:rsid w:val="1B132036"/>
    <w:rsid w:val="1B19589E"/>
    <w:rsid w:val="1B244243"/>
    <w:rsid w:val="1B285AE1"/>
    <w:rsid w:val="1B2B737F"/>
    <w:rsid w:val="1B3A0801"/>
    <w:rsid w:val="1B3E3557"/>
    <w:rsid w:val="1B416BA3"/>
    <w:rsid w:val="1B46065D"/>
    <w:rsid w:val="1B4D3649"/>
    <w:rsid w:val="1B522B5E"/>
    <w:rsid w:val="1B590390"/>
    <w:rsid w:val="1B610FF3"/>
    <w:rsid w:val="1B650AE3"/>
    <w:rsid w:val="1B75684C"/>
    <w:rsid w:val="1B811695"/>
    <w:rsid w:val="1B8847D2"/>
    <w:rsid w:val="1B8B42C2"/>
    <w:rsid w:val="1B99078D"/>
    <w:rsid w:val="1BA03DCE"/>
    <w:rsid w:val="1BA55384"/>
    <w:rsid w:val="1BAF6017"/>
    <w:rsid w:val="1BB254E1"/>
    <w:rsid w:val="1BB750B7"/>
    <w:rsid w:val="1BC33A5C"/>
    <w:rsid w:val="1BCA303C"/>
    <w:rsid w:val="1BCA6B98"/>
    <w:rsid w:val="1BD26F6A"/>
    <w:rsid w:val="1BDE0896"/>
    <w:rsid w:val="1BE0016A"/>
    <w:rsid w:val="1BE04EA8"/>
    <w:rsid w:val="1BE13EE2"/>
    <w:rsid w:val="1BEA723A"/>
    <w:rsid w:val="1BEC6B0F"/>
    <w:rsid w:val="1BF34341"/>
    <w:rsid w:val="1BFC2ACA"/>
    <w:rsid w:val="1C077DEC"/>
    <w:rsid w:val="1C0876C1"/>
    <w:rsid w:val="1C0A168B"/>
    <w:rsid w:val="1C0A51E7"/>
    <w:rsid w:val="1C0D4CD7"/>
    <w:rsid w:val="1C116575"/>
    <w:rsid w:val="1C13053F"/>
    <w:rsid w:val="1C136791"/>
    <w:rsid w:val="1C316C17"/>
    <w:rsid w:val="1C381D54"/>
    <w:rsid w:val="1C3D5104"/>
    <w:rsid w:val="1C3F7586"/>
    <w:rsid w:val="1C4E5A1B"/>
    <w:rsid w:val="1C5B5CA3"/>
    <w:rsid w:val="1C634E7D"/>
    <w:rsid w:val="1C705992"/>
    <w:rsid w:val="1C93342E"/>
    <w:rsid w:val="1C9D42AD"/>
    <w:rsid w:val="1CA61122"/>
    <w:rsid w:val="1CA90EA4"/>
    <w:rsid w:val="1CB15EEB"/>
    <w:rsid w:val="1CB735C0"/>
    <w:rsid w:val="1CBC0BD7"/>
    <w:rsid w:val="1CC41839"/>
    <w:rsid w:val="1CC53D48"/>
    <w:rsid w:val="1CC601FF"/>
    <w:rsid w:val="1CC655B2"/>
    <w:rsid w:val="1CD37CCF"/>
    <w:rsid w:val="1CDF48C5"/>
    <w:rsid w:val="1CF27E2F"/>
    <w:rsid w:val="1CF540E9"/>
    <w:rsid w:val="1CFC5477"/>
    <w:rsid w:val="1D0936F0"/>
    <w:rsid w:val="1D0A3BBC"/>
    <w:rsid w:val="1D0F7046"/>
    <w:rsid w:val="1D1207F7"/>
    <w:rsid w:val="1D1327C1"/>
    <w:rsid w:val="1D13631D"/>
    <w:rsid w:val="1D181B85"/>
    <w:rsid w:val="1D183933"/>
    <w:rsid w:val="1D1A76AB"/>
    <w:rsid w:val="1D1F1166"/>
    <w:rsid w:val="1D215332"/>
    <w:rsid w:val="1D24677C"/>
    <w:rsid w:val="1D266050"/>
    <w:rsid w:val="1D28001A"/>
    <w:rsid w:val="1D303373"/>
    <w:rsid w:val="1D306ECF"/>
    <w:rsid w:val="1D352737"/>
    <w:rsid w:val="1D37025D"/>
    <w:rsid w:val="1D37200B"/>
    <w:rsid w:val="1D48246B"/>
    <w:rsid w:val="1D4D7A81"/>
    <w:rsid w:val="1D61352C"/>
    <w:rsid w:val="1D6D1ED1"/>
    <w:rsid w:val="1D725739"/>
    <w:rsid w:val="1D8174EE"/>
    <w:rsid w:val="1D8334A3"/>
    <w:rsid w:val="1D8D60CF"/>
    <w:rsid w:val="1D9751F7"/>
    <w:rsid w:val="1D976F4E"/>
    <w:rsid w:val="1D990F18"/>
    <w:rsid w:val="1D9E208B"/>
    <w:rsid w:val="1DA578BD"/>
    <w:rsid w:val="1DA90A2F"/>
    <w:rsid w:val="1DAA6C81"/>
    <w:rsid w:val="1DAD0520"/>
    <w:rsid w:val="1DAF24EA"/>
    <w:rsid w:val="1DAF2CD5"/>
    <w:rsid w:val="1DB45D52"/>
    <w:rsid w:val="1DBA1716"/>
    <w:rsid w:val="1DC13FCB"/>
    <w:rsid w:val="1DCA2E80"/>
    <w:rsid w:val="1DD05F6E"/>
    <w:rsid w:val="1DD51824"/>
    <w:rsid w:val="1DE162D6"/>
    <w:rsid w:val="1DE57CB9"/>
    <w:rsid w:val="1DED3012"/>
    <w:rsid w:val="1DFB128B"/>
    <w:rsid w:val="1DFB572F"/>
    <w:rsid w:val="1E0C3498"/>
    <w:rsid w:val="1E1D38F7"/>
    <w:rsid w:val="1E226C43"/>
    <w:rsid w:val="1E312EFF"/>
    <w:rsid w:val="1E366767"/>
    <w:rsid w:val="1E3E73CA"/>
    <w:rsid w:val="1E430E84"/>
    <w:rsid w:val="1E490AF9"/>
    <w:rsid w:val="1E4A3FC0"/>
    <w:rsid w:val="1E5264CE"/>
    <w:rsid w:val="1E58492F"/>
    <w:rsid w:val="1E594203"/>
    <w:rsid w:val="1E5E7A6C"/>
    <w:rsid w:val="1E6037E4"/>
    <w:rsid w:val="1E626BB8"/>
    <w:rsid w:val="1E636E30"/>
    <w:rsid w:val="1E6A6411"/>
    <w:rsid w:val="1E6C2143"/>
    <w:rsid w:val="1E71154D"/>
    <w:rsid w:val="1E74103D"/>
    <w:rsid w:val="1E7E1EBC"/>
    <w:rsid w:val="1E933BB9"/>
    <w:rsid w:val="1EA96F39"/>
    <w:rsid w:val="1EB06519"/>
    <w:rsid w:val="1EB42688"/>
    <w:rsid w:val="1EB53B18"/>
    <w:rsid w:val="1EBD29E4"/>
    <w:rsid w:val="1EC43D73"/>
    <w:rsid w:val="1ECD56B0"/>
    <w:rsid w:val="1ECE6B2A"/>
    <w:rsid w:val="1ED57D2E"/>
    <w:rsid w:val="1EDA3596"/>
    <w:rsid w:val="1EFF2FFD"/>
    <w:rsid w:val="1F0028D1"/>
    <w:rsid w:val="1F053012"/>
    <w:rsid w:val="1F0625DD"/>
    <w:rsid w:val="1F0B3750"/>
    <w:rsid w:val="1F132604"/>
    <w:rsid w:val="1F176598"/>
    <w:rsid w:val="1F1D16D5"/>
    <w:rsid w:val="1F2B2044"/>
    <w:rsid w:val="1F2C36C6"/>
    <w:rsid w:val="1F301408"/>
    <w:rsid w:val="1F3233D2"/>
    <w:rsid w:val="1F3B68A0"/>
    <w:rsid w:val="1F3E1D77"/>
    <w:rsid w:val="1F4924CA"/>
    <w:rsid w:val="1F52137F"/>
    <w:rsid w:val="1F615A66"/>
    <w:rsid w:val="1F617178"/>
    <w:rsid w:val="1F770DE5"/>
    <w:rsid w:val="1F8D0609"/>
    <w:rsid w:val="1F9279CD"/>
    <w:rsid w:val="1F953961"/>
    <w:rsid w:val="1F971487"/>
    <w:rsid w:val="1F9A2D26"/>
    <w:rsid w:val="1F9F20EA"/>
    <w:rsid w:val="1FA871F0"/>
    <w:rsid w:val="1FB931AC"/>
    <w:rsid w:val="1FBF453A"/>
    <w:rsid w:val="1FD91AA0"/>
    <w:rsid w:val="1FDC6E9A"/>
    <w:rsid w:val="1FE16BA6"/>
    <w:rsid w:val="1FED10A7"/>
    <w:rsid w:val="1FF10842"/>
    <w:rsid w:val="1FF64400"/>
    <w:rsid w:val="1FF94B77"/>
    <w:rsid w:val="1FFA5219"/>
    <w:rsid w:val="1FFB7497"/>
    <w:rsid w:val="20036B1D"/>
    <w:rsid w:val="20054643"/>
    <w:rsid w:val="20237DE4"/>
    <w:rsid w:val="20275CE4"/>
    <w:rsid w:val="202E378C"/>
    <w:rsid w:val="203902BE"/>
    <w:rsid w:val="203E2456"/>
    <w:rsid w:val="2048066F"/>
    <w:rsid w:val="20484530"/>
    <w:rsid w:val="204F3B10"/>
    <w:rsid w:val="205242F2"/>
    <w:rsid w:val="205E3D53"/>
    <w:rsid w:val="20631D31"/>
    <w:rsid w:val="20651585"/>
    <w:rsid w:val="206838BD"/>
    <w:rsid w:val="206D3F96"/>
    <w:rsid w:val="207812B9"/>
    <w:rsid w:val="20796DDF"/>
    <w:rsid w:val="20825C93"/>
    <w:rsid w:val="20855784"/>
    <w:rsid w:val="20880DD0"/>
    <w:rsid w:val="20895274"/>
    <w:rsid w:val="208F215E"/>
    <w:rsid w:val="209D6559"/>
    <w:rsid w:val="20A83032"/>
    <w:rsid w:val="20B00A53"/>
    <w:rsid w:val="20B01505"/>
    <w:rsid w:val="20B049AD"/>
    <w:rsid w:val="20BD4F1E"/>
    <w:rsid w:val="20C22534"/>
    <w:rsid w:val="20C57642"/>
    <w:rsid w:val="20C92CE4"/>
    <w:rsid w:val="20D22EE3"/>
    <w:rsid w:val="20E97AC1"/>
    <w:rsid w:val="20EA3839"/>
    <w:rsid w:val="20EE50D7"/>
    <w:rsid w:val="20F6042F"/>
    <w:rsid w:val="20FD6C00"/>
    <w:rsid w:val="21002F03"/>
    <w:rsid w:val="21110DC5"/>
    <w:rsid w:val="21117017"/>
    <w:rsid w:val="21130FE1"/>
    <w:rsid w:val="21182154"/>
    <w:rsid w:val="21240AF9"/>
    <w:rsid w:val="21325CB9"/>
    <w:rsid w:val="21336F8E"/>
    <w:rsid w:val="21383F0E"/>
    <w:rsid w:val="213C6AC8"/>
    <w:rsid w:val="213F5CF3"/>
    <w:rsid w:val="21442F49"/>
    <w:rsid w:val="214B1525"/>
    <w:rsid w:val="215C64E4"/>
    <w:rsid w:val="215F7B67"/>
    <w:rsid w:val="217575A6"/>
    <w:rsid w:val="217C0935"/>
    <w:rsid w:val="21861E4C"/>
    <w:rsid w:val="218B6DCA"/>
    <w:rsid w:val="2197751D"/>
    <w:rsid w:val="21A32365"/>
    <w:rsid w:val="21AB121A"/>
    <w:rsid w:val="21B31E7D"/>
    <w:rsid w:val="21BA76AF"/>
    <w:rsid w:val="21CA5B44"/>
    <w:rsid w:val="21E604A4"/>
    <w:rsid w:val="21EE5BE9"/>
    <w:rsid w:val="21FB3F4F"/>
    <w:rsid w:val="220821C8"/>
    <w:rsid w:val="220C16C2"/>
    <w:rsid w:val="221B63A0"/>
    <w:rsid w:val="22230DB0"/>
    <w:rsid w:val="22244B28"/>
    <w:rsid w:val="222D1BEC"/>
    <w:rsid w:val="222F4C34"/>
    <w:rsid w:val="22356D36"/>
    <w:rsid w:val="22394A78"/>
    <w:rsid w:val="223A1470"/>
    <w:rsid w:val="223C6316"/>
    <w:rsid w:val="22484CBB"/>
    <w:rsid w:val="224F7DF7"/>
    <w:rsid w:val="22506CC0"/>
    <w:rsid w:val="22573150"/>
    <w:rsid w:val="22573915"/>
    <w:rsid w:val="226513C9"/>
    <w:rsid w:val="226814D5"/>
    <w:rsid w:val="226E2973"/>
    <w:rsid w:val="22745D50"/>
    <w:rsid w:val="22764D9B"/>
    <w:rsid w:val="227710FC"/>
    <w:rsid w:val="227E692E"/>
    <w:rsid w:val="22851A6B"/>
    <w:rsid w:val="22963C78"/>
    <w:rsid w:val="22B934C3"/>
    <w:rsid w:val="22BB548D"/>
    <w:rsid w:val="22CC31F6"/>
    <w:rsid w:val="22CF2E8D"/>
    <w:rsid w:val="22E21CC0"/>
    <w:rsid w:val="22E36792"/>
    <w:rsid w:val="22E83DA8"/>
    <w:rsid w:val="22F17B21"/>
    <w:rsid w:val="22F369D5"/>
    <w:rsid w:val="231150AD"/>
    <w:rsid w:val="2318468D"/>
    <w:rsid w:val="232079E6"/>
    <w:rsid w:val="23356FED"/>
    <w:rsid w:val="233A0AA7"/>
    <w:rsid w:val="233B65CE"/>
    <w:rsid w:val="2342170A"/>
    <w:rsid w:val="23425BAE"/>
    <w:rsid w:val="235F406A"/>
    <w:rsid w:val="236847E2"/>
    <w:rsid w:val="237A0EA4"/>
    <w:rsid w:val="237F295E"/>
    <w:rsid w:val="238E277F"/>
    <w:rsid w:val="23907EAC"/>
    <w:rsid w:val="23931F66"/>
    <w:rsid w:val="23957A8C"/>
    <w:rsid w:val="239D6E27"/>
    <w:rsid w:val="23A10B26"/>
    <w:rsid w:val="23A273D6"/>
    <w:rsid w:val="23AC3027"/>
    <w:rsid w:val="23B1063E"/>
    <w:rsid w:val="23B26890"/>
    <w:rsid w:val="23B32608"/>
    <w:rsid w:val="23B940CE"/>
    <w:rsid w:val="23BC14BC"/>
    <w:rsid w:val="23EB7FF4"/>
    <w:rsid w:val="23F073B8"/>
    <w:rsid w:val="23FF5C91"/>
    <w:rsid w:val="24020CF4"/>
    <w:rsid w:val="241035B6"/>
    <w:rsid w:val="24124B1A"/>
    <w:rsid w:val="241D3DC5"/>
    <w:rsid w:val="241E5CD3"/>
    <w:rsid w:val="24213A15"/>
    <w:rsid w:val="24264B88"/>
    <w:rsid w:val="24294678"/>
    <w:rsid w:val="242B4894"/>
    <w:rsid w:val="242D4168"/>
    <w:rsid w:val="242F7EE0"/>
    <w:rsid w:val="2430210D"/>
    <w:rsid w:val="243279D1"/>
    <w:rsid w:val="243512C2"/>
    <w:rsid w:val="243B7846"/>
    <w:rsid w:val="244514B2"/>
    <w:rsid w:val="24455956"/>
    <w:rsid w:val="24561911"/>
    <w:rsid w:val="245A4A6F"/>
    <w:rsid w:val="245C2C9F"/>
    <w:rsid w:val="2463325E"/>
    <w:rsid w:val="246B0345"/>
    <w:rsid w:val="24747FE9"/>
    <w:rsid w:val="247753E3"/>
    <w:rsid w:val="2479115B"/>
    <w:rsid w:val="248D2E59"/>
    <w:rsid w:val="248D3472"/>
    <w:rsid w:val="248F6BD1"/>
    <w:rsid w:val="249B7324"/>
    <w:rsid w:val="249C309C"/>
    <w:rsid w:val="24A3267C"/>
    <w:rsid w:val="24A3442A"/>
    <w:rsid w:val="24A563F4"/>
    <w:rsid w:val="24B77ED6"/>
    <w:rsid w:val="24B86128"/>
    <w:rsid w:val="24C20D54"/>
    <w:rsid w:val="24D35C2C"/>
    <w:rsid w:val="24DB3BC4"/>
    <w:rsid w:val="24EF7670"/>
    <w:rsid w:val="24F42ED8"/>
    <w:rsid w:val="24F46A34"/>
    <w:rsid w:val="2503311B"/>
    <w:rsid w:val="250A26FB"/>
    <w:rsid w:val="251315B0"/>
    <w:rsid w:val="251A0B90"/>
    <w:rsid w:val="25257535"/>
    <w:rsid w:val="252A1DF9"/>
    <w:rsid w:val="252E63EA"/>
    <w:rsid w:val="25331C52"/>
    <w:rsid w:val="253908EB"/>
    <w:rsid w:val="253D03DB"/>
    <w:rsid w:val="254257CF"/>
    <w:rsid w:val="25494FD2"/>
    <w:rsid w:val="25513E86"/>
    <w:rsid w:val="25553977"/>
    <w:rsid w:val="25577B0A"/>
    <w:rsid w:val="25626093"/>
    <w:rsid w:val="25657932"/>
    <w:rsid w:val="256718FC"/>
    <w:rsid w:val="25675458"/>
    <w:rsid w:val="25757B75"/>
    <w:rsid w:val="25781413"/>
    <w:rsid w:val="2580651A"/>
    <w:rsid w:val="25891872"/>
    <w:rsid w:val="25A246E2"/>
    <w:rsid w:val="25BA1EF7"/>
    <w:rsid w:val="25BA7C7E"/>
    <w:rsid w:val="25D14624"/>
    <w:rsid w:val="25E1520A"/>
    <w:rsid w:val="25E35426"/>
    <w:rsid w:val="25E42F4C"/>
    <w:rsid w:val="25E82A3D"/>
    <w:rsid w:val="25EB7E37"/>
    <w:rsid w:val="25F34F3E"/>
    <w:rsid w:val="25FC2C4A"/>
    <w:rsid w:val="25FD5DBC"/>
    <w:rsid w:val="260158AC"/>
    <w:rsid w:val="26170C2C"/>
    <w:rsid w:val="261F5D33"/>
    <w:rsid w:val="26213859"/>
    <w:rsid w:val="262670C1"/>
    <w:rsid w:val="262F7ED1"/>
    <w:rsid w:val="263F0183"/>
    <w:rsid w:val="26451C3D"/>
    <w:rsid w:val="26485289"/>
    <w:rsid w:val="264B1D2F"/>
    <w:rsid w:val="26600825"/>
    <w:rsid w:val="26661BB3"/>
    <w:rsid w:val="26683828"/>
    <w:rsid w:val="26753BA5"/>
    <w:rsid w:val="26976211"/>
    <w:rsid w:val="269E30FB"/>
    <w:rsid w:val="26A526DC"/>
    <w:rsid w:val="26A5448A"/>
    <w:rsid w:val="26B26BA7"/>
    <w:rsid w:val="26B4291F"/>
    <w:rsid w:val="26C64400"/>
    <w:rsid w:val="26C959CC"/>
    <w:rsid w:val="26D27249"/>
    <w:rsid w:val="26DD1E76"/>
    <w:rsid w:val="26EC030B"/>
    <w:rsid w:val="26FC6074"/>
    <w:rsid w:val="270311B0"/>
    <w:rsid w:val="27090EBD"/>
    <w:rsid w:val="270A253F"/>
    <w:rsid w:val="270C275B"/>
    <w:rsid w:val="27194E78"/>
    <w:rsid w:val="271C2272"/>
    <w:rsid w:val="27284856"/>
    <w:rsid w:val="272950BB"/>
    <w:rsid w:val="273B0315"/>
    <w:rsid w:val="273C1378"/>
    <w:rsid w:val="273D0B66"/>
    <w:rsid w:val="273E043A"/>
    <w:rsid w:val="2742617D"/>
    <w:rsid w:val="274517C9"/>
    <w:rsid w:val="274A7062"/>
    <w:rsid w:val="274E2D73"/>
    <w:rsid w:val="27547C5E"/>
    <w:rsid w:val="275639D6"/>
    <w:rsid w:val="27653C19"/>
    <w:rsid w:val="2766189F"/>
    <w:rsid w:val="276C4FA7"/>
    <w:rsid w:val="277161B0"/>
    <w:rsid w:val="277249CC"/>
    <w:rsid w:val="27787DF0"/>
    <w:rsid w:val="277D6CB5"/>
    <w:rsid w:val="27840543"/>
    <w:rsid w:val="2789562D"/>
    <w:rsid w:val="27AC1848"/>
    <w:rsid w:val="27B34984"/>
    <w:rsid w:val="27C22E19"/>
    <w:rsid w:val="27D52B4D"/>
    <w:rsid w:val="27D86AE1"/>
    <w:rsid w:val="27F07987"/>
    <w:rsid w:val="27F51441"/>
    <w:rsid w:val="27FC27CF"/>
    <w:rsid w:val="28033B5E"/>
    <w:rsid w:val="28090DA6"/>
    <w:rsid w:val="28125B4F"/>
    <w:rsid w:val="281318C7"/>
    <w:rsid w:val="2813617D"/>
    <w:rsid w:val="281A0EA7"/>
    <w:rsid w:val="28397580"/>
    <w:rsid w:val="284C5A3A"/>
    <w:rsid w:val="2852595A"/>
    <w:rsid w:val="28566054"/>
    <w:rsid w:val="285B24CC"/>
    <w:rsid w:val="286839C1"/>
    <w:rsid w:val="28706D19"/>
    <w:rsid w:val="287405B8"/>
    <w:rsid w:val="287F6F5C"/>
    <w:rsid w:val="28845678"/>
    <w:rsid w:val="2899001E"/>
    <w:rsid w:val="289B1FE8"/>
    <w:rsid w:val="289D7B97"/>
    <w:rsid w:val="28AA6EB4"/>
    <w:rsid w:val="28AD5878"/>
    <w:rsid w:val="28AF15F0"/>
    <w:rsid w:val="28BC12D3"/>
    <w:rsid w:val="28BD4603"/>
    <w:rsid w:val="28C80903"/>
    <w:rsid w:val="28CF1C92"/>
    <w:rsid w:val="28D42E04"/>
    <w:rsid w:val="28DD687E"/>
    <w:rsid w:val="28E17C20"/>
    <w:rsid w:val="28EB2B7A"/>
    <w:rsid w:val="28F33BD2"/>
    <w:rsid w:val="28F9286B"/>
    <w:rsid w:val="2900009D"/>
    <w:rsid w:val="290E772E"/>
    <w:rsid w:val="2912392D"/>
    <w:rsid w:val="29171565"/>
    <w:rsid w:val="29211DC2"/>
    <w:rsid w:val="2927387C"/>
    <w:rsid w:val="292A6EC8"/>
    <w:rsid w:val="294361DC"/>
    <w:rsid w:val="2948059F"/>
    <w:rsid w:val="296028EA"/>
    <w:rsid w:val="29695C42"/>
    <w:rsid w:val="296C128F"/>
    <w:rsid w:val="29915199"/>
    <w:rsid w:val="29995DFC"/>
    <w:rsid w:val="29A24CB1"/>
    <w:rsid w:val="29A470BF"/>
    <w:rsid w:val="29A50C45"/>
    <w:rsid w:val="29AE18A7"/>
    <w:rsid w:val="29B36EBE"/>
    <w:rsid w:val="29CE3CF8"/>
    <w:rsid w:val="29D11A3A"/>
    <w:rsid w:val="29DB6414"/>
    <w:rsid w:val="29DD03DE"/>
    <w:rsid w:val="29DF7CB3"/>
    <w:rsid w:val="29E928DF"/>
    <w:rsid w:val="29F319B0"/>
    <w:rsid w:val="2A0C4820"/>
    <w:rsid w:val="2A104310"/>
    <w:rsid w:val="2A17569E"/>
    <w:rsid w:val="2A1C0F07"/>
    <w:rsid w:val="2A1C2CB5"/>
    <w:rsid w:val="2A202079"/>
    <w:rsid w:val="2A2C6C70"/>
    <w:rsid w:val="2A331DAD"/>
    <w:rsid w:val="2A392CF6"/>
    <w:rsid w:val="2A3A1445"/>
    <w:rsid w:val="2A3A75DF"/>
    <w:rsid w:val="2A3F0751"/>
    <w:rsid w:val="2A554419"/>
    <w:rsid w:val="2A583BCA"/>
    <w:rsid w:val="2A5B7495"/>
    <w:rsid w:val="2A5D507B"/>
    <w:rsid w:val="2A663F30"/>
    <w:rsid w:val="2A703001"/>
    <w:rsid w:val="2A7228D5"/>
    <w:rsid w:val="2A756869"/>
    <w:rsid w:val="2A7A79DB"/>
    <w:rsid w:val="2A855648"/>
    <w:rsid w:val="2A93421F"/>
    <w:rsid w:val="2A9E7B6E"/>
    <w:rsid w:val="2AA607D0"/>
    <w:rsid w:val="2AC65CD0"/>
    <w:rsid w:val="2ACA2711"/>
    <w:rsid w:val="2ACD3FAF"/>
    <w:rsid w:val="2ADC41F2"/>
    <w:rsid w:val="2ADE440E"/>
    <w:rsid w:val="2AE35FB2"/>
    <w:rsid w:val="2AF7102C"/>
    <w:rsid w:val="2AFB7E93"/>
    <w:rsid w:val="2B02634F"/>
    <w:rsid w:val="2B0379D1"/>
    <w:rsid w:val="2B165CCE"/>
    <w:rsid w:val="2B2A7653"/>
    <w:rsid w:val="2B2D4A4E"/>
    <w:rsid w:val="2B2D7144"/>
    <w:rsid w:val="2B3636A5"/>
    <w:rsid w:val="2B430715"/>
    <w:rsid w:val="2B4673D4"/>
    <w:rsid w:val="2B4A21D9"/>
    <w:rsid w:val="2B4A3852"/>
    <w:rsid w:val="2B4E3478"/>
    <w:rsid w:val="2B593A95"/>
    <w:rsid w:val="2B717030"/>
    <w:rsid w:val="2B746B21"/>
    <w:rsid w:val="2B7803BF"/>
    <w:rsid w:val="2B7B1C5D"/>
    <w:rsid w:val="2B7D7783"/>
    <w:rsid w:val="2B822FEC"/>
    <w:rsid w:val="2B8E7BE2"/>
    <w:rsid w:val="2B9176D3"/>
    <w:rsid w:val="2B980A61"/>
    <w:rsid w:val="2BA03472"/>
    <w:rsid w:val="2BB05DAB"/>
    <w:rsid w:val="2BC76C50"/>
    <w:rsid w:val="2BD14A92"/>
    <w:rsid w:val="2BD33847"/>
    <w:rsid w:val="2BDB6BA0"/>
    <w:rsid w:val="2BE45A54"/>
    <w:rsid w:val="2BF10171"/>
    <w:rsid w:val="2C016606"/>
    <w:rsid w:val="2C271DE5"/>
    <w:rsid w:val="2C3F0EDD"/>
    <w:rsid w:val="2C472792"/>
    <w:rsid w:val="2C493B09"/>
    <w:rsid w:val="2C6170A5"/>
    <w:rsid w:val="2C6B7F24"/>
    <w:rsid w:val="2C7C5384"/>
    <w:rsid w:val="2C8965FC"/>
    <w:rsid w:val="2C8B2374"/>
    <w:rsid w:val="2C8D1C48"/>
    <w:rsid w:val="2C932FD6"/>
    <w:rsid w:val="2C9C00DD"/>
    <w:rsid w:val="2C9D5C03"/>
    <w:rsid w:val="2CA156F3"/>
    <w:rsid w:val="2CA406E9"/>
    <w:rsid w:val="2CA86A82"/>
    <w:rsid w:val="2CB96A46"/>
    <w:rsid w:val="2CC969F8"/>
    <w:rsid w:val="2CCF04B2"/>
    <w:rsid w:val="2CDA29B3"/>
    <w:rsid w:val="2CE33F5E"/>
    <w:rsid w:val="2CE43832"/>
    <w:rsid w:val="2CEA709A"/>
    <w:rsid w:val="2CED0939"/>
    <w:rsid w:val="2CEF2903"/>
    <w:rsid w:val="2CF71895"/>
    <w:rsid w:val="2D05793A"/>
    <w:rsid w:val="2D0839C4"/>
    <w:rsid w:val="2D1063D5"/>
    <w:rsid w:val="2D1E4F96"/>
    <w:rsid w:val="2D2F6FF2"/>
    <w:rsid w:val="2D3970CF"/>
    <w:rsid w:val="2D4349FC"/>
    <w:rsid w:val="2D4542D1"/>
    <w:rsid w:val="2D4F15F3"/>
    <w:rsid w:val="2D532555"/>
    <w:rsid w:val="2D572111"/>
    <w:rsid w:val="2D595FCE"/>
    <w:rsid w:val="2D713318"/>
    <w:rsid w:val="2D7746A6"/>
    <w:rsid w:val="2D8017AD"/>
    <w:rsid w:val="2D83304B"/>
    <w:rsid w:val="2D867BBD"/>
    <w:rsid w:val="2D8C77D5"/>
    <w:rsid w:val="2D8E211C"/>
    <w:rsid w:val="2D945258"/>
    <w:rsid w:val="2D9D410D"/>
    <w:rsid w:val="2DA52FC1"/>
    <w:rsid w:val="2DBB4593"/>
    <w:rsid w:val="2DC054F7"/>
    <w:rsid w:val="2DC53663"/>
    <w:rsid w:val="2DCC21BF"/>
    <w:rsid w:val="2DCE1EBA"/>
    <w:rsid w:val="2DD05328"/>
    <w:rsid w:val="2DDB2E87"/>
    <w:rsid w:val="2DDF4725"/>
    <w:rsid w:val="2DF9330D"/>
    <w:rsid w:val="2DFB0E33"/>
    <w:rsid w:val="2E057F04"/>
    <w:rsid w:val="2E112405"/>
    <w:rsid w:val="2E132621"/>
    <w:rsid w:val="2E141EF5"/>
    <w:rsid w:val="2E150B56"/>
    <w:rsid w:val="2E184D99"/>
    <w:rsid w:val="2E187C37"/>
    <w:rsid w:val="2E232138"/>
    <w:rsid w:val="2E383E35"/>
    <w:rsid w:val="2E3C1B78"/>
    <w:rsid w:val="2E41718E"/>
    <w:rsid w:val="2E4427DA"/>
    <w:rsid w:val="2E5A1FFE"/>
    <w:rsid w:val="2E652751"/>
    <w:rsid w:val="2E70747A"/>
    <w:rsid w:val="2E7330BF"/>
    <w:rsid w:val="2E7F1A64"/>
    <w:rsid w:val="2E7F3812"/>
    <w:rsid w:val="2E8452CD"/>
    <w:rsid w:val="2E935510"/>
    <w:rsid w:val="2EB57234"/>
    <w:rsid w:val="2EBE36A8"/>
    <w:rsid w:val="2EC1207D"/>
    <w:rsid w:val="2EC21951"/>
    <w:rsid w:val="2EC41B6D"/>
    <w:rsid w:val="2ECB6A58"/>
    <w:rsid w:val="2ECD6C74"/>
    <w:rsid w:val="2ED26038"/>
    <w:rsid w:val="2ED57A07"/>
    <w:rsid w:val="2EDF2503"/>
    <w:rsid w:val="2EE144CD"/>
    <w:rsid w:val="2EE360DB"/>
    <w:rsid w:val="2EF34BA7"/>
    <w:rsid w:val="2F026892"/>
    <w:rsid w:val="2F0B32F8"/>
    <w:rsid w:val="2F10090E"/>
    <w:rsid w:val="2F124686"/>
    <w:rsid w:val="2F266384"/>
    <w:rsid w:val="2F285C58"/>
    <w:rsid w:val="2F2D326E"/>
    <w:rsid w:val="2F2F6BE0"/>
    <w:rsid w:val="2F324AB7"/>
    <w:rsid w:val="2F34284F"/>
    <w:rsid w:val="2F447029"/>
    <w:rsid w:val="2F454A5C"/>
    <w:rsid w:val="2F4607D4"/>
    <w:rsid w:val="2F4C02B5"/>
    <w:rsid w:val="2F5051AF"/>
    <w:rsid w:val="2F5841ED"/>
    <w:rsid w:val="2F5A7DDB"/>
    <w:rsid w:val="2F5E7ADC"/>
    <w:rsid w:val="2F63379F"/>
    <w:rsid w:val="2F713AA3"/>
    <w:rsid w:val="2F7610B9"/>
    <w:rsid w:val="2F7F5E0C"/>
    <w:rsid w:val="2F8D063C"/>
    <w:rsid w:val="2F936020"/>
    <w:rsid w:val="2F9E23BE"/>
    <w:rsid w:val="2FA70495"/>
    <w:rsid w:val="2FC260AC"/>
    <w:rsid w:val="2FC83556"/>
    <w:rsid w:val="2FCF07C9"/>
    <w:rsid w:val="2FCF1139"/>
    <w:rsid w:val="2FD45DE0"/>
    <w:rsid w:val="2FD8767E"/>
    <w:rsid w:val="2FE029D7"/>
    <w:rsid w:val="2FE51D9B"/>
    <w:rsid w:val="30006BD5"/>
    <w:rsid w:val="300246FB"/>
    <w:rsid w:val="30071D11"/>
    <w:rsid w:val="30125401"/>
    <w:rsid w:val="301D1535"/>
    <w:rsid w:val="302568E7"/>
    <w:rsid w:val="3034062C"/>
    <w:rsid w:val="30473135"/>
    <w:rsid w:val="304940D8"/>
    <w:rsid w:val="30611981"/>
    <w:rsid w:val="30640F12"/>
    <w:rsid w:val="30654223"/>
    <w:rsid w:val="306F78B6"/>
    <w:rsid w:val="307A33FC"/>
    <w:rsid w:val="307D6477"/>
    <w:rsid w:val="308508D2"/>
    <w:rsid w:val="30860EC5"/>
    <w:rsid w:val="30894E1C"/>
    <w:rsid w:val="308E41E1"/>
    <w:rsid w:val="309D2676"/>
    <w:rsid w:val="30A77050"/>
    <w:rsid w:val="30B07D26"/>
    <w:rsid w:val="30B30876"/>
    <w:rsid w:val="30B33C47"/>
    <w:rsid w:val="30B579BF"/>
    <w:rsid w:val="30DD2A72"/>
    <w:rsid w:val="30F06C49"/>
    <w:rsid w:val="30F83D87"/>
    <w:rsid w:val="30FE1366"/>
    <w:rsid w:val="31046903"/>
    <w:rsid w:val="311741D6"/>
    <w:rsid w:val="311C7A3E"/>
    <w:rsid w:val="311E5564"/>
    <w:rsid w:val="31227518"/>
    <w:rsid w:val="31271F3F"/>
    <w:rsid w:val="312A215B"/>
    <w:rsid w:val="312D3959"/>
    <w:rsid w:val="312D39F9"/>
    <w:rsid w:val="31322DBE"/>
    <w:rsid w:val="31327262"/>
    <w:rsid w:val="31353510"/>
    <w:rsid w:val="3138414C"/>
    <w:rsid w:val="313C59EB"/>
    <w:rsid w:val="31466869"/>
    <w:rsid w:val="31510955"/>
    <w:rsid w:val="315F4F40"/>
    <w:rsid w:val="31603DCF"/>
    <w:rsid w:val="316118F5"/>
    <w:rsid w:val="316D3DF6"/>
    <w:rsid w:val="317404F0"/>
    <w:rsid w:val="317C672F"/>
    <w:rsid w:val="31807FCD"/>
    <w:rsid w:val="318F6462"/>
    <w:rsid w:val="31975317"/>
    <w:rsid w:val="319770C5"/>
    <w:rsid w:val="31994BEB"/>
    <w:rsid w:val="319C292D"/>
    <w:rsid w:val="31A00887"/>
    <w:rsid w:val="31B13470"/>
    <w:rsid w:val="31B1462B"/>
    <w:rsid w:val="31B71515"/>
    <w:rsid w:val="31C14142"/>
    <w:rsid w:val="31CD2AE7"/>
    <w:rsid w:val="31DB5204"/>
    <w:rsid w:val="31E42E02"/>
    <w:rsid w:val="31F87078"/>
    <w:rsid w:val="31FD161E"/>
    <w:rsid w:val="320611DF"/>
    <w:rsid w:val="320F1351"/>
    <w:rsid w:val="3215767E"/>
    <w:rsid w:val="32222E32"/>
    <w:rsid w:val="322E5C7B"/>
    <w:rsid w:val="323A4620"/>
    <w:rsid w:val="32472899"/>
    <w:rsid w:val="324A4137"/>
    <w:rsid w:val="324E00CB"/>
    <w:rsid w:val="32504AC8"/>
    <w:rsid w:val="32582CF8"/>
    <w:rsid w:val="32584AA6"/>
    <w:rsid w:val="32672F3B"/>
    <w:rsid w:val="32700042"/>
    <w:rsid w:val="3276317E"/>
    <w:rsid w:val="32794A1C"/>
    <w:rsid w:val="328238D1"/>
    <w:rsid w:val="32853407"/>
    <w:rsid w:val="32861C19"/>
    <w:rsid w:val="32950EC6"/>
    <w:rsid w:val="3296737C"/>
    <w:rsid w:val="329A6E6D"/>
    <w:rsid w:val="32BA750F"/>
    <w:rsid w:val="32BB0FC2"/>
    <w:rsid w:val="32BF2D77"/>
    <w:rsid w:val="32C4038E"/>
    <w:rsid w:val="32C65EB4"/>
    <w:rsid w:val="32C739DA"/>
    <w:rsid w:val="32CA4468"/>
    <w:rsid w:val="32D04DB1"/>
    <w:rsid w:val="32E93950"/>
    <w:rsid w:val="32ED1692"/>
    <w:rsid w:val="32F10A57"/>
    <w:rsid w:val="33016EEC"/>
    <w:rsid w:val="33062754"/>
    <w:rsid w:val="330E1609"/>
    <w:rsid w:val="331F7372"/>
    <w:rsid w:val="332130EA"/>
    <w:rsid w:val="33240E2C"/>
    <w:rsid w:val="33266952"/>
    <w:rsid w:val="33324BD8"/>
    <w:rsid w:val="333252F7"/>
    <w:rsid w:val="33385662"/>
    <w:rsid w:val="33403CA2"/>
    <w:rsid w:val="33466FF4"/>
    <w:rsid w:val="335F1E64"/>
    <w:rsid w:val="336B25B7"/>
    <w:rsid w:val="33843679"/>
    <w:rsid w:val="33883169"/>
    <w:rsid w:val="338C3812"/>
    <w:rsid w:val="339064C2"/>
    <w:rsid w:val="33957634"/>
    <w:rsid w:val="339C6C14"/>
    <w:rsid w:val="33A53035"/>
    <w:rsid w:val="33A61841"/>
    <w:rsid w:val="33A8380B"/>
    <w:rsid w:val="33AA6EA7"/>
    <w:rsid w:val="33AD7074"/>
    <w:rsid w:val="33B201E6"/>
    <w:rsid w:val="33B65F28"/>
    <w:rsid w:val="33C817B8"/>
    <w:rsid w:val="33CC574C"/>
    <w:rsid w:val="33CD5020"/>
    <w:rsid w:val="33D463AE"/>
    <w:rsid w:val="33E660E2"/>
    <w:rsid w:val="33E67E90"/>
    <w:rsid w:val="33F94085"/>
    <w:rsid w:val="33FE342B"/>
    <w:rsid w:val="340C3D9A"/>
    <w:rsid w:val="340C5B48"/>
    <w:rsid w:val="340D366E"/>
    <w:rsid w:val="340E6656"/>
    <w:rsid w:val="3417273F"/>
    <w:rsid w:val="342235BE"/>
    <w:rsid w:val="34480B4A"/>
    <w:rsid w:val="344828F8"/>
    <w:rsid w:val="344A2B14"/>
    <w:rsid w:val="345616DB"/>
    <w:rsid w:val="345B087E"/>
    <w:rsid w:val="345D45F6"/>
    <w:rsid w:val="346A0AC1"/>
    <w:rsid w:val="346D6C4F"/>
    <w:rsid w:val="346F60D7"/>
    <w:rsid w:val="347D07F4"/>
    <w:rsid w:val="347D3C45"/>
    <w:rsid w:val="34847DD4"/>
    <w:rsid w:val="34854B20"/>
    <w:rsid w:val="349B0DF7"/>
    <w:rsid w:val="349B5F43"/>
    <w:rsid w:val="34A35D81"/>
    <w:rsid w:val="34AE6BFF"/>
    <w:rsid w:val="34B63D06"/>
    <w:rsid w:val="34C1566E"/>
    <w:rsid w:val="34C5219B"/>
    <w:rsid w:val="34C91C8B"/>
    <w:rsid w:val="34D523DE"/>
    <w:rsid w:val="34DD74E5"/>
    <w:rsid w:val="34F13CB6"/>
    <w:rsid w:val="34FF38FF"/>
    <w:rsid w:val="350C7DCA"/>
    <w:rsid w:val="351153E0"/>
    <w:rsid w:val="3518051D"/>
    <w:rsid w:val="351B1DBB"/>
    <w:rsid w:val="35215623"/>
    <w:rsid w:val="352275ED"/>
    <w:rsid w:val="352670DE"/>
    <w:rsid w:val="35284C04"/>
    <w:rsid w:val="35297DCD"/>
    <w:rsid w:val="352E5F92"/>
    <w:rsid w:val="3542154D"/>
    <w:rsid w:val="354831F1"/>
    <w:rsid w:val="355C2AFF"/>
    <w:rsid w:val="356B689E"/>
    <w:rsid w:val="357339A5"/>
    <w:rsid w:val="3575771D"/>
    <w:rsid w:val="357D65D2"/>
    <w:rsid w:val="35845BB2"/>
    <w:rsid w:val="35877179"/>
    <w:rsid w:val="358B0CEF"/>
    <w:rsid w:val="358D0597"/>
    <w:rsid w:val="35951B6D"/>
    <w:rsid w:val="35973B37"/>
    <w:rsid w:val="359A3628"/>
    <w:rsid w:val="359A53D6"/>
    <w:rsid w:val="35A13F7A"/>
    <w:rsid w:val="35AF0E81"/>
    <w:rsid w:val="35B04BF9"/>
    <w:rsid w:val="35BC5F2C"/>
    <w:rsid w:val="35BE2E72"/>
    <w:rsid w:val="35C80195"/>
    <w:rsid w:val="35CB1A33"/>
    <w:rsid w:val="35CF1523"/>
    <w:rsid w:val="35D5640E"/>
    <w:rsid w:val="35D97CAC"/>
    <w:rsid w:val="35E22CC8"/>
    <w:rsid w:val="35EB3E83"/>
    <w:rsid w:val="35ED3757"/>
    <w:rsid w:val="35F42D38"/>
    <w:rsid w:val="35F646B7"/>
    <w:rsid w:val="3602193A"/>
    <w:rsid w:val="36067F50"/>
    <w:rsid w:val="360F36CE"/>
    <w:rsid w:val="361E6007"/>
    <w:rsid w:val="362D16EE"/>
    <w:rsid w:val="363711C6"/>
    <w:rsid w:val="364D41F6"/>
    <w:rsid w:val="3651018A"/>
    <w:rsid w:val="365442FF"/>
    <w:rsid w:val="365E6403"/>
    <w:rsid w:val="367B74AA"/>
    <w:rsid w:val="367D1DCA"/>
    <w:rsid w:val="367F4CF7"/>
    <w:rsid w:val="368A71F8"/>
    <w:rsid w:val="369D6F2B"/>
    <w:rsid w:val="369E42B3"/>
    <w:rsid w:val="36A91D74"/>
    <w:rsid w:val="36AF3425"/>
    <w:rsid w:val="36B63375"/>
    <w:rsid w:val="36B67FED"/>
    <w:rsid w:val="36B72FE9"/>
    <w:rsid w:val="36BD312A"/>
    <w:rsid w:val="36BF3346"/>
    <w:rsid w:val="36C21C3F"/>
    <w:rsid w:val="36CC15BF"/>
    <w:rsid w:val="36D466C5"/>
    <w:rsid w:val="36D84407"/>
    <w:rsid w:val="36EC3A0F"/>
    <w:rsid w:val="36EE7787"/>
    <w:rsid w:val="36EF34FF"/>
    <w:rsid w:val="370175DC"/>
    <w:rsid w:val="370451FC"/>
    <w:rsid w:val="370B658B"/>
    <w:rsid w:val="37105707"/>
    <w:rsid w:val="3710594F"/>
    <w:rsid w:val="37133692"/>
    <w:rsid w:val="371371EE"/>
    <w:rsid w:val="37150738"/>
    <w:rsid w:val="3727713D"/>
    <w:rsid w:val="372C02AF"/>
    <w:rsid w:val="37390EB9"/>
    <w:rsid w:val="373A29CC"/>
    <w:rsid w:val="375241BA"/>
    <w:rsid w:val="37600FC8"/>
    <w:rsid w:val="37735EDE"/>
    <w:rsid w:val="3776777C"/>
    <w:rsid w:val="378B147A"/>
    <w:rsid w:val="378C0D4E"/>
    <w:rsid w:val="37975910"/>
    <w:rsid w:val="379A790F"/>
    <w:rsid w:val="37A34A15"/>
    <w:rsid w:val="37AC5965"/>
    <w:rsid w:val="37AF33BA"/>
    <w:rsid w:val="37B7226F"/>
    <w:rsid w:val="37BF2ED1"/>
    <w:rsid w:val="37CE1367"/>
    <w:rsid w:val="37E209F0"/>
    <w:rsid w:val="37E33064"/>
    <w:rsid w:val="37E666B0"/>
    <w:rsid w:val="37F232A7"/>
    <w:rsid w:val="37F90A98"/>
    <w:rsid w:val="37FC5ED4"/>
    <w:rsid w:val="38084878"/>
    <w:rsid w:val="380D653F"/>
    <w:rsid w:val="380F20AB"/>
    <w:rsid w:val="38213B8C"/>
    <w:rsid w:val="383A69FC"/>
    <w:rsid w:val="384D0D35"/>
    <w:rsid w:val="3857135C"/>
    <w:rsid w:val="38593326"/>
    <w:rsid w:val="38613F89"/>
    <w:rsid w:val="386D0B7F"/>
    <w:rsid w:val="387305DE"/>
    <w:rsid w:val="388008B3"/>
    <w:rsid w:val="3894610C"/>
    <w:rsid w:val="389E51DD"/>
    <w:rsid w:val="38A74091"/>
    <w:rsid w:val="38B16CBE"/>
    <w:rsid w:val="38B37E7B"/>
    <w:rsid w:val="38B810AA"/>
    <w:rsid w:val="38BD1B07"/>
    <w:rsid w:val="38C70290"/>
    <w:rsid w:val="38E4232C"/>
    <w:rsid w:val="38E52E0C"/>
    <w:rsid w:val="38EA0422"/>
    <w:rsid w:val="38FD1F03"/>
    <w:rsid w:val="39000FDE"/>
    <w:rsid w:val="390019F4"/>
    <w:rsid w:val="390A2872"/>
    <w:rsid w:val="39131393"/>
    <w:rsid w:val="391C0ED0"/>
    <w:rsid w:val="392D7C9E"/>
    <w:rsid w:val="392F4087"/>
    <w:rsid w:val="39363667"/>
    <w:rsid w:val="393A3157"/>
    <w:rsid w:val="39481C27"/>
    <w:rsid w:val="394A0EC1"/>
    <w:rsid w:val="396401D4"/>
    <w:rsid w:val="39665CFB"/>
    <w:rsid w:val="396B1563"/>
    <w:rsid w:val="396C0E37"/>
    <w:rsid w:val="3971469F"/>
    <w:rsid w:val="39777F08"/>
    <w:rsid w:val="398B046C"/>
    <w:rsid w:val="39916AF0"/>
    <w:rsid w:val="3996052C"/>
    <w:rsid w:val="39972358"/>
    <w:rsid w:val="39A6259B"/>
    <w:rsid w:val="39A84565"/>
    <w:rsid w:val="39B12CEE"/>
    <w:rsid w:val="39C46EC5"/>
    <w:rsid w:val="39C90037"/>
    <w:rsid w:val="39CB3DB0"/>
    <w:rsid w:val="39D20CE7"/>
    <w:rsid w:val="39D23390"/>
    <w:rsid w:val="39E817C8"/>
    <w:rsid w:val="39F33306"/>
    <w:rsid w:val="39F72DF7"/>
    <w:rsid w:val="39FE23D7"/>
    <w:rsid w:val="3A00614F"/>
    <w:rsid w:val="3A0810B7"/>
    <w:rsid w:val="3A086DB2"/>
    <w:rsid w:val="3A0B0650"/>
    <w:rsid w:val="3A0B4AF4"/>
    <w:rsid w:val="3A1219DE"/>
    <w:rsid w:val="3A2160C5"/>
    <w:rsid w:val="3A296D28"/>
    <w:rsid w:val="3A2E433E"/>
    <w:rsid w:val="3A325BDD"/>
    <w:rsid w:val="3A345DF9"/>
    <w:rsid w:val="3A3556CD"/>
    <w:rsid w:val="3A3E6C77"/>
    <w:rsid w:val="3A443B62"/>
    <w:rsid w:val="3A485400"/>
    <w:rsid w:val="3A4A73CA"/>
    <w:rsid w:val="3A5F274A"/>
    <w:rsid w:val="3A6164C2"/>
    <w:rsid w:val="3A635EE7"/>
    <w:rsid w:val="3A6A35C8"/>
    <w:rsid w:val="3A6B10EF"/>
    <w:rsid w:val="3A6D130B"/>
    <w:rsid w:val="3A802DEC"/>
    <w:rsid w:val="3A856654"/>
    <w:rsid w:val="3A9D5913"/>
    <w:rsid w:val="3AA0523C"/>
    <w:rsid w:val="3AA06EC0"/>
    <w:rsid w:val="3AA50AA5"/>
    <w:rsid w:val="3AA80595"/>
    <w:rsid w:val="3AAB598F"/>
    <w:rsid w:val="3AAF1923"/>
    <w:rsid w:val="3AAF547F"/>
    <w:rsid w:val="3AB17449"/>
    <w:rsid w:val="3AB605BC"/>
    <w:rsid w:val="3AB94550"/>
    <w:rsid w:val="3ABB2076"/>
    <w:rsid w:val="3AC21656"/>
    <w:rsid w:val="3AC56A51"/>
    <w:rsid w:val="3AD1189A"/>
    <w:rsid w:val="3AD43138"/>
    <w:rsid w:val="3AD924FC"/>
    <w:rsid w:val="3AE53EB3"/>
    <w:rsid w:val="3AEB41FB"/>
    <w:rsid w:val="3AEE41FA"/>
    <w:rsid w:val="3AF244AC"/>
    <w:rsid w:val="3AFA3AC2"/>
    <w:rsid w:val="3B07350D"/>
    <w:rsid w:val="3B084B8F"/>
    <w:rsid w:val="3B0A4DAB"/>
    <w:rsid w:val="3B0C0B24"/>
    <w:rsid w:val="3B181276"/>
    <w:rsid w:val="3B1D063B"/>
    <w:rsid w:val="3B1D2CC3"/>
    <w:rsid w:val="3B20637D"/>
    <w:rsid w:val="3B253993"/>
    <w:rsid w:val="3B40257B"/>
    <w:rsid w:val="3B455DE4"/>
    <w:rsid w:val="3B471B5C"/>
    <w:rsid w:val="3B497682"/>
    <w:rsid w:val="3B4A51A8"/>
    <w:rsid w:val="3B651FE2"/>
    <w:rsid w:val="3B660234"/>
    <w:rsid w:val="3B731AC8"/>
    <w:rsid w:val="3B7A783B"/>
    <w:rsid w:val="3B7B35B3"/>
    <w:rsid w:val="3B7F4E52"/>
    <w:rsid w:val="3B871F58"/>
    <w:rsid w:val="3BB80364"/>
    <w:rsid w:val="3BB84807"/>
    <w:rsid w:val="3BBA0580"/>
    <w:rsid w:val="3BCB453B"/>
    <w:rsid w:val="3BCC2061"/>
    <w:rsid w:val="3BD72EE0"/>
    <w:rsid w:val="3BDD426E"/>
    <w:rsid w:val="3BE05936"/>
    <w:rsid w:val="3BF507F3"/>
    <w:rsid w:val="3BF515B8"/>
    <w:rsid w:val="3BF82E56"/>
    <w:rsid w:val="3BFB3E5F"/>
    <w:rsid w:val="3BFD221A"/>
    <w:rsid w:val="3BFF41E4"/>
    <w:rsid w:val="3C0F179A"/>
    <w:rsid w:val="3C1B2882"/>
    <w:rsid w:val="3C277297"/>
    <w:rsid w:val="3C30439E"/>
    <w:rsid w:val="3C410359"/>
    <w:rsid w:val="3C463BC1"/>
    <w:rsid w:val="3C636521"/>
    <w:rsid w:val="3C793F97"/>
    <w:rsid w:val="3C7F70D3"/>
    <w:rsid w:val="3C8358AC"/>
    <w:rsid w:val="3C8A7F52"/>
    <w:rsid w:val="3C97331E"/>
    <w:rsid w:val="3C9E57AB"/>
    <w:rsid w:val="3CA56B3A"/>
    <w:rsid w:val="3CA628B2"/>
    <w:rsid w:val="3CA803D8"/>
    <w:rsid w:val="3CB12907"/>
    <w:rsid w:val="3CB61E3C"/>
    <w:rsid w:val="3CBC20D5"/>
    <w:rsid w:val="3CC2593E"/>
    <w:rsid w:val="3CD15B81"/>
    <w:rsid w:val="3CD50FA3"/>
    <w:rsid w:val="3CDC265E"/>
    <w:rsid w:val="3CDE204C"/>
    <w:rsid w:val="3CDE3DFA"/>
    <w:rsid w:val="3CE21B3C"/>
    <w:rsid w:val="3CEF4259"/>
    <w:rsid w:val="3CF25AF7"/>
    <w:rsid w:val="3CF33D49"/>
    <w:rsid w:val="3CF96E86"/>
    <w:rsid w:val="3D031AB2"/>
    <w:rsid w:val="3D0777F5"/>
    <w:rsid w:val="3D0F00F4"/>
    <w:rsid w:val="3D1D2B74"/>
    <w:rsid w:val="3D233F03"/>
    <w:rsid w:val="3D29776B"/>
    <w:rsid w:val="3D365A34"/>
    <w:rsid w:val="3D3B56F0"/>
    <w:rsid w:val="3D3D6D72"/>
    <w:rsid w:val="3D42082D"/>
    <w:rsid w:val="3D4225DB"/>
    <w:rsid w:val="3D430101"/>
    <w:rsid w:val="3D4A148F"/>
    <w:rsid w:val="3D4D2D2E"/>
    <w:rsid w:val="3D516CC2"/>
    <w:rsid w:val="3D540560"/>
    <w:rsid w:val="3D5A3DC8"/>
    <w:rsid w:val="3D5D7415"/>
    <w:rsid w:val="3D714C6E"/>
    <w:rsid w:val="3D7E05AE"/>
    <w:rsid w:val="3D7F55DD"/>
    <w:rsid w:val="3D8202D7"/>
    <w:rsid w:val="3D8B2DFB"/>
    <w:rsid w:val="3D8C298A"/>
    <w:rsid w:val="3D8C6ADA"/>
    <w:rsid w:val="3D9C2405"/>
    <w:rsid w:val="3DAA0180"/>
    <w:rsid w:val="3DAE2291"/>
    <w:rsid w:val="3DB1150E"/>
    <w:rsid w:val="3DC2196D"/>
    <w:rsid w:val="3DC47494"/>
    <w:rsid w:val="3DCC6348"/>
    <w:rsid w:val="3DD60F75"/>
    <w:rsid w:val="3DE6565C"/>
    <w:rsid w:val="3DF00289"/>
    <w:rsid w:val="3DF8713D"/>
    <w:rsid w:val="3DFF227A"/>
    <w:rsid w:val="3E027FBC"/>
    <w:rsid w:val="3E0D0E3B"/>
    <w:rsid w:val="3E0E4BB3"/>
    <w:rsid w:val="3E143A42"/>
    <w:rsid w:val="3E151A9D"/>
    <w:rsid w:val="3E1F291C"/>
    <w:rsid w:val="3E211FED"/>
    <w:rsid w:val="3E285C74"/>
    <w:rsid w:val="3E29379B"/>
    <w:rsid w:val="3E3310EC"/>
    <w:rsid w:val="3E502AD5"/>
    <w:rsid w:val="3E5D51F2"/>
    <w:rsid w:val="3E693D35"/>
    <w:rsid w:val="3E6B790F"/>
    <w:rsid w:val="3E740EBA"/>
    <w:rsid w:val="3E7A5DA4"/>
    <w:rsid w:val="3E832EAB"/>
    <w:rsid w:val="3E8567C1"/>
    <w:rsid w:val="3E895FE7"/>
    <w:rsid w:val="3E921340"/>
    <w:rsid w:val="3EA82911"/>
    <w:rsid w:val="3EA846BF"/>
    <w:rsid w:val="3EAA6689"/>
    <w:rsid w:val="3EAB0654"/>
    <w:rsid w:val="3EAD7F28"/>
    <w:rsid w:val="3EB40CEE"/>
    <w:rsid w:val="3EC139D3"/>
    <w:rsid w:val="3ED33FE4"/>
    <w:rsid w:val="3EDC6A5F"/>
    <w:rsid w:val="3EE80F60"/>
    <w:rsid w:val="3EEB0A50"/>
    <w:rsid w:val="3F010273"/>
    <w:rsid w:val="3F081602"/>
    <w:rsid w:val="3F087854"/>
    <w:rsid w:val="3F1955BD"/>
    <w:rsid w:val="3F3E5024"/>
    <w:rsid w:val="3F450160"/>
    <w:rsid w:val="3F454604"/>
    <w:rsid w:val="3F46412E"/>
    <w:rsid w:val="3F4A5777"/>
    <w:rsid w:val="3F582D33"/>
    <w:rsid w:val="3F634A8A"/>
    <w:rsid w:val="3F6A7BC7"/>
    <w:rsid w:val="3F6D76B7"/>
    <w:rsid w:val="3F852C53"/>
    <w:rsid w:val="3F8C2250"/>
    <w:rsid w:val="3F903F59"/>
    <w:rsid w:val="3F9133A5"/>
    <w:rsid w:val="3FA255B3"/>
    <w:rsid w:val="3FB53538"/>
    <w:rsid w:val="3FB83028"/>
    <w:rsid w:val="3FBF6165"/>
    <w:rsid w:val="3FC65745"/>
    <w:rsid w:val="3FCF2120"/>
    <w:rsid w:val="3FD339BE"/>
    <w:rsid w:val="3FD958AF"/>
    <w:rsid w:val="3FE47979"/>
    <w:rsid w:val="3FEC2CD2"/>
    <w:rsid w:val="3FF12096"/>
    <w:rsid w:val="3FF878C8"/>
    <w:rsid w:val="400C5122"/>
    <w:rsid w:val="400D25C9"/>
    <w:rsid w:val="401069C0"/>
    <w:rsid w:val="401144E6"/>
    <w:rsid w:val="401D2E8B"/>
    <w:rsid w:val="401F30A7"/>
    <w:rsid w:val="402406BD"/>
    <w:rsid w:val="40295CD4"/>
    <w:rsid w:val="40307062"/>
    <w:rsid w:val="40356427"/>
    <w:rsid w:val="40363F4D"/>
    <w:rsid w:val="4037219F"/>
    <w:rsid w:val="403F1053"/>
    <w:rsid w:val="405014B2"/>
    <w:rsid w:val="40534AFF"/>
    <w:rsid w:val="406867FC"/>
    <w:rsid w:val="407857F7"/>
    <w:rsid w:val="407F7942"/>
    <w:rsid w:val="40864ED4"/>
    <w:rsid w:val="40890521"/>
    <w:rsid w:val="408B6047"/>
    <w:rsid w:val="4092048B"/>
    <w:rsid w:val="40A35A86"/>
    <w:rsid w:val="40A92971"/>
    <w:rsid w:val="40AB66E9"/>
    <w:rsid w:val="40B21825"/>
    <w:rsid w:val="40C1754F"/>
    <w:rsid w:val="40CB28E7"/>
    <w:rsid w:val="40E90518"/>
    <w:rsid w:val="40FC5196"/>
    <w:rsid w:val="41032081"/>
    <w:rsid w:val="41053A33"/>
    <w:rsid w:val="411C3143"/>
    <w:rsid w:val="411E335F"/>
    <w:rsid w:val="41232723"/>
    <w:rsid w:val="4124398E"/>
    <w:rsid w:val="413E57AF"/>
    <w:rsid w:val="4147595B"/>
    <w:rsid w:val="414A7CB0"/>
    <w:rsid w:val="41652D3C"/>
    <w:rsid w:val="416A0352"/>
    <w:rsid w:val="418D5DEE"/>
    <w:rsid w:val="418F600A"/>
    <w:rsid w:val="41985A12"/>
    <w:rsid w:val="419D24D5"/>
    <w:rsid w:val="41A05B22"/>
    <w:rsid w:val="41A73354"/>
    <w:rsid w:val="41B8730F"/>
    <w:rsid w:val="41C757A4"/>
    <w:rsid w:val="41C77552"/>
    <w:rsid w:val="41DA1693"/>
    <w:rsid w:val="41E06866"/>
    <w:rsid w:val="41E33C60"/>
    <w:rsid w:val="41F52311"/>
    <w:rsid w:val="42100EF9"/>
    <w:rsid w:val="42113E90"/>
    <w:rsid w:val="42116A20"/>
    <w:rsid w:val="422624CB"/>
    <w:rsid w:val="422C29E0"/>
    <w:rsid w:val="422E75D1"/>
    <w:rsid w:val="423A5F76"/>
    <w:rsid w:val="424741EF"/>
    <w:rsid w:val="4249440B"/>
    <w:rsid w:val="424B0183"/>
    <w:rsid w:val="425239B6"/>
    <w:rsid w:val="42537038"/>
    <w:rsid w:val="425608D6"/>
    <w:rsid w:val="42586730"/>
    <w:rsid w:val="42611755"/>
    <w:rsid w:val="426C3C56"/>
    <w:rsid w:val="427174BE"/>
    <w:rsid w:val="42725710"/>
    <w:rsid w:val="429513FF"/>
    <w:rsid w:val="42B37AD7"/>
    <w:rsid w:val="42B775C7"/>
    <w:rsid w:val="42B850ED"/>
    <w:rsid w:val="42B86E9B"/>
    <w:rsid w:val="42BA069E"/>
    <w:rsid w:val="42CD2946"/>
    <w:rsid w:val="42D04AD3"/>
    <w:rsid w:val="42D56C49"/>
    <w:rsid w:val="42E3660E"/>
    <w:rsid w:val="42E87780"/>
    <w:rsid w:val="42EA2C91"/>
    <w:rsid w:val="42F36125"/>
    <w:rsid w:val="42FB3958"/>
    <w:rsid w:val="42FE0D52"/>
    <w:rsid w:val="430C5329"/>
    <w:rsid w:val="430E7883"/>
    <w:rsid w:val="43104F29"/>
    <w:rsid w:val="432602A9"/>
    <w:rsid w:val="43276187"/>
    <w:rsid w:val="43282273"/>
    <w:rsid w:val="432D201D"/>
    <w:rsid w:val="433200FF"/>
    <w:rsid w:val="4332051F"/>
    <w:rsid w:val="43340C18"/>
    <w:rsid w:val="433429C6"/>
    <w:rsid w:val="433B57B2"/>
    <w:rsid w:val="433F136A"/>
    <w:rsid w:val="435E5C94"/>
    <w:rsid w:val="436F39FE"/>
    <w:rsid w:val="43776D56"/>
    <w:rsid w:val="438751EB"/>
    <w:rsid w:val="43900AA0"/>
    <w:rsid w:val="43911BC6"/>
    <w:rsid w:val="43972F54"/>
    <w:rsid w:val="43AB0F1A"/>
    <w:rsid w:val="43AC6A00"/>
    <w:rsid w:val="43BC4EB9"/>
    <w:rsid w:val="43CA157C"/>
    <w:rsid w:val="43CF41A3"/>
    <w:rsid w:val="43DD12AF"/>
    <w:rsid w:val="43E048FB"/>
    <w:rsid w:val="43E269CC"/>
    <w:rsid w:val="43E3619A"/>
    <w:rsid w:val="43EE4BA2"/>
    <w:rsid w:val="43F860E9"/>
    <w:rsid w:val="440A7BCA"/>
    <w:rsid w:val="440E76BA"/>
    <w:rsid w:val="44134CD1"/>
    <w:rsid w:val="4416031D"/>
    <w:rsid w:val="441F5424"/>
    <w:rsid w:val="443133A9"/>
    <w:rsid w:val="44337121"/>
    <w:rsid w:val="443A225E"/>
    <w:rsid w:val="443D3AFC"/>
    <w:rsid w:val="444A7FC7"/>
    <w:rsid w:val="4456696C"/>
    <w:rsid w:val="445B0426"/>
    <w:rsid w:val="445B21D4"/>
    <w:rsid w:val="445F1CC4"/>
    <w:rsid w:val="44617BA5"/>
    <w:rsid w:val="4464552C"/>
    <w:rsid w:val="4469669F"/>
    <w:rsid w:val="44867251"/>
    <w:rsid w:val="448B4867"/>
    <w:rsid w:val="448D4A83"/>
    <w:rsid w:val="448E07FB"/>
    <w:rsid w:val="44913E48"/>
    <w:rsid w:val="44915D3F"/>
    <w:rsid w:val="449A0F4E"/>
    <w:rsid w:val="44B72A72"/>
    <w:rsid w:val="44BA15F0"/>
    <w:rsid w:val="44BD69EB"/>
    <w:rsid w:val="44C47D79"/>
    <w:rsid w:val="44C9538F"/>
    <w:rsid w:val="44CD1FA3"/>
    <w:rsid w:val="44D22496"/>
    <w:rsid w:val="44D2693A"/>
    <w:rsid w:val="44DD0E3B"/>
    <w:rsid w:val="44DF2AD6"/>
    <w:rsid w:val="44E623E5"/>
    <w:rsid w:val="44EB17AA"/>
    <w:rsid w:val="44F35DC3"/>
    <w:rsid w:val="44F52628"/>
    <w:rsid w:val="44FA19ED"/>
    <w:rsid w:val="45101210"/>
    <w:rsid w:val="45120AE5"/>
    <w:rsid w:val="4517434D"/>
    <w:rsid w:val="451A3E3D"/>
    <w:rsid w:val="451B08D2"/>
    <w:rsid w:val="453018B3"/>
    <w:rsid w:val="45343151"/>
    <w:rsid w:val="453749EF"/>
    <w:rsid w:val="453C3DB3"/>
    <w:rsid w:val="453E3FCF"/>
    <w:rsid w:val="45401AF6"/>
    <w:rsid w:val="454F3AE7"/>
    <w:rsid w:val="45570BED"/>
    <w:rsid w:val="45694272"/>
    <w:rsid w:val="456B28EB"/>
    <w:rsid w:val="457572C5"/>
    <w:rsid w:val="457C4AF8"/>
    <w:rsid w:val="4585575A"/>
    <w:rsid w:val="458A0FC3"/>
    <w:rsid w:val="459308C3"/>
    <w:rsid w:val="45A007E6"/>
    <w:rsid w:val="45B44292"/>
    <w:rsid w:val="45C67B21"/>
    <w:rsid w:val="45DD7344"/>
    <w:rsid w:val="45E32481"/>
    <w:rsid w:val="46050649"/>
    <w:rsid w:val="46081EE8"/>
    <w:rsid w:val="4609638B"/>
    <w:rsid w:val="46130FB8"/>
    <w:rsid w:val="46205483"/>
    <w:rsid w:val="4629258A"/>
    <w:rsid w:val="462C3E28"/>
    <w:rsid w:val="46362EF9"/>
    <w:rsid w:val="464473C4"/>
    <w:rsid w:val="46572546"/>
    <w:rsid w:val="465E7D59"/>
    <w:rsid w:val="46603AD2"/>
    <w:rsid w:val="46623CEE"/>
    <w:rsid w:val="466B2BA2"/>
    <w:rsid w:val="467001B9"/>
    <w:rsid w:val="46767799"/>
    <w:rsid w:val="467D28D5"/>
    <w:rsid w:val="46805F22"/>
    <w:rsid w:val="468A6DA0"/>
    <w:rsid w:val="46933EA7"/>
    <w:rsid w:val="469F284C"/>
    <w:rsid w:val="46AE0CE1"/>
    <w:rsid w:val="46BC33FE"/>
    <w:rsid w:val="46C36D3C"/>
    <w:rsid w:val="46C422B2"/>
    <w:rsid w:val="46C71DA3"/>
    <w:rsid w:val="46CA44E4"/>
    <w:rsid w:val="46CD560B"/>
    <w:rsid w:val="46DA3884"/>
    <w:rsid w:val="46EE732F"/>
    <w:rsid w:val="470D5A07"/>
    <w:rsid w:val="47136D96"/>
    <w:rsid w:val="47157A2C"/>
    <w:rsid w:val="4718088C"/>
    <w:rsid w:val="472158E8"/>
    <w:rsid w:val="47280A93"/>
    <w:rsid w:val="47282841"/>
    <w:rsid w:val="472B40E0"/>
    <w:rsid w:val="473A2575"/>
    <w:rsid w:val="473E2065"/>
    <w:rsid w:val="474D2459"/>
    <w:rsid w:val="475573AE"/>
    <w:rsid w:val="475E6263"/>
    <w:rsid w:val="4766336A"/>
    <w:rsid w:val="47727F60"/>
    <w:rsid w:val="477A6E15"/>
    <w:rsid w:val="47833F1C"/>
    <w:rsid w:val="47846F53"/>
    <w:rsid w:val="478D6B48"/>
    <w:rsid w:val="47975C19"/>
    <w:rsid w:val="479C51BE"/>
    <w:rsid w:val="479C6D8B"/>
    <w:rsid w:val="479E48B1"/>
    <w:rsid w:val="479F062A"/>
    <w:rsid w:val="47A3011A"/>
    <w:rsid w:val="47A619B8"/>
    <w:rsid w:val="47B9448D"/>
    <w:rsid w:val="47BD3E16"/>
    <w:rsid w:val="47BE4F54"/>
    <w:rsid w:val="47C6205A"/>
    <w:rsid w:val="47EF335F"/>
    <w:rsid w:val="47F646ED"/>
    <w:rsid w:val="47FE7A46"/>
    <w:rsid w:val="48054931"/>
    <w:rsid w:val="48082673"/>
    <w:rsid w:val="481E3C44"/>
    <w:rsid w:val="4828061F"/>
    <w:rsid w:val="482D6978"/>
    <w:rsid w:val="482E723D"/>
    <w:rsid w:val="484C6A03"/>
    <w:rsid w:val="485D651B"/>
    <w:rsid w:val="48657AC5"/>
    <w:rsid w:val="487F409A"/>
    <w:rsid w:val="488241D3"/>
    <w:rsid w:val="48855A71"/>
    <w:rsid w:val="489F6B33"/>
    <w:rsid w:val="48A028AB"/>
    <w:rsid w:val="48AB197C"/>
    <w:rsid w:val="48AB7349"/>
    <w:rsid w:val="48AC1250"/>
    <w:rsid w:val="48B512AF"/>
    <w:rsid w:val="48BB1493"/>
    <w:rsid w:val="48BB5D8C"/>
    <w:rsid w:val="48C4659A"/>
    <w:rsid w:val="48C848D5"/>
    <w:rsid w:val="48C90054"/>
    <w:rsid w:val="48CB0489"/>
    <w:rsid w:val="48D507A7"/>
    <w:rsid w:val="48DB63FB"/>
    <w:rsid w:val="48FC1985"/>
    <w:rsid w:val="491A265E"/>
    <w:rsid w:val="491C0184"/>
    <w:rsid w:val="492E6109"/>
    <w:rsid w:val="4933371F"/>
    <w:rsid w:val="493A2D00"/>
    <w:rsid w:val="493A685C"/>
    <w:rsid w:val="493C0826"/>
    <w:rsid w:val="493D634C"/>
    <w:rsid w:val="494616A5"/>
    <w:rsid w:val="49507E2D"/>
    <w:rsid w:val="496B4C67"/>
    <w:rsid w:val="497004D0"/>
    <w:rsid w:val="49951CE4"/>
    <w:rsid w:val="499F0DB5"/>
    <w:rsid w:val="49A5461D"/>
    <w:rsid w:val="49AB59AC"/>
    <w:rsid w:val="49B67E0C"/>
    <w:rsid w:val="49BA799D"/>
    <w:rsid w:val="49BF4FB3"/>
    <w:rsid w:val="49D547D7"/>
    <w:rsid w:val="49E36EF3"/>
    <w:rsid w:val="49EA2030"/>
    <w:rsid w:val="49F20EE5"/>
    <w:rsid w:val="49F25388"/>
    <w:rsid w:val="49F509D5"/>
    <w:rsid w:val="49FC1D63"/>
    <w:rsid w:val="49FE3D2D"/>
    <w:rsid w:val="4A0D21C2"/>
    <w:rsid w:val="4A2A4B22"/>
    <w:rsid w:val="4A2F3EE7"/>
    <w:rsid w:val="4A34774F"/>
    <w:rsid w:val="4A372D9B"/>
    <w:rsid w:val="4A3740F3"/>
    <w:rsid w:val="4A3E237C"/>
    <w:rsid w:val="4A443E36"/>
    <w:rsid w:val="4A4E6A63"/>
    <w:rsid w:val="4A54394D"/>
    <w:rsid w:val="4A5D0A54"/>
    <w:rsid w:val="4A633B90"/>
    <w:rsid w:val="4A69389D"/>
    <w:rsid w:val="4A6F0787"/>
    <w:rsid w:val="4A7F4E6E"/>
    <w:rsid w:val="4A804742"/>
    <w:rsid w:val="4A835FE1"/>
    <w:rsid w:val="4A8835F7"/>
    <w:rsid w:val="4A914BA1"/>
    <w:rsid w:val="4A9326C8"/>
    <w:rsid w:val="4A9B157C"/>
    <w:rsid w:val="4A9C22FC"/>
    <w:rsid w:val="4AA04DE4"/>
    <w:rsid w:val="4AB56AE2"/>
    <w:rsid w:val="4AB64608"/>
    <w:rsid w:val="4AB663B6"/>
    <w:rsid w:val="4ACB2DB0"/>
    <w:rsid w:val="4AD14F9E"/>
    <w:rsid w:val="4AD66A58"/>
    <w:rsid w:val="4ADD3943"/>
    <w:rsid w:val="4AEB1356"/>
    <w:rsid w:val="4AEB2504"/>
    <w:rsid w:val="4AF869CF"/>
    <w:rsid w:val="4AFF1B0B"/>
    <w:rsid w:val="4B02784D"/>
    <w:rsid w:val="4B101F6A"/>
    <w:rsid w:val="4B201A81"/>
    <w:rsid w:val="4B241CB7"/>
    <w:rsid w:val="4B264E2E"/>
    <w:rsid w:val="4B3043BA"/>
    <w:rsid w:val="4B3B68BB"/>
    <w:rsid w:val="4B3C4B0D"/>
    <w:rsid w:val="4B3D2633"/>
    <w:rsid w:val="4B441C14"/>
    <w:rsid w:val="4B4B4D50"/>
    <w:rsid w:val="4B5A31E5"/>
    <w:rsid w:val="4B6127C6"/>
    <w:rsid w:val="4B663938"/>
    <w:rsid w:val="4B683B54"/>
    <w:rsid w:val="4B6B1709"/>
    <w:rsid w:val="4B6B71A0"/>
    <w:rsid w:val="4B803457"/>
    <w:rsid w:val="4B83273C"/>
    <w:rsid w:val="4B8E10E1"/>
    <w:rsid w:val="4BA33E4D"/>
    <w:rsid w:val="4BA6467C"/>
    <w:rsid w:val="4BA6642B"/>
    <w:rsid w:val="4BA91A77"/>
    <w:rsid w:val="4BB52B12"/>
    <w:rsid w:val="4BB548C0"/>
    <w:rsid w:val="4BBC17AA"/>
    <w:rsid w:val="4BC30D8B"/>
    <w:rsid w:val="4BC32B39"/>
    <w:rsid w:val="4BCB7C3F"/>
    <w:rsid w:val="4BCD4F63"/>
    <w:rsid w:val="4BD122FD"/>
    <w:rsid w:val="4BDC009E"/>
    <w:rsid w:val="4BDE5BC4"/>
    <w:rsid w:val="4BE807F1"/>
    <w:rsid w:val="4BEF1B80"/>
    <w:rsid w:val="4BF076A6"/>
    <w:rsid w:val="4C140D9B"/>
    <w:rsid w:val="4C154E1F"/>
    <w:rsid w:val="4C1E06B7"/>
    <w:rsid w:val="4C1F791E"/>
    <w:rsid w:val="4C285091"/>
    <w:rsid w:val="4C2D26A8"/>
    <w:rsid w:val="4C2F4672"/>
    <w:rsid w:val="4C315D07"/>
    <w:rsid w:val="4C3752D5"/>
    <w:rsid w:val="4C3E2B07"/>
    <w:rsid w:val="4C4522F1"/>
    <w:rsid w:val="4C4A5008"/>
    <w:rsid w:val="4C52210E"/>
    <w:rsid w:val="4C526D9E"/>
    <w:rsid w:val="4C5E0AB3"/>
    <w:rsid w:val="4C6267F5"/>
    <w:rsid w:val="4C804ECE"/>
    <w:rsid w:val="4C8449BE"/>
    <w:rsid w:val="4C8C73CE"/>
    <w:rsid w:val="4C9269AF"/>
    <w:rsid w:val="4C9B1D07"/>
    <w:rsid w:val="4CB132D9"/>
    <w:rsid w:val="4CB314C9"/>
    <w:rsid w:val="4CB56874"/>
    <w:rsid w:val="4CBC36B6"/>
    <w:rsid w:val="4CC25E71"/>
    <w:rsid w:val="4CC36B68"/>
    <w:rsid w:val="4CD13F2F"/>
    <w:rsid w:val="4CD40D75"/>
    <w:rsid w:val="4CDA67DC"/>
    <w:rsid w:val="4CDE39A2"/>
    <w:rsid w:val="4CE511D4"/>
    <w:rsid w:val="4CF136D5"/>
    <w:rsid w:val="4CFB606E"/>
    <w:rsid w:val="4CFF556B"/>
    <w:rsid w:val="4D0C6761"/>
    <w:rsid w:val="4D135D42"/>
    <w:rsid w:val="4D1D271C"/>
    <w:rsid w:val="4D297313"/>
    <w:rsid w:val="4D3A1520"/>
    <w:rsid w:val="4D3E3BA7"/>
    <w:rsid w:val="4D3E6920"/>
    <w:rsid w:val="4D447CA9"/>
    <w:rsid w:val="4D4E28D6"/>
    <w:rsid w:val="4D510618"/>
    <w:rsid w:val="4D52686A"/>
    <w:rsid w:val="4D5325E2"/>
    <w:rsid w:val="4D5B48E5"/>
    <w:rsid w:val="4D673998"/>
    <w:rsid w:val="4D6754BB"/>
    <w:rsid w:val="4D697878"/>
    <w:rsid w:val="4D6E11CA"/>
    <w:rsid w:val="4D704F42"/>
    <w:rsid w:val="4D7C38E7"/>
    <w:rsid w:val="4D7F33D7"/>
    <w:rsid w:val="4D8056CB"/>
    <w:rsid w:val="4D924EB8"/>
    <w:rsid w:val="4D9A5B1B"/>
    <w:rsid w:val="4DC25072"/>
    <w:rsid w:val="4DCB03CA"/>
    <w:rsid w:val="4DD0778F"/>
    <w:rsid w:val="4DD3102D"/>
    <w:rsid w:val="4DD728CB"/>
    <w:rsid w:val="4DE35714"/>
    <w:rsid w:val="4DEC3116"/>
    <w:rsid w:val="4E0833CC"/>
    <w:rsid w:val="4E121B55"/>
    <w:rsid w:val="4E1A4EAE"/>
    <w:rsid w:val="4E1B51F8"/>
    <w:rsid w:val="4E1C0C26"/>
    <w:rsid w:val="4E2F2707"/>
    <w:rsid w:val="4E375A60"/>
    <w:rsid w:val="4E3A10AC"/>
    <w:rsid w:val="4E4361B3"/>
    <w:rsid w:val="4E465CA3"/>
    <w:rsid w:val="4E4B5067"/>
    <w:rsid w:val="4E61488B"/>
    <w:rsid w:val="4E6323B1"/>
    <w:rsid w:val="4E636855"/>
    <w:rsid w:val="4E65437B"/>
    <w:rsid w:val="4E6D1482"/>
    <w:rsid w:val="4E6F51FA"/>
    <w:rsid w:val="4E7277B5"/>
    <w:rsid w:val="4E7520E4"/>
    <w:rsid w:val="4E807407"/>
    <w:rsid w:val="4E8567CB"/>
    <w:rsid w:val="4E8642F1"/>
    <w:rsid w:val="4E87600E"/>
    <w:rsid w:val="4E8A5B90"/>
    <w:rsid w:val="4E911081"/>
    <w:rsid w:val="4E922C96"/>
    <w:rsid w:val="4E984750"/>
    <w:rsid w:val="4EA12ED9"/>
    <w:rsid w:val="4EAC03F1"/>
    <w:rsid w:val="4EAD7AD0"/>
    <w:rsid w:val="4EBE3A8B"/>
    <w:rsid w:val="4EC3064A"/>
    <w:rsid w:val="4EF179BD"/>
    <w:rsid w:val="4EF17EFA"/>
    <w:rsid w:val="4EFA4EE5"/>
    <w:rsid w:val="4F047977"/>
    <w:rsid w:val="4F0A6CD0"/>
    <w:rsid w:val="4F11005F"/>
    <w:rsid w:val="4F165675"/>
    <w:rsid w:val="4F1F6B5A"/>
    <w:rsid w:val="4F2204BE"/>
    <w:rsid w:val="4F22401A"/>
    <w:rsid w:val="4F29184C"/>
    <w:rsid w:val="4F2A5F90"/>
    <w:rsid w:val="4F2F6737"/>
    <w:rsid w:val="4F351F9F"/>
    <w:rsid w:val="4F455F5A"/>
    <w:rsid w:val="4F690CC3"/>
    <w:rsid w:val="4F6E763C"/>
    <w:rsid w:val="4F7259D7"/>
    <w:rsid w:val="4F7B372A"/>
    <w:rsid w:val="4F806F93"/>
    <w:rsid w:val="4F9A0054"/>
    <w:rsid w:val="4FB21842"/>
    <w:rsid w:val="4FC21359"/>
    <w:rsid w:val="4FCB46B2"/>
    <w:rsid w:val="4FD317B8"/>
    <w:rsid w:val="4FD974F3"/>
    <w:rsid w:val="4FDF015D"/>
    <w:rsid w:val="4FDF63AF"/>
    <w:rsid w:val="4FEE214E"/>
    <w:rsid w:val="4FFF25AD"/>
    <w:rsid w:val="500876B4"/>
    <w:rsid w:val="500E27F0"/>
    <w:rsid w:val="5010769C"/>
    <w:rsid w:val="501F49FD"/>
    <w:rsid w:val="504A1A7A"/>
    <w:rsid w:val="5055041F"/>
    <w:rsid w:val="505A77E4"/>
    <w:rsid w:val="505E72D4"/>
    <w:rsid w:val="505F4DFA"/>
    <w:rsid w:val="50724B2D"/>
    <w:rsid w:val="5076286F"/>
    <w:rsid w:val="50836D3A"/>
    <w:rsid w:val="508B5BEF"/>
    <w:rsid w:val="50974594"/>
    <w:rsid w:val="509908D1"/>
    <w:rsid w:val="50A76ECD"/>
    <w:rsid w:val="50A867A1"/>
    <w:rsid w:val="50AF18DD"/>
    <w:rsid w:val="50B25872"/>
    <w:rsid w:val="50C45A60"/>
    <w:rsid w:val="50C730CB"/>
    <w:rsid w:val="50CA2BBB"/>
    <w:rsid w:val="50CD4459"/>
    <w:rsid w:val="50E772C9"/>
    <w:rsid w:val="50EF2622"/>
    <w:rsid w:val="50EF617E"/>
    <w:rsid w:val="50F33EC0"/>
    <w:rsid w:val="50F364F6"/>
    <w:rsid w:val="5100038B"/>
    <w:rsid w:val="51053BF3"/>
    <w:rsid w:val="51085492"/>
    <w:rsid w:val="510E413E"/>
    <w:rsid w:val="51167000"/>
    <w:rsid w:val="51183927"/>
    <w:rsid w:val="5119769F"/>
    <w:rsid w:val="512A18AC"/>
    <w:rsid w:val="51360251"/>
    <w:rsid w:val="51361FFF"/>
    <w:rsid w:val="513A1AEF"/>
    <w:rsid w:val="514209A3"/>
    <w:rsid w:val="5144034A"/>
    <w:rsid w:val="51510BE7"/>
    <w:rsid w:val="5151485A"/>
    <w:rsid w:val="515801C7"/>
    <w:rsid w:val="51586419"/>
    <w:rsid w:val="515A3F3F"/>
    <w:rsid w:val="515B7CB7"/>
    <w:rsid w:val="517A013D"/>
    <w:rsid w:val="51826FF2"/>
    <w:rsid w:val="51890380"/>
    <w:rsid w:val="519A07DF"/>
    <w:rsid w:val="51AE0F7B"/>
    <w:rsid w:val="51BF0246"/>
    <w:rsid w:val="51E67581"/>
    <w:rsid w:val="51EE4687"/>
    <w:rsid w:val="51F53C68"/>
    <w:rsid w:val="51F577C4"/>
    <w:rsid w:val="52036385"/>
    <w:rsid w:val="520B04EA"/>
    <w:rsid w:val="520C2D5F"/>
    <w:rsid w:val="522400A9"/>
    <w:rsid w:val="52291B63"/>
    <w:rsid w:val="52320A18"/>
    <w:rsid w:val="52505342"/>
    <w:rsid w:val="525766D1"/>
    <w:rsid w:val="525E7A5F"/>
    <w:rsid w:val="52621857"/>
    <w:rsid w:val="5272350A"/>
    <w:rsid w:val="527641C6"/>
    <w:rsid w:val="527B23BF"/>
    <w:rsid w:val="527E5A0B"/>
    <w:rsid w:val="5281374D"/>
    <w:rsid w:val="528154FB"/>
    <w:rsid w:val="52880638"/>
    <w:rsid w:val="528A2602"/>
    <w:rsid w:val="528B0128"/>
    <w:rsid w:val="528B1ED6"/>
    <w:rsid w:val="52911BE2"/>
    <w:rsid w:val="52946FDD"/>
    <w:rsid w:val="52972F71"/>
    <w:rsid w:val="52992845"/>
    <w:rsid w:val="52AB4AE5"/>
    <w:rsid w:val="52B07B8F"/>
    <w:rsid w:val="52C33D66"/>
    <w:rsid w:val="52D65847"/>
    <w:rsid w:val="52DC2732"/>
    <w:rsid w:val="52E066C6"/>
    <w:rsid w:val="52F061DD"/>
    <w:rsid w:val="52F91536"/>
    <w:rsid w:val="53095690"/>
    <w:rsid w:val="53105563"/>
    <w:rsid w:val="532365B3"/>
    <w:rsid w:val="5325232B"/>
    <w:rsid w:val="532A16EF"/>
    <w:rsid w:val="53373E0C"/>
    <w:rsid w:val="533802B0"/>
    <w:rsid w:val="53387573"/>
    <w:rsid w:val="533B06A1"/>
    <w:rsid w:val="533E01FD"/>
    <w:rsid w:val="534053B7"/>
    <w:rsid w:val="53456529"/>
    <w:rsid w:val="53476745"/>
    <w:rsid w:val="5349426B"/>
    <w:rsid w:val="535B3F9E"/>
    <w:rsid w:val="53794425"/>
    <w:rsid w:val="537D0937"/>
    <w:rsid w:val="537D42F8"/>
    <w:rsid w:val="53813E89"/>
    <w:rsid w:val="53876B42"/>
    <w:rsid w:val="53964FD7"/>
    <w:rsid w:val="53980D4F"/>
    <w:rsid w:val="539B439B"/>
    <w:rsid w:val="539F3E8B"/>
    <w:rsid w:val="53A01F83"/>
    <w:rsid w:val="53A476F3"/>
    <w:rsid w:val="53AA2830"/>
    <w:rsid w:val="53B13BBE"/>
    <w:rsid w:val="53B4137A"/>
    <w:rsid w:val="53B51901"/>
    <w:rsid w:val="53B84F4D"/>
    <w:rsid w:val="53CA4C80"/>
    <w:rsid w:val="53CE651E"/>
    <w:rsid w:val="53D31D87"/>
    <w:rsid w:val="53DA1367"/>
    <w:rsid w:val="53E13AAD"/>
    <w:rsid w:val="53E421E6"/>
    <w:rsid w:val="53E775E0"/>
    <w:rsid w:val="53EC109A"/>
    <w:rsid w:val="53EE4E13"/>
    <w:rsid w:val="53F57F4F"/>
    <w:rsid w:val="540006A2"/>
    <w:rsid w:val="541008E5"/>
    <w:rsid w:val="54104D89"/>
    <w:rsid w:val="54105C34"/>
    <w:rsid w:val="54131A38"/>
    <w:rsid w:val="54244390"/>
    <w:rsid w:val="543842E0"/>
    <w:rsid w:val="54470A2A"/>
    <w:rsid w:val="544E15C7"/>
    <w:rsid w:val="5457371B"/>
    <w:rsid w:val="545804DE"/>
    <w:rsid w:val="545A6004"/>
    <w:rsid w:val="545D78A2"/>
    <w:rsid w:val="547A0454"/>
    <w:rsid w:val="549332C4"/>
    <w:rsid w:val="54980C95"/>
    <w:rsid w:val="54A57C78"/>
    <w:rsid w:val="54AA0D3A"/>
    <w:rsid w:val="54B2490E"/>
    <w:rsid w:val="54CD636F"/>
    <w:rsid w:val="54D67D81"/>
    <w:rsid w:val="54E62E5E"/>
    <w:rsid w:val="54E72244"/>
    <w:rsid w:val="54EF0E42"/>
    <w:rsid w:val="54FE2E33"/>
    <w:rsid w:val="55061CE8"/>
    <w:rsid w:val="55154158"/>
    <w:rsid w:val="55164621"/>
    <w:rsid w:val="55197C6D"/>
    <w:rsid w:val="551A278D"/>
    <w:rsid w:val="551C0F1F"/>
    <w:rsid w:val="552705DC"/>
    <w:rsid w:val="552F7491"/>
    <w:rsid w:val="5533207E"/>
    <w:rsid w:val="553625CD"/>
    <w:rsid w:val="553B4087"/>
    <w:rsid w:val="55482300"/>
    <w:rsid w:val="55517407"/>
    <w:rsid w:val="55654C60"/>
    <w:rsid w:val="55684751"/>
    <w:rsid w:val="55805F3E"/>
    <w:rsid w:val="55935C72"/>
    <w:rsid w:val="55945546"/>
    <w:rsid w:val="559D43FA"/>
    <w:rsid w:val="55A03EEB"/>
    <w:rsid w:val="55AF412E"/>
    <w:rsid w:val="55AF4167"/>
    <w:rsid w:val="55B33C1E"/>
    <w:rsid w:val="55D02A22"/>
    <w:rsid w:val="55D63DB0"/>
    <w:rsid w:val="55D933BA"/>
    <w:rsid w:val="55DC2BDF"/>
    <w:rsid w:val="55DC3184"/>
    <w:rsid w:val="55E069DD"/>
    <w:rsid w:val="55E22755"/>
    <w:rsid w:val="55F54236"/>
    <w:rsid w:val="55F81F79"/>
    <w:rsid w:val="55FA184D"/>
    <w:rsid w:val="55FC102D"/>
    <w:rsid w:val="56026953"/>
    <w:rsid w:val="56116B96"/>
    <w:rsid w:val="56150435"/>
    <w:rsid w:val="562C577E"/>
    <w:rsid w:val="563F1955"/>
    <w:rsid w:val="56526728"/>
    <w:rsid w:val="565C42B5"/>
    <w:rsid w:val="565F7902"/>
    <w:rsid w:val="56630B3C"/>
    <w:rsid w:val="56640369"/>
    <w:rsid w:val="56847368"/>
    <w:rsid w:val="5689497F"/>
    <w:rsid w:val="569A6B8C"/>
    <w:rsid w:val="56A874FB"/>
    <w:rsid w:val="56A93273"/>
    <w:rsid w:val="56AF0889"/>
    <w:rsid w:val="56B57E6A"/>
    <w:rsid w:val="56B7773E"/>
    <w:rsid w:val="56BE6D1E"/>
    <w:rsid w:val="56CA56C3"/>
    <w:rsid w:val="56CD51B3"/>
    <w:rsid w:val="56E542AB"/>
    <w:rsid w:val="56EE3F4D"/>
    <w:rsid w:val="56EE58C1"/>
    <w:rsid w:val="56F02C50"/>
    <w:rsid w:val="56F049FE"/>
    <w:rsid w:val="56F444EE"/>
    <w:rsid w:val="56F84C9B"/>
    <w:rsid w:val="57034731"/>
    <w:rsid w:val="571E156B"/>
    <w:rsid w:val="57203535"/>
    <w:rsid w:val="572A655F"/>
    <w:rsid w:val="573568B4"/>
    <w:rsid w:val="57544F8D"/>
    <w:rsid w:val="576176AA"/>
    <w:rsid w:val="57631674"/>
    <w:rsid w:val="5765363E"/>
    <w:rsid w:val="57664CC0"/>
    <w:rsid w:val="576A2A02"/>
    <w:rsid w:val="576B22D6"/>
    <w:rsid w:val="5778511F"/>
    <w:rsid w:val="577A2E03"/>
    <w:rsid w:val="578735B4"/>
    <w:rsid w:val="578C5AC2"/>
    <w:rsid w:val="57A51C8C"/>
    <w:rsid w:val="57A53A3A"/>
    <w:rsid w:val="57AF2B0B"/>
    <w:rsid w:val="57B40121"/>
    <w:rsid w:val="57B41ECF"/>
    <w:rsid w:val="57B819BF"/>
    <w:rsid w:val="57BC2B32"/>
    <w:rsid w:val="57BD0D84"/>
    <w:rsid w:val="57BE4AFC"/>
    <w:rsid w:val="57C77E54"/>
    <w:rsid w:val="57D367F9"/>
    <w:rsid w:val="57D83E10"/>
    <w:rsid w:val="57D85BBE"/>
    <w:rsid w:val="57DE3AC7"/>
    <w:rsid w:val="57E26A3C"/>
    <w:rsid w:val="57E9601D"/>
    <w:rsid w:val="57F624E8"/>
    <w:rsid w:val="57F769AB"/>
    <w:rsid w:val="57FF75EE"/>
    <w:rsid w:val="58005114"/>
    <w:rsid w:val="58084289"/>
    <w:rsid w:val="580C5867"/>
    <w:rsid w:val="582232DD"/>
    <w:rsid w:val="582241C7"/>
    <w:rsid w:val="58276B45"/>
    <w:rsid w:val="58306D73"/>
    <w:rsid w:val="58331046"/>
    <w:rsid w:val="58403763"/>
    <w:rsid w:val="584119B5"/>
    <w:rsid w:val="584274DB"/>
    <w:rsid w:val="587D7469"/>
    <w:rsid w:val="588632F1"/>
    <w:rsid w:val="588B70D4"/>
    <w:rsid w:val="58A12453"/>
    <w:rsid w:val="58A2132E"/>
    <w:rsid w:val="58A81A34"/>
    <w:rsid w:val="58AA2D6A"/>
    <w:rsid w:val="58B73A25"/>
    <w:rsid w:val="58CD3249"/>
    <w:rsid w:val="58CF5213"/>
    <w:rsid w:val="58D77C23"/>
    <w:rsid w:val="58D8399B"/>
    <w:rsid w:val="58D97E3F"/>
    <w:rsid w:val="58E6430A"/>
    <w:rsid w:val="58E7018E"/>
    <w:rsid w:val="58EE0969"/>
    <w:rsid w:val="58F5279F"/>
    <w:rsid w:val="58FC58DC"/>
    <w:rsid w:val="590029F6"/>
    <w:rsid w:val="59097FF9"/>
    <w:rsid w:val="590C2C90"/>
    <w:rsid w:val="59262D7C"/>
    <w:rsid w:val="59275DC1"/>
    <w:rsid w:val="59282B75"/>
    <w:rsid w:val="592D3CE7"/>
    <w:rsid w:val="594442CC"/>
    <w:rsid w:val="594554D5"/>
    <w:rsid w:val="594D4389"/>
    <w:rsid w:val="594F5DC7"/>
    <w:rsid w:val="5954396A"/>
    <w:rsid w:val="59592D2E"/>
    <w:rsid w:val="5960230F"/>
    <w:rsid w:val="59682F71"/>
    <w:rsid w:val="59720278"/>
    <w:rsid w:val="597422EF"/>
    <w:rsid w:val="597B0EF6"/>
    <w:rsid w:val="59927FEE"/>
    <w:rsid w:val="59941FB8"/>
    <w:rsid w:val="59965D30"/>
    <w:rsid w:val="59A0095D"/>
    <w:rsid w:val="59A85A64"/>
    <w:rsid w:val="59C75EEA"/>
    <w:rsid w:val="59C81C62"/>
    <w:rsid w:val="59CA07A2"/>
    <w:rsid w:val="59CA59DA"/>
    <w:rsid w:val="59CC3500"/>
    <w:rsid w:val="59CF4D9E"/>
    <w:rsid w:val="59EA1BD8"/>
    <w:rsid w:val="59EA31D2"/>
    <w:rsid w:val="59F17967"/>
    <w:rsid w:val="59FE5684"/>
    <w:rsid w:val="5A1D3D5C"/>
    <w:rsid w:val="5A1F5D26"/>
    <w:rsid w:val="5A221372"/>
    <w:rsid w:val="5A272E2C"/>
    <w:rsid w:val="5A3410A5"/>
    <w:rsid w:val="5A386DE8"/>
    <w:rsid w:val="5A3D43FE"/>
    <w:rsid w:val="5A461504"/>
    <w:rsid w:val="5A581238"/>
    <w:rsid w:val="5A582C25"/>
    <w:rsid w:val="5A5C0D28"/>
    <w:rsid w:val="5A5F25C6"/>
    <w:rsid w:val="5A6220B6"/>
    <w:rsid w:val="5A623E64"/>
    <w:rsid w:val="5A6574B1"/>
    <w:rsid w:val="5A7A2F5C"/>
    <w:rsid w:val="5A7D47FA"/>
    <w:rsid w:val="5A8C0EE1"/>
    <w:rsid w:val="5A8E07B6"/>
    <w:rsid w:val="5A9B2ED2"/>
    <w:rsid w:val="5A9F0C15"/>
    <w:rsid w:val="5AA1498D"/>
    <w:rsid w:val="5AC35E74"/>
    <w:rsid w:val="5ACE32A8"/>
    <w:rsid w:val="5AD20FEA"/>
    <w:rsid w:val="5AF32D0E"/>
    <w:rsid w:val="5AF70A51"/>
    <w:rsid w:val="5B0166A4"/>
    <w:rsid w:val="5B0171D9"/>
    <w:rsid w:val="5B027B34"/>
    <w:rsid w:val="5B044F1C"/>
    <w:rsid w:val="5B057597"/>
    <w:rsid w:val="5B0B0058"/>
    <w:rsid w:val="5B0E18F6"/>
    <w:rsid w:val="5B215ACE"/>
    <w:rsid w:val="5B2B1B4F"/>
    <w:rsid w:val="5B2B24A8"/>
    <w:rsid w:val="5B2D7FCE"/>
    <w:rsid w:val="5B307ABF"/>
    <w:rsid w:val="5B3752F1"/>
    <w:rsid w:val="5B433C96"/>
    <w:rsid w:val="5B465534"/>
    <w:rsid w:val="5B4A6DD2"/>
    <w:rsid w:val="5B5E63DA"/>
    <w:rsid w:val="5B615ECA"/>
    <w:rsid w:val="5B6F6839"/>
    <w:rsid w:val="5B767BC7"/>
    <w:rsid w:val="5B85605C"/>
    <w:rsid w:val="5B863B83"/>
    <w:rsid w:val="5B8B1199"/>
    <w:rsid w:val="5B8C35DA"/>
    <w:rsid w:val="5B962018"/>
    <w:rsid w:val="5BAB5397"/>
    <w:rsid w:val="5BAD110F"/>
    <w:rsid w:val="5BBB7CD0"/>
    <w:rsid w:val="5BC621D1"/>
    <w:rsid w:val="5BEA2363"/>
    <w:rsid w:val="5BEA6A68"/>
    <w:rsid w:val="5BEF1728"/>
    <w:rsid w:val="5BF07935"/>
    <w:rsid w:val="5BF91030"/>
    <w:rsid w:val="5C044841"/>
    <w:rsid w:val="5C084598"/>
    <w:rsid w:val="5C0C121C"/>
    <w:rsid w:val="5C174686"/>
    <w:rsid w:val="5C1F66ED"/>
    <w:rsid w:val="5C245113"/>
    <w:rsid w:val="5C2C297C"/>
    <w:rsid w:val="5C3E1C45"/>
    <w:rsid w:val="5C401F83"/>
    <w:rsid w:val="5C425CFC"/>
    <w:rsid w:val="5C441A74"/>
    <w:rsid w:val="5C4E46A0"/>
    <w:rsid w:val="5C5123E2"/>
    <w:rsid w:val="5C553C81"/>
    <w:rsid w:val="5C675762"/>
    <w:rsid w:val="5C7D6D34"/>
    <w:rsid w:val="5C841E70"/>
    <w:rsid w:val="5C950521"/>
    <w:rsid w:val="5C952C56"/>
    <w:rsid w:val="5C966047"/>
    <w:rsid w:val="5C9A5B38"/>
    <w:rsid w:val="5C9B365E"/>
    <w:rsid w:val="5C9F314E"/>
    <w:rsid w:val="5CC11316"/>
    <w:rsid w:val="5CE648D9"/>
    <w:rsid w:val="5CFC0D7F"/>
    <w:rsid w:val="5CFF599B"/>
    <w:rsid w:val="5D07484F"/>
    <w:rsid w:val="5D0D6309"/>
    <w:rsid w:val="5D1551BE"/>
    <w:rsid w:val="5D172CE4"/>
    <w:rsid w:val="5D186A5C"/>
    <w:rsid w:val="5D1A4582"/>
    <w:rsid w:val="5D1C479E"/>
    <w:rsid w:val="5D235B2D"/>
    <w:rsid w:val="5D28138B"/>
    <w:rsid w:val="5D333896"/>
    <w:rsid w:val="5D3513BC"/>
    <w:rsid w:val="5D3B5B20"/>
    <w:rsid w:val="5D4A130C"/>
    <w:rsid w:val="5D521F6E"/>
    <w:rsid w:val="5D5932FD"/>
    <w:rsid w:val="5D5E0913"/>
    <w:rsid w:val="5D5F28DD"/>
    <w:rsid w:val="5D6F2B20"/>
    <w:rsid w:val="5D7243BE"/>
    <w:rsid w:val="5D924A61"/>
    <w:rsid w:val="5D9461B1"/>
    <w:rsid w:val="5DA27B3F"/>
    <w:rsid w:val="5DA97507"/>
    <w:rsid w:val="5DB26EB1"/>
    <w:rsid w:val="5DB93D9B"/>
    <w:rsid w:val="5DC07A7B"/>
    <w:rsid w:val="5DC57031"/>
    <w:rsid w:val="5DCF4E34"/>
    <w:rsid w:val="5DD24E5D"/>
    <w:rsid w:val="5DE352BC"/>
    <w:rsid w:val="5DE3706A"/>
    <w:rsid w:val="5DFB43B4"/>
    <w:rsid w:val="5E1F6577"/>
    <w:rsid w:val="5E2751A9"/>
    <w:rsid w:val="5E2A2EEB"/>
    <w:rsid w:val="5E420AAC"/>
    <w:rsid w:val="5E4D2736"/>
    <w:rsid w:val="5E4E6BDA"/>
    <w:rsid w:val="5E5341F0"/>
    <w:rsid w:val="5E587A58"/>
    <w:rsid w:val="5E653F23"/>
    <w:rsid w:val="5E671A49"/>
    <w:rsid w:val="5E734892"/>
    <w:rsid w:val="5E79177D"/>
    <w:rsid w:val="5E810BA6"/>
    <w:rsid w:val="5E856373"/>
    <w:rsid w:val="5E8720EC"/>
    <w:rsid w:val="5E8C7702"/>
    <w:rsid w:val="5E916AC6"/>
    <w:rsid w:val="5E9465B6"/>
    <w:rsid w:val="5E993BCD"/>
    <w:rsid w:val="5EA22A81"/>
    <w:rsid w:val="5EBA601D"/>
    <w:rsid w:val="5EC23124"/>
    <w:rsid w:val="5EC92704"/>
    <w:rsid w:val="5ECB022A"/>
    <w:rsid w:val="5ED115B9"/>
    <w:rsid w:val="5ED6097D"/>
    <w:rsid w:val="5ED8076E"/>
    <w:rsid w:val="5EF7101F"/>
    <w:rsid w:val="5EFC4888"/>
    <w:rsid w:val="5EFD415C"/>
    <w:rsid w:val="5F0223DF"/>
    <w:rsid w:val="5F13397F"/>
    <w:rsid w:val="5F1A4D0E"/>
    <w:rsid w:val="5F2711D9"/>
    <w:rsid w:val="5F2C67EF"/>
    <w:rsid w:val="5F2E6A0B"/>
    <w:rsid w:val="5F3C4C84"/>
    <w:rsid w:val="5F426012"/>
    <w:rsid w:val="5F430EAA"/>
    <w:rsid w:val="5F434264"/>
    <w:rsid w:val="5F4F0E5B"/>
    <w:rsid w:val="5F5521EA"/>
    <w:rsid w:val="5F697A43"/>
    <w:rsid w:val="5F6E5059"/>
    <w:rsid w:val="5F772160"/>
    <w:rsid w:val="5F7F7267"/>
    <w:rsid w:val="5F8328B3"/>
    <w:rsid w:val="5F85487D"/>
    <w:rsid w:val="5F8E66A7"/>
    <w:rsid w:val="5F911DE1"/>
    <w:rsid w:val="5F953A22"/>
    <w:rsid w:val="5F9604A2"/>
    <w:rsid w:val="5FBA310F"/>
    <w:rsid w:val="5FC37153"/>
    <w:rsid w:val="5FC66C44"/>
    <w:rsid w:val="5FC8476A"/>
    <w:rsid w:val="5FCD1D80"/>
    <w:rsid w:val="5FCF5AF8"/>
    <w:rsid w:val="5FD0361E"/>
    <w:rsid w:val="5FD27396"/>
    <w:rsid w:val="5FE12EA7"/>
    <w:rsid w:val="600A6B30"/>
    <w:rsid w:val="60161979"/>
    <w:rsid w:val="60193217"/>
    <w:rsid w:val="60196D73"/>
    <w:rsid w:val="601B2AEB"/>
    <w:rsid w:val="602700FB"/>
    <w:rsid w:val="602816AC"/>
    <w:rsid w:val="603B13E0"/>
    <w:rsid w:val="604D4C6F"/>
    <w:rsid w:val="604E1113"/>
    <w:rsid w:val="60561D75"/>
    <w:rsid w:val="6056529D"/>
    <w:rsid w:val="606049A2"/>
    <w:rsid w:val="606D5311"/>
    <w:rsid w:val="606F222F"/>
    <w:rsid w:val="60732927"/>
    <w:rsid w:val="607641C6"/>
    <w:rsid w:val="60791F08"/>
    <w:rsid w:val="6083281C"/>
    <w:rsid w:val="608332BF"/>
    <w:rsid w:val="608A5EC3"/>
    <w:rsid w:val="608F34D9"/>
    <w:rsid w:val="60932FCA"/>
    <w:rsid w:val="609805E0"/>
    <w:rsid w:val="6098413C"/>
    <w:rsid w:val="60986E03"/>
    <w:rsid w:val="609F196E"/>
    <w:rsid w:val="60A228E3"/>
    <w:rsid w:val="60B13450"/>
    <w:rsid w:val="60B30F76"/>
    <w:rsid w:val="60C018E5"/>
    <w:rsid w:val="60CE4002"/>
    <w:rsid w:val="60D31618"/>
    <w:rsid w:val="60D62EB6"/>
    <w:rsid w:val="60DB04CD"/>
    <w:rsid w:val="60E23609"/>
    <w:rsid w:val="60ED3999"/>
    <w:rsid w:val="60EE1FAE"/>
    <w:rsid w:val="60EF14A1"/>
    <w:rsid w:val="61047A23"/>
    <w:rsid w:val="611834CF"/>
    <w:rsid w:val="611D0AE5"/>
    <w:rsid w:val="611F485D"/>
    <w:rsid w:val="61241E74"/>
    <w:rsid w:val="613F6CAD"/>
    <w:rsid w:val="61406582"/>
    <w:rsid w:val="61453B98"/>
    <w:rsid w:val="61475B62"/>
    <w:rsid w:val="615B73DD"/>
    <w:rsid w:val="616715F3"/>
    <w:rsid w:val="61722BDF"/>
    <w:rsid w:val="617A1A94"/>
    <w:rsid w:val="618608EB"/>
    <w:rsid w:val="618B1EF3"/>
    <w:rsid w:val="61946FF9"/>
    <w:rsid w:val="61954B1F"/>
    <w:rsid w:val="61970898"/>
    <w:rsid w:val="619863BE"/>
    <w:rsid w:val="61A067CD"/>
    <w:rsid w:val="61AB4343"/>
    <w:rsid w:val="61AB60F1"/>
    <w:rsid w:val="61AE56B0"/>
    <w:rsid w:val="61B97002"/>
    <w:rsid w:val="61C176C2"/>
    <w:rsid w:val="61C6117D"/>
    <w:rsid w:val="61D03DA9"/>
    <w:rsid w:val="61D513C0"/>
    <w:rsid w:val="61D746EE"/>
    <w:rsid w:val="61DA69D6"/>
    <w:rsid w:val="61DC44FC"/>
    <w:rsid w:val="61F47A98"/>
    <w:rsid w:val="61FA2BD4"/>
    <w:rsid w:val="6200643D"/>
    <w:rsid w:val="62092E18"/>
    <w:rsid w:val="620B3141"/>
    <w:rsid w:val="620D6DAC"/>
    <w:rsid w:val="62147075"/>
    <w:rsid w:val="6218367B"/>
    <w:rsid w:val="621859F6"/>
    <w:rsid w:val="62233ED9"/>
    <w:rsid w:val="62314424"/>
    <w:rsid w:val="623A1223"/>
    <w:rsid w:val="623B6EE5"/>
    <w:rsid w:val="623E51B7"/>
    <w:rsid w:val="623E6F65"/>
    <w:rsid w:val="625978FB"/>
    <w:rsid w:val="625D7CED"/>
    <w:rsid w:val="6269700B"/>
    <w:rsid w:val="627969DE"/>
    <w:rsid w:val="627E55B4"/>
    <w:rsid w:val="62894684"/>
    <w:rsid w:val="628C7CD0"/>
    <w:rsid w:val="629728D0"/>
    <w:rsid w:val="6299063F"/>
    <w:rsid w:val="629D0130"/>
    <w:rsid w:val="62A019CE"/>
    <w:rsid w:val="62AF289C"/>
    <w:rsid w:val="62B92A90"/>
    <w:rsid w:val="62CB12B3"/>
    <w:rsid w:val="62D84CC4"/>
    <w:rsid w:val="62DE6052"/>
    <w:rsid w:val="62E01DCA"/>
    <w:rsid w:val="62F02C67"/>
    <w:rsid w:val="62F15D85"/>
    <w:rsid w:val="62F85366"/>
    <w:rsid w:val="62FE04A2"/>
    <w:rsid w:val="632223E3"/>
    <w:rsid w:val="63302D52"/>
    <w:rsid w:val="63367C3C"/>
    <w:rsid w:val="633A3BD0"/>
    <w:rsid w:val="633B34A5"/>
    <w:rsid w:val="63493E13"/>
    <w:rsid w:val="634D30EB"/>
    <w:rsid w:val="634E1806"/>
    <w:rsid w:val="634F4020"/>
    <w:rsid w:val="63514A76"/>
    <w:rsid w:val="63576530"/>
    <w:rsid w:val="635D78BF"/>
    <w:rsid w:val="635F53E5"/>
    <w:rsid w:val="636B5B38"/>
    <w:rsid w:val="637349EC"/>
    <w:rsid w:val="638E2034"/>
    <w:rsid w:val="63901A42"/>
    <w:rsid w:val="63B027A8"/>
    <w:rsid w:val="63B219B9"/>
    <w:rsid w:val="63B514A9"/>
    <w:rsid w:val="63B53257"/>
    <w:rsid w:val="63BF5E84"/>
    <w:rsid w:val="63C27722"/>
    <w:rsid w:val="63D336DD"/>
    <w:rsid w:val="63D57455"/>
    <w:rsid w:val="63F26259"/>
    <w:rsid w:val="64177A6E"/>
    <w:rsid w:val="641937E6"/>
    <w:rsid w:val="642B3519"/>
    <w:rsid w:val="64300B2F"/>
    <w:rsid w:val="643C5726"/>
    <w:rsid w:val="643E3F88"/>
    <w:rsid w:val="646B7DB9"/>
    <w:rsid w:val="647245C0"/>
    <w:rsid w:val="64740A1C"/>
    <w:rsid w:val="64917820"/>
    <w:rsid w:val="64997215"/>
    <w:rsid w:val="64AB531F"/>
    <w:rsid w:val="64B5303D"/>
    <w:rsid w:val="64CA2D32"/>
    <w:rsid w:val="64D140C0"/>
    <w:rsid w:val="64D911C7"/>
    <w:rsid w:val="64DE058B"/>
    <w:rsid w:val="64DF4A2F"/>
    <w:rsid w:val="64E5191A"/>
    <w:rsid w:val="64E57193"/>
    <w:rsid w:val="65116479"/>
    <w:rsid w:val="65183A9D"/>
    <w:rsid w:val="65240694"/>
    <w:rsid w:val="652F4F6A"/>
    <w:rsid w:val="653308D7"/>
    <w:rsid w:val="653351B5"/>
    <w:rsid w:val="65687DE0"/>
    <w:rsid w:val="656F7435"/>
    <w:rsid w:val="6578453C"/>
    <w:rsid w:val="65862C4E"/>
    <w:rsid w:val="658B24C1"/>
    <w:rsid w:val="658E5B0E"/>
    <w:rsid w:val="65945585"/>
    <w:rsid w:val="659B647C"/>
    <w:rsid w:val="65A26342"/>
    <w:rsid w:val="65A43583"/>
    <w:rsid w:val="65B65064"/>
    <w:rsid w:val="65BD2897"/>
    <w:rsid w:val="65C47781"/>
    <w:rsid w:val="65D025CA"/>
    <w:rsid w:val="65D06126"/>
    <w:rsid w:val="65D40990"/>
    <w:rsid w:val="65DF5E81"/>
    <w:rsid w:val="65F362B8"/>
    <w:rsid w:val="66100C18"/>
    <w:rsid w:val="661204ED"/>
    <w:rsid w:val="661822C9"/>
    <w:rsid w:val="66187ACD"/>
    <w:rsid w:val="661C75BD"/>
    <w:rsid w:val="66240220"/>
    <w:rsid w:val="662E109F"/>
    <w:rsid w:val="663012BB"/>
    <w:rsid w:val="66344907"/>
    <w:rsid w:val="66383CCB"/>
    <w:rsid w:val="66425679"/>
    <w:rsid w:val="664E34EF"/>
    <w:rsid w:val="66507267"/>
    <w:rsid w:val="66553D56"/>
    <w:rsid w:val="666920D7"/>
    <w:rsid w:val="666B22F3"/>
    <w:rsid w:val="668F5FE1"/>
    <w:rsid w:val="669E4476"/>
    <w:rsid w:val="669E7FD2"/>
    <w:rsid w:val="66A82BFF"/>
    <w:rsid w:val="66A852F5"/>
    <w:rsid w:val="66B402DE"/>
    <w:rsid w:val="66B5531C"/>
    <w:rsid w:val="66C043ED"/>
    <w:rsid w:val="66C537B1"/>
    <w:rsid w:val="66C8504F"/>
    <w:rsid w:val="66D63C10"/>
    <w:rsid w:val="66DC0AFB"/>
    <w:rsid w:val="66E0683D"/>
    <w:rsid w:val="66F45E44"/>
    <w:rsid w:val="66F66060"/>
    <w:rsid w:val="66FF55A5"/>
    <w:rsid w:val="67156D28"/>
    <w:rsid w:val="672506F4"/>
    <w:rsid w:val="672E57FA"/>
    <w:rsid w:val="673152EA"/>
    <w:rsid w:val="67401089"/>
    <w:rsid w:val="674566A0"/>
    <w:rsid w:val="67582877"/>
    <w:rsid w:val="675D66C9"/>
    <w:rsid w:val="675F3C06"/>
    <w:rsid w:val="676905E0"/>
    <w:rsid w:val="676A25AA"/>
    <w:rsid w:val="677A0A3F"/>
    <w:rsid w:val="678E0047"/>
    <w:rsid w:val="67980EC5"/>
    <w:rsid w:val="67B0620F"/>
    <w:rsid w:val="67B105BB"/>
    <w:rsid w:val="67B11F87"/>
    <w:rsid w:val="67B57CC9"/>
    <w:rsid w:val="67DC5256"/>
    <w:rsid w:val="67E81E4D"/>
    <w:rsid w:val="67F24A7A"/>
    <w:rsid w:val="67F72090"/>
    <w:rsid w:val="67FD3861"/>
    <w:rsid w:val="67FD51CC"/>
    <w:rsid w:val="68103152"/>
    <w:rsid w:val="68183DB4"/>
    <w:rsid w:val="681A3FD0"/>
    <w:rsid w:val="681A5D7E"/>
    <w:rsid w:val="6821710D"/>
    <w:rsid w:val="68264723"/>
    <w:rsid w:val="682664D1"/>
    <w:rsid w:val="683F57E5"/>
    <w:rsid w:val="683F7593"/>
    <w:rsid w:val="68435CC2"/>
    <w:rsid w:val="68460921"/>
    <w:rsid w:val="684626D0"/>
    <w:rsid w:val="68541290"/>
    <w:rsid w:val="68572B2F"/>
    <w:rsid w:val="68637725"/>
    <w:rsid w:val="68684D3C"/>
    <w:rsid w:val="6874548F"/>
    <w:rsid w:val="687A681D"/>
    <w:rsid w:val="688F22C8"/>
    <w:rsid w:val="68974CF3"/>
    <w:rsid w:val="689C49E5"/>
    <w:rsid w:val="689E075E"/>
    <w:rsid w:val="689E250C"/>
    <w:rsid w:val="68A35D74"/>
    <w:rsid w:val="68A61808"/>
    <w:rsid w:val="68AF64C7"/>
    <w:rsid w:val="68B41D2F"/>
    <w:rsid w:val="68B7181F"/>
    <w:rsid w:val="68BE670A"/>
    <w:rsid w:val="68C36416"/>
    <w:rsid w:val="68D47A7B"/>
    <w:rsid w:val="68DC3034"/>
    <w:rsid w:val="68EC771B"/>
    <w:rsid w:val="68F47452"/>
    <w:rsid w:val="69124926"/>
    <w:rsid w:val="69194288"/>
    <w:rsid w:val="691C674B"/>
    <w:rsid w:val="692F13B6"/>
    <w:rsid w:val="69336EC0"/>
    <w:rsid w:val="693966D8"/>
    <w:rsid w:val="69474951"/>
    <w:rsid w:val="694A4441"/>
    <w:rsid w:val="694E3F32"/>
    <w:rsid w:val="695E1C9B"/>
    <w:rsid w:val="69605A13"/>
    <w:rsid w:val="69635503"/>
    <w:rsid w:val="69676588"/>
    <w:rsid w:val="696C085C"/>
    <w:rsid w:val="696C43B8"/>
    <w:rsid w:val="6982669F"/>
    <w:rsid w:val="69847953"/>
    <w:rsid w:val="69870695"/>
    <w:rsid w:val="69931944"/>
    <w:rsid w:val="69A47FF6"/>
    <w:rsid w:val="69BE2739"/>
    <w:rsid w:val="69C077E4"/>
    <w:rsid w:val="69C266CE"/>
    <w:rsid w:val="69C515DF"/>
    <w:rsid w:val="69D16911"/>
    <w:rsid w:val="69D34437"/>
    <w:rsid w:val="69DD3507"/>
    <w:rsid w:val="69EA352F"/>
    <w:rsid w:val="6A0171F6"/>
    <w:rsid w:val="6A0C16F7"/>
    <w:rsid w:val="6A0C577D"/>
    <w:rsid w:val="6A0E36C1"/>
    <w:rsid w:val="6A114F5F"/>
    <w:rsid w:val="6A2053BC"/>
    <w:rsid w:val="6A242EE4"/>
    <w:rsid w:val="6A266C5C"/>
    <w:rsid w:val="6A4423BD"/>
    <w:rsid w:val="6A4610AD"/>
    <w:rsid w:val="6A481A1F"/>
    <w:rsid w:val="6A521800"/>
    <w:rsid w:val="6A58493C"/>
    <w:rsid w:val="6A5A06B4"/>
    <w:rsid w:val="6A687275"/>
    <w:rsid w:val="6A690733"/>
    <w:rsid w:val="6A8A71EB"/>
    <w:rsid w:val="6AC13E0A"/>
    <w:rsid w:val="6ACD70D8"/>
    <w:rsid w:val="6AD95A7D"/>
    <w:rsid w:val="6ADC37BF"/>
    <w:rsid w:val="6AE2752D"/>
    <w:rsid w:val="6AE83F12"/>
    <w:rsid w:val="6AFE3735"/>
    <w:rsid w:val="6AFE54E3"/>
    <w:rsid w:val="6B080110"/>
    <w:rsid w:val="6B0F3C40"/>
    <w:rsid w:val="6B277D09"/>
    <w:rsid w:val="6B282560"/>
    <w:rsid w:val="6B347157"/>
    <w:rsid w:val="6B3B2294"/>
    <w:rsid w:val="6B3D24B0"/>
    <w:rsid w:val="6B4078AA"/>
    <w:rsid w:val="6B454EC0"/>
    <w:rsid w:val="6B5B46E4"/>
    <w:rsid w:val="6B5E5F82"/>
    <w:rsid w:val="6B661CC7"/>
    <w:rsid w:val="6B680BAF"/>
    <w:rsid w:val="6B6932A5"/>
    <w:rsid w:val="6B6D2669"/>
    <w:rsid w:val="6B712159"/>
    <w:rsid w:val="6B7357E7"/>
    <w:rsid w:val="6B767770"/>
    <w:rsid w:val="6B7E4876"/>
    <w:rsid w:val="6B811C71"/>
    <w:rsid w:val="6BA74224"/>
    <w:rsid w:val="6BB25CB0"/>
    <w:rsid w:val="6BCF626D"/>
    <w:rsid w:val="6BD10E4A"/>
    <w:rsid w:val="6BDD334B"/>
    <w:rsid w:val="6BEA3CBA"/>
    <w:rsid w:val="6BF32B6E"/>
    <w:rsid w:val="6BFC4436"/>
    <w:rsid w:val="6C046B2A"/>
    <w:rsid w:val="6C066695"/>
    <w:rsid w:val="6C066D46"/>
    <w:rsid w:val="6C0B435C"/>
    <w:rsid w:val="6C16685D"/>
    <w:rsid w:val="6C1F1BB5"/>
    <w:rsid w:val="6C2471CC"/>
    <w:rsid w:val="6C276CBC"/>
    <w:rsid w:val="6C292A34"/>
    <w:rsid w:val="6C2C1AD7"/>
    <w:rsid w:val="6C2C5C03"/>
    <w:rsid w:val="6C315445"/>
    <w:rsid w:val="6C354F35"/>
    <w:rsid w:val="6C3A254B"/>
    <w:rsid w:val="6C3C4515"/>
    <w:rsid w:val="6C411B2C"/>
    <w:rsid w:val="6C494E84"/>
    <w:rsid w:val="6C5C4BB7"/>
    <w:rsid w:val="6C6677E4"/>
    <w:rsid w:val="6C766597"/>
    <w:rsid w:val="6C7A503E"/>
    <w:rsid w:val="6C81017A"/>
    <w:rsid w:val="6C90660F"/>
    <w:rsid w:val="6C9360FF"/>
    <w:rsid w:val="6CA05809"/>
    <w:rsid w:val="6CAB169B"/>
    <w:rsid w:val="6CB24EA6"/>
    <w:rsid w:val="6CB467A2"/>
    <w:rsid w:val="6CB5251A"/>
    <w:rsid w:val="6CC14A1B"/>
    <w:rsid w:val="6CCB4ED2"/>
    <w:rsid w:val="6CCB7647"/>
    <w:rsid w:val="6CD56718"/>
    <w:rsid w:val="6CE626D3"/>
    <w:rsid w:val="6CF21078"/>
    <w:rsid w:val="6CF46B9E"/>
    <w:rsid w:val="6CF748E0"/>
    <w:rsid w:val="6CF92406"/>
    <w:rsid w:val="6CF941B4"/>
    <w:rsid w:val="6CFD5A40"/>
    <w:rsid w:val="6D0A561B"/>
    <w:rsid w:val="6D17288C"/>
    <w:rsid w:val="6D2531FB"/>
    <w:rsid w:val="6D254FA9"/>
    <w:rsid w:val="6D260D22"/>
    <w:rsid w:val="6D2D20B0"/>
    <w:rsid w:val="6D321474"/>
    <w:rsid w:val="6D3276C6"/>
    <w:rsid w:val="6D396CA7"/>
    <w:rsid w:val="6D3C0545"/>
    <w:rsid w:val="6D4B2536"/>
    <w:rsid w:val="6D5E2269"/>
    <w:rsid w:val="6D604233"/>
    <w:rsid w:val="6D627F42"/>
    <w:rsid w:val="6D6830E8"/>
    <w:rsid w:val="6D741A8D"/>
    <w:rsid w:val="6D817984"/>
    <w:rsid w:val="6D8617C0"/>
    <w:rsid w:val="6D9E6B0A"/>
    <w:rsid w:val="6DA3193B"/>
    <w:rsid w:val="6DA32372"/>
    <w:rsid w:val="6DAA3701"/>
    <w:rsid w:val="6DBC51E2"/>
    <w:rsid w:val="6DC04CD2"/>
    <w:rsid w:val="6DCF3167"/>
    <w:rsid w:val="6DE42159"/>
    <w:rsid w:val="6DFB3F5C"/>
    <w:rsid w:val="6E02353D"/>
    <w:rsid w:val="6E03790D"/>
    <w:rsid w:val="6E146DCC"/>
    <w:rsid w:val="6E201C15"/>
    <w:rsid w:val="6E250FD9"/>
    <w:rsid w:val="6E3A0D27"/>
    <w:rsid w:val="6E414065"/>
    <w:rsid w:val="6E427DDD"/>
    <w:rsid w:val="6E453429"/>
    <w:rsid w:val="6E494CC8"/>
    <w:rsid w:val="6E4E0530"/>
    <w:rsid w:val="6E4E6782"/>
    <w:rsid w:val="6E5378F4"/>
    <w:rsid w:val="6E553FAA"/>
    <w:rsid w:val="6E632386"/>
    <w:rsid w:val="6E681920"/>
    <w:rsid w:val="6E7D2BC3"/>
    <w:rsid w:val="6E9028F6"/>
    <w:rsid w:val="6E934195"/>
    <w:rsid w:val="6E950894"/>
    <w:rsid w:val="6E9879FD"/>
    <w:rsid w:val="6E9B061F"/>
    <w:rsid w:val="6EA2087C"/>
    <w:rsid w:val="6EAD34A8"/>
    <w:rsid w:val="6EB81E4D"/>
    <w:rsid w:val="6EBD6BCC"/>
    <w:rsid w:val="6ED2131D"/>
    <w:rsid w:val="6ED30A35"/>
    <w:rsid w:val="6EDC3D8E"/>
    <w:rsid w:val="6EE63CC9"/>
    <w:rsid w:val="6EE964AB"/>
    <w:rsid w:val="6EF235B1"/>
    <w:rsid w:val="6F176B74"/>
    <w:rsid w:val="6F282B2F"/>
    <w:rsid w:val="6F285225"/>
    <w:rsid w:val="6F2F0361"/>
    <w:rsid w:val="6F345978"/>
    <w:rsid w:val="6F347726"/>
    <w:rsid w:val="6F3605AF"/>
    <w:rsid w:val="6F3C2A7E"/>
    <w:rsid w:val="6F4162E7"/>
    <w:rsid w:val="6F4B4A6F"/>
    <w:rsid w:val="6F563B40"/>
    <w:rsid w:val="6F5D2174"/>
    <w:rsid w:val="6F6124E5"/>
    <w:rsid w:val="6F6B6EC0"/>
    <w:rsid w:val="6F6C1C36"/>
    <w:rsid w:val="6F6D2C38"/>
    <w:rsid w:val="6F6F69B0"/>
    <w:rsid w:val="6F822668"/>
    <w:rsid w:val="6F871F4B"/>
    <w:rsid w:val="6F9F4BD8"/>
    <w:rsid w:val="6FA7439C"/>
    <w:rsid w:val="6FA83C70"/>
    <w:rsid w:val="6FB16FC8"/>
    <w:rsid w:val="6FB70357"/>
    <w:rsid w:val="6FCD36D6"/>
    <w:rsid w:val="6FCF56A0"/>
    <w:rsid w:val="6FD40F09"/>
    <w:rsid w:val="6FE32EFA"/>
    <w:rsid w:val="6FEA4288"/>
    <w:rsid w:val="6FEB7E9A"/>
    <w:rsid w:val="6FF24427"/>
    <w:rsid w:val="70161521"/>
    <w:rsid w:val="7019691C"/>
    <w:rsid w:val="7027728A"/>
    <w:rsid w:val="70291255"/>
    <w:rsid w:val="702D7E69"/>
    <w:rsid w:val="70313C65"/>
    <w:rsid w:val="70441BEA"/>
    <w:rsid w:val="704E0CBB"/>
    <w:rsid w:val="70521005"/>
    <w:rsid w:val="705B6F34"/>
    <w:rsid w:val="705F6A24"/>
    <w:rsid w:val="7064403B"/>
    <w:rsid w:val="70651B61"/>
    <w:rsid w:val="707015BF"/>
    <w:rsid w:val="707A560C"/>
    <w:rsid w:val="707D6EAA"/>
    <w:rsid w:val="70967F6C"/>
    <w:rsid w:val="70974410"/>
    <w:rsid w:val="709C192B"/>
    <w:rsid w:val="709D6BE9"/>
    <w:rsid w:val="70A42689"/>
    <w:rsid w:val="70B17B25"/>
    <w:rsid w:val="70B31D4F"/>
    <w:rsid w:val="70B36D70"/>
    <w:rsid w:val="70B4359C"/>
    <w:rsid w:val="70B623BC"/>
    <w:rsid w:val="70B71E90"/>
    <w:rsid w:val="70B86135"/>
    <w:rsid w:val="70BB15FC"/>
    <w:rsid w:val="70BF5715"/>
    <w:rsid w:val="70CB230C"/>
    <w:rsid w:val="70DC5E3E"/>
    <w:rsid w:val="70DF36C1"/>
    <w:rsid w:val="70F06942"/>
    <w:rsid w:val="7105497D"/>
    <w:rsid w:val="71145A61"/>
    <w:rsid w:val="71193077"/>
    <w:rsid w:val="711A294B"/>
    <w:rsid w:val="711E068D"/>
    <w:rsid w:val="71225C0C"/>
    <w:rsid w:val="71297032"/>
    <w:rsid w:val="712E63F7"/>
    <w:rsid w:val="713E488C"/>
    <w:rsid w:val="714F58DD"/>
    <w:rsid w:val="71526589"/>
    <w:rsid w:val="715E4F2E"/>
    <w:rsid w:val="716D5171"/>
    <w:rsid w:val="718030F6"/>
    <w:rsid w:val="718801FD"/>
    <w:rsid w:val="71970440"/>
    <w:rsid w:val="71A16BC9"/>
    <w:rsid w:val="71B763EC"/>
    <w:rsid w:val="71B96608"/>
    <w:rsid w:val="71BB412E"/>
    <w:rsid w:val="71BC3A02"/>
    <w:rsid w:val="71BE3C1E"/>
    <w:rsid w:val="71D376CA"/>
    <w:rsid w:val="71D46F9E"/>
    <w:rsid w:val="71D945B4"/>
    <w:rsid w:val="71DA4F0E"/>
    <w:rsid w:val="71E573FD"/>
    <w:rsid w:val="71E73175"/>
    <w:rsid w:val="71F87130"/>
    <w:rsid w:val="720D425E"/>
    <w:rsid w:val="72111FA0"/>
    <w:rsid w:val="721455EC"/>
    <w:rsid w:val="72165809"/>
    <w:rsid w:val="72253C9E"/>
    <w:rsid w:val="722A4E10"/>
    <w:rsid w:val="722F148A"/>
    <w:rsid w:val="723041AE"/>
    <w:rsid w:val="72312642"/>
    <w:rsid w:val="7238752D"/>
    <w:rsid w:val="723B0DCB"/>
    <w:rsid w:val="723D2D95"/>
    <w:rsid w:val="723D4B43"/>
    <w:rsid w:val="72402885"/>
    <w:rsid w:val="724063E2"/>
    <w:rsid w:val="724A3704"/>
    <w:rsid w:val="72516841"/>
    <w:rsid w:val="725400DF"/>
    <w:rsid w:val="726245AA"/>
    <w:rsid w:val="72691DDC"/>
    <w:rsid w:val="727662A7"/>
    <w:rsid w:val="72834520"/>
    <w:rsid w:val="72870682"/>
    <w:rsid w:val="72895FDA"/>
    <w:rsid w:val="729624A5"/>
    <w:rsid w:val="729F75AC"/>
    <w:rsid w:val="72A46970"/>
    <w:rsid w:val="72B648F6"/>
    <w:rsid w:val="72BB015E"/>
    <w:rsid w:val="72C13E76"/>
    <w:rsid w:val="72C25048"/>
    <w:rsid w:val="72C60FDD"/>
    <w:rsid w:val="72CC5EC7"/>
    <w:rsid w:val="72D279C2"/>
    <w:rsid w:val="72D51220"/>
    <w:rsid w:val="72DD00D4"/>
    <w:rsid w:val="73013DC3"/>
    <w:rsid w:val="7318735E"/>
    <w:rsid w:val="731C0BFD"/>
    <w:rsid w:val="731D6723"/>
    <w:rsid w:val="731E2BC7"/>
    <w:rsid w:val="73242CBC"/>
    <w:rsid w:val="733817AF"/>
    <w:rsid w:val="73465A0F"/>
    <w:rsid w:val="73487C44"/>
    <w:rsid w:val="734D7008"/>
    <w:rsid w:val="73522870"/>
    <w:rsid w:val="7353032E"/>
    <w:rsid w:val="735859AD"/>
    <w:rsid w:val="735A1725"/>
    <w:rsid w:val="735C36EF"/>
    <w:rsid w:val="736405AF"/>
    <w:rsid w:val="736F189D"/>
    <w:rsid w:val="737F73DD"/>
    <w:rsid w:val="7386251A"/>
    <w:rsid w:val="739C1D3D"/>
    <w:rsid w:val="73A52FF1"/>
    <w:rsid w:val="73A806E2"/>
    <w:rsid w:val="73AF381F"/>
    <w:rsid w:val="73B2330F"/>
    <w:rsid w:val="73B54BAD"/>
    <w:rsid w:val="73BD72EC"/>
    <w:rsid w:val="73C6500C"/>
    <w:rsid w:val="73C80D84"/>
    <w:rsid w:val="73CE30A1"/>
    <w:rsid w:val="73D414D7"/>
    <w:rsid w:val="73D56FFD"/>
    <w:rsid w:val="73D96AEE"/>
    <w:rsid w:val="73DC038C"/>
    <w:rsid w:val="73DC65DE"/>
    <w:rsid w:val="73E31BE1"/>
    <w:rsid w:val="73EA0CFB"/>
    <w:rsid w:val="73EA4857"/>
    <w:rsid w:val="73F904D2"/>
    <w:rsid w:val="74145D78"/>
    <w:rsid w:val="74154B74"/>
    <w:rsid w:val="741934B1"/>
    <w:rsid w:val="741B7106"/>
    <w:rsid w:val="74256DDA"/>
    <w:rsid w:val="742A7349"/>
    <w:rsid w:val="74312486"/>
    <w:rsid w:val="74343D24"/>
    <w:rsid w:val="74387CB8"/>
    <w:rsid w:val="743B50B2"/>
    <w:rsid w:val="743E1078"/>
    <w:rsid w:val="743E4BA3"/>
    <w:rsid w:val="744A79EB"/>
    <w:rsid w:val="744C72C0"/>
    <w:rsid w:val="744E128A"/>
    <w:rsid w:val="744F0B5E"/>
    <w:rsid w:val="7452064E"/>
    <w:rsid w:val="745F3497"/>
    <w:rsid w:val="74634609"/>
    <w:rsid w:val="746565D3"/>
    <w:rsid w:val="746F12DC"/>
    <w:rsid w:val="7476258E"/>
    <w:rsid w:val="74764F0F"/>
    <w:rsid w:val="747D391D"/>
    <w:rsid w:val="74842EFD"/>
    <w:rsid w:val="74944905"/>
    <w:rsid w:val="749500E2"/>
    <w:rsid w:val="74B3733F"/>
    <w:rsid w:val="74B51309"/>
    <w:rsid w:val="74B60BDD"/>
    <w:rsid w:val="74B65081"/>
    <w:rsid w:val="74B9247B"/>
    <w:rsid w:val="74CA4688"/>
    <w:rsid w:val="74CF1C9F"/>
    <w:rsid w:val="74D3476F"/>
    <w:rsid w:val="74D95F4E"/>
    <w:rsid w:val="74E56D98"/>
    <w:rsid w:val="74EE0377"/>
    <w:rsid w:val="74F02341"/>
    <w:rsid w:val="751E2445"/>
    <w:rsid w:val="75241FEA"/>
    <w:rsid w:val="75324707"/>
    <w:rsid w:val="753A35BC"/>
    <w:rsid w:val="753D4E5A"/>
    <w:rsid w:val="754206C3"/>
    <w:rsid w:val="75491A51"/>
    <w:rsid w:val="75553BD7"/>
    <w:rsid w:val="75575F1C"/>
    <w:rsid w:val="75640639"/>
    <w:rsid w:val="756845CD"/>
    <w:rsid w:val="75695C4F"/>
    <w:rsid w:val="756B19C7"/>
    <w:rsid w:val="7573776B"/>
    <w:rsid w:val="75846F2D"/>
    <w:rsid w:val="75A31161"/>
    <w:rsid w:val="75BA294F"/>
    <w:rsid w:val="75BE243F"/>
    <w:rsid w:val="75C17839"/>
    <w:rsid w:val="75C612F4"/>
    <w:rsid w:val="75C86E1A"/>
    <w:rsid w:val="75CA2B92"/>
    <w:rsid w:val="75CB4B5C"/>
    <w:rsid w:val="75CB68CD"/>
    <w:rsid w:val="75CF0660"/>
    <w:rsid w:val="75D91027"/>
    <w:rsid w:val="75DA08FB"/>
    <w:rsid w:val="75E83018"/>
    <w:rsid w:val="75EB48B6"/>
    <w:rsid w:val="75F714AD"/>
    <w:rsid w:val="76067942"/>
    <w:rsid w:val="760D2A7F"/>
    <w:rsid w:val="76116A13"/>
    <w:rsid w:val="761A519B"/>
    <w:rsid w:val="761C4DC1"/>
    <w:rsid w:val="762322A2"/>
    <w:rsid w:val="762A1882"/>
    <w:rsid w:val="762B73A9"/>
    <w:rsid w:val="76375D4D"/>
    <w:rsid w:val="763B75EC"/>
    <w:rsid w:val="763E0E8A"/>
    <w:rsid w:val="76430936"/>
    <w:rsid w:val="764A5A81"/>
    <w:rsid w:val="76592168"/>
    <w:rsid w:val="76594441"/>
    <w:rsid w:val="766052A4"/>
    <w:rsid w:val="767F4F40"/>
    <w:rsid w:val="768014A2"/>
    <w:rsid w:val="76830F93"/>
    <w:rsid w:val="76870A83"/>
    <w:rsid w:val="769009DF"/>
    <w:rsid w:val="769211D6"/>
    <w:rsid w:val="7693567A"/>
    <w:rsid w:val="76973313"/>
    <w:rsid w:val="769767EC"/>
    <w:rsid w:val="769A2923"/>
    <w:rsid w:val="769D3E02"/>
    <w:rsid w:val="76A806BB"/>
    <w:rsid w:val="76AE24B4"/>
    <w:rsid w:val="76BA4DD8"/>
    <w:rsid w:val="76BB072D"/>
    <w:rsid w:val="76CC46E8"/>
    <w:rsid w:val="76FC6140"/>
    <w:rsid w:val="76FD6F97"/>
    <w:rsid w:val="770420D4"/>
    <w:rsid w:val="77052B03"/>
    <w:rsid w:val="7709593C"/>
    <w:rsid w:val="77167749"/>
    <w:rsid w:val="77387FCF"/>
    <w:rsid w:val="773A5AF5"/>
    <w:rsid w:val="77427187"/>
    <w:rsid w:val="77446974"/>
    <w:rsid w:val="77534E09"/>
    <w:rsid w:val="77562E9C"/>
    <w:rsid w:val="7759005A"/>
    <w:rsid w:val="775E5C88"/>
    <w:rsid w:val="777234E1"/>
    <w:rsid w:val="777367F2"/>
    <w:rsid w:val="77855630"/>
    <w:rsid w:val="778925D9"/>
    <w:rsid w:val="77A86F03"/>
    <w:rsid w:val="77A94A29"/>
    <w:rsid w:val="77AB254F"/>
    <w:rsid w:val="77B91110"/>
    <w:rsid w:val="77CD6969"/>
    <w:rsid w:val="77D22ACA"/>
    <w:rsid w:val="77D31AA6"/>
    <w:rsid w:val="77DB72D8"/>
    <w:rsid w:val="77F57C6E"/>
    <w:rsid w:val="77FA5285"/>
    <w:rsid w:val="77FC3BDE"/>
    <w:rsid w:val="780305DD"/>
    <w:rsid w:val="78050E23"/>
    <w:rsid w:val="78113211"/>
    <w:rsid w:val="78175E36"/>
    <w:rsid w:val="78342BF3"/>
    <w:rsid w:val="783E3F0D"/>
    <w:rsid w:val="78436C2C"/>
    <w:rsid w:val="784A1D68"/>
    <w:rsid w:val="784B788E"/>
    <w:rsid w:val="785C1A9B"/>
    <w:rsid w:val="785C5C08"/>
    <w:rsid w:val="78623AAE"/>
    <w:rsid w:val="786C7F30"/>
    <w:rsid w:val="786D6849"/>
    <w:rsid w:val="786F17CF"/>
    <w:rsid w:val="787435B1"/>
    <w:rsid w:val="787B0173"/>
    <w:rsid w:val="788162CE"/>
    <w:rsid w:val="78872FBC"/>
    <w:rsid w:val="788937D5"/>
    <w:rsid w:val="788A6608"/>
    <w:rsid w:val="788C2381"/>
    <w:rsid w:val="789631FF"/>
    <w:rsid w:val="78986F77"/>
    <w:rsid w:val="78994A9D"/>
    <w:rsid w:val="789E0306"/>
    <w:rsid w:val="78A27DF6"/>
    <w:rsid w:val="78AA0A59"/>
    <w:rsid w:val="78AF42C1"/>
    <w:rsid w:val="78BC10DB"/>
    <w:rsid w:val="78BD078C"/>
    <w:rsid w:val="78D6357A"/>
    <w:rsid w:val="78D67AA0"/>
    <w:rsid w:val="78D87374"/>
    <w:rsid w:val="78D967A7"/>
    <w:rsid w:val="78E0447A"/>
    <w:rsid w:val="78EF0B61"/>
    <w:rsid w:val="78F33792"/>
    <w:rsid w:val="78FF2017"/>
    <w:rsid w:val="790243F1"/>
    <w:rsid w:val="790E7239"/>
    <w:rsid w:val="790F4D60"/>
    <w:rsid w:val="79112886"/>
    <w:rsid w:val="79202AC9"/>
    <w:rsid w:val="7924080B"/>
    <w:rsid w:val="79294073"/>
    <w:rsid w:val="793547C6"/>
    <w:rsid w:val="793B5B55"/>
    <w:rsid w:val="79440EAD"/>
    <w:rsid w:val="795310F0"/>
    <w:rsid w:val="795B7FA5"/>
    <w:rsid w:val="79652BD2"/>
    <w:rsid w:val="796C5D0E"/>
    <w:rsid w:val="79711576"/>
    <w:rsid w:val="797572B9"/>
    <w:rsid w:val="79823784"/>
    <w:rsid w:val="79871CB8"/>
    <w:rsid w:val="798E3182"/>
    <w:rsid w:val="79A01DB4"/>
    <w:rsid w:val="79A25BD4"/>
    <w:rsid w:val="79A27982"/>
    <w:rsid w:val="79A44EE5"/>
    <w:rsid w:val="79A454A8"/>
    <w:rsid w:val="79A731EA"/>
    <w:rsid w:val="79AE0B68"/>
    <w:rsid w:val="79AE4579"/>
    <w:rsid w:val="79B37DE1"/>
    <w:rsid w:val="79B778D1"/>
    <w:rsid w:val="79B9680A"/>
    <w:rsid w:val="79C124FE"/>
    <w:rsid w:val="79CB5BB7"/>
    <w:rsid w:val="79D4638F"/>
    <w:rsid w:val="79EA1A55"/>
    <w:rsid w:val="79ED50A1"/>
    <w:rsid w:val="79F069C4"/>
    <w:rsid w:val="79FC0865"/>
    <w:rsid w:val="79FF6215"/>
    <w:rsid w:val="7A036672"/>
    <w:rsid w:val="7A08012D"/>
    <w:rsid w:val="7A13262E"/>
    <w:rsid w:val="7A195E96"/>
    <w:rsid w:val="7A266805"/>
    <w:rsid w:val="7A2B3E1B"/>
    <w:rsid w:val="7A2D1941"/>
    <w:rsid w:val="7A2F56B9"/>
    <w:rsid w:val="7A326F58"/>
    <w:rsid w:val="7A3A405E"/>
    <w:rsid w:val="7A4E3666"/>
    <w:rsid w:val="7A527CB8"/>
    <w:rsid w:val="7A5A2E13"/>
    <w:rsid w:val="7A5E5F9F"/>
    <w:rsid w:val="7A7C01D3"/>
    <w:rsid w:val="7A7E03EF"/>
    <w:rsid w:val="7A8157E9"/>
    <w:rsid w:val="7A85352B"/>
    <w:rsid w:val="7A896833"/>
    <w:rsid w:val="7A8B158A"/>
    <w:rsid w:val="7A923E9A"/>
    <w:rsid w:val="7AA35300"/>
    <w:rsid w:val="7AAF2356"/>
    <w:rsid w:val="7ABE4C8F"/>
    <w:rsid w:val="7AC2652D"/>
    <w:rsid w:val="7AC57DCC"/>
    <w:rsid w:val="7ACD6C80"/>
    <w:rsid w:val="7AD4000F"/>
    <w:rsid w:val="7AEC5358"/>
    <w:rsid w:val="7AF34939"/>
    <w:rsid w:val="7AF67F85"/>
    <w:rsid w:val="7B024B7C"/>
    <w:rsid w:val="7B09415C"/>
    <w:rsid w:val="7B0F7299"/>
    <w:rsid w:val="7B1D5512"/>
    <w:rsid w:val="7B231587"/>
    <w:rsid w:val="7B31720F"/>
    <w:rsid w:val="7B3311D9"/>
    <w:rsid w:val="7B365118"/>
    <w:rsid w:val="7B51165F"/>
    <w:rsid w:val="7B573481"/>
    <w:rsid w:val="7B594DD6"/>
    <w:rsid w:val="7B5A6766"/>
    <w:rsid w:val="7B5D0004"/>
    <w:rsid w:val="7B7244ED"/>
    <w:rsid w:val="7B7D06A6"/>
    <w:rsid w:val="7B7D4202"/>
    <w:rsid w:val="7B807A28"/>
    <w:rsid w:val="7B8657AD"/>
    <w:rsid w:val="7B8E4A6C"/>
    <w:rsid w:val="7B927DC3"/>
    <w:rsid w:val="7B933A26"/>
    <w:rsid w:val="7B95779E"/>
    <w:rsid w:val="7B9D48A5"/>
    <w:rsid w:val="7BA501B2"/>
    <w:rsid w:val="7BB10350"/>
    <w:rsid w:val="7BB57E40"/>
    <w:rsid w:val="7BB62781"/>
    <w:rsid w:val="7BC02341"/>
    <w:rsid w:val="7BCA1697"/>
    <w:rsid w:val="7BCB7956"/>
    <w:rsid w:val="7BD227A0"/>
    <w:rsid w:val="7BE269E0"/>
    <w:rsid w:val="7BEE7D17"/>
    <w:rsid w:val="7BF72207"/>
    <w:rsid w:val="7BFD5343"/>
    <w:rsid w:val="7BFE17E7"/>
    <w:rsid w:val="7C036DFE"/>
    <w:rsid w:val="7C0E12FE"/>
    <w:rsid w:val="7C1A3567"/>
    <w:rsid w:val="7C1A4147"/>
    <w:rsid w:val="7C2823C0"/>
    <w:rsid w:val="7C4E5B9F"/>
    <w:rsid w:val="7C6A21AE"/>
    <w:rsid w:val="7C703D67"/>
    <w:rsid w:val="7C72188D"/>
    <w:rsid w:val="7C773348"/>
    <w:rsid w:val="7C7E46D6"/>
    <w:rsid w:val="7C8A63D2"/>
    <w:rsid w:val="7C8F243F"/>
    <w:rsid w:val="7C8F68E3"/>
    <w:rsid w:val="7CB47CBD"/>
    <w:rsid w:val="7CB9570E"/>
    <w:rsid w:val="7CBB76D8"/>
    <w:rsid w:val="7CC55E61"/>
    <w:rsid w:val="7CCA7E1F"/>
    <w:rsid w:val="7CD82038"/>
    <w:rsid w:val="7CDB5685"/>
    <w:rsid w:val="7CE309DD"/>
    <w:rsid w:val="7CE66D10"/>
    <w:rsid w:val="7CE85FF3"/>
    <w:rsid w:val="7CFD5CE2"/>
    <w:rsid w:val="7CFE75C5"/>
    <w:rsid w:val="7D0B7ADE"/>
    <w:rsid w:val="7D0F532E"/>
    <w:rsid w:val="7D1172F8"/>
    <w:rsid w:val="7D1312C2"/>
    <w:rsid w:val="7D140B97"/>
    <w:rsid w:val="7D175ED4"/>
    <w:rsid w:val="7D20753B"/>
    <w:rsid w:val="7D2A660C"/>
    <w:rsid w:val="7D32101D"/>
    <w:rsid w:val="7D376633"/>
    <w:rsid w:val="7D3B25C7"/>
    <w:rsid w:val="7D3F1CBD"/>
    <w:rsid w:val="7D430F88"/>
    <w:rsid w:val="7D5601BA"/>
    <w:rsid w:val="7D561EC5"/>
    <w:rsid w:val="7D567401"/>
    <w:rsid w:val="7D580A83"/>
    <w:rsid w:val="7D627D20"/>
    <w:rsid w:val="7D6C09D3"/>
    <w:rsid w:val="7D6F2271"/>
    <w:rsid w:val="7D7635FF"/>
    <w:rsid w:val="7D7653AD"/>
    <w:rsid w:val="7D7D39E9"/>
    <w:rsid w:val="7D7D673C"/>
    <w:rsid w:val="7D9817C8"/>
    <w:rsid w:val="7D9B00D8"/>
    <w:rsid w:val="7DA57A41"/>
    <w:rsid w:val="7DA939D5"/>
    <w:rsid w:val="7DA95783"/>
    <w:rsid w:val="7DAC7021"/>
    <w:rsid w:val="7DE21A0E"/>
    <w:rsid w:val="7DE247F1"/>
    <w:rsid w:val="7DE95B7F"/>
    <w:rsid w:val="7DEB5D9B"/>
    <w:rsid w:val="7DF84014"/>
    <w:rsid w:val="7E1E32BB"/>
    <w:rsid w:val="7E2056AD"/>
    <w:rsid w:val="7E2D0162"/>
    <w:rsid w:val="7E2E3EDA"/>
    <w:rsid w:val="7E3239CA"/>
    <w:rsid w:val="7E350DC4"/>
    <w:rsid w:val="7E4B683A"/>
    <w:rsid w:val="7E636BDF"/>
    <w:rsid w:val="7E6478FC"/>
    <w:rsid w:val="7E651584"/>
    <w:rsid w:val="7E7318ED"/>
    <w:rsid w:val="7E747B3F"/>
    <w:rsid w:val="7E786F03"/>
    <w:rsid w:val="7E7E09BD"/>
    <w:rsid w:val="7E7F4735"/>
    <w:rsid w:val="7E8458A8"/>
    <w:rsid w:val="7E885398"/>
    <w:rsid w:val="7E927FC5"/>
    <w:rsid w:val="7E9A331D"/>
    <w:rsid w:val="7EA47CF8"/>
    <w:rsid w:val="7EA5419C"/>
    <w:rsid w:val="7EA67F14"/>
    <w:rsid w:val="7EA83C8C"/>
    <w:rsid w:val="7EB52D3C"/>
    <w:rsid w:val="7EBE547D"/>
    <w:rsid w:val="7EC81C39"/>
    <w:rsid w:val="7EC87E8B"/>
    <w:rsid w:val="7EDE76AE"/>
    <w:rsid w:val="7EE50A3C"/>
    <w:rsid w:val="7EF50554"/>
    <w:rsid w:val="7EF96296"/>
    <w:rsid w:val="7F016EF9"/>
    <w:rsid w:val="7F031359"/>
    <w:rsid w:val="7F0F1615"/>
    <w:rsid w:val="7F1D01D6"/>
    <w:rsid w:val="7F2840A2"/>
    <w:rsid w:val="7F286B7B"/>
    <w:rsid w:val="7F2A7CDF"/>
    <w:rsid w:val="7F363046"/>
    <w:rsid w:val="7F385010"/>
    <w:rsid w:val="7F3948E4"/>
    <w:rsid w:val="7F3D2627"/>
    <w:rsid w:val="7F5151E9"/>
    <w:rsid w:val="7F533BF8"/>
    <w:rsid w:val="7F547970"/>
    <w:rsid w:val="7F645E05"/>
    <w:rsid w:val="7F802513"/>
    <w:rsid w:val="7F9B734D"/>
    <w:rsid w:val="7FA36202"/>
    <w:rsid w:val="7FB14DC3"/>
    <w:rsid w:val="7FCC39AA"/>
    <w:rsid w:val="7FE24F7C"/>
    <w:rsid w:val="7FE64D1E"/>
    <w:rsid w:val="7FF01447"/>
    <w:rsid w:val="7FFA5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7">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8">
    <w:name w:val="heading 3"/>
    <w:basedOn w:val="1"/>
    <w:next w:val="1"/>
    <w:qFormat/>
    <w:uiPriority w:val="0"/>
    <w:pPr>
      <w:keepNext/>
      <w:keepLines/>
      <w:spacing w:line="360" w:lineRule="auto"/>
      <w:outlineLvl w:val="2"/>
    </w:pPr>
    <w:rPr>
      <w:b/>
      <w:bCs/>
      <w:sz w:val="24"/>
      <w:szCs w:val="32"/>
    </w:rPr>
  </w:style>
  <w:style w:type="paragraph" w:styleId="9">
    <w:name w:val="heading 4"/>
    <w:basedOn w:val="1"/>
    <w:next w:val="1"/>
    <w:unhideWhenUsed/>
    <w:qFormat/>
    <w:uiPriority w:val="0"/>
    <w:pPr>
      <w:spacing w:before="40" w:after="40" w:line="372" w:lineRule="auto"/>
      <w:ind w:firstLine="0" w:firstLineChars="0"/>
      <w:outlineLvl w:val="3"/>
    </w:pPr>
    <w:rPr>
      <w:rFonts w:ascii="Times New Roman" w:hAnsi="Times New Roman"/>
      <w:b/>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autoRedefine/>
    <w:qFormat/>
    <w:uiPriority w:val="0"/>
    <w:pPr>
      <w:spacing w:line="400" w:lineRule="exact"/>
      <w:ind w:firstLine="0" w:firstLineChars="0"/>
      <w:jc w:val="center"/>
    </w:pPr>
  </w:style>
  <w:style w:type="paragraph" w:styleId="3">
    <w:name w:val="Normal Indent"/>
    <w:basedOn w:val="1"/>
    <w:next w:val="4"/>
    <w:qFormat/>
    <w:uiPriority w:val="0"/>
    <w:pPr>
      <w:ind w:firstLine="420" w:firstLineChars="200"/>
    </w:pPr>
  </w:style>
  <w:style w:type="paragraph" w:styleId="4">
    <w:name w:val="Body Text First Indent 2"/>
    <w:basedOn w:val="5"/>
    <w:next w:val="1"/>
    <w:qFormat/>
    <w:uiPriority w:val="0"/>
    <w:pPr>
      <w:ind w:firstLine="420"/>
    </w:pPr>
    <w:rPr>
      <w:rFonts w:ascii="Calibri" w:hAnsi="Calibri"/>
      <w:szCs w:val="22"/>
    </w:rPr>
  </w:style>
  <w:style w:type="paragraph" w:styleId="5">
    <w:name w:val="Body Text Indent"/>
    <w:basedOn w:val="1"/>
    <w:next w:val="1"/>
    <w:qFormat/>
    <w:uiPriority w:val="0"/>
    <w:pPr>
      <w:spacing w:after="120"/>
      <w:ind w:left="420" w:leftChars="200"/>
    </w:pPr>
    <w:rPr>
      <w:kern w:val="0"/>
      <w:sz w:val="24"/>
      <w:szCs w:val="20"/>
    </w:rPr>
  </w:style>
  <w:style w:type="paragraph" w:styleId="10">
    <w:name w:val="caption"/>
    <w:basedOn w:val="1"/>
    <w:next w:val="1"/>
    <w:qFormat/>
    <w:uiPriority w:val="35"/>
    <w:pPr>
      <w:spacing w:line="360" w:lineRule="auto"/>
      <w:jc w:val="center"/>
    </w:pPr>
    <w:rPr>
      <w:b/>
      <w:sz w:val="24"/>
      <w:szCs w:val="20"/>
    </w:rPr>
  </w:style>
  <w:style w:type="paragraph" w:styleId="11">
    <w:name w:val="annotation text"/>
    <w:basedOn w:val="1"/>
    <w:link w:val="63"/>
    <w:qFormat/>
    <w:uiPriority w:val="0"/>
    <w:pPr>
      <w:jc w:val="left"/>
    </w:pPr>
  </w:style>
  <w:style w:type="paragraph" w:styleId="12">
    <w:name w:val="Body Text 3"/>
    <w:basedOn w:val="1"/>
    <w:qFormat/>
    <w:uiPriority w:val="0"/>
    <w:pPr>
      <w:spacing w:after="120"/>
    </w:pPr>
    <w:rPr>
      <w:sz w:val="16"/>
      <w:szCs w:val="16"/>
    </w:rPr>
  </w:style>
  <w:style w:type="paragraph" w:styleId="13">
    <w:name w:val="Body Text"/>
    <w:basedOn w:val="1"/>
    <w:qFormat/>
    <w:uiPriority w:val="0"/>
    <w:pPr>
      <w:adjustRightInd w:val="0"/>
      <w:snapToGrid w:val="0"/>
      <w:spacing w:after="120"/>
    </w:pPr>
    <w:rPr>
      <w:rFonts w:ascii="Calibri" w:hAnsi="Calibri"/>
    </w:rPr>
  </w:style>
  <w:style w:type="paragraph" w:styleId="14">
    <w:name w:val="List 2"/>
    <w:basedOn w:val="1"/>
    <w:qFormat/>
    <w:uiPriority w:val="0"/>
    <w:pPr>
      <w:adjustRightInd w:val="0"/>
      <w:snapToGrid w:val="0"/>
      <w:spacing w:line="240" w:lineRule="auto"/>
      <w:ind w:firstLine="0" w:firstLineChars="0"/>
      <w:jc w:val="center"/>
      <w:outlineLvl w:val="9"/>
    </w:pPr>
    <w:rPr>
      <w:sz w:val="21"/>
      <w:szCs w:val="20"/>
    </w:rPr>
  </w:style>
  <w:style w:type="paragraph" w:styleId="15">
    <w:name w:val="Plain Text"/>
    <w:basedOn w:val="1"/>
    <w:next w:val="1"/>
    <w:qFormat/>
    <w:uiPriority w:val="0"/>
    <w:rPr>
      <w:rFonts w:ascii="宋体" w:hAnsi="Courier New"/>
      <w:szCs w:val="21"/>
    </w:rPr>
  </w:style>
  <w:style w:type="paragraph" w:styleId="16">
    <w:name w:val="List Bullet 5"/>
    <w:basedOn w:val="1"/>
    <w:qFormat/>
    <w:uiPriority w:val="0"/>
    <w:pPr>
      <w:numPr>
        <w:ilvl w:val="0"/>
        <w:numId w:val="1"/>
      </w:numPr>
    </w:pPr>
  </w:style>
  <w:style w:type="paragraph" w:styleId="17">
    <w:name w:val="Body Text Indent 2"/>
    <w:basedOn w:val="1"/>
    <w:next w:val="18"/>
    <w:qFormat/>
    <w:uiPriority w:val="0"/>
    <w:pPr>
      <w:ind w:firstLine="560"/>
    </w:pPr>
    <w:rPr>
      <w:rFonts w:ascii="宋体"/>
      <w:color w:val="FF0000"/>
      <w:kern w:val="0"/>
      <w:sz w:val="28"/>
      <w:szCs w:val="28"/>
    </w:rPr>
  </w:style>
  <w:style w:type="paragraph" w:customStyle="1" w:styleId="18">
    <w:name w:val="表格文字"/>
    <w:basedOn w:val="1"/>
    <w:qFormat/>
    <w:uiPriority w:val="0"/>
    <w:pPr>
      <w:spacing w:line="300" w:lineRule="exact"/>
      <w:jc w:val="center"/>
    </w:pPr>
    <w:rPr>
      <w:rFonts w:ascii="宋体"/>
      <w:kern w:val="0"/>
      <w:szCs w:val="32"/>
    </w:rPr>
  </w:style>
  <w:style w:type="paragraph" w:styleId="19">
    <w:name w:val="Balloon Text"/>
    <w:basedOn w:val="1"/>
    <w:semiHidden/>
    <w:qFormat/>
    <w:uiPriority w:val="0"/>
    <w:rPr>
      <w:kern w:val="0"/>
      <w:sz w:val="18"/>
      <w:szCs w:val="20"/>
    </w:rPr>
  </w:style>
  <w:style w:type="paragraph" w:styleId="20">
    <w:name w:val="footer"/>
    <w:basedOn w:val="1"/>
    <w:qFormat/>
    <w:uiPriority w:val="99"/>
    <w:pPr>
      <w:tabs>
        <w:tab w:val="center" w:pos="4153"/>
        <w:tab w:val="right" w:pos="8306"/>
      </w:tabs>
      <w:snapToGrid w:val="0"/>
      <w:jc w:val="left"/>
    </w:pPr>
    <w:rPr>
      <w:kern w:val="0"/>
      <w:sz w:val="18"/>
      <w:szCs w:val="20"/>
    </w:rPr>
  </w:style>
  <w:style w:type="paragraph" w:styleId="21">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2">
    <w:name w:val="List Number 5"/>
    <w:basedOn w:val="1"/>
    <w:qFormat/>
    <w:uiPriority w:val="0"/>
    <w:pPr>
      <w:numPr>
        <w:ilvl w:val="0"/>
        <w:numId w:val="2"/>
      </w:numPr>
    </w:pPr>
  </w:style>
  <w:style w:type="paragraph" w:styleId="23">
    <w:name w:val="Body Text Indent 3"/>
    <w:basedOn w:val="1"/>
    <w:qFormat/>
    <w:uiPriority w:val="0"/>
    <w:pPr>
      <w:snapToGrid w:val="0"/>
      <w:spacing w:line="500" w:lineRule="exact"/>
      <w:ind w:firstLine="540"/>
    </w:pPr>
    <w:rPr>
      <w:rFonts w:ascii="宋体" w:hAnsi="宋体"/>
      <w:sz w:val="28"/>
    </w:rPr>
  </w:style>
  <w:style w:type="paragraph" w:styleId="24">
    <w:name w:val="toc 2"/>
    <w:basedOn w:val="1"/>
    <w:next w:val="1"/>
    <w:qFormat/>
    <w:uiPriority w:val="0"/>
    <w:pPr>
      <w:ind w:left="420" w:leftChars="200"/>
    </w:pPr>
  </w:style>
  <w:style w:type="paragraph" w:styleId="25">
    <w:name w:val="Body Text 2"/>
    <w:basedOn w:val="1"/>
    <w:unhideWhenUsed/>
    <w:qFormat/>
    <w:uiPriority w:val="99"/>
    <w:pPr>
      <w:spacing w:after="120" w:line="480" w:lineRule="auto"/>
    </w:pPr>
  </w:style>
  <w:style w:type="paragraph" w:styleId="26">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7">
    <w:name w:val="annotation subject"/>
    <w:basedOn w:val="11"/>
    <w:next w:val="11"/>
    <w:link w:val="64"/>
    <w:qFormat/>
    <w:uiPriority w:val="0"/>
    <w:rPr>
      <w:b/>
      <w:bCs/>
    </w:rPr>
  </w:style>
  <w:style w:type="paragraph" w:styleId="28">
    <w:name w:val="Body Text First Indent"/>
    <w:basedOn w:val="13"/>
    <w:next w:val="1"/>
    <w:qFormat/>
    <w:uiPriority w:val="0"/>
    <w:pPr>
      <w:ind w:firstLine="420" w:firstLineChars="100"/>
    </w:p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page number"/>
    <w:basedOn w:val="31"/>
    <w:qFormat/>
    <w:uiPriority w:val="0"/>
  </w:style>
  <w:style w:type="character" w:styleId="33">
    <w:name w:val="Hyperlink"/>
    <w:qFormat/>
    <w:uiPriority w:val="0"/>
    <w:rPr>
      <w:color w:val="595758"/>
      <w:u w:val="none"/>
    </w:rPr>
  </w:style>
  <w:style w:type="character" w:styleId="34">
    <w:name w:val="annotation reference"/>
    <w:basedOn w:val="31"/>
    <w:qFormat/>
    <w:uiPriority w:val="0"/>
    <w:rPr>
      <w:sz w:val="21"/>
      <w:szCs w:val="21"/>
    </w:rPr>
  </w:style>
  <w:style w:type="paragraph" w:customStyle="1" w:styleId="35">
    <w:name w:val="正文首行缩进 21"/>
    <w:basedOn w:val="36"/>
    <w:next w:val="13"/>
    <w:qFormat/>
    <w:uiPriority w:val="0"/>
    <w:pPr>
      <w:spacing w:after="120"/>
      <w:ind w:left="420" w:leftChars="200" w:firstLine="420" w:firstLineChars="200"/>
    </w:pPr>
    <w:rPr>
      <w:sz w:val="21"/>
    </w:rPr>
  </w:style>
  <w:style w:type="paragraph" w:customStyle="1" w:styleId="36">
    <w:name w:val="正文文本缩进1"/>
    <w:basedOn w:val="1"/>
    <w:qFormat/>
    <w:uiPriority w:val="0"/>
    <w:pPr>
      <w:ind w:firstLine="538" w:firstLineChars="192"/>
    </w:pPr>
    <w:rPr>
      <w:kern w:val="0"/>
      <w:sz w:val="28"/>
    </w:rPr>
  </w:style>
  <w:style w:type="paragraph" w:customStyle="1" w:styleId="37">
    <w:name w:val="Default"/>
    <w:basedOn w:val="38"/>
    <w:next w:val="13"/>
    <w:qFormat/>
    <w:uiPriority w:val="0"/>
    <w:pPr>
      <w:tabs>
        <w:tab w:val="left" w:pos="1845"/>
      </w:tabs>
      <w:autoSpaceDE w:val="0"/>
      <w:autoSpaceDN w:val="0"/>
    </w:pPr>
    <w:rPr>
      <w:rFonts w:ascii="宋体" w:cs="宋体"/>
      <w:sz w:val="24"/>
    </w:rPr>
  </w:style>
  <w:style w:type="paragraph" w:customStyle="1" w:styleId="38">
    <w:name w:val="纯文本1"/>
    <w:qFormat/>
    <w:uiPriority w:val="0"/>
    <w:pPr>
      <w:widowControl w:val="0"/>
      <w:tabs>
        <w:tab w:val="left" w:pos="1845"/>
      </w:tabs>
      <w:spacing w:line="240" w:lineRule="exact"/>
      <w:jc w:val="center"/>
    </w:pPr>
    <w:rPr>
      <w:rFonts w:asciiTheme="minorHAnsi" w:hAnsiTheme="minorHAnsi" w:eastAsiaTheme="minorEastAsia" w:cstheme="minorBidi"/>
      <w:kern w:val="2"/>
      <w:sz w:val="18"/>
      <w:szCs w:val="24"/>
      <w:lang w:val="en-US" w:eastAsia="zh-CN" w:bidi="ar-SA"/>
    </w:rPr>
  </w:style>
  <w:style w:type="paragraph" w:customStyle="1" w:styleId="39">
    <w:name w:val="1 表头"/>
    <w:basedOn w:val="1"/>
    <w:qFormat/>
    <w:uiPriority w:val="0"/>
    <w:pPr>
      <w:adjustRightInd w:val="0"/>
      <w:snapToGrid w:val="0"/>
      <w:jc w:val="center"/>
    </w:pPr>
    <w:rPr>
      <w:b/>
      <w:color w:val="000000"/>
      <w:szCs w:val="21"/>
    </w:rPr>
  </w:style>
  <w:style w:type="paragraph" w:customStyle="1" w:styleId="40">
    <w:name w:val="标题2"/>
    <w:basedOn w:val="1"/>
    <w:qFormat/>
    <w:uiPriority w:val="99"/>
    <w:rPr>
      <w:b/>
      <w:sz w:val="28"/>
    </w:rPr>
  </w:style>
  <w:style w:type="paragraph" w:customStyle="1" w:styleId="4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sz w:val="18"/>
      <w:szCs w:val="18"/>
    </w:rPr>
  </w:style>
  <w:style w:type="paragraph" w:customStyle="1" w:styleId="42">
    <w:name w:val="正文新"/>
    <w:basedOn w:val="1"/>
    <w:qFormat/>
    <w:uiPriority w:val="0"/>
    <w:pPr>
      <w:spacing w:line="460" w:lineRule="exact"/>
      <w:ind w:firstLine="480" w:firstLineChars="200"/>
    </w:pPr>
    <w:rPr>
      <w:sz w:val="24"/>
    </w:rPr>
  </w:style>
  <w:style w:type="paragraph" w:customStyle="1" w:styleId="43">
    <w:name w:val="表头"/>
    <w:basedOn w:val="3"/>
    <w:qFormat/>
    <w:uiPriority w:val="0"/>
    <w:pPr>
      <w:jc w:val="center"/>
    </w:pPr>
    <w:rPr>
      <w:rFonts w:hint="eastAsia"/>
      <w:b/>
      <w:bCs/>
      <w:szCs w:val="21"/>
    </w:rPr>
  </w:style>
  <w:style w:type="paragraph" w:customStyle="1" w:styleId="44">
    <w:name w:val="正文1"/>
    <w:basedOn w:val="3"/>
    <w:next w:val="3"/>
    <w:qFormat/>
    <w:uiPriority w:val="0"/>
    <w:pPr>
      <w:ind w:firstLine="480"/>
    </w:pPr>
    <w:rPr>
      <w:rFonts w:hAnsi="宋体"/>
      <w:lang w:val="zh-CN"/>
    </w:rPr>
  </w:style>
  <w:style w:type="paragraph" w:customStyle="1" w:styleId="45">
    <w:name w:val="德源报告表表格"/>
    <w:qFormat/>
    <w:uiPriority w:val="0"/>
    <w:pPr>
      <w:adjustRightInd w:val="0"/>
      <w:snapToGrid w:val="0"/>
      <w:spacing w:line="360" w:lineRule="exact"/>
      <w:jc w:val="center"/>
    </w:pPr>
    <w:rPr>
      <w:rFonts w:ascii="Times New Roman" w:hAnsi="Times New Roman" w:eastAsia="宋体" w:cs="Times New Roman"/>
      <w:snapToGrid w:val="0"/>
      <w:sz w:val="21"/>
      <w:szCs w:val="21"/>
      <w:lang w:val="en-US" w:eastAsia="zh-CN" w:bidi="ar-SA"/>
    </w:rPr>
  </w:style>
  <w:style w:type="paragraph" w:customStyle="1" w:styleId="46">
    <w:name w:val="环评正文"/>
    <w:basedOn w:val="1"/>
    <w:qFormat/>
    <w:uiPriority w:val="0"/>
    <w:pPr>
      <w:autoSpaceDE w:val="0"/>
      <w:autoSpaceDN w:val="0"/>
      <w:adjustRightInd w:val="0"/>
      <w:snapToGrid w:val="0"/>
      <w:spacing w:line="360" w:lineRule="auto"/>
      <w:ind w:firstLine="200" w:firstLineChars="200"/>
    </w:pPr>
    <w:rPr>
      <w:rFonts w:cs="宋体"/>
      <w:kern w:val="0"/>
      <w:sz w:val="24"/>
      <w:szCs w:val="21"/>
    </w:rPr>
  </w:style>
  <w:style w:type="paragraph" w:customStyle="1" w:styleId="47">
    <w:name w:val="表格正文"/>
    <w:basedOn w:val="48"/>
    <w:qFormat/>
    <w:uiPriority w:val="0"/>
    <w:pPr>
      <w:wordWrap w:val="0"/>
    </w:pPr>
    <w:rPr>
      <w:b w:val="0"/>
    </w:rPr>
  </w:style>
  <w:style w:type="paragraph" w:customStyle="1" w:styleId="48">
    <w:name w:val="表格标题"/>
    <w:basedOn w:val="43"/>
    <w:qFormat/>
    <w:uiPriority w:val="0"/>
    <w:rPr>
      <w:rFonts w:hint="default"/>
    </w:rPr>
  </w:style>
  <w:style w:type="paragraph" w:customStyle="1" w:styleId="49">
    <w:name w:val="报告表标题"/>
    <w:basedOn w:val="1"/>
    <w:qFormat/>
    <w:uiPriority w:val="0"/>
    <w:pPr>
      <w:widowControl/>
      <w:numPr>
        <w:ilvl w:val="0"/>
        <w:numId w:val="3"/>
      </w:numPr>
      <w:jc w:val="left"/>
    </w:pPr>
    <w:rPr>
      <w:rFonts w:ascii="仿宋_GB2312" w:hAnsi="仿宋_GB2312"/>
      <w:kern w:val="0"/>
      <w:sz w:val="24"/>
    </w:rPr>
  </w:style>
  <w:style w:type="paragraph" w:customStyle="1" w:styleId="50">
    <w:name w:val="正文 小四 行距: 1.5 倍行距"/>
    <w:basedOn w:val="1"/>
    <w:qFormat/>
    <w:uiPriority w:val="0"/>
    <w:pPr>
      <w:spacing w:line="360" w:lineRule="auto"/>
      <w:ind w:firstLine="480" w:firstLineChars="200"/>
    </w:pPr>
    <w:rPr>
      <w:rFonts w:cs="宋体"/>
      <w:sz w:val="24"/>
      <w:szCs w:val="20"/>
    </w:rPr>
  </w:style>
  <w:style w:type="paragraph" w:styleId="51">
    <w:name w:val="List Paragraph"/>
    <w:basedOn w:val="1"/>
    <w:qFormat/>
    <w:uiPriority w:val="34"/>
    <w:pPr>
      <w:ind w:firstLine="420" w:firstLineChars="200"/>
    </w:pPr>
  </w:style>
  <w:style w:type="paragraph" w:customStyle="1" w:styleId="52">
    <w:name w:val="报告表正文"/>
    <w:basedOn w:val="53"/>
    <w:qFormat/>
    <w:uiPriority w:val="0"/>
    <w:pPr>
      <w:adjustRightInd w:val="0"/>
      <w:ind w:firstLine="482"/>
      <w:textAlignment w:val="baseline"/>
    </w:pPr>
  </w:style>
  <w:style w:type="paragraph" w:customStyle="1" w:styleId="53">
    <w:name w:val="报告正文"/>
    <w:basedOn w:val="54"/>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54">
    <w:name w:val="p17"/>
    <w:basedOn w:val="1"/>
    <w:qFormat/>
    <w:uiPriority w:val="0"/>
    <w:pPr>
      <w:widowControl/>
    </w:pPr>
    <w:rPr>
      <w:rFonts w:ascii="宋体" w:hAnsi="宋体" w:cs="宋体"/>
      <w:kern w:val="0"/>
      <w:szCs w:val="21"/>
    </w:rPr>
  </w:style>
  <w:style w:type="paragraph" w:customStyle="1" w:styleId="55">
    <w:name w:val="表格"/>
    <w:basedOn w:val="26"/>
    <w:next w:val="1"/>
    <w:qFormat/>
    <w:uiPriority w:val="0"/>
    <w:pPr>
      <w:adjustRightInd w:val="0"/>
      <w:snapToGrid w:val="0"/>
      <w:spacing w:before="10" w:beforeLines="10" w:after="10" w:afterLines="10" w:line="259" w:lineRule="auto"/>
    </w:pPr>
  </w:style>
  <w:style w:type="paragraph" w:customStyle="1" w:styleId="56">
    <w:name w:val="正文(首行缩进)"/>
    <w:basedOn w:val="1"/>
    <w:next w:val="1"/>
    <w:qFormat/>
    <w:uiPriority w:val="0"/>
    <w:pPr>
      <w:spacing w:line="360" w:lineRule="auto"/>
      <w:ind w:firstLine="540" w:firstLineChars="225"/>
    </w:pPr>
    <w:rPr>
      <w:snapToGrid w:val="0"/>
      <w:color w:val="000000"/>
      <w:sz w:val="24"/>
    </w:rPr>
  </w:style>
  <w:style w:type="paragraph" w:customStyle="1" w:styleId="57">
    <w:name w:val="环评标题"/>
    <w:basedOn w:val="46"/>
    <w:qFormat/>
    <w:uiPriority w:val="0"/>
    <w:pPr>
      <w:ind w:firstLine="0" w:firstLineChars="0"/>
    </w:pPr>
    <w:rPr>
      <w:b/>
    </w:rPr>
  </w:style>
  <w:style w:type="paragraph" w:customStyle="1" w:styleId="58">
    <w:name w:val="M正文"/>
    <w:basedOn w:val="1"/>
    <w:qFormat/>
    <w:uiPriority w:val="0"/>
    <w:pPr>
      <w:ind w:firstLine="200"/>
    </w:pPr>
    <w:rPr>
      <w:szCs w:val="21"/>
    </w:rPr>
  </w:style>
  <w:style w:type="paragraph" w:customStyle="1" w:styleId="59">
    <w:name w:val="文本"/>
    <w:basedOn w:val="1"/>
    <w:qFormat/>
    <w:uiPriority w:val="0"/>
    <w:pPr>
      <w:adjustRightInd w:val="0"/>
      <w:snapToGrid w:val="0"/>
      <w:spacing w:line="360" w:lineRule="auto"/>
      <w:ind w:firstLine="480" w:firstLineChars="200"/>
      <w:jc w:val="left"/>
    </w:pPr>
    <w:rPr>
      <w:rFonts w:ascii="Calibri" w:hAnsi="Calibri"/>
      <w:sz w:val="24"/>
    </w:rPr>
  </w:style>
  <w:style w:type="paragraph" w:customStyle="1" w:styleId="60">
    <w:name w:val="表格字体"/>
    <w:basedOn w:val="1"/>
    <w:qFormat/>
    <w:uiPriority w:val="0"/>
    <w:pPr>
      <w:adjustRightInd w:val="0"/>
      <w:snapToGrid w:val="0"/>
      <w:jc w:val="center"/>
    </w:pPr>
    <w:rPr>
      <w:rFonts w:hint="eastAsia"/>
    </w:rPr>
  </w:style>
  <w:style w:type="paragraph" w:customStyle="1" w:styleId="61">
    <w:name w:val="报告书正文"/>
    <w:basedOn w:val="15"/>
    <w:qFormat/>
    <w:uiPriority w:val="0"/>
    <w:pPr>
      <w:widowControl/>
      <w:spacing w:line="360" w:lineRule="auto"/>
      <w:ind w:firstLine="480" w:firstLineChars="200"/>
    </w:pPr>
    <w:rPr>
      <w:rFonts w:ascii="Times New Roman" w:hAnsi="Times New Roman"/>
      <w:sz w:val="24"/>
    </w:rPr>
  </w:style>
  <w:style w:type="paragraph" w:customStyle="1" w:styleId="62">
    <w:name w:val="表格内"/>
    <w:basedOn w:val="1"/>
    <w:qFormat/>
    <w:uiPriority w:val="0"/>
    <w:pPr>
      <w:spacing w:line="360" w:lineRule="exact"/>
      <w:jc w:val="center"/>
    </w:pPr>
    <w:rPr>
      <w:snapToGrid w:val="0"/>
      <w:szCs w:val="21"/>
    </w:rPr>
  </w:style>
  <w:style w:type="character" w:customStyle="1" w:styleId="63">
    <w:name w:val="批注文字 字符"/>
    <w:basedOn w:val="31"/>
    <w:link w:val="11"/>
    <w:qFormat/>
    <w:uiPriority w:val="0"/>
    <w:rPr>
      <w:kern w:val="2"/>
      <w:sz w:val="21"/>
      <w:szCs w:val="24"/>
    </w:rPr>
  </w:style>
  <w:style w:type="character" w:customStyle="1" w:styleId="64">
    <w:name w:val="批注主题 字符"/>
    <w:basedOn w:val="63"/>
    <w:link w:val="27"/>
    <w:qFormat/>
    <w:uiPriority w:val="0"/>
    <w:rPr>
      <w:b/>
      <w:bCs/>
      <w:kern w:val="2"/>
      <w:sz w:val="21"/>
      <w:szCs w:val="24"/>
    </w:rPr>
  </w:style>
  <w:style w:type="paragraph" w:customStyle="1" w:styleId="65">
    <w:name w:val="表格标题."/>
    <w:basedOn w:val="1"/>
    <w:qFormat/>
    <w:uiPriority w:val="0"/>
    <w:pPr>
      <w:jc w:val="center"/>
    </w:pPr>
    <w:rPr>
      <w:rFonts w:eastAsia="Times New Roman"/>
      <w:b/>
      <w:color w:val="000000"/>
      <w:szCs w:val="21"/>
    </w:rPr>
  </w:style>
  <w:style w:type="character" w:customStyle="1" w:styleId="66">
    <w:name w:val="font21"/>
    <w:basedOn w:val="31"/>
    <w:qFormat/>
    <w:uiPriority w:val="0"/>
    <w:rPr>
      <w:rFonts w:hint="default" w:ascii="Times New Roman" w:hAnsi="Times New Roman" w:cs="Times New Roman"/>
      <w:color w:val="000000"/>
      <w:sz w:val="21"/>
      <w:szCs w:val="21"/>
      <w:u w:val="none"/>
    </w:rPr>
  </w:style>
  <w:style w:type="character" w:customStyle="1" w:styleId="67">
    <w:name w:val="font31"/>
    <w:basedOn w:val="31"/>
    <w:qFormat/>
    <w:uiPriority w:val="0"/>
    <w:rPr>
      <w:rFonts w:hint="eastAsia" w:ascii="宋体" w:hAnsi="宋体" w:eastAsia="宋体" w:cs="宋体"/>
      <w:color w:val="000000"/>
      <w:sz w:val="21"/>
      <w:szCs w:val="21"/>
      <w:u w:val="none"/>
    </w:rPr>
  </w:style>
  <w:style w:type="paragraph" w:customStyle="1" w:styleId="68">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69">
    <w:name w:val="表格内容1"/>
    <w:basedOn w:val="1"/>
    <w:qFormat/>
    <w:uiPriority w:val="0"/>
    <w:pPr>
      <w:tabs>
        <w:tab w:val="left" w:pos="1535"/>
        <w:tab w:val="left" w:pos="3105"/>
        <w:tab w:val="left" w:pos="4676"/>
        <w:tab w:val="left" w:pos="6247"/>
        <w:tab w:val="left" w:pos="7740"/>
        <w:tab w:val="left" w:pos="9288"/>
      </w:tabs>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70">
    <w:name w:val="表格内容"/>
    <w:basedOn w:val="48"/>
    <w:qFormat/>
    <w:uiPriority w:val="0"/>
    <w:pPr>
      <w:spacing w:line="240" w:lineRule="auto"/>
      <w:ind w:firstLine="0" w:firstLineChars="0"/>
      <w:jc w:val="center"/>
    </w:pPr>
    <w:rPr>
      <w:szCs w:val="21"/>
    </w:rPr>
  </w:style>
  <w:style w:type="paragraph" w:customStyle="1" w:styleId="71">
    <w:name w:val="报告表表头"/>
    <w:basedOn w:val="1"/>
    <w:qFormat/>
    <w:uiPriority w:val="0"/>
    <w:pPr>
      <w:numPr>
        <w:ilvl w:val="0"/>
        <w:numId w:val="4"/>
      </w:numPr>
      <w:spacing w:line="440" w:lineRule="exact"/>
      <w:ind w:firstLine="0" w:firstLineChars="0"/>
      <w:jc w:val="center"/>
    </w:pPr>
    <w:rPr>
      <w:rFonts w:eastAsia="黑体"/>
      <w:b/>
      <w:sz w:val="21"/>
    </w:rPr>
  </w:style>
  <w:style w:type="paragraph" w:customStyle="1" w:styleId="72">
    <w:name w:val="表内容"/>
    <w:basedOn w:val="1"/>
    <w:next w:val="1"/>
    <w:qFormat/>
    <w:uiPriority w:val="0"/>
    <w:pPr>
      <w:spacing w:line="240" w:lineRule="auto"/>
      <w:ind w:firstLine="0" w:firstLineChars="0"/>
      <w:jc w:val="center"/>
    </w:pPr>
    <w:rPr>
      <w:rFonts w:eastAsia="Arial"/>
      <w:snapToGrid w:val="0"/>
      <w:sz w:val="21"/>
      <w:szCs w:val="21"/>
      <w:lang w:val="en-US" w:eastAsia="zh-CN" w:bidi="ar-SA"/>
    </w:rPr>
  </w:style>
  <w:style w:type="paragraph" w:customStyle="1" w:styleId="73">
    <w:name w:val="表格文字（小）"/>
    <w:basedOn w:val="1"/>
    <w:qFormat/>
    <w:uiPriority w:val="0"/>
    <w:pPr>
      <w:spacing w:line="240" w:lineRule="atLeast"/>
      <w:ind w:firstLine="0" w:firstLineChars="0"/>
      <w:jc w:val="center"/>
    </w:pPr>
  </w:style>
  <w:style w:type="table" w:customStyle="1" w:styleId="74">
    <w:name w:val="Table Normal"/>
    <w:autoRedefine/>
    <w:semiHidden/>
    <w:unhideWhenUsed/>
    <w:qFormat/>
    <w:uiPriority w:val="0"/>
    <w:tblPr>
      <w:tblCellMar>
        <w:top w:w="0" w:type="dxa"/>
        <w:left w:w="0" w:type="dxa"/>
        <w:bottom w:w="0" w:type="dxa"/>
        <w:right w:w="0" w:type="dxa"/>
      </w:tblCellMar>
    </w:tblPr>
  </w:style>
  <w:style w:type="paragraph" w:customStyle="1" w:styleId="75">
    <w:name w:val="表格1"/>
    <w:basedOn w:val="1"/>
    <w:qFormat/>
    <w:uiPriority w:val="99"/>
    <w:rPr>
      <w:szCs w:val="20"/>
    </w:rPr>
  </w:style>
  <w:style w:type="paragraph" w:customStyle="1" w:styleId="76">
    <w:name w:val="Table Text"/>
    <w:basedOn w:val="1"/>
    <w:semiHidden/>
    <w:qFormat/>
    <w:uiPriority w:val="0"/>
    <w:rPr>
      <w:rFonts w:ascii="宋体" w:hAnsi="宋体" w:eastAsia="宋体" w:cs="宋体"/>
      <w:sz w:val="20"/>
      <w:szCs w:val="20"/>
      <w:lang w:val="en-US" w:eastAsia="en-US" w:bidi="ar-SA"/>
    </w:rPr>
  </w:style>
  <w:style w:type="paragraph" w:customStyle="1" w:styleId="77">
    <w:name w:val="正文格式"/>
    <w:basedOn w:val="78"/>
    <w:autoRedefine/>
    <w:qFormat/>
    <w:uiPriority w:val="0"/>
    <w:pPr>
      <w:spacing w:line="360" w:lineRule="auto"/>
      <w:ind w:firstLine="482"/>
    </w:pPr>
    <w:rPr>
      <w:rFonts w:ascii="宋体" w:hAnsi="宋体"/>
      <w:kern w:val="0"/>
      <w:sz w:val="24"/>
    </w:rPr>
  </w:style>
  <w:style w:type="paragraph" w:customStyle="1" w:styleId="78">
    <w:name w:val="样式 (西文) Times New Roman (中文) 宋体 首行缩进:  2 字符"/>
    <w:basedOn w:val="1"/>
    <w:autoRedefine/>
    <w:qFormat/>
    <w:uiPriority w:val="0"/>
    <w:pPr>
      <w:ind w:firstLine="560"/>
    </w:pPr>
  </w:style>
  <w:style w:type="paragraph" w:customStyle="1" w:styleId="79">
    <w:name w:val="正文A"/>
    <w:basedOn w:val="80"/>
    <w:qFormat/>
    <w:uiPriority w:val="0"/>
    <w:pPr>
      <w:spacing w:line="500" w:lineRule="exact"/>
      <w:ind w:firstLine="480" w:firstLineChars="200"/>
    </w:pPr>
    <w:rPr>
      <w:rFonts w:cs="华文仿宋"/>
      <w:sz w:val="24"/>
      <w:szCs w:val="24"/>
    </w:rPr>
  </w:style>
  <w:style w:type="paragraph" w:customStyle="1" w:styleId="80">
    <w:name w:val="正文!!!!!!!!!!!"/>
    <w:basedOn w:val="81"/>
    <w:qFormat/>
    <w:uiPriority w:val="0"/>
    <w:pPr>
      <w:ind w:firstLine="480"/>
    </w:pPr>
    <w:rPr>
      <w:rFonts w:ascii="Times New Roman" w:hAnsi="Times New Roman" w:eastAsia="宋体" w:cs="Times New Roman"/>
    </w:rPr>
  </w:style>
  <w:style w:type="paragraph" w:customStyle="1" w:styleId="81">
    <w:name w:val="正文 楷体"/>
    <w:basedOn w:val="1"/>
    <w:qFormat/>
    <w:uiPriority w:val="0"/>
    <w:pPr>
      <w:spacing w:line="500" w:lineRule="exact"/>
      <w:ind w:firstLine="200" w:firstLineChars="200"/>
    </w:pPr>
    <w:rPr>
      <w:rFonts w:ascii="楷体_GB2312" w:hAnsi="楷体_GB2312" w:eastAsia="楷体_GB2312" w:cs="宋体"/>
      <w:sz w:val="24"/>
      <w:szCs w:val="24"/>
    </w:rPr>
  </w:style>
  <w:style w:type="paragraph" w:customStyle="1" w:styleId="82">
    <w:name w:val="表头字体"/>
    <w:basedOn w:val="1"/>
    <w:qFormat/>
    <w:uiPriority w:val="0"/>
    <w:pPr>
      <w:spacing w:line="360" w:lineRule="auto"/>
      <w:jc w:val="center"/>
    </w:pPr>
  </w:style>
  <w:style w:type="paragraph" w:customStyle="1" w:styleId="83">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wmf"/><Relationship Id="rId17" Type="http://schemas.openxmlformats.org/officeDocument/2006/relationships/oleObject" Target="embeddings/oleObject3.bin"/><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oleObject" Target="embeddings/oleObject2.bin"/><Relationship Id="rId13" Type="http://schemas.openxmlformats.org/officeDocument/2006/relationships/image" Target="media/image4.wmf"/><Relationship Id="rId12" Type="http://schemas.openxmlformats.org/officeDocument/2006/relationships/oleObject" Target="embeddings/oleObject1.bin"/><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extobjs>
    <extobj name="ECB019B1-382A-4266-B25C-5B523AA43C14-1">
      <extobjdata type="ECB019B1-382A-4266-B25C-5B523AA43C14" data="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"/>
    </extobj>
    <extobj name="ECB019B1-382A-4266-B25C-5B523AA43C14-2">
      <extobjdata type="ECB019B1-382A-4266-B25C-5B523AA43C14" data="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119</Words>
  <Characters>150</Characters>
  <Lines>291</Lines>
  <Paragraphs>82</Paragraphs>
  <TotalTime>23</TotalTime>
  <ScaleCrop>false</ScaleCrop>
  <LinksUpToDate>false</LinksUpToDate>
  <CharactersWithSpaces>207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2022-06-08T10:29:00Z</dcterms:created>
  <dc:creator>lu'ping</dc:creator>
  <cp:lastModifiedBy>小麦啾</cp:lastModifiedBy>
  <cp:lastPrinted>2025-04-15T10:24:00Z</cp:lastPrinted>
  <dcterms:modified xsi:type="dcterms:W3CDTF">2025-05-08T02:58:39Z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6646F8AE79FB4DBBBBE9A3730ACDCC3F</vt:lpwstr>
  </property>
  <property fmtid="{D5CDD505-2E9C-101B-9397-08002B2CF9AE}" pid="4" name="KSOTemplateDocerSaveRecord">
    <vt:lpwstr>eyJoZGlkIjoiMzcxN2Q5OGY0MzIxMzQ2YTVkNjkyNjY4OTc0MzQwMDIiLCJ1c2VySWQiOiIzMjQ5NjUzODcifQ==</vt:lpwstr>
  </property>
</Properties>
</file>